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0957" w14:textId="77777777" w:rsidR="004617DB" w:rsidRDefault="004617DB" w:rsidP="006B3203">
      <w:pPr>
        <w:ind w:right="-188"/>
        <w:jc w:val="center"/>
        <w:rPr>
          <w:rFonts w:cs="Arial"/>
          <w:b/>
          <w:sz w:val="28"/>
          <w:szCs w:val="28"/>
        </w:rPr>
      </w:pPr>
      <w:bookmarkStart w:id="0" w:name="_GoBack"/>
      <w:bookmarkEnd w:id="0"/>
      <w:r>
        <w:rPr>
          <w:rFonts w:cs="Arial"/>
          <w:b/>
          <w:sz w:val="28"/>
          <w:szCs w:val="28"/>
        </w:rPr>
        <w:t>HEALTH RESEARCH AUTHORITY</w:t>
      </w:r>
    </w:p>
    <w:p w14:paraId="33CE3C27" w14:textId="77777777" w:rsidR="006B3203" w:rsidRDefault="00DF0DDE" w:rsidP="006B3203">
      <w:pPr>
        <w:ind w:right="-188"/>
        <w:jc w:val="center"/>
        <w:rPr>
          <w:rFonts w:cs="Arial"/>
          <w:b/>
          <w:sz w:val="28"/>
          <w:szCs w:val="28"/>
        </w:rPr>
      </w:pPr>
      <w:r>
        <w:rPr>
          <w:rFonts w:cs="Arial"/>
          <w:b/>
          <w:sz w:val="28"/>
          <w:szCs w:val="28"/>
        </w:rPr>
        <w:t>BOARD MEETING</w:t>
      </w:r>
    </w:p>
    <w:p w14:paraId="09E66D14" w14:textId="77777777" w:rsidR="000B5923" w:rsidRPr="00914114" w:rsidRDefault="000B5923" w:rsidP="006B3203">
      <w:pPr>
        <w:ind w:right="-188"/>
        <w:jc w:val="center"/>
        <w:rPr>
          <w:rFonts w:cs="Arial"/>
          <w:b/>
          <w:sz w:val="32"/>
          <w:szCs w:val="28"/>
        </w:rPr>
      </w:pPr>
    </w:p>
    <w:p w14:paraId="67F341A0" w14:textId="77777777" w:rsidR="001E4B11" w:rsidRPr="00914114" w:rsidRDefault="001E4B11" w:rsidP="000B5923">
      <w:pPr>
        <w:ind w:right="-188"/>
        <w:jc w:val="center"/>
        <w:rPr>
          <w:rFonts w:cs="Arial"/>
          <w:b/>
          <w:sz w:val="28"/>
          <w:szCs w:val="24"/>
        </w:rPr>
      </w:pPr>
      <w:r w:rsidRPr="00914114">
        <w:rPr>
          <w:rFonts w:cs="Arial"/>
          <w:b/>
          <w:sz w:val="28"/>
          <w:szCs w:val="24"/>
        </w:rPr>
        <w:t>AGENDA</w:t>
      </w:r>
    </w:p>
    <w:p w14:paraId="7A297B27" w14:textId="77777777" w:rsidR="001E4B11" w:rsidRPr="00914114" w:rsidRDefault="001E4B11" w:rsidP="000B5923">
      <w:pPr>
        <w:ind w:right="-188"/>
        <w:jc w:val="center"/>
        <w:rPr>
          <w:rFonts w:cs="Arial"/>
          <w:b/>
          <w:sz w:val="28"/>
          <w:szCs w:val="24"/>
        </w:rPr>
      </w:pPr>
      <w:r w:rsidRPr="00914114">
        <w:rPr>
          <w:rFonts w:cs="Arial"/>
          <w:b/>
          <w:sz w:val="28"/>
          <w:szCs w:val="24"/>
        </w:rPr>
        <w:t xml:space="preserve">PART </w:t>
      </w:r>
      <w:r w:rsidR="00892707">
        <w:rPr>
          <w:rFonts w:cs="Arial"/>
          <w:b/>
          <w:sz w:val="28"/>
          <w:szCs w:val="24"/>
        </w:rPr>
        <w:t xml:space="preserve">1 </w:t>
      </w:r>
      <w:r w:rsidR="002537BA">
        <w:rPr>
          <w:rFonts w:cs="Arial"/>
          <w:b/>
          <w:sz w:val="28"/>
          <w:szCs w:val="24"/>
        </w:rPr>
        <w:t xml:space="preserve">– </w:t>
      </w:r>
      <w:r w:rsidR="00892707">
        <w:rPr>
          <w:rFonts w:cs="Arial"/>
          <w:b/>
          <w:sz w:val="28"/>
          <w:szCs w:val="24"/>
        </w:rPr>
        <w:t>PUBLIC</w:t>
      </w:r>
      <w:r w:rsidR="002537BA">
        <w:rPr>
          <w:rFonts w:cs="Arial"/>
          <w:b/>
          <w:sz w:val="28"/>
          <w:szCs w:val="24"/>
        </w:rPr>
        <w:t xml:space="preserve"> SESSION</w:t>
      </w:r>
    </w:p>
    <w:p w14:paraId="246673D1" w14:textId="77777777"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14:paraId="607D195A" w14:textId="77777777" w:rsidTr="00914114">
        <w:tc>
          <w:tcPr>
            <w:tcW w:w="1526" w:type="dxa"/>
            <w:tcBorders>
              <w:top w:val="single" w:sz="4" w:space="0" w:color="auto"/>
              <w:left w:val="single" w:sz="4" w:space="0" w:color="auto"/>
              <w:bottom w:val="single" w:sz="4" w:space="0" w:color="auto"/>
              <w:right w:val="single" w:sz="4" w:space="0" w:color="auto"/>
            </w:tcBorders>
            <w:hideMark/>
          </w:tcPr>
          <w:p w14:paraId="0975DB17" w14:textId="77777777"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14:paraId="0962C3BF" w14:textId="77777777" w:rsidR="00CA7635" w:rsidRPr="00CA7635" w:rsidRDefault="009677FF" w:rsidP="00CA7635">
            <w:pPr>
              <w:rPr>
                <w:b/>
              </w:rPr>
            </w:pPr>
            <w:r>
              <w:rPr>
                <w:b/>
              </w:rPr>
              <w:t xml:space="preserve">Wednesday </w:t>
            </w:r>
            <w:r w:rsidR="00E23612">
              <w:rPr>
                <w:b/>
              </w:rPr>
              <w:t>20 March 2019</w:t>
            </w:r>
          </w:p>
          <w:p w14:paraId="2CFC2751" w14:textId="77777777" w:rsidR="00914114" w:rsidRDefault="00914114">
            <w:pPr>
              <w:ind w:right="-188"/>
              <w:rPr>
                <w:rFonts w:cs="Arial"/>
                <w:b/>
              </w:rPr>
            </w:pPr>
          </w:p>
        </w:tc>
      </w:tr>
      <w:tr w:rsidR="00914114" w14:paraId="252E1FC9" w14:textId="77777777"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14:paraId="3A42841D" w14:textId="77777777" w:rsidR="00914114" w:rsidRPr="00892707" w:rsidRDefault="00914114">
            <w:pPr>
              <w:ind w:right="-188"/>
              <w:rPr>
                <w:rFonts w:cs="Arial"/>
                <w:b/>
              </w:rPr>
            </w:pPr>
            <w:r w:rsidRPr="00892707">
              <w:rPr>
                <w:rFonts w:cs="Arial"/>
                <w:b/>
              </w:rPr>
              <w:t>Time:</w:t>
            </w:r>
          </w:p>
        </w:tc>
        <w:tc>
          <w:tcPr>
            <w:tcW w:w="8221" w:type="dxa"/>
            <w:tcBorders>
              <w:top w:val="single" w:sz="4" w:space="0" w:color="auto"/>
              <w:left w:val="single" w:sz="4" w:space="0" w:color="auto"/>
              <w:bottom w:val="single" w:sz="4" w:space="0" w:color="auto"/>
              <w:right w:val="single" w:sz="4" w:space="0" w:color="auto"/>
            </w:tcBorders>
          </w:tcPr>
          <w:p w14:paraId="24D30E06" w14:textId="070E6D92" w:rsidR="00892707" w:rsidRDefault="006B2059" w:rsidP="00E23612">
            <w:pPr>
              <w:ind w:right="-188"/>
              <w:rPr>
                <w:rFonts w:cs="Arial"/>
                <w:b/>
              </w:rPr>
            </w:pPr>
            <w:r>
              <w:rPr>
                <w:rFonts w:cs="Arial"/>
                <w:b/>
              </w:rPr>
              <w:t>1.30pm – 3.15pm</w:t>
            </w:r>
          </w:p>
          <w:p w14:paraId="4FCDCC94" w14:textId="77777777" w:rsidR="00E23612" w:rsidRPr="00892707" w:rsidRDefault="00E23612" w:rsidP="00E23612">
            <w:pPr>
              <w:ind w:right="-188"/>
              <w:rPr>
                <w:rFonts w:cs="Arial"/>
                <w:b/>
              </w:rPr>
            </w:pPr>
          </w:p>
        </w:tc>
      </w:tr>
      <w:tr w:rsidR="00914114" w14:paraId="022D952B" w14:textId="77777777"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14:paraId="75862993" w14:textId="77777777" w:rsidR="00914114" w:rsidRPr="009677FF" w:rsidRDefault="00914114">
            <w:pPr>
              <w:ind w:right="-188"/>
              <w:rPr>
                <w:rFonts w:cs="Arial"/>
                <w:b/>
              </w:rPr>
            </w:pPr>
            <w:r w:rsidRPr="009677FF">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14:paraId="36F5D826" w14:textId="77777777" w:rsidR="009677FF" w:rsidRDefault="00E23612" w:rsidP="00740C44">
            <w:pPr>
              <w:widowControl w:val="0"/>
              <w:autoSpaceDE w:val="0"/>
              <w:autoSpaceDN w:val="0"/>
              <w:adjustRightInd w:val="0"/>
              <w:spacing w:after="40"/>
              <w:rPr>
                <w:b/>
              </w:rPr>
            </w:pPr>
            <w:r w:rsidRPr="00E23612">
              <w:rPr>
                <w:b/>
              </w:rPr>
              <w:t>Nottingham HRA Centre, The Old Chapel, Royal Standard Court, Nottingham, NG1 6FS</w:t>
            </w:r>
          </w:p>
          <w:p w14:paraId="10720B71" w14:textId="77777777" w:rsidR="007A3B74" w:rsidRPr="00E23612" w:rsidRDefault="007A3B74" w:rsidP="00740C44">
            <w:pPr>
              <w:widowControl w:val="0"/>
              <w:autoSpaceDE w:val="0"/>
              <w:autoSpaceDN w:val="0"/>
              <w:adjustRightInd w:val="0"/>
              <w:spacing w:after="40"/>
              <w:rPr>
                <w:b/>
              </w:rPr>
            </w:pPr>
          </w:p>
        </w:tc>
      </w:tr>
    </w:tbl>
    <w:p w14:paraId="29C03F0E" w14:textId="77777777"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14:paraId="78930091" w14:textId="77777777" w:rsidTr="003D5054">
        <w:tc>
          <w:tcPr>
            <w:tcW w:w="698" w:type="dxa"/>
            <w:shd w:val="clear" w:color="auto" w:fill="D9D9D9" w:themeFill="background1" w:themeFillShade="D9"/>
          </w:tcPr>
          <w:p w14:paraId="4F3FCAEA" w14:textId="77777777"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14:paraId="5D5840C8" w14:textId="77777777" w:rsidR="00C37E81" w:rsidRDefault="00C37E81" w:rsidP="006B3203">
            <w:pPr>
              <w:rPr>
                <w:rFonts w:cs="Arial"/>
                <w:b/>
              </w:rPr>
            </w:pPr>
            <w:r w:rsidRPr="004617DB">
              <w:rPr>
                <w:rFonts w:cs="Arial"/>
                <w:b/>
              </w:rPr>
              <w:t>Item details</w:t>
            </w:r>
          </w:p>
          <w:p w14:paraId="1DBA2754" w14:textId="77777777" w:rsidR="00C37E81" w:rsidRPr="004617DB" w:rsidRDefault="00C37E81" w:rsidP="006B3203">
            <w:pPr>
              <w:rPr>
                <w:rFonts w:cs="Arial"/>
                <w:b/>
              </w:rPr>
            </w:pPr>
          </w:p>
        </w:tc>
        <w:tc>
          <w:tcPr>
            <w:tcW w:w="851" w:type="dxa"/>
            <w:shd w:val="clear" w:color="auto" w:fill="D9D9D9" w:themeFill="background1" w:themeFillShade="D9"/>
          </w:tcPr>
          <w:p w14:paraId="09837FDC" w14:textId="77777777" w:rsidR="00C37E81" w:rsidRDefault="00C37E81" w:rsidP="00AF19D5">
            <w:pPr>
              <w:jc w:val="center"/>
              <w:rPr>
                <w:rFonts w:cs="Arial"/>
                <w:b/>
              </w:rPr>
            </w:pPr>
            <w:r>
              <w:rPr>
                <w:rFonts w:cs="Arial"/>
                <w:b/>
              </w:rPr>
              <w:t>Time</w:t>
            </w:r>
          </w:p>
          <w:p w14:paraId="14CCD332" w14:textId="77777777"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14:paraId="10CEE874" w14:textId="77777777"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14:paraId="6CB861F6" w14:textId="77777777" w:rsidR="00C37E81" w:rsidRDefault="00C37E81" w:rsidP="003D5054">
            <w:pPr>
              <w:jc w:val="center"/>
              <w:rPr>
                <w:rFonts w:cs="Arial"/>
                <w:b/>
              </w:rPr>
            </w:pPr>
            <w:r>
              <w:rPr>
                <w:rFonts w:cs="Arial"/>
                <w:b/>
              </w:rPr>
              <w:t>Page no</w:t>
            </w:r>
          </w:p>
        </w:tc>
      </w:tr>
      <w:tr w:rsidR="0007791B" w14:paraId="585B47F9" w14:textId="77777777" w:rsidTr="003D5054">
        <w:tc>
          <w:tcPr>
            <w:tcW w:w="698" w:type="dxa"/>
          </w:tcPr>
          <w:p w14:paraId="3A89B196" w14:textId="77777777" w:rsidR="0007791B" w:rsidRPr="00415B4C" w:rsidRDefault="0007791B" w:rsidP="00AF19D5">
            <w:pPr>
              <w:pStyle w:val="ListParagraph"/>
              <w:numPr>
                <w:ilvl w:val="0"/>
                <w:numId w:val="3"/>
              </w:numPr>
              <w:tabs>
                <w:tab w:val="left" w:pos="360"/>
              </w:tabs>
              <w:ind w:left="0" w:firstLine="0"/>
              <w:jc w:val="center"/>
              <w:rPr>
                <w:rFonts w:cs="Arial"/>
                <w:b/>
              </w:rPr>
            </w:pPr>
          </w:p>
        </w:tc>
        <w:tc>
          <w:tcPr>
            <w:tcW w:w="5789" w:type="dxa"/>
          </w:tcPr>
          <w:p w14:paraId="4F6EAB85" w14:textId="77777777" w:rsidR="0007791B" w:rsidRDefault="0007791B" w:rsidP="0007791B">
            <w:pPr>
              <w:rPr>
                <w:rFonts w:cs="Arial"/>
                <w:b/>
              </w:rPr>
            </w:pPr>
            <w:r>
              <w:rPr>
                <w:rFonts w:cs="Arial"/>
                <w:b/>
              </w:rPr>
              <w:t>Apologies</w:t>
            </w:r>
          </w:p>
          <w:p w14:paraId="63B6F9F6" w14:textId="77777777" w:rsidR="0007791B" w:rsidRDefault="0007791B" w:rsidP="00664A6C">
            <w:pPr>
              <w:rPr>
                <w:rFonts w:cs="Arial"/>
                <w:b/>
              </w:rPr>
            </w:pPr>
          </w:p>
        </w:tc>
        <w:tc>
          <w:tcPr>
            <w:tcW w:w="851" w:type="dxa"/>
            <w:vMerge w:val="restart"/>
            <w:vAlign w:val="center"/>
          </w:tcPr>
          <w:p w14:paraId="7DA03ABD" w14:textId="15A3FCC8" w:rsidR="0007791B" w:rsidRDefault="000233FA" w:rsidP="00600DE2">
            <w:pPr>
              <w:jc w:val="center"/>
              <w:rPr>
                <w:rFonts w:cs="Arial"/>
              </w:rPr>
            </w:pPr>
            <w:r>
              <w:rPr>
                <w:rFonts w:cs="Arial"/>
              </w:rPr>
              <w:t>10</w:t>
            </w:r>
          </w:p>
        </w:tc>
        <w:tc>
          <w:tcPr>
            <w:tcW w:w="1559" w:type="dxa"/>
          </w:tcPr>
          <w:p w14:paraId="06FA65D7" w14:textId="77777777" w:rsidR="0007791B" w:rsidRDefault="003322C5" w:rsidP="00AF19D5">
            <w:pPr>
              <w:jc w:val="center"/>
              <w:rPr>
                <w:rFonts w:cs="Arial"/>
              </w:rPr>
            </w:pPr>
            <w:r>
              <w:rPr>
                <w:rFonts w:cs="Arial"/>
              </w:rPr>
              <w:t>Verbal</w:t>
            </w:r>
          </w:p>
        </w:tc>
        <w:tc>
          <w:tcPr>
            <w:tcW w:w="850" w:type="dxa"/>
          </w:tcPr>
          <w:p w14:paraId="4F21A246" w14:textId="77777777" w:rsidR="0007791B" w:rsidRDefault="0007791B" w:rsidP="00AF19D5">
            <w:pPr>
              <w:jc w:val="center"/>
              <w:rPr>
                <w:rFonts w:cs="Arial"/>
              </w:rPr>
            </w:pPr>
          </w:p>
        </w:tc>
      </w:tr>
      <w:tr w:rsidR="003C416D" w14:paraId="44AD2EC4" w14:textId="77777777" w:rsidTr="003D5054">
        <w:tc>
          <w:tcPr>
            <w:tcW w:w="698" w:type="dxa"/>
          </w:tcPr>
          <w:p w14:paraId="40E4EE8E"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29A081EC" w14:textId="77777777" w:rsidR="003C416D" w:rsidRDefault="003C416D" w:rsidP="003C416D">
            <w:pPr>
              <w:rPr>
                <w:rFonts w:cs="Arial"/>
                <w:b/>
              </w:rPr>
            </w:pPr>
            <w:r>
              <w:rPr>
                <w:rFonts w:cs="Arial"/>
                <w:b/>
              </w:rPr>
              <w:t>Conflicts of interest</w:t>
            </w:r>
          </w:p>
          <w:p w14:paraId="0DA50764" w14:textId="77777777" w:rsidR="003C416D" w:rsidRDefault="003C416D" w:rsidP="00664A6C">
            <w:pPr>
              <w:rPr>
                <w:rFonts w:cs="Arial"/>
                <w:b/>
              </w:rPr>
            </w:pPr>
          </w:p>
        </w:tc>
        <w:tc>
          <w:tcPr>
            <w:tcW w:w="851" w:type="dxa"/>
            <w:vMerge/>
            <w:vAlign w:val="center"/>
          </w:tcPr>
          <w:p w14:paraId="0F1933D7" w14:textId="77777777" w:rsidR="003C416D" w:rsidRDefault="003C416D" w:rsidP="00600DE2">
            <w:pPr>
              <w:jc w:val="center"/>
              <w:rPr>
                <w:rFonts w:cs="Arial"/>
              </w:rPr>
            </w:pPr>
          </w:p>
        </w:tc>
        <w:tc>
          <w:tcPr>
            <w:tcW w:w="1559" w:type="dxa"/>
          </w:tcPr>
          <w:p w14:paraId="54E66E89" w14:textId="77777777" w:rsidR="003C416D" w:rsidRDefault="003C416D" w:rsidP="00C67B48">
            <w:pPr>
              <w:jc w:val="center"/>
              <w:rPr>
                <w:rFonts w:cs="Arial"/>
              </w:rPr>
            </w:pPr>
            <w:r>
              <w:rPr>
                <w:rFonts w:cs="Arial"/>
              </w:rPr>
              <w:t>Verbal</w:t>
            </w:r>
          </w:p>
        </w:tc>
        <w:tc>
          <w:tcPr>
            <w:tcW w:w="850" w:type="dxa"/>
          </w:tcPr>
          <w:p w14:paraId="272B56C9" w14:textId="77777777" w:rsidR="003C416D" w:rsidRDefault="003C416D" w:rsidP="00C67B48">
            <w:pPr>
              <w:jc w:val="center"/>
              <w:rPr>
                <w:rFonts w:cs="Arial"/>
              </w:rPr>
            </w:pPr>
            <w:r>
              <w:rPr>
                <w:rFonts w:cs="Arial"/>
              </w:rPr>
              <w:t>-</w:t>
            </w:r>
          </w:p>
        </w:tc>
      </w:tr>
      <w:tr w:rsidR="003C416D" w14:paraId="60237180" w14:textId="77777777" w:rsidTr="003D5054">
        <w:tc>
          <w:tcPr>
            <w:tcW w:w="698" w:type="dxa"/>
          </w:tcPr>
          <w:p w14:paraId="42E7F590"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57C45F6A" w14:textId="77777777" w:rsidR="003C416D" w:rsidRDefault="003C416D" w:rsidP="00664A6C">
            <w:pPr>
              <w:rPr>
                <w:rFonts w:cs="Arial"/>
                <w:b/>
              </w:rPr>
            </w:pPr>
            <w:r>
              <w:rPr>
                <w:rFonts w:cs="Arial"/>
                <w:b/>
              </w:rPr>
              <w:t>Minutes of the last meeting</w:t>
            </w:r>
          </w:p>
          <w:p w14:paraId="238D5800" w14:textId="77777777" w:rsidR="003C416D" w:rsidRDefault="003C416D" w:rsidP="00664A6C">
            <w:pPr>
              <w:rPr>
                <w:rFonts w:cs="Arial"/>
                <w:b/>
              </w:rPr>
            </w:pPr>
          </w:p>
          <w:p w14:paraId="0075C076" w14:textId="77777777" w:rsidR="004E117F" w:rsidRPr="00CA7635" w:rsidRDefault="007A3B74" w:rsidP="00CA7635">
            <w:pPr>
              <w:pStyle w:val="ListParagraph"/>
              <w:numPr>
                <w:ilvl w:val="0"/>
                <w:numId w:val="36"/>
              </w:numPr>
              <w:rPr>
                <w:rFonts w:cs="Arial"/>
              </w:rPr>
            </w:pPr>
            <w:r>
              <w:rPr>
                <w:rFonts w:cs="Arial"/>
              </w:rPr>
              <w:t xml:space="preserve">23 January </w:t>
            </w:r>
            <w:r w:rsidR="009677FF">
              <w:rPr>
                <w:rFonts w:cs="Arial"/>
              </w:rPr>
              <w:t>201</w:t>
            </w:r>
            <w:r>
              <w:rPr>
                <w:rFonts w:cs="Arial"/>
              </w:rPr>
              <w:t>9</w:t>
            </w:r>
          </w:p>
          <w:p w14:paraId="406514C8" w14:textId="77777777" w:rsidR="00CA7635" w:rsidRDefault="00CA7635" w:rsidP="00CA7635">
            <w:pPr>
              <w:pStyle w:val="ListParagraph"/>
              <w:rPr>
                <w:rFonts w:cs="Arial"/>
                <w:b/>
              </w:rPr>
            </w:pPr>
          </w:p>
        </w:tc>
        <w:tc>
          <w:tcPr>
            <w:tcW w:w="851" w:type="dxa"/>
            <w:vMerge/>
            <w:vAlign w:val="center"/>
          </w:tcPr>
          <w:p w14:paraId="00DB130E" w14:textId="77777777" w:rsidR="003C416D" w:rsidRDefault="003C416D" w:rsidP="00600DE2">
            <w:pPr>
              <w:jc w:val="center"/>
              <w:rPr>
                <w:rFonts w:cs="Arial"/>
              </w:rPr>
            </w:pPr>
          </w:p>
        </w:tc>
        <w:tc>
          <w:tcPr>
            <w:tcW w:w="1559" w:type="dxa"/>
          </w:tcPr>
          <w:p w14:paraId="6F76A938" w14:textId="77777777" w:rsidR="003C416D" w:rsidRDefault="003C416D" w:rsidP="00AF19D5">
            <w:pPr>
              <w:jc w:val="center"/>
              <w:rPr>
                <w:rFonts w:cs="Arial"/>
                <w:b/>
              </w:rPr>
            </w:pPr>
          </w:p>
          <w:p w14:paraId="3646BED5" w14:textId="77777777" w:rsidR="003C416D" w:rsidRDefault="003C416D" w:rsidP="00AF19D5">
            <w:pPr>
              <w:jc w:val="center"/>
              <w:rPr>
                <w:rFonts w:cs="Arial"/>
                <w:b/>
              </w:rPr>
            </w:pPr>
          </w:p>
          <w:p w14:paraId="5313CF90" w14:textId="77777777" w:rsidR="003C416D" w:rsidRPr="004C3C5C" w:rsidRDefault="00E67344" w:rsidP="00AF19D5">
            <w:pPr>
              <w:jc w:val="center"/>
              <w:rPr>
                <w:rFonts w:cs="Arial"/>
                <w:b/>
              </w:rPr>
            </w:pPr>
            <w:r>
              <w:rPr>
                <w:rFonts w:cs="Arial"/>
                <w:b/>
              </w:rPr>
              <w:t>A</w:t>
            </w:r>
          </w:p>
        </w:tc>
        <w:tc>
          <w:tcPr>
            <w:tcW w:w="850" w:type="dxa"/>
          </w:tcPr>
          <w:p w14:paraId="3A0EAD84" w14:textId="77777777" w:rsidR="003C416D" w:rsidRDefault="003C416D" w:rsidP="00AF19D5">
            <w:pPr>
              <w:jc w:val="center"/>
              <w:rPr>
                <w:rFonts w:cs="Arial"/>
              </w:rPr>
            </w:pPr>
          </w:p>
        </w:tc>
      </w:tr>
      <w:tr w:rsidR="003C416D" w14:paraId="2916CAF2" w14:textId="77777777" w:rsidTr="003D5054">
        <w:tc>
          <w:tcPr>
            <w:tcW w:w="698" w:type="dxa"/>
          </w:tcPr>
          <w:p w14:paraId="4AC61F74"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2DB18AD2" w14:textId="77777777" w:rsidR="003C416D" w:rsidRDefault="003C416D" w:rsidP="00664A6C">
            <w:pPr>
              <w:rPr>
                <w:rFonts w:cs="Arial"/>
                <w:b/>
              </w:rPr>
            </w:pPr>
            <w:r>
              <w:rPr>
                <w:rFonts w:cs="Arial"/>
                <w:b/>
              </w:rPr>
              <w:t>Matters arising</w:t>
            </w:r>
          </w:p>
          <w:p w14:paraId="0F27606D" w14:textId="77777777" w:rsidR="00FE24A7" w:rsidRPr="00FE24A7" w:rsidRDefault="00FE24A7" w:rsidP="009073A6">
            <w:pPr>
              <w:pStyle w:val="ListParagraph"/>
              <w:rPr>
                <w:rFonts w:cs="Arial"/>
              </w:rPr>
            </w:pPr>
          </w:p>
        </w:tc>
        <w:tc>
          <w:tcPr>
            <w:tcW w:w="851" w:type="dxa"/>
            <w:vMerge/>
            <w:vAlign w:val="center"/>
          </w:tcPr>
          <w:p w14:paraId="74AAE9AC" w14:textId="77777777" w:rsidR="003C416D" w:rsidRDefault="003C416D" w:rsidP="00600DE2">
            <w:pPr>
              <w:jc w:val="center"/>
              <w:rPr>
                <w:rFonts w:cs="Arial"/>
              </w:rPr>
            </w:pPr>
          </w:p>
        </w:tc>
        <w:tc>
          <w:tcPr>
            <w:tcW w:w="1559" w:type="dxa"/>
          </w:tcPr>
          <w:p w14:paraId="5BD34E8A" w14:textId="77777777" w:rsidR="003C416D" w:rsidRDefault="00723D44" w:rsidP="00AF19D5">
            <w:pPr>
              <w:jc w:val="center"/>
              <w:rPr>
                <w:rFonts w:cs="Arial"/>
              </w:rPr>
            </w:pPr>
            <w:r>
              <w:rPr>
                <w:rFonts w:cs="Arial"/>
              </w:rPr>
              <w:t>Verbal</w:t>
            </w:r>
          </w:p>
          <w:p w14:paraId="5478E311" w14:textId="77777777" w:rsidR="00723D44" w:rsidRPr="004C3C5C" w:rsidRDefault="00723D44" w:rsidP="00740C44">
            <w:pPr>
              <w:rPr>
                <w:rFonts w:cs="Arial"/>
                <w:b/>
              </w:rPr>
            </w:pPr>
          </w:p>
        </w:tc>
        <w:tc>
          <w:tcPr>
            <w:tcW w:w="850" w:type="dxa"/>
          </w:tcPr>
          <w:p w14:paraId="3CABE256" w14:textId="77777777" w:rsidR="003C416D" w:rsidRDefault="003C416D" w:rsidP="00AF19D5">
            <w:pPr>
              <w:jc w:val="center"/>
              <w:rPr>
                <w:rFonts w:cs="Arial"/>
              </w:rPr>
            </w:pPr>
            <w:r>
              <w:rPr>
                <w:rFonts w:cs="Arial"/>
              </w:rPr>
              <w:t>-</w:t>
            </w:r>
          </w:p>
        </w:tc>
      </w:tr>
      <w:tr w:rsidR="00D574E4" w14:paraId="2CC3DF96" w14:textId="77777777" w:rsidTr="00D574E4">
        <w:tc>
          <w:tcPr>
            <w:tcW w:w="698" w:type="dxa"/>
          </w:tcPr>
          <w:p w14:paraId="6A746740"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0EA9EB14" w14:textId="77777777" w:rsidR="00D574E4" w:rsidRPr="004A7736" w:rsidRDefault="00D574E4" w:rsidP="00600DE2">
            <w:pPr>
              <w:rPr>
                <w:rFonts w:cs="Arial"/>
                <w:b/>
              </w:rPr>
            </w:pPr>
            <w:r w:rsidRPr="004A7736">
              <w:rPr>
                <w:rFonts w:cs="Arial"/>
                <w:b/>
              </w:rPr>
              <w:t>Update from Chair</w:t>
            </w:r>
          </w:p>
          <w:p w14:paraId="27AC162A" w14:textId="77777777" w:rsidR="00D574E4" w:rsidRPr="00C71463" w:rsidRDefault="00D574E4" w:rsidP="00E67344">
            <w:pPr>
              <w:pStyle w:val="ListParagraph"/>
              <w:rPr>
                <w:rFonts w:cs="Arial"/>
                <w:i/>
              </w:rPr>
            </w:pPr>
          </w:p>
        </w:tc>
        <w:tc>
          <w:tcPr>
            <w:tcW w:w="851" w:type="dxa"/>
            <w:vMerge w:val="restart"/>
            <w:vAlign w:val="center"/>
          </w:tcPr>
          <w:p w14:paraId="0FDB1011" w14:textId="77777777" w:rsidR="00D574E4" w:rsidRDefault="003322C5" w:rsidP="00D574E4">
            <w:pPr>
              <w:jc w:val="center"/>
              <w:rPr>
                <w:rFonts w:cs="Arial"/>
              </w:rPr>
            </w:pPr>
            <w:r>
              <w:rPr>
                <w:rFonts w:cs="Arial"/>
              </w:rPr>
              <w:t>15</w:t>
            </w:r>
          </w:p>
        </w:tc>
        <w:tc>
          <w:tcPr>
            <w:tcW w:w="1559" w:type="dxa"/>
          </w:tcPr>
          <w:p w14:paraId="6204289A" w14:textId="77777777" w:rsidR="00D574E4" w:rsidRDefault="00D574E4" w:rsidP="00600DE2">
            <w:pPr>
              <w:jc w:val="center"/>
              <w:rPr>
                <w:rFonts w:cs="Arial"/>
              </w:rPr>
            </w:pPr>
            <w:r>
              <w:rPr>
                <w:rFonts w:cs="Arial"/>
              </w:rPr>
              <w:t>Verbal</w:t>
            </w:r>
          </w:p>
        </w:tc>
        <w:tc>
          <w:tcPr>
            <w:tcW w:w="850" w:type="dxa"/>
          </w:tcPr>
          <w:p w14:paraId="54968046" w14:textId="77777777" w:rsidR="00D574E4" w:rsidRPr="00592AD0" w:rsidRDefault="00D574E4" w:rsidP="00600DE2">
            <w:pPr>
              <w:jc w:val="center"/>
              <w:rPr>
                <w:rFonts w:cs="Arial"/>
              </w:rPr>
            </w:pPr>
            <w:r>
              <w:rPr>
                <w:rFonts w:cs="Arial"/>
              </w:rPr>
              <w:t>-</w:t>
            </w:r>
          </w:p>
        </w:tc>
      </w:tr>
      <w:tr w:rsidR="00D574E4" w14:paraId="30BB1B88" w14:textId="77777777" w:rsidTr="00D574E4">
        <w:tc>
          <w:tcPr>
            <w:tcW w:w="698" w:type="dxa"/>
          </w:tcPr>
          <w:p w14:paraId="71655561"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57896CE9" w14:textId="77777777" w:rsidR="00D574E4" w:rsidRDefault="00D574E4" w:rsidP="00600DE2">
            <w:pPr>
              <w:rPr>
                <w:rFonts w:cs="Arial"/>
                <w:b/>
              </w:rPr>
            </w:pPr>
            <w:r w:rsidRPr="004A7736">
              <w:rPr>
                <w:rFonts w:cs="Arial"/>
                <w:b/>
              </w:rPr>
              <w:t>Chief Executive</w:t>
            </w:r>
            <w:r>
              <w:rPr>
                <w:rFonts w:cs="Arial"/>
                <w:b/>
              </w:rPr>
              <w:t xml:space="preserve"> update</w:t>
            </w:r>
          </w:p>
          <w:p w14:paraId="4E241E74" w14:textId="77777777" w:rsidR="00D574E4" w:rsidRPr="00A7770D" w:rsidRDefault="00D574E4" w:rsidP="00A7770D">
            <w:pPr>
              <w:rPr>
                <w:rFonts w:cs="Arial"/>
                <w:i/>
              </w:rPr>
            </w:pPr>
          </w:p>
        </w:tc>
        <w:tc>
          <w:tcPr>
            <w:tcW w:w="851" w:type="dxa"/>
            <w:vMerge/>
          </w:tcPr>
          <w:p w14:paraId="5AB132FD" w14:textId="77777777" w:rsidR="00D574E4" w:rsidRDefault="00D574E4" w:rsidP="00D574E4">
            <w:pPr>
              <w:jc w:val="center"/>
              <w:rPr>
                <w:rFonts w:cs="Arial"/>
              </w:rPr>
            </w:pPr>
          </w:p>
        </w:tc>
        <w:tc>
          <w:tcPr>
            <w:tcW w:w="1559" w:type="dxa"/>
          </w:tcPr>
          <w:p w14:paraId="5AFDEE7F" w14:textId="77777777" w:rsidR="00D574E4" w:rsidRPr="00692E21" w:rsidRDefault="00D574E4" w:rsidP="00600DE2">
            <w:pPr>
              <w:jc w:val="center"/>
              <w:rPr>
                <w:rFonts w:cs="Arial"/>
              </w:rPr>
            </w:pPr>
            <w:r>
              <w:rPr>
                <w:rFonts w:cs="Arial"/>
              </w:rPr>
              <w:t>To be tabled</w:t>
            </w:r>
          </w:p>
        </w:tc>
        <w:tc>
          <w:tcPr>
            <w:tcW w:w="850" w:type="dxa"/>
          </w:tcPr>
          <w:p w14:paraId="5AB36F21" w14:textId="77777777" w:rsidR="00D574E4" w:rsidRPr="00592AD0" w:rsidRDefault="00D574E4" w:rsidP="00600DE2">
            <w:pPr>
              <w:jc w:val="center"/>
              <w:rPr>
                <w:rFonts w:cs="Arial"/>
              </w:rPr>
            </w:pPr>
            <w:r>
              <w:rPr>
                <w:rFonts w:cs="Arial"/>
              </w:rPr>
              <w:t>-</w:t>
            </w:r>
          </w:p>
        </w:tc>
      </w:tr>
      <w:tr w:rsidR="00D574E4" w14:paraId="0F1B682F" w14:textId="77777777" w:rsidTr="00D574E4">
        <w:tc>
          <w:tcPr>
            <w:tcW w:w="698" w:type="dxa"/>
          </w:tcPr>
          <w:p w14:paraId="151C0261"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6E941223" w14:textId="77777777" w:rsidR="00D574E4" w:rsidRDefault="00D574E4" w:rsidP="00600DE2">
            <w:pPr>
              <w:rPr>
                <w:rFonts w:cs="Arial"/>
                <w:b/>
              </w:rPr>
            </w:pPr>
            <w:r>
              <w:rPr>
                <w:rFonts w:cs="Arial"/>
                <w:b/>
              </w:rPr>
              <w:t>HRA Directorate update</w:t>
            </w:r>
          </w:p>
          <w:p w14:paraId="4188ACD2" w14:textId="77777777" w:rsidR="00D574E4" w:rsidRPr="004A7736" w:rsidRDefault="00D574E4" w:rsidP="00600DE2">
            <w:pPr>
              <w:rPr>
                <w:rFonts w:cs="Arial"/>
                <w:b/>
              </w:rPr>
            </w:pPr>
          </w:p>
        </w:tc>
        <w:tc>
          <w:tcPr>
            <w:tcW w:w="851" w:type="dxa"/>
            <w:vMerge/>
          </w:tcPr>
          <w:p w14:paraId="335AC18B" w14:textId="77777777" w:rsidR="00D574E4" w:rsidRDefault="00D574E4" w:rsidP="00D574E4">
            <w:pPr>
              <w:jc w:val="center"/>
              <w:rPr>
                <w:rFonts w:cs="Arial"/>
              </w:rPr>
            </w:pPr>
          </w:p>
        </w:tc>
        <w:tc>
          <w:tcPr>
            <w:tcW w:w="1559" w:type="dxa"/>
          </w:tcPr>
          <w:p w14:paraId="3BBFAF63" w14:textId="77777777" w:rsidR="00D574E4" w:rsidRDefault="00D574E4" w:rsidP="00600DE2">
            <w:pPr>
              <w:jc w:val="center"/>
              <w:rPr>
                <w:rFonts w:cs="Arial"/>
              </w:rPr>
            </w:pPr>
            <w:r>
              <w:rPr>
                <w:rFonts w:cs="Arial"/>
              </w:rPr>
              <w:t>To be tabled</w:t>
            </w:r>
          </w:p>
        </w:tc>
        <w:tc>
          <w:tcPr>
            <w:tcW w:w="850" w:type="dxa"/>
          </w:tcPr>
          <w:p w14:paraId="43B84427" w14:textId="77777777" w:rsidR="00D574E4" w:rsidRDefault="00D574E4" w:rsidP="00600DE2">
            <w:pPr>
              <w:jc w:val="center"/>
              <w:rPr>
                <w:rFonts w:cs="Arial"/>
              </w:rPr>
            </w:pPr>
            <w:r>
              <w:rPr>
                <w:rFonts w:cs="Arial"/>
              </w:rPr>
              <w:t>-</w:t>
            </w:r>
          </w:p>
        </w:tc>
      </w:tr>
      <w:tr w:rsidR="001C4B69" w14:paraId="5F70C057" w14:textId="77777777" w:rsidTr="003D5054">
        <w:tc>
          <w:tcPr>
            <w:tcW w:w="698" w:type="dxa"/>
          </w:tcPr>
          <w:p w14:paraId="297888A6" w14:textId="77777777" w:rsidR="001C4B69" w:rsidRPr="00415B4C" w:rsidRDefault="001C4B69" w:rsidP="00AF19D5">
            <w:pPr>
              <w:pStyle w:val="ListParagraph"/>
              <w:numPr>
                <w:ilvl w:val="0"/>
                <w:numId w:val="3"/>
              </w:numPr>
              <w:tabs>
                <w:tab w:val="left" w:pos="360"/>
              </w:tabs>
              <w:ind w:left="0" w:firstLine="0"/>
              <w:jc w:val="center"/>
              <w:rPr>
                <w:rFonts w:cs="Arial"/>
                <w:b/>
              </w:rPr>
            </w:pPr>
          </w:p>
        </w:tc>
        <w:tc>
          <w:tcPr>
            <w:tcW w:w="5789" w:type="dxa"/>
          </w:tcPr>
          <w:p w14:paraId="101F1D47" w14:textId="77777777" w:rsidR="001C4B69" w:rsidRPr="00A408D7" w:rsidRDefault="004A5778" w:rsidP="00BF2FFA">
            <w:pPr>
              <w:rPr>
                <w:rFonts w:cs="Arial"/>
              </w:rPr>
            </w:pPr>
            <w:r>
              <w:rPr>
                <w:rFonts w:cs="Arial"/>
                <w:b/>
              </w:rPr>
              <w:t>Transformation Programme</w:t>
            </w:r>
            <w:r w:rsidRPr="005D7D73">
              <w:rPr>
                <w:rFonts w:cs="Arial"/>
                <w:b/>
              </w:rPr>
              <w:t xml:space="preserve"> update</w:t>
            </w:r>
          </w:p>
          <w:p w14:paraId="14B2DF86" w14:textId="77777777" w:rsidR="004A5778" w:rsidRDefault="004A5778" w:rsidP="00BF2FFA">
            <w:pPr>
              <w:rPr>
                <w:rFonts w:cs="Arial"/>
                <w:b/>
              </w:rPr>
            </w:pPr>
          </w:p>
        </w:tc>
        <w:tc>
          <w:tcPr>
            <w:tcW w:w="851" w:type="dxa"/>
          </w:tcPr>
          <w:p w14:paraId="2D35CA08" w14:textId="77777777" w:rsidR="001C4B69" w:rsidRDefault="003322C5" w:rsidP="00600DE2">
            <w:pPr>
              <w:jc w:val="center"/>
              <w:rPr>
                <w:rFonts w:cs="Arial"/>
              </w:rPr>
            </w:pPr>
            <w:r>
              <w:rPr>
                <w:rFonts w:cs="Arial"/>
              </w:rPr>
              <w:t>10</w:t>
            </w:r>
          </w:p>
        </w:tc>
        <w:tc>
          <w:tcPr>
            <w:tcW w:w="1559" w:type="dxa"/>
          </w:tcPr>
          <w:p w14:paraId="03947126" w14:textId="77777777" w:rsidR="001C4B69" w:rsidRDefault="007A3B74" w:rsidP="00600DE2">
            <w:pPr>
              <w:jc w:val="center"/>
              <w:rPr>
                <w:rFonts w:cs="Arial"/>
                <w:b/>
              </w:rPr>
            </w:pPr>
            <w:r>
              <w:rPr>
                <w:rFonts w:cs="Arial"/>
                <w:b/>
              </w:rPr>
              <w:t>B</w:t>
            </w:r>
          </w:p>
        </w:tc>
        <w:tc>
          <w:tcPr>
            <w:tcW w:w="850" w:type="dxa"/>
          </w:tcPr>
          <w:p w14:paraId="70C562EB" w14:textId="77777777" w:rsidR="001C4B69" w:rsidRDefault="001C4B69" w:rsidP="00600DE2">
            <w:pPr>
              <w:jc w:val="center"/>
              <w:rPr>
                <w:rFonts w:cs="Arial"/>
              </w:rPr>
            </w:pPr>
          </w:p>
        </w:tc>
      </w:tr>
      <w:tr w:rsidR="007A3B74" w14:paraId="1A3F8317" w14:textId="77777777" w:rsidTr="003D5054">
        <w:tc>
          <w:tcPr>
            <w:tcW w:w="698" w:type="dxa"/>
          </w:tcPr>
          <w:p w14:paraId="3C1F71B4" w14:textId="77777777" w:rsidR="007A3B74" w:rsidRPr="00415B4C" w:rsidRDefault="007A3B74" w:rsidP="00AF19D5">
            <w:pPr>
              <w:pStyle w:val="ListParagraph"/>
              <w:numPr>
                <w:ilvl w:val="0"/>
                <w:numId w:val="3"/>
              </w:numPr>
              <w:tabs>
                <w:tab w:val="left" w:pos="360"/>
              </w:tabs>
              <w:ind w:left="0" w:firstLine="0"/>
              <w:jc w:val="center"/>
              <w:rPr>
                <w:rFonts w:cs="Arial"/>
                <w:b/>
              </w:rPr>
            </w:pPr>
          </w:p>
        </w:tc>
        <w:tc>
          <w:tcPr>
            <w:tcW w:w="5789" w:type="dxa"/>
          </w:tcPr>
          <w:p w14:paraId="1D59D0A6" w14:textId="77777777" w:rsidR="007A3B74" w:rsidRPr="00A408D7" w:rsidRDefault="007A3B74" w:rsidP="00BF2FFA">
            <w:pPr>
              <w:rPr>
                <w:rFonts w:cs="Arial"/>
              </w:rPr>
            </w:pPr>
            <w:r>
              <w:rPr>
                <w:rFonts w:cs="Arial"/>
                <w:b/>
              </w:rPr>
              <w:t>HRA Engagement Strategy</w:t>
            </w:r>
          </w:p>
          <w:p w14:paraId="19A62402" w14:textId="77777777" w:rsidR="007A3B74" w:rsidRDefault="007A3B74" w:rsidP="00BF2FFA">
            <w:pPr>
              <w:rPr>
                <w:rFonts w:cs="Arial"/>
                <w:b/>
              </w:rPr>
            </w:pPr>
          </w:p>
        </w:tc>
        <w:tc>
          <w:tcPr>
            <w:tcW w:w="851" w:type="dxa"/>
          </w:tcPr>
          <w:p w14:paraId="15C020F1" w14:textId="5E4749C3" w:rsidR="007A3B74" w:rsidRDefault="000233FA" w:rsidP="00600DE2">
            <w:pPr>
              <w:jc w:val="center"/>
              <w:rPr>
                <w:rFonts w:cs="Arial"/>
              </w:rPr>
            </w:pPr>
            <w:r>
              <w:rPr>
                <w:rFonts w:cs="Arial"/>
              </w:rPr>
              <w:t>15</w:t>
            </w:r>
          </w:p>
        </w:tc>
        <w:tc>
          <w:tcPr>
            <w:tcW w:w="1559" w:type="dxa"/>
          </w:tcPr>
          <w:p w14:paraId="06BC8A95" w14:textId="0CADE05A" w:rsidR="007A3B74" w:rsidRDefault="006C4A15" w:rsidP="00600DE2">
            <w:pPr>
              <w:jc w:val="center"/>
              <w:rPr>
                <w:rFonts w:cs="Arial"/>
                <w:b/>
              </w:rPr>
            </w:pPr>
            <w:r>
              <w:rPr>
                <w:rFonts w:cs="Arial"/>
                <w:b/>
              </w:rPr>
              <w:t>C</w:t>
            </w:r>
          </w:p>
        </w:tc>
        <w:tc>
          <w:tcPr>
            <w:tcW w:w="850" w:type="dxa"/>
          </w:tcPr>
          <w:p w14:paraId="0A1D1F1E" w14:textId="77777777" w:rsidR="007A3B74" w:rsidRDefault="007A3B74" w:rsidP="00600DE2">
            <w:pPr>
              <w:jc w:val="center"/>
              <w:rPr>
                <w:rFonts w:cs="Arial"/>
              </w:rPr>
            </w:pPr>
          </w:p>
        </w:tc>
      </w:tr>
      <w:tr w:rsidR="00FE6C0B" w14:paraId="4829CB49" w14:textId="77777777" w:rsidTr="003D5054">
        <w:trPr>
          <w:trHeight w:val="528"/>
        </w:trPr>
        <w:tc>
          <w:tcPr>
            <w:tcW w:w="698" w:type="dxa"/>
          </w:tcPr>
          <w:p w14:paraId="1194BDE2" w14:textId="77777777"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14:paraId="1245473E" w14:textId="77777777" w:rsidR="00E23612" w:rsidRDefault="00E23612" w:rsidP="001C4B69">
            <w:pPr>
              <w:rPr>
                <w:rFonts w:cs="Arial"/>
                <w:highlight w:val="yellow"/>
              </w:rPr>
            </w:pPr>
            <w:r>
              <w:rPr>
                <w:rFonts w:cs="Arial"/>
                <w:b/>
              </w:rPr>
              <w:t>HRA Performance Report (Quarter 3 2018/19)</w:t>
            </w:r>
            <w:r w:rsidR="00A408D7">
              <w:rPr>
                <w:rFonts w:cs="Arial"/>
                <w:b/>
              </w:rPr>
              <w:t xml:space="preserve"> </w:t>
            </w:r>
          </w:p>
          <w:p w14:paraId="06CADB96" w14:textId="77777777" w:rsidR="00987179" w:rsidRDefault="00987179" w:rsidP="001C4B69">
            <w:pPr>
              <w:rPr>
                <w:rFonts w:cs="Arial"/>
                <w:b/>
              </w:rPr>
            </w:pPr>
          </w:p>
          <w:p w14:paraId="2F56B69A" w14:textId="77777777" w:rsidR="00E23612" w:rsidRPr="00E23612" w:rsidRDefault="00E23612" w:rsidP="00E23612">
            <w:pPr>
              <w:pStyle w:val="ListParagraph"/>
              <w:numPr>
                <w:ilvl w:val="0"/>
                <w:numId w:val="36"/>
              </w:numPr>
              <w:rPr>
                <w:rFonts w:cs="Arial"/>
              </w:rPr>
            </w:pPr>
            <w:r>
              <w:rPr>
                <w:rFonts w:cs="Arial"/>
              </w:rPr>
              <w:t>Including Finance Report (</w:t>
            </w:r>
            <w:r w:rsidRPr="00A578AB">
              <w:rPr>
                <w:rFonts w:cs="Arial"/>
              </w:rPr>
              <w:t>February 2019</w:t>
            </w:r>
            <w:r>
              <w:rPr>
                <w:rFonts w:cs="Arial"/>
              </w:rPr>
              <w:t>)</w:t>
            </w:r>
          </w:p>
        </w:tc>
        <w:tc>
          <w:tcPr>
            <w:tcW w:w="851" w:type="dxa"/>
          </w:tcPr>
          <w:p w14:paraId="2CA7F2C3" w14:textId="77777777" w:rsidR="004B7605" w:rsidRDefault="003322C5" w:rsidP="00600DE2">
            <w:pPr>
              <w:jc w:val="center"/>
              <w:rPr>
                <w:rFonts w:cs="Arial"/>
              </w:rPr>
            </w:pPr>
            <w:r>
              <w:rPr>
                <w:rFonts w:cs="Arial"/>
              </w:rPr>
              <w:t>15</w:t>
            </w:r>
          </w:p>
        </w:tc>
        <w:tc>
          <w:tcPr>
            <w:tcW w:w="1559" w:type="dxa"/>
          </w:tcPr>
          <w:p w14:paraId="4218DAE3" w14:textId="0970BF22" w:rsidR="009E3F8D" w:rsidRDefault="006C4A15" w:rsidP="009073A6">
            <w:pPr>
              <w:jc w:val="center"/>
              <w:rPr>
                <w:rFonts w:cs="Arial"/>
                <w:b/>
              </w:rPr>
            </w:pPr>
            <w:r>
              <w:rPr>
                <w:rFonts w:cs="Arial"/>
                <w:b/>
              </w:rPr>
              <w:t>D</w:t>
            </w:r>
          </w:p>
          <w:p w14:paraId="4E920B35" w14:textId="77777777" w:rsidR="007A3B74" w:rsidRDefault="007A3B74" w:rsidP="009073A6">
            <w:pPr>
              <w:jc w:val="center"/>
              <w:rPr>
                <w:rFonts w:cs="Arial"/>
                <w:b/>
              </w:rPr>
            </w:pPr>
          </w:p>
          <w:p w14:paraId="53C4DACD" w14:textId="029AC2BC" w:rsidR="007A3B74" w:rsidRDefault="006C4A15" w:rsidP="009073A6">
            <w:pPr>
              <w:jc w:val="center"/>
              <w:rPr>
                <w:rFonts w:cs="Arial"/>
                <w:b/>
              </w:rPr>
            </w:pPr>
            <w:r>
              <w:rPr>
                <w:rFonts w:cs="Arial"/>
                <w:b/>
              </w:rPr>
              <w:t>E</w:t>
            </w:r>
          </w:p>
          <w:p w14:paraId="420ACF8D" w14:textId="77777777" w:rsidR="007A3B74" w:rsidRPr="00740C44" w:rsidRDefault="007A3B74" w:rsidP="009073A6">
            <w:pPr>
              <w:jc w:val="center"/>
              <w:rPr>
                <w:rFonts w:cs="Arial"/>
                <w:b/>
              </w:rPr>
            </w:pPr>
          </w:p>
        </w:tc>
        <w:tc>
          <w:tcPr>
            <w:tcW w:w="850" w:type="dxa"/>
          </w:tcPr>
          <w:p w14:paraId="33C92F56" w14:textId="77777777" w:rsidR="00FE6C0B" w:rsidRDefault="00FE6C0B" w:rsidP="00600DE2">
            <w:pPr>
              <w:jc w:val="center"/>
              <w:rPr>
                <w:rFonts w:cs="Arial"/>
              </w:rPr>
            </w:pPr>
          </w:p>
        </w:tc>
      </w:tr>
      <w:tr w:rsidR="00D574E4" w14:paraId="42B26069" w14:textId="77777777" w:rsidTr="003D5054">
        <w:trPr>
          <w:trHeight w:val="528"/>
        </w:trPr>
        <w:tc>
          <w:tcPr>
            <w:tcW w:w="698" w:type="dxa"/>
          </w:tcPr>
          <w:p w14:paraId="06688F95" w14:textId="77777777" w:rsidR="00D574E4" w:rsidRPr="002B5B1A" w:rsidRDefault="00D574E4" w:rsidP="00AF19D5">
            <w:pPr>
              <w:pStyle w:val="ListParagraph"/>
              <w:numPr>
                <w:ilvl w:val="0"/>
                <w:numId w:val="3"/>
              </w:numPr>
              <w:tabs>
                <w:tab w:val="left" w:pos="360"/>
              </w:tabs>
              <w:ind w:left="0" w:firstLine="0"/>
              <w:jc w:val="center"/>
              <w:rPr>
                <w:rFonts w:cs="Arial"/>
                <w:b/>
              </w:rPr>
            </w:pPr>
          </w:p>
        </w:tc>
        <w:tc>
          <w:tcPr>
            <w:tcW w:w="5789" w:type="dxa"/>
          </w:tcPr>
          <w:p w14:paraId="7458F55B" w14:textId="77777777" w:rsidR="00D574E4" w:rsidRPr="00D574E4" w:rsidRDefault="007A3B74" w:rsidP="009073A6">
            <w:pPr>
              <w:rPr>
                <w:rFonts w:cs="Arial"/>
                <w:b/>
              </w:rPr>
            </w:pPr>
            <w:r>
              <w:rPr>
                <w:rFonts w:cs="Arial"/>
                <w:b/>
              </w:rPr>
              <w:t>HRA Corporate Risk Register (Quarter 3 2018/19)</w:t>
            </w:r>
          </w:p>
        </w:tc>
        <w:tc>
          <w:tcPr>
            <w:tcW w:w="851" w:type="dxa"/>
          </w:tcPr>
          <w:p w14:paraId="13C9A709" w14:textId="77777777" w:rsidR="00D574E4" w:rsidRDefault="003322C5" w:rsidP="00600DE2">
            <w:pPr>
              <w:jc w:val="center"/>
              <w:rPr>
                <w:rFonts w:cs="Arial"/>
              </w:rPr>
            </w:pPr>
            <w:r>
              <w:rPr>
                <w:rFonts w:cs="Arial"/>
              </w:rPr>
              <w:t>10</w:t>
            </w:r>
          </w:p>
        </w:tc>
        <w:tc>
          <w:tcPr>
            <w:tcW w:w="1559" w:type="dxa"/>
          </w:tcPr>
          <w:p w14:paraId="3A19CB3A" w14:textId="100DFBD0" w:rsidR="00D574E4" w:rsidRPr="00FA382F" w:rsidRDefault="006C4A15" w:rsidP="009073A6">
            <w:pPr>
              <w:jc w:val="center"/>
              <w:rPr>
                <w:rFonts w:cs="Arial"/>
                <w:b/>
              </w:rPr>
            </w:pPr>
            <w:r>
              <w:rPr>
                <w:rFonts w:cs="Arial"/>
                <w:b/>
              </w:rPr>
              <w:t>F</w:t>
            </w:r>
          </w:p>
        </w:tc>
        <w:tc>
          <w:tcPr>
            <w:tcW w:w="850" w:type="dxa"/>
          </w:tcPr>
          <w:p w14:paraId="0A964A70" w14:textId="77777777" w:rsidR="00D574E4" w:rsidRDefault="00D574E4" w:rsidP="00600DE2">
            <w:pPr>
              <w:jc w:val="center"/>
              <w:rPr>
                <w:rFonts w:cs="Arial"/>
              </w:rPr>
            </w:pPr>
          </w:p>
        </w:tc>
      </w:tr>
      <w:tr w:rsidR="00C759CA" w14:paraId="66BD8A6F" w14:textId="77777777" w:rsidTr="003D5054">
        <w:trPr>
          <w:trHeight w:val="528"/>
        </w:trPr>
        <w:tc>
          <w:tcPr>
            <w:tcW w:w="698" w:type="dxa"/>
          </w:tcPr>
          <w:p w14:paraId="50297F0D" w14:textId="77777777" w:rsidR="00C759CA" w:rsidRPr="002B5B1A" w:rsidRDefault="00C759CA" w:rsidP="00AF19D5">
            <w:pPr>
              <w:pStyle w:val="ListParagraph"/>
              <w:numPr>
                <w:ilvl w:val="0"/>
                <w:numId w:val="3"/>
              </w:numPr>
              <w:tabs>
                <w:tab w:val="left" w:pos="360"/>
              </w:tabs>
              <w:ind w:left="0" w:firstLine="0"/>
              <w:jc w:val="center"/>
              <w:rPr>
                <w:rFonts w:cs="Arial"/>
                <w:b/>
              </w:rPr>
            </w:pPr>
          </w:p>
        </w:tc>
        <w:tc>
          <w:tcPr>
            <w:tcW w:w="5789" w:type="dxa"/>
          </w:tcPr>
          <w:p w14:paraId="62FBE692" w14:textId="77777777" w:rsidR="00C759CA" w:rsidRDefault="007A3B74" w:rsidP="009073A6">
            <w:pPr>
              <w:rPr>
                <w:rFonts w:cs="Arial"/>
                <w:b/>
              </w:rPr>
            </w:pPr>
            <w:r>
              <w:rPr>
                <w:rFonts w:cs="Arial"/>
                <w:b/>
              </w:rPr>
              <w:t>A review of the terms of reference of the Transparency Forum &amp; the Collaboration &amp; Development Forum</w:t>
            </w:r>
          </w:p>
          <w:p w14:paraId="74C94880" w14:textId="77777777" w:rsidR="006E16B6" w:rsidRPr="00C759CA" w:rsidRDefault="006E16B6" w:rsidP="009073A6">
            <w:pPr>
              <w:rPr>
                <w:rFonts w:cs="Arial"/>
                <w:b/>
              </w:rPr>
            </w:pPr>
          </w:p>
        </w:tc>
        <w:tc>
          <w:tcPr>
            <w:tcW w:w="851" w:type="dxa"/>
          </w:tcPr>
          <w:p w14:paraId="68EF520E" w14:textId="77777777" w:rsidR="00C759CA" w:rsidRDefault="003322C5" w:rsidP="00600DE2">
            <w:pPr>
              <w:jc w:val="center"/>
              <w:rPr>
                <w:rFonts w:cs="Arial"/>
              </w:rPr>
            </w:pPr>
            <w:r>
              <w:rPr>
                <w:rFonts w:cs="Arial"/>
              </w:rPr>
              <w:t>10</w:t>
            </w:r>
          </w:p>
        </w:tc>
        <w:tc>
          <w:tcPr>
            <w:tcW w:w="1559" w:type="dxa"/>
          </w:tcPr>
          <w:p w14:paraId="402BD128" w14:textId="790948A9" w:rsidR="00C759CA" w:rsidRPr="00FA382F" w:rsidRDefault="006C4A15" w:rsidP="009073A6">
            <w:pPr>
              <w:jc w:val="center"/>
              <w:rPr>
                <w:rFonts w:cs="Arial"/>
                <w:b/>
              </w:rPr>
            </w:pPr>
            <w:r>
              <w:rPr>
                <w:rFonts w:cs="Arial"/>
                <w:b/>
              </w:rPr>
              <w:t>G</w:t>
            </w:r>
          </w:p>
        </w:tc>
        <w:tc>
          <w:tcPr>
            <w:tcW w:w="850" w:type="dxa"/>
          </w:tcPr>
          <w:p w14:paraId="6C03BED9" w14:textId="77777777" w:rsidR="00C759CA" w:rsidRDefault="00C759CA" w:rsidP="00600DE2">
            <w:pPr>
              <w:jc w:val="center"/>
              <w:rPr>
                <w:rFonts w:cs="Arial"/>
              </w:rPr>
            </w:pPr>
          </w:p>
        </w:tc>
      </w:tr>
      <w:tr w:rsidR="00003EB3" w14:paraId="66D2ECAF" w14:textId="77777777" w:rsidTr="00AC0C51">
        <w:tc>
          <w:tcPr>
            <w:tcW w:w="9747" w:type="dxa"/>
            <w:gridSpan w:val="5"/>
            <w:tcBorders>
              <w:bottom w:val="single" w:sz="4" w:space="0" w:color="auto"/>
            </w:tcBorders>
            <w:shd w:val="clear" w:color="auto" w:fill="D9D9D9" w:themeFill="background1" w:themeFillShade="D9"/>
          </w:tcPr>
          <w:p w14:paraId="1074AB0E" w14:textId="77777777" w:rsidR="00003EB3" w:rsidRDefault="00003EB3" w:rsidP="002210E4">
            <w:r w:rsidRPr="00DA5CB6">
              <w:rPr>
                <w:rFonts w:cs="Arial"/>
                <w:i/>
              </w:rPr>
              <w:t>Items for information</w:t>
            </w:r>
          </w:p>
        </w:tc>
      </w:tr>
      <w:tr w:rsidR="003637DD" w14:paraId="1DDA1211" w14:textId="77777777" w:rsidTr="003D5054">
        <w:tc>
          <w:tcPr>
            <w:tcW w:w="698" w:type="dxa"/>
          </w:tcPr>
          <w:p w14:paraId="44CEE30B" w14:textId="77777777"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14:paraId="4FE9054C" w14:textId="77777777" w:rsidR="00E23612" w:rsidRDefault="003322C5" w:rsidP="003322C5">
            <w:pPr>
              <w:rPr>
                <w:b/>
              </w:rPr>
            </w:pPr>
            <w:r w:rsidRPr="003322C5">
              <w:rPr>
                <w:b/>
              </w:rPr>
              <w:t>Summary</w:t>
            </w:r>
            <w:r>
              <w:rPr>
                <w:b/>
              </w:rPr>
              <w:t xml:space="preserve"> of the HRA Audit &amp; Risk Committee meeting held on 05 February 2019</w:t>
            </w:r>
          </w:p>
          <w:p w14:paraId="397D0874" w14:textId="77777777" w:rsidR="003322C5" w:rsidRPr="003322C5" w:rsidRDefault="003322C5" w:rsidP="003322C5">
            <w:pPr>
              <w:rPr>
                <w:b/>
              </w:rPr>
            </w:pPr>
          </w:p>
        </w:tc>
        <w:tc>
          <w:tcPr>
            <w:tcW w:w="851" w:type="dxa"/>
          </w:tcPr>
          <w:p w14:paraId="0CBA2DCC" w14:textId="77777777" w:rsidR="003637DD" w:rsidRDefault="003322C5" w:rsidP="00F4290A">
            <w:pPr>
              <w:jc w:val="center"/>
              <w:rPr>
                <w:rFonts w:cs="Arial"/>
              </w:rPr>
            </w:pPr>
            <w:r>
              <w:rPr>
                <w:rFonts w:cs="Arial"/>
              </w:rPr>
              <w:t>5</w:t>
            </w:r>
          </w:p>
        </w:tc>
        <w:tc>
          <w:tcPr>
            <w:tcW w:w="1559" w:type="dxa"/>
          </w:tcPr>
          <w:p w14:paraId="5D7BB4EA" w14:textId="0CE36407" w:rsidR="003637DD" w:rsidRPr="003322C5" w:rsidRDefault="006C4A15" w:rsidP="00F4290A">
            <w:pPr>
              <w:jc w:val="center"/>
              <w:rPr>
                <w:rFonts w:cs="Arial"/>
                <w:b/>
              </w:rPr>
            </w:pPr>
            <w:r>
              <w:rPr>
                <w:rFonts w:cs="Arial"/>
                <w:b/>
              </w:rPr>
              <w:t>H</w:t>
            </w:r>
          </w:p>
        </w:tc>
        <w:tc>
          <w:tcPr>
            <w:tcW w:w="850" w:type="dxa"/>
          </w:tcPr>
          <w:p w14:paraId="6DD84B9F" w14:textId="77777777" w:rsidR="003637DD" w:rsidRDefault="003637DD" w:rsidP="002D10F4">
            <w:pPr>
              <w:jc w:val="center"/>
              <w:rPr>
                <w:rFonts w:cs="Arial"/>
              </w:rPr>
            </w:pPr>
          </w:p>
        </w:tc>
      </w:tr>
      <w:tr w:rsidR="006B77A3" w14:paraId="3AAACB4E" w14:textId="77777777" w:rsidTr="003D5054">
        <w:tc>
          <w:tcPr>
            <w:tcW w:w="698" w:type="dxa"/>
          </w:tcPr>
          <w:p w14:paraId="401539F4" w14:textId="77777777" w:rsidR="006B77A3" w:rsidRPr="00A0558D" w:rsidRDefault="006B77A3" w:rsidP="00AF19D5">
            <w:pPr>
              <w:pStyle w:val="ListParagraph"/>
              <w:numPr>
                <w:ilvl w:val="0"/>
                <w:numId w:val="3"/>
              </w:numPr>
              <w:tabs>
                <w:tab w:val="left" w:pos="360"/>
              </w:tabs>
              <w:ind w:left="0" w:firstLine="0"/>
              <w:jc w:val="center"/>
              <w:rPr>
                <w:rFonts w:cs="Arial"/>
              </w:rPr>
            </w:pPr>
          </w:p>
        </w:tc>
        <w:tc>
          <w:tcPr>
            <w:tcW w:w="5789" w:type="dxa"/>
          </w:tcPr>
          <w:p w14:paraId="095D0928" w14:textId="214C38B9" w:rsidR="006B77A3" w:rsidRPr="003322C5" w:rsidRDefault="006B77A3" w:rsidP="003322C5">
            <w:pPr>
              <w:rPr>
                <w:b/>
              </w:rPr>
            </w:pPr>
            <w:r>
              <w:rPr>
                <w:rFonts w:cs="Arial"/>
                <w:b/>
              </w:rPr>
              <w:t>Research transparency</w:t>
            </w:r>
          </w:p>
        </w:tc>
        <w:tc>
          <w:tcPr>
            <w:tcW w:w="851" w:type="dxa"/>
          </w:tcPr>
          <w:p w14:paraId="5134E9E5" w14:textId="62D34547" w:rsidR="006B77A3" w:rsidRDefault="006B77A3" w:rsidP="00F4290A">
            <w:pPr>
              <w:jc w:val="center"/>
              <w:rPr>
                <w:rFonts w:cs="Arial"/>
              </w:rPr>
            </w:pPr>
            <w:r>
              <w:rPr>
                <w:rFonts w:cs="Arial"/>
              </w:rPr>
              <w:t>5</w:t>
            </w:r>
          </w:p>
        </w:tc>
        <w:tc>
          <w:tcPr>
            <w:tcW w:w="1559" w:type="dxa"/>
          </w:tcPr>
          <w:p w14:paraId="75FDD007" w14:textId="22C3EB6D" w:rsidR="006B77A3" w:rsidRDefault="006B77A3" w:rsidP="00F4290A">
            <w:pPr>
              <w:jc w:val="center"/>
              <w:rPr>
                <w:rFonts w:cs="Arial"/>
                <w:b/>
              </w:rPr>
            </w:pPr>
            <w:r>
              <w:rPr>
                <w:rFonts w:cs="Arial"/>
                <w:b/>
              </w:rPr>
              <w:t>I</w:t>
            </w:r>
          </w:p>
        </w:tc>
        <w:tc>
          <w:tcPr>
            <w:tcW w:w="850" w:type="dxa"/>
          </w:tcPr>
          <w:p w14:paraId="25229494" w14:textId="77777777" w:rsidR="006B77A3" w:rsidRDefault="006B77A3" w:rsidP="002D10F4">
            <w:pPr>
              <w:jc w:val="center"/>
              <w:rPr>
                <w:rFonts w:cs="Arial"/>
              </w:rPr>
            </w:pPr>
          </w:p>
        </w:tc>
      </w:tr>
      <w:tr w:rsidR="006C4A15" w14:paraId="7AA75A49" w14:textId="77777777" w:rsidTr="003D5054">
        <w:tc>
          <w:tcPr>
            <w:tcW w:w="698" w:type="dxa"/>
          </w:tcPr>
          <w:p w14:paraId="039D829A" w14:textId="77777777" w:rsidR="006C4A15" w:rsidRPr="00A0558D" w:rsidRDefault="006C4A15" w:rsidP="00AF19D5">
            <w:pPr>
              <w:pStyle w:val="ListParagraph"/>
              <w:numPr>
                <w:ilvl w:val="0"/>
                <w:numId w:val="3"/>
              </w:numPr>
              <w:tabs>
                <w:tab w:val="left" w:pos="360"/>
              </w:tabs>
              <w:ind w:left="0" w:firstLine="0"/>
              <w:jc w:val="center"/>
              <w:rPr>
                <w:rFonts w:cs="Arial"/>
              </w:rPr>
            </w:pPr>
          </w:p>
        </w:tc>
        <w:tc>
          <w:tcPr>
            <w:tcW w:w="5789" w:type="dxa"/>
          </w:tcPr>
          <w:p w14:paraId="0C5830A7" w14:textId="77777777" w:rsidR="00AF5513" w:rsidRPr="00AF5513" w:rsidRDefault="00AF5513" w:rsidP="00AF5513">
            <w:pPr>
              <w:rPr>
                <w:rFonts w:cs="Arial"/>
                <w:b/>
              </w:rPr>
            </w:pPr>
            <w:r w:rsidRPr="00AF5513">
              <w:rPr>
                <w:rFonts w:cs="Arial"/>
                <w:b/>
              </w:rPr>
              <w:t>Approvals Workforce Programme – review and status update</w:t>
            </w:r>
          </w:p>
          <w:p w14:paraId="4CA80EE8" w14:textId="77777777" w:rsidR="006C4A15" w:rsidRPr="003322C5" w:rsidRDefault="006C4A15" w:rsidP="003322C5">
            <w:pPr>
              <w:rPr>
                <w:b/>
              </w:rPr>
            </w:pPr>
          </w:p>
        </w:tc>
        <w:tc>
          <w:tcPr>
            <w:tcW w:w="851" w:type="dxa"/>
          </w:tcPr>
          <w:p w14:paraId="6650C6A0" w14:textId="1F4FDFFA" w:rsidR="006C4A15" w:rsidRDefault="00194C6C" w:rsidP="00F4290A">
            <w:pPr>
              <w:jc w:val="center"/>
              <w:rPr>
                <w:rFonts w:cs="Arial"/>
              </w:rPr>
            </w:pPr>
            <w:r>
              <w:rPr>
                <w:rFonts w:cs="Arial"/>
              </w:rPr>
              <w:t>5</w:t>
            </w:r>
          </w:p>
        </w:tc>
        <w:tc>
          <w:tcPr>
            <w:tcW w:w="1559" w:type="dxa"/>
          </w:tcPr>
          <w:p w14:paraId="43E0DAFD" w14:textId="4B57EBA0" w:rsidR="006C4A15" w:rsidRDefault="006B77A3" w:rsidP="00F4290A">
            <w:pPr>
              <w:jc w:val="center"/>
              <w:rPr>
                <w:rFonts w:cs="Arial"/>
                <w:b/>
              </w:rPr>
            </w:pPr>
            <w:r>
              <w:rPr>
                <w:rFonts w:cs="Arial"/>
                <w:b/>
              </w:rPr>
              <w:t>J</w:t>
            </w:r>
          </w:p>
        </w:tc>
        <w:tc>
          <w:tcPr>
            <w:tcW w:w="850" w:type="dxa"/>
          </w:tcPr>
          <w:p w14:paraId="243E0736" w14:textId="77777777" w:rsidR="006C4A15" w:rsidRDefault="006C4A15" w:rsidP="002D10F4">
            <w:pPr>
              <w:jc w:val="center"/>
              <w:rPr>
                <w:rFonts w:cs="Arial"/>
              </w:rPr>
            </w:pPr>
          </w:p>
        </w:tc>
      </w:tr>
      <w:tr w:rsidR="000233FA" w14:paraId="331A9F52" w14:textId="77777777" w:rsidTr="000233FA">
        <w:tc>
          <w:tcPr>
            <w:tcW w:w="698" w:type="dxa"/>
          </w:tcPr>
          <w:p w14:paraId="51F3E107" w14:textId="77777777" w:rsidR="000233FA" w:rsidRPr="00A0558D" w:rsidRDefault="000233FA" w:rsidP="00AF19D5">
            <w:pPr>
              <w:pStyle w:val="ListParagraph"/>
              <w:numPr>
                <w:ilvl w:val="0"/>
                <w:numId w:val="3"/>
              </w:numPr>
              <w:tabs>
                <w:tab w:val="left" w:pos="360"/>
              </w:tabs>
              <w:ind w:left="0" w:firstLine="0"/>
              <w:jc w:val="center"/>
              <w:rPr>
                <w:rFonts w:cs="Arial"/>
              </w:rPr>
            </w:pPr>
          </w:p>
        </w:tc>
        <w:tc>
          <w:tcPr>
            <w:tcW w:w="5789" w:type="dxa"/>
          </w:tcPr>
          <w:p w14:paraId="140CB4FE" w14:textId="77777777" w:rsidR="000233FA" w:rsidRDefault="000233FA" w:rsidP="003322C5">
            <w:pPr>
              <w:rPr>
                <w:b/>
                <w:szCs w:val="28"/>
              </w:rPr>
            </w:pPr>
            <w:r>
              <w:rPr>
                <w:b/>
                <w:szCs w:val="28"/>
              </w:rPr>
              <w:t>Out of session business conducted / External areas of interest since previous meeting</w:t>
            </w:r>
          </w:p>
          <w:p w14:paraId="468839E2" w14:textId="77777777" w:rsidR="000233FA" w:rsidRDefault="000233FA" w:rsidP="003322C5">
            <w:pPr>
              <w:rPr>
                <w:b/>
                <w:szCs w:val="28"/>
              </w:rPr>
            </w:pPr>
          </w:p>
          <w:p w14:paraId="7321631F" w14:textId="172D6B84" w:rsidR="000233FA" w:rsidRPr="005551E1" w:rsidRDefault="000233FA" w:rsidP="006901C7">
            <w:pPr>
              <w:pStyle w:val="ListParagraph"/>
              <w:numPr>
                <w:ilvl w:val="0"/>
                <w:numId w:val="36"/>
              </w:numPr>
              <w:rPr>
                <w:b/>
                <w:szCs w:val="28"/>
              </w:rPr>
            </w:pPr>
            <w:r w:rsidRPr="006901C7">
              <w:rPr>
                <w:szCs w:val="28"/>
              </w:rPr>
              <w:t xml:space="preserve">Response to </w:t>
            </w:r>
            <w:r w:rsidRPr="00E23612">
              <w:t xml:space="preserve">House of Commons Science and Technology Committee report, </w:t>
            </w:r>
            <w:r w:rsidRPr="006901C7">
              <w:rPr>
                <w:i/>
              </w:rPr>
              <w:t>Clinical Trials Transparency</w:t>
            </w:r>
            <w:r>
              <w:t xml:space="preserve"> submitted 05 February 2019</w:t>
            </w:r>
          </w:p>
          <w:p w14:paraId="44825961" w14:textId="40744DE9" w:rsidR="005551E1" w:rsidRPr="006901C7" w:rsidRDefault="005551E1" w:rsidP="006901C7">
            <w:pPr>
              <w:pStyle w:val="ListParagraph"/>
              <w:numPr>
                <w:ilvl w:val="0"/>
                <w:numId w:val="36"/>
              </w:numPr>
              <w:rPr>
                <w:b/>
                <w:szCs w:val="28"/>
              </w:rPr>
            </w:pPr>
            <w:r w:rsidRPr="005551E1">
              <w:rPr>
                <w:szCs w:val="28"/>
              </w:rPr>
              <w:t>Notification of the publication of the</w:t>
            </w:r>
            <w:r>
              <w:rPr>
                <w:b/>
                <w:szCs w:val="28"/>
              </w:rPr>
              <w:t xml:space="preserve"> </w:t>
            </w:r>
            <w:hyperlink r:id="rId7" w:history="1">
              <w:r>
                <w:rPr>
                  <w:rStyle w:val="Hyperlink"/>
                </w:rPr>
                <w:t>Code of Conduct for data driven technologies in the NHS</w:t>
              </w:r>
            </w:hyperlink>
            <w:r>
              <w:t xml:space="preserve"> which points to a newly created section on the HRA website (</w:t>
            </w:r>
            <w:hyperlink r:id="rId8" w:history="1">
              <w:r>
                <w:rPr>
                  <w:rStyle w:val="Hyperlink"/>
                </w:rPr>
                <w:t>www.hra.nhs.uk/datadriventech</w:t>
              </w:r>
            </w:hyperlink>
            <w:r>
              <w:t>) which clarifies the approval pathway for data-driven research studies and offers tips and advice for researchers looking to undertake this kind of research.</w:t>
            </w:r>
          </w:p>
          <w:p w14:paraId="62E49C2A" w14:textId="77777777" w:rsidR="000233FA" w:rsidRPr="006901C7" w:rsidRDefault="000233FA" w:rsidP="006901C7">
            <w:pPr>
              <w:pStyle w:val="ListParagraph"/>
              <w:rPr>
                <w:b/>
                <w:szCs w:val="28"/>
              </w:rPr>
            </w:pPr>
          </w:p>
        </w:tc>
        <w:tc>
          <w:tcPr>
            <w:tcW w:w="851" w:type="dxa"/>
            <w:vMerge w:val="restart"/>
            <w:vAlign w:val="center"/>
          </w:tcPr>
          <w:p w14:paraId="7747D37E" w14:textId="10CDEB01" w:rsidR="000233FA" w:rsidRDefault="000233FA" w:rsidP="000233FA">
            <w:pPr>
              <w:jc w:val="center"/>
              <w:rPr>
                <w:rFonts w:cs="Arial"/>
              </w:rPr>
            </w:pPr>
            <w:r>
              <w:rPr>
                <w:rFonts w:cs="Arial"/>
              </w:rPr>
              <w:t>5</w:t>
            </w:r>
          </w:p>
        </w:tc>
        <w:tc>
          <w:tcPr>
            <w:tcW w:w="1559" w:type="dxa"/>
          </w:tcPr>
          <w:p w14:paraId="1989799E" w14:textId="77777777" w:rsidR="000233FA" w:rsidRDefault="000233FA" w:rsidP="00F4290A">
            <w:pPr>
              <w:jc w:val="center"/>
              <w:rPr>
                <w:rFonts w:cs="Arial"/>
              </w:rPr>
            </w:pPr>
            <w:r>
              <w:rPr>
                <w:rFonts w:cs="Arial"/>
              </w:rPr>
              <w:t>Verbal</w:t>
            </w:r>
          </w:p>
        </w:tc>
        <w:tc>
          <w:tcPr>
            <w:tcW w:w="850" w:type="dxa"/>
          </w:tcPr>
          <w:p w14:paraId="4A0B6B27" w14:textId="77777777" w:rsidR="000233FA" w:rsidRDefault="000233FA" w:rsidP="002D10F4">
            <w:pPr>
              <w:jc w:val="center"/>
              <w:rPr>
                <w:rFonts w:cs="Arial"/>
              </w:rPr>
            </w:pPr>
            <w:r>
              <w:rPr>
                <w:rFonts w:cs="Arial"/>
              </w:rPr>
              <w:t>-</w:t>
            </w:r>
          </w:p>
        </w:tc>
      </w:tr>
      <w:tr w:rsidR="000233FA" w14:paraId="511B1A12" w14:textId="77777777" w:rsidTr="003D5054">
        <w:tc>
          <w:tcPr>
            <w:tcW w:w="698" w:type="dxa"/>
          </w:tcPr>
          <w:p w14:paraId="1F5ED2B3" w14:textId="77777777" w:rsidR="000233FA" w:rsidRPr="00A0558D" w:rsidRDefault="000233FA" w:rsidP="00AF19D5">
            <w:pPr>
              <w:pStyle w:val="ListParagraph"/>
              <w:numPr>
                <w:ilvl w:val="0"/>
                <w:numId w:val="3"/>
              </w:numPr>
              <w:tabs>
                <w:tab w:val="left" w:pos="360"/>
              </w:tabs>
              <w:ind w:left="0" w:firstLine="0"/>
              <w:jc w:val="center"/>
              <w:rPr>
                <w:rFonts w:cs="Arial"/>
              </w:rPr>
            </w:pPr>
          </w:p>
        </w:tc>
        <w:tc>
          <w:tcPr>
            <w:tcW w:w="5789" w:type="dxa"/>
          </w:tcPr>
          <w:p w14:paraId="13C5E290" w14:textId="77777777" w:rsidR="000233FA" w:rsidRDefault="000233FA" w:rsidP="00BE3F5F">
            <w:pPr>
              <w:rPr>
                <w:rFonts w:cs="Arial"/>
                <w:b/>
              </w:rPr>
            </w:pPr>
            <w:r>
              <w:rPr>
                <w:rFonts w:cs="Arial"/>
                <w:b/>
              </w:rPr>
              <w:t>Any other business</w:t>
            </w:r>
          </w:p>
          <w:p w14:paraId="2991775F" w14:textId="77777777" w:rsidR="000233FA" w:rsidRPr="007902D5" w:rsidRDefault="000233FA"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 &amp; Risk</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14:paraId="4C9D2ECF" w14:textId="77777777" w:rsidR="000233FA" w:rsidRDefault="000233FA" w:rsidP="00BE3F5F">
            <w:pPr>
              <w:rPr>
                <w:rFonts w:cs="Arial"/>
                <w:b/>
              </w:rPr>
            </w:pPr>
          </w:p>
        </w:tc>
        <w:tc>
          <w:tcPr>
            <w:tcW w:w="851" w:type="dxa"/>
            <w:vMerge/>
          </w:tcPr>
          <w:p w14:paraId="451996FD" w14:textId="7BA1A0A5" w:rsidR="000233FA" w:rsidRDefault="000233FA" w:rsidP="00BE3F5F">
            <w:pPr>
              <w:jc w:val="center"/>
              <w:rPr>
                <w:rFonts w:cs="Arial"/>
              </w:rPr>
            </w:pPr>
          </w:p>
        </w:tc>
        <w:tc>
          <w:tcPr>
            <w:tcW w:w="1559" w:type="dxa"/>
          </w:tcPr>
          <w:p w14:paraId="01C22EF2" w14:textId="77777777" w:rsidR="000233FA" w:rsidRPr="002B3740" w:rsidRDefault="000233FA" w:rsidP="00BE3F5F">
            <w:pPr>
              <w:jc w:val="center"/>
              <w:rPr>
                <w:rFonts w:cs="Arial"/>
              </w:rPr>
            </w:pPr>
            <w:r w:rsidRPr="002B3740">
              <w:rPr>
                <w:rFonts w:cs="Arial"/>
              </w:rPr>
              <w:t>Verbal</w:t>
            </w:r>
          </w:p>
        </w:tc>
        <w:tc>
          <w:tcPr>
            <w:tcW w:w="850" w:type="dxa"/>
          </w:tcPr>
          <w:p w14:paraId="118FB4E3" w14:textId="77777777" w:rsidR="000233FA" w:rsidRPr="002B3740" w:rsidRDefault="000233FA" w:rsidP="00BE3F5F">
            <w:pPr>
              <w:jc w:val="center"/>
              <w:rPr>
                <w:rFonts w:cs="Arial"/>
              </w:rPr>
            </w:pPr>
            <w:r w:rsidRPr="002B3740">
              <w:rPr>
                <w:rFonts w:cs="Arial"/>
              </w:rPr>
              <w:t>-</w:t>
            </w:r>
          </w:p>
        </w:tc>
      </w:tr>
      <w:tr w:rsidR="000233FA" w14:paraId="35A36398" w14:textId="77777777" w:rsidTr="003D5054">
        <w:tc>
          <w:tcPr>
            <w:tcW w:w="698" w:type="dxa"/>
          </w:tcPr>
          <w:p w14:paraId="17C3F876" w14:textId="77777777" w:rsidR="000233FA" w:rsidRPr="00A0558D" w:rsidRDefault="000233FA" w:rsidP="00AF19D5">
            <w:pPr>
              <w:pStyle w:val="ListParagraph"/>
              <w:numPr>
                <w:ilvl w:val="0"/>
                <w:numId w:val="3"/>
              </w:numPr>
              <w:tabs>
                <w:tab w:val="left" w:pos="360"/>
              </w:tabs>
              <w:ind w:left="0" w:firstLine="0"/>
              <w:jc w:val="center"/>
              <w:rPr>
                <w:rFonts w:cs="Arial"/>
              </w:rPr>
            </w:pPr>
          </w:p>
        </w:tc>
        <w:tc>
          <w:tcPr>
            <w:tcW w:w="5789" w:type="dxa"/>
          </w:tcPr>
          <w:p w14:paraId="541F8B20" w14:textId="77777777" w:rsidR="000233FA" w:rsidRDefault="000233FA" w:rsidP="00BE3F5F">
            <w:pPr>
              <w:rPr>
                <w:rFonts w:cs="Arial"/>
                <w:b/>
              </w:rPr>
            </w:pPr>
            <w:r>
              <w:rPr>
                <w:rFonts w:cs="Arial"/>
                <w:b/>
              </w:rPr>
              <w:t>Questions from the public</w:t>
            </w:r>
          </w:p>
          <w:p w14:paraId="592936AC" w14:textId="77777777" w:rsidR="000233FA" w:rsidRDefault="000233FA" w:rsidP="00BE3F5F">
            <w:pPr>
              <w:rPr>
                <w:rFonts w:cs="Arial"/>
                <w:b/>
              </w:rPr>
            </w:pPr>
          </w:p>
        </w:tc>
        <w:tc>
          <w:tcPr>
            <w:tcW w:w="851" w:type="dxa"/>
            <w:vMerge/>
          </w:tcPr>
          <w:p w14:paraId="1D233B7B" w14:textId="647E307B" w:rsidR="000233FA" w:rsidRDefault="000233FA" w:rsidP="00BE3F5F">
            <w:pPr>
              <w:jc w:val="center"/>
              <w:rPr>
                <w:rFonts w:cs="Arial"/>
              </w:rPr>
            </w:pPr>
          </w:p>
        </w:tc>
        <w:tc>
          <w:tcPr>
            <w:tcW w:w="1559" w:type="dxa"/>
          </w:tcPr>
          <w:p w14:paraId="6BAD8CBC" w14:textId="77777777" w:rsidR="000233FA" w:rsidRPr="002B3740" w:rsidRDefault="000233FA" w:rsidP="00BE3F5F">
            <w:pPr>
              <w:jc w:val="center"/>
              <w:rPr>
                <w:rFonts w:cs="Arial"/>
              </w:rPr>
            </w:pPr>
            <w:r>
              <w:rPr>
                <w:rFonts w:cs="Arial"/>
              </w:rPr>
              <w:t>Verbal</w:t>
            </w:r>
          </w:p>
        </w:tc>
        <w:tc>
          <w:tcPr>
            <w:tcW w:w="850" w:type="dxa"/>
          </w:tcPr>
          <w:p w14:paraId="7BFD0B31" w14:textId="77777777" w:rsidR="000233FA" w:rsidRPr="002B3740" w:rsidRDefault="000233FA" w:rsidP="00BE3F5F">
            <w:pPr>
              <w:jc w:val="center"/>
              <w:rPr>
                <w:rFonts w:cs="Arial"/>
              </w:rPr>
            </w:pPr>
            <w:r>
              <w:rPr>
                <w:rFonts w:cs="Arial"/>
              </w:rPr>
              <w:t>-</w:t>
            </w:r>
          </w:p>
        </w:tc>
      </w:tr>
      <w:tr w:rsidR="003637DD" w14:paraId="353ACE09" w14:textId="77777777" w:rsidTr="003D5054">
        <w:tc>
          <w:tcPr>
            <w:tcW w:w="698" w:type="dxa"/>
          </w:tcPr>
          <w:p w14:paraId="58307D62" w14:textId="77777777" w:rsidR="003637DD" w:rsidRPr="00A0558D" w:rsidRDefault="003637DD" w:rsidP="00AF19D5">
            <w:pPr>
              <w:pStyle w:val="ListParagraph"/>
              <w:numPr>
                <w:ilvl w:val="0"/>
                <w:numId w:val="3"/>
              </w:numPr>
              <w:tabs>
                <w:tab w:val="left" w:pos="360"/>
              </w:tabs>
              <w:ind w:left="0" w:firstLine="0"/>
              <w:jc w:val="center"/>
              <w:rPr>
                <w:rFonts w:cs="Arial"/>
              </w:rPr>
            </w:pPr>
          </w:p>
        </w:tc>
        <w:tc>
          <w:tcPr>
            <w:tcW w:w="5789" w:type="dxa"/>
          </w:tcPr>
          <w:p w14:paraId="5746F729" w14:textId="77777777" w:rsidR="003637DD" w:rsidRDefault="003637DD" w:rsidP="006F1A15">
            <w:pPr>
              <w:rPr>
                <w:rFonts w:cs="Arial"/>
                <w:b/>
              </w:rPr>
            </w:pPr>
            <w:r w:rsidRPr="00777309">
              <w:rPr>
                <w:rFonts w:cs="Arial"/>
                <w:b/>
              </w:rPr>
              <w:t>Date of next meeting</w:t>
            </w:r>
          </w:p>
          <w:p w14:paraId="5884C293" w14:textId="77777777" w:rsidR="003637DD" w:rsidRPr="00777309" w:rsidRDefault="003637DD" w:rsidP="006F1A15">
            <w:pPr>
              <w:rPr>
                <w:rFonts w:cs="Arial"/>
                <w:b/>
              </w:rPr>
            </w:pPr>
          </w:p>
          <w:p w14:paraId="782963B5" w14:textId="77777777" w:rsidR="003637DD" w:rsidRDefault="00E23612" w:rsidP="009073A6">
            <w:pPr>
              <w:rPr>
                <w:rFonts w:cs="Arial"/>
              </w:rPr>
            </w:pPr>
            <w:r>
              <w:rPr>
                <w:rFonts w:cs="Arial"/>
              </w:rPr>
              <w:t>15 May</w:t>
            </w:r>
            <w:r w:rsidR="003637DD">
              <w:rPr>
                <w:rFonts w:cs="Arial"/>
              </w:rPr>
              <w:t xml:space="preserve"> 2019, </w:t>
            </w:r>
            <w:r>
              <w:rPr>
                <w:rFonts w:cs="Arial"/>
              </w:rPr>
              <w:t>London</w:t>
            </w:r>
            <w:r w:rsidR="003637DD">
              <w:rPr>
                <w:rFonts w:cs="Arial"/>
              </w:rPr>
              <w:t xml:space="preserve"> HRA Centre </w:t>
            </w:r>
          </w:p>
          <w:p w14:paraId="66E2FC94" w14:textId="77777777" w:rsidR="003637DD" w:rsidRPr="00A0558D" w:rsidRDefault="003637DD" w:rsidP="009073A6">
            <w:pPr>
              <w:rPr>
                <w:rFonts w:cs="Arial"/>
              </w:rPr>
            </w:pPr>
          </w:p>
        </w:tc>
        <w:tc>
          <w:tcPr>
            <w:tcW w:w="851" w:type="dxa"/>
          </w:tcPr>
          <w:p w14:paraId="2D00B446" w14:textId="77777777" w:rsidR="003637DD" w:rsidRDefault="003637DD" w:rsidP="00AC0C51">
            <w:pPr>
              <w:rPr>
                <w:rFonts w:cs="Arial"/>
              </w:rPr>
            </w:pPr>
          </w:p>
        </w:tc>
        <w:tc>
          <w:tcPr>
            <w:tcW w:w="1559" w:type="dxa"/>
          </w:tcPr>
          <w:p w14:paraId="0F10BA99" w14:textId="77777777" w:rsidR="003637DD" w:rsidRPr="00092834" w:rsidRDefault="003637DD" w:rsidP="006F1A15">
            <w:pPr>
              <w:rPr>
                <w:rFonts w:cs="Arial"/>
                <w:i/>
              </w:rPr>
            </w:pPr>
          </w:p>
        </w:tc>
        <w:tc>
          <w:tcPr>
            <w:tcW w:w="850" w:type="dxa"/>
          </w:tcPr>
          <w:p w14:paraId="0FD338E8" w14:textId="77777777" w:rsidR="003637DD" w:rsidRDefault="003637DD" w:rsidP="006F1A15">
            <w:pPr>
              <w:jc w:val="center"/>
              <w:rPr>
                <w:rFonts w:cs="Arial"/>
              </w:rPr>
            </w:pPr>
          </w:p>
        </w:tc>
      </w:tr>
      <w:tr w:rsidR="003637DD" w14:paraId="0E921888" w14:textId="77777777" w:rsidTr="009A0E8A">
        <w:tc>
          <w:tcPr>
            <w:tcW w:w="698" w:type="dxa"/>
          </w:tcPr>
          <w:p w14:paraId="2BFEFA20" w14:textId="77777777" w:rsidR="003637DD" w:rsidRPr="00A0558D" w:rsidRDefault="003637DD" w:rsidP="00AF19D5">
            <w:pPr>
              <w:pStyle w:val="ListParagraph"/>
              <w:numPr>
                <w:ilvl w:val="0"/>
                <w:numId w:val="3"/>
              </w:numPr>
              <w:tabs>
                <w:tab w:val="left" w:pos="360"/>
              </w:tabs>
              <w:ind w:left="0" w:firstLine="0"/>
              <w:jc w:val="center"/>
              <w:rPr>
                <w:rFonts w:cs="Arial"/>
              </w:rPr>
            </w:pPr>
          </w:p>
        </w:tc>
        <w:tc>
          <w:tcPr>
            <w:tcW w:w="9049" w:type="dxa"/>
            <w:gridSpan w:val="4"/>
          </w:tcPr>
          <w:p w14:paraId="6FCE62B5" w14:textId="77777777" w:rsidR="003637DD" w:rsidRPr="006E73FF" w:rsidRDefault="003637DD" w:rsidP="00AC0C51">
            <w:pPr>
              <w:rPr>
                <w:rFonts w:cs="Arial"/>
                <w:b/>
              </w:rPr>
            </w:pPr>
            <w:r w:rsidRPr="006E73FF">
              <w:rPr>
                <w:rFonts w:cs="Arial"/>
                <w:b/>
              </w:rPr>
              <w:t>Resolution to exclude members of the public</w:t>
            </w:r>
          </w:p>
          <w:p w14:paraId="5BADA5B9" w14:textId="77777777" w:rsidR="003637DD" w:rsidRPr="006E73FF" w:rsidRDefault="003637DD" w:rsidP="00AC0C51">
            <w:pPr>
              <w:rPr>
                <w:rFonts w:cs="Arial"/>
              </w:rPr>
            </w:pPr>
          </w:p>
          <w:p w14:paraId="2FBBA0AC" w14:textId="77777777" w:rsidR="003637DD" w:rsidRPr="006E73FF" w:rsidRDefault="003637DD"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4C0FA0A1" w14:textId="77777777" w:rsidR="003637DD" w:rsidRDefault="003637DD" w:rsidP="006F1A15">
            <w:pPr>
              <w:jc w:val="center"/>
              <w:rPr>
                <w:rFonts w:cs="Arial"/>
              </w:rPr>
            </w:pPr>
          </w:p>
        </w:tc>
      </w:tr>
    </w:tbl>
    <w:p w14:paraId="15C3DD4B" w14:textId="77777777" w:rsidR="00AC0C51" w:rsidRDefault="00AC0C51" w:rsidP="00AC0C51">
      <w:pPr>
        <w:rPr>
          <w:sz w:val="24"/>
          <w:szCs w:val="24"/>
        </w:rPr>
      </w:pPr>
    </w:p>
    <w:p w14:paraId="160D4F74" w14:textId="77777777"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14:paraId="17ADDA61" w14:textId="77777777" w:rsidR="00AC0C51" w:rsidRDefault="00AC0C51" w:rsidP="00AC0C51">
      <w:pPr>
        <w:rPr>
          <w:b/>
          <w:sz w:val="24"/>
          <w:szCs w:val="24"/>
        </w:rPr>
      </w:pPr>
    </w:p>
    <w:p w14:paraId="039F686D" w14:textId="77777777" w:rsidR="00C251FB" w:rsidRDefault="00AC0C51" w:rsidP="00F74F22">
      <w:r w:rsidRPr="00D94169">
        <w:t>The remainder of the HRA Board meeting will be deliberated in private due to the confidential nature of the business to be transacted. Papers and minutes will not be published for this part of the meeting.</w:t>
      </w:r>
    </w:p>
    <w:p w14:paraId="1575BF05" w14:textId="77777777" w:rsidR="004A5778" w:rsidRDefault="004A5778" w:rsidP="00F74F22"/>
    <w:sectPr w:rsidR="004A5778" w:rsidSect="00815E6E">
      <w:headerReference w:type="default" r:id="rId9"/>
      <w:footerReference w:type="default" r:id="rId10"/>
      <w:headerReference w:type="first" r:id="rId11"/>
      <w:footerReference w:type="first" r:id="rId12"/>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9FE6" w14:textId="77777777" w:rsidR="00B93139" w:rsidRDefault="00B93139" w:rsidP="006B3203">
      <w:r>
        <w:separator/>
      </w:r>
    </w:p>
  </w:endnote>
  <w:endnote w:type="continuationSeparator" w:id="0">
    <w:p w14:paraId="18E59FF1" w14:textId="77777777"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14:paraId="472D0936" w14:textId="1E76EB6F"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4533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45335">
              <w:rPr>
                <w:bCs/>
                <w:noProof/>
                <w:sz w:val="18"/>
                <w:szCs w:val="18"/>
              </w:rPr>
              <w:t>2</w:t>
            </w:r>
            <w:r w:rsidRPr="003C0D6C">
              <w:rPr>
                <w:bCs/>
                <w:sz w:val="18"/>
                <w:szCs w:val="18"/>
              </w:rPr>
              <w:fldChar w:fldCharType="end"/>
            </w:r>
          </w:p>
          <w:p w14:paraId="25C746B8" w14:textId="77777777"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6901C7">
              <w:rPr>
                <w:sz w:val="18"/>
                <w:szCs w:val="18"/>
              </w:rPr>
              <w:t>2019.03</w:t>
            </w:r>
            <w:r w:rsidR="009677FF">
              <w:rPr>
                <w:sz w:val="18"/>
                <w:szCs w:val="18"/>
              </w:rPr>
              <w:t>.2</w:t>
            </w:r>
            <w:r w:rsidR="00E23612">
              <w:rPr>
                <w:sz w:val="18"/>
                <w:szCs w:val="18"/>
              </w:rPr>
              <w:t>0</w:t>
            </w:r>
            <w:r w:rsidR="009677FF">
              <w:rPr>
                <w:sz w:val="18"/>
                <w:szCs w:val="18"/>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23475"/>
      <w:docPartObj>
        <w:docPartGallery w:val="Page Numbers (Top of Page)"/>
        <w:docPartUnique/>
      </w:docPartObj>
    </w:sdtPr>
    <w:sdtEndPr>
      <w:rPr>
        <w:sz w:val="18"/>
        <w:szCs w:val="18"/>
      </w:rPr>
    </w:sdtEndPr>
    <w:sdtContent>
      <w:p w14:paraId="3E57665D" w14:textId="053DE6B7"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4533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45335">
          <w:rPr>
            <w:bCs/>
            <w:noProof/>
            <w:sz w:val="18"/>
            <w:szCs w:val="18"/>
          </w:rPr>
          <w:t>2</w:t>
        </w:r>
        <w:r w:rsidRPr="003C0D6C">
          <w:rPr>
            <w:bCs/>
            <w:sz w:val="18"/>
            <w:szCs w:val="18"/>
          </w:rPr>
          <w:fldChar w:fldCharType="end"/>
        </w:r>
      </w:p>
      <w:p w14:paraId="39FEE1E4" w14:textId="77777777"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9677FF">
          <w:rPr>
            <w:sz w:val="18"/>
            <w:szCs w:val="18"/>
          </w:rPr>
          <w:t>9.</w:t>
        </w:r>
        <w:r w:rsidR="00E23612">
          <w:rPr>
            <w:sz w:val="18"/>
            <w:szCs w:val="18"/>
          </w:rPr>
          <w:t>03.20</w:t>
        </w:r>
        <w:r w:rsidR="002B3740">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4A26" w14:textId="77777777" w:rsidR="00B93139" w:rsidRDefault="00B93139" w:rsidP="006B3203">
      <w:r>
        <w:separator/>
      </w:r>
    </w:p>
  </w:footnote>
  <w:footnote w:type="continuationSeparator" w:id="0">
    <w:p w14:paraId="23F51519" w14:textId="77777777" w:rsidR="00B93139" w:rsidRDefault="00B93139" w:rsidP="006B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AB86" w14:textId="77777777" w:rsidR="00B93139" w:rsidRDefault="00B93139" w:rsidP="004617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7202" w14:textId="77777777" w:rsidR="00B93139" w:rsidRDefault="00F75818" w:rsidP="00815E6E">
    <w:pPr>
      <w:pStyle w:val="Header"/>
      <w:tabs>
        <w:tab w:val="clear" w:pos="9026"/>
        <w:tab w:val="right" w:pos="9900"/>
      </w:tabs>
      <w:ind w:right="-694"/>
      <w:jc w:val="right"/>
    </w:pPr>
    <w:r>
      <w:rPr>
        <w:noProof/>
        <w:lang w:eastAsia="en-GB"/>
      </w:rPr>
      <w:drawing>
        <wp:inline distT="0" distB="0" distL="0" distR="0" wp14:anchorId="0D535D83" wp14:editId="523710D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530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3"/>
    <w:rsid w:val="00000C49"/>
    <w:rsid w:val="00003EB3"/>
    <w:rsid w:val="00010853"/>
    <w:rsid w:val="000161D8"/>
    <w:rsid w:val="000163ED"/>
    <w:rsid w:val="000233FA"/>
    <w:rsid w:val="000247B5"/>
    <w:rsid w:val="000250B2"/>
    <w:rsid w:val="00026127"/>
    <w:rsid w:val="00026515"/>
    <w:rsid w:val="00026A84"/>
    <w:rsid w:val="00027525"/>
    <w:rsid w:val="0003184B"/>
    <w:rsid w:val="00031F3E"/>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7791B"/>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5335"/>
    <w:rsid w:val="001470E2"/>
    <w:rsid w:val="00151AA7"/>
    <w:rsid w:val="00153304"/>
    <w:rsid w:val="00153612"/>
    <w:rsid w:val="00157BF3"/>
    <w:rsid w:val="00160500"/>
    <w:rsid w:val="00167178"/>
    <w:rsid w:val="00175116"/>
    <w:rsid w:val="0017565C"/>
    <w:rsid w:val="00180DA4"/>
    <w:rsid w:val="00180EDD"/>
    <w:rsid w:val="00192617"/>
    <w:rsid w:val="00194C6C"/>
    <w:rsid w:val="00195AE7"/>
    <w:rsid w:val="001A4130"/>
    <w:rsid w:val="001B153D"/>
    <w:rsid w:val="001B40EA"/>
    <w:rsid w:val="001B41DD"/>
    <w:rsid w:val="001C0A64"/>
    <w:rsid w:val="001C34EF"/>
    <w:rsid w:val="001C4B69"/>
    <w:rsid w:val="001D0EE9"/>
    <w:rsid w:val="001E41EE"/>
    <w:rsid w:val="001E4B11"/>
    <w:rsid w:val="001F133E"/>
    <w:rsid w:val="001F3455"/>
    <w:rsid w:val="001F6FE7"/>
    <w:rsid w:val="00201179"/>
    <w:rsid w:val="00207C89"/>
    <w:rsid w:val="00210233"/>
    <w:rsid w:val="002166AB"/>
    <w:rsid w:val="00221302"/>
    <w:rsid w:val="00226E07"/>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1BCF"/>
    <w:rsid w:val="0030307B"/>
    <w:rsid w:val="0031271D"/>
    <w:rsid w:val="0032081B"/>
    <w:rsid w:val="00320889"/>
    <w:rsid w:val="00323855"/>
    <w:rsid w:val="00323A33"/>
    <w:rsid w:val="00326982"/>
    <w:rsid w:val="003322C5"/>
    <w:rsid w:val="00341AD0"/>
    <w:rsid w:val="0034690F"/>
    <w:rsid w:val="00354895"/>
    <w:rsid w:val="00356A5E"/>
    <w:rsid w:val="003637DD"/>
    <w:rsid w:val="00371175"/>
    <w:rsid w:val="00372617"/>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028"/>
    <w:rsid w:val="003E6E09"/>
    <w:rsid w:val="003E7CAB"/>
    <w:rsid w:val="003F4F90"/>
    <w:rsid w:val="00411433"/>
    <w:rsid w:val="00434911"/>
    <w:rsid w:val="004357F3"/>
    <w:rsid w:val="004407AD"/>
    <w:rsid w:val="004425A1"/>
    <w:rsid w:val="00444F01"/>
    <w:rsid w:val="0044602D"/>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5778"/>
    <w:rsid w:val="004A7736"/>
    <w:rsid w:val="004B01B9"/>
    <w:rsid w:val="004B02A3"/>
    <w:rsid w:val="004B0304"/>
    <w:rsid w:val="004B11BA"/>
    <w:rsid w:val="004B13F3"/>
    <w:rsid w:val="004B7605"/>
    <w:rsid w:val="004C39F4"/>
    <w:rsid w:val="004C3C5C"/>
    <w:rsid w:val="004C6D41"/>
    <w:rsid w:val="004D5808"/>
    <w:rsid w:val="004D6435"/>
    <w:rsid w:val="004D68EA"/>
    <w:rsid w:val="004E117F"/>
    <w:rsid w:val="004E62CB"/>
    <w:rsid w:val="004E7B1B"/>
    <w:rsid w:val="004F1049"/>
    <w:rsid w:val="004F1C1F"/>
    <w:rsid w:val="004F3002"/>
    <w:rsid w:val="004F766E"/>
    <w:rsid w:val="005042C2"/>
    <w:rsid w:val="00504D4E"/>
    <w:rsid w:val="005060C9"/>
    <w:rsid w:val="00522A78"/>
    <w:rsid w:val="00523407"/>
    <w:rsid w:val="00531EDB"/>
    <w:rsid w:val="005330A8"/>
    <w:rsid w:val="00534FD1"/>
    <w:rsid w:val="00541A0C"/>
    <w:rsid w:val="00545627"/>
    <w:rsid w:val="00546B5B"/>
    <w:rsid w:val="00546E59"/>
    <w:rsid w:val="00551AAB"/>
    <w:rsid w:val="005551E1"/>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41C32"/>
    <w:rsid w:val="00646B15"/>
    <w:rsid w:val="00651EEC"/>
    <w:rsid w:val="006539E8"/>
    <w:rsid w:val="006620CF"/>
    <w:rsid w:val="00662781"/>
    <w:rsid w:val="00664A6C"/>
    <w:rsid w:val="00674CA2"/>
    <w:rsid w:val="00675409"/>
    <w:rsid w:val="00683A2A"/>
    <w:rsid w:val="006901C7"/>
    <w:rsid w:val="00690D65"/>
    <w:rsid w:val="00692E21"/>
    <w:rsid w:val="00697209"/>
    <w:rsid w:val="006979FF"/>
    <w:rsid w:val="00697D41"/>
    <w:rsid w:val="006A1721"/>
    <w:rsid w:val="006A203A"/>
    <w:rsid w:val="006A3060"/>
    <w:rsid w:val="006B2059"/>
    <w:rsid w:val="006B2470"/>
    <w:rsid w:val="006B3203"/>
    <w:rsid w:val="006B6D16"/>
    <w:rsid w:val="006B7529"/>
    <w:rsid w:val="006B77A3"/>
    <w:rsid w:val="006C10F9"/>
    <w:rsid w:val="006C32AE"/>
    <w:rsid w:val="006C4A15"/>
    <w:rsid w:val="006C5A28"/>
    <w:rsid w:val="006C5C59"/>
    <w:rsid w:val="006D283D"/>
    <w:rsid w:val="006D443A"/>
    <w:rsid w:val="006D62AC"/>
    <w:rsid w:val="006E1069"/>
    <w:rsid w:val="006E16B6"/>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A3B74"/>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2707"/>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03D06"/>
    <w:rsid w:val="009073A6"/>
    <w:rsid w:val="00911294"/>
    <w:rsid w:val="00914114"/>
    <w:rsid w:val="009147BC"/>
    <w:rsid w:val="00916D65"/>
    <w:rsid w:val="00917C93"/>
    <w:rsid w:val="00917DEB"/>
    <w:rsid w:val="009235F8"/>
    <w:rsid w:val="00923A12"/>
    <w:rsid w:val="00924650"/>
    <w:rsid w:val="009262B0"/>
    <w:rsid w:val="0093025A"/>
    <w:rsid w:val="00937774"/>
    <w:rsid w:val="00940F00"/>
    <w:rsid w:val="009417A3"/>
    <w:rsid w:val="00942CA1"/>
    <w:rsid w:val="0094477F"/>
    <w:rsid w:val="0094591F"/>
    <w:rsid w:val="00945CE3"/>
    <w:rsid w:val="009501FC"/>
    <w:rsid w:val="00954557"/>
    <w:rsid w:val="00954857"/>
    <w:rsid w:val="009549B7"/>
    <w:rsid w:val="00960D64"/>
    <w:rsid w:val="009677FF"/>
    <w:rsid w:val="00972FAB"/>
    <w:rsid w:val="009730AB"/>
    <w:rsid w:val="00975247"/>
    <w:rsid w:val="00980EF0"/>
    <w:rsid w:val="009815CC"/>
    <w:rsid w:val="00983944"/>
    <w:rsid w:val="009839CF"/>
    <w:rsid w:val="00985EE3"/>
    <w:rsid w:val="00986603"/>
    <w:rsid w:val="00987179"/>
    <w:rsid w:val="009877AB"/>
    <w:rsid w:val="0099740D"/>
    <w:rsid w:val="009A04D6"/>
    <w:rsid w:val="009A4984"/>
    <w:rsid w:val="009A703C"/>
    <w:rsid w:val="009B3341"/>
    <w:rsid w:val="009B5989"/>
    <w:rsid w:val="009B5E20"/>
    <w:rsid w:val="009B70E6"/>
    <w:rsid w:val="009C0067"/>
    <w:rsid w:val="009C1BEF"/>
    <w:rsid w:val="009C3D4F"/>
    <w:rsid w:val="009C6361"/>
    <w:rsid w:val="009C698F"/>
    <w:rsid w:val="009D4F60"/>
    <w:rsid w:val="009D620E"/>
    <w:rsid w:val="009D630B"/>
    <w:rsid w:val="009E3AE1"/>
    <w:rsid w:val="009E3F8D"/>
    <w:rsid w:val="009E5B49"/>
    <w:rsid w:val="009F42C6"/>
    <w:rsid w:val="009F5A71"/>
    <w:rsid w:val="00A0558D"/>
    <w:rsid w:val="00A05DCC"/>
    <w:rsid w:val="00A0755C"/>
    <w:rsid w:val="00A07BFB"/>
    <w:rsid w:val="00A11711"/>
    <w:rsid w:val="00A128CB"/>
    <w:rsid w:val="00A13562"/>
    <w:rsid w:val="00A13877"/>
    <w:rsid w:val="00A147C6"/>
    <w:rsid w:val="00A17A3F"/>
    <w:rsid w:val="00A20222"/>
    <w:rsid w:val="00A32893"/>
    <w:rsid w:val="00A349D7"/>
    <w:rsid w:val="00A408D7"/>
    <w:rsid w:val="00A5106B"/>
    <w:rsid w:val="00A54B39"/>
    <w:rsid w:val="00A578AB"/>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6073"/>
    <w:rsid w:val="00AE70C4"/>
    <w:rsid w:val="00AF19D5"/>
    <w:rsid w:val="00AF3C0D"/>
    <w:rsid w:val="00AF44F8"/>
    <w:rsid w:val="00AF5513"/>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759CA"/>
    <w:rsid w:val="00C813D2"/>
    <w:rsid w:val="00C84D73"/>
    <w:rsid w:val="00C84E10"/>
    <w:rsid w:val="00C8518F"/>
    <w:rsid w:val="00C93CC8"/>
    <w:rsid w:val="00C9722B"/>
    <w:rsid w:val="00CA4095"/>
    <w:rsid w:val="00CA5FA4"/>
    <w:rsid w:val="00CA7635"/>
    <w:rsid w:val="00CB0AAB"/>
    <w:rsid w:val="00CB1BA1"/>
    <w:rsid w:val="00CB2D9A"/>
    <w:rsid w:val="00CC09DF"/>
    <w:rsid w:val="00CC62E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373F6"/>
    <w:rsid w:val="00D42585"/>
    <w:rsid w:val="00D4295C"/>
    <w:rsid w:val="00D42B41"/>
    <w:rsid w:val="00D505F1"/>
    <w:rsid w:val="00D50FAF"/>
    <w:rsid w:val="00D536B3"/>
    <w:rsid w:val="00D53C50"/>
    <w:rsid w:val="00D53C74"/>
    <w:rsid w:val="00D574E4"/>
    <w:rsid w:val="00D6053E"/>
    <w:rsid w:val="00D63A22"/>
    <w:rsid w:val="00D67682"/>
    <w:rsid w:val="00D71ACC"/>
    <w:rsid w:val="00D767BB"/>
    <w:rsid w:val="00D81774"/>
    <w:rsid w:val="00D86253"/>
    <w:rsid w:val="00D90439"/>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3612"/>
    <w:rsid w:val="00E264CB"/>
    <w:rsid w:val="00E30CF7"/>
    <w:rsid w:val="00E31221"/>
    <w:rsid w:val="00E37C33"/>
    <w:rsid w:val="00E4070F"/>
    <w:rsid w:val="00E432F9"/>
    <w:rsid w:val="00E4428E"/>
    <w:rsid w:val="00E44B3A"/>
    <w:rsid w:val="00E44ECE"/>
    <w:rsid w:val="00E451C5"/>
    <w:rsid w:val="00E45F3C"/>
    <w:rsid w:val="00E5323A"/>
    <w:rsid w:val="00E53D13"/>
    <w:rsid w:val="00E67344"/>
    <w:rsid w:val="00E701E8"/>
    <w:rsid w:val="00E70959"/>
    <w:rsid w:val="00E70CAE"/>
    <w:rsid w:val="00E8101A"/>
    <w:rsid w:val="00E81351"/>
    <w:rsid w:val="00E83E27"/>
    <w:rsid w:val="00E841EA"/>
    <w:rsid w:val="00E87295"/>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382F"/>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0433"/>
    <o:shapelayout v:ext="edit">
      <o:idmap v:ext="edit" data="1"/>
    </o:shapelayout>
  </w:shapeDefaults>
  <w:decimalSymbol w:val="."/>
  <w:listSeparator w:val=","/>
  <w14:docId w14:val="7FE0C833"/>
  <w15:docId w15:val="{3EAEF510-DC80-471F-9FEB-194852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5B"/>
    <w:rPr>
      <w:rFonts w:ascii="Calibri" w:eastAsia="Calibri" w:hAnsi="Calibri" w:cs="Times New Roman"/>
    </w:rPr>
  </w:style>
  <w:style w:type="paragraph" w:styleId="Heading1">
    <w:name w:val="heading 1"/>
    <w:basedOn w:val="Heading2"/>
    <w:next w:val="Normal"/>
    <w:link w:val="Heading1Char"/>
    <w:uiPriority w:val="9"/>
    <w:qFormat/>
    <w:rsid w:val="00E23612"/>
    <w:pPr>
      <w:keepNext w:val="0"/>
      <w:keepLines w:val="0"/>
      <w:spacing w:before="0" w:after="200" w:line="276" w:lineRule="auto"/>
      <w:outlineLvl w:val="0"/>
    </w:pPr>
    <w:rPr>
      <w:rFonts w:ascii="Arial" w:eastAsia="MS Gothic" w:hAnsi="Arial" w:cs="Arial"/>
      <w:b/>
      <w:bCs/>
      <w:color w:val="005EB8"/>
      <w:sz w:val="40"/>
      <w:szCs w:val="40"/>
    </w:rPr>
  </w:style>
  <w:style w:type="paragraph" w:styleId="Heading2">
    <w:name w:val="heading 2"/>
    <w:basedOn w:val="Normal"/>
    <w:next w:val="Normal"/>
    <w:link w:val="Heading2Char"/>
    <w:uiPriority w:val="9"/>
    <w:semiHidden/>
    <w:unhideWhenUsed/>
    <w:qFormat/>
    <w:rsid w:val="00E23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 w:type="character" w:customStyle="1" w:styleId="Heading1Char">
    <w:name w:val="Heading 1 Char"/>
    <w:basedOn w:val="DefaultParagraphFont"/>
    <w:link w:val="Heading1"/>
    <w:uiPriority w:val="9"/>
    <w:rsid w:val="00E23612"/>
    <w:rPr>
      <w:rFonts w:ascii="Arial" w:eastAsia="MS Gothic" w:hAnsi="Arial" w:cs="Arial"/>
      <w:b/>
      <w:bCs/>
      <w:color w:val="005EB8"/>
      <w:sz w:val="40"/>
      <w:szCs w:val="40"/>
    </w:rPr>
  </w:style>
  <w:style w:type="character" w:customStyle="1" w:styleId="Heading2Char">
    <w:name w:val="Heading 2 Char"/>
    <w:basedOn w:val="DefaultParagraphFont"/>
    <w:link w:val="Heading2"/>
    <w:uiPriority w:val="9"/>
    <w:semiHidden/>
    <w:rsid w:val="00E236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902564370">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datadriven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de-of-conduct-for-data-driven-health-and-care-technology/initial-code-of-conduct-for-data-driven-health-and-care-technolog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Tebbutt</dc:creator>
  <cp:lastModifiedBy>Shevon Prince</cp:lastModifiedBy>
  <cp:revision>3</cp:revision>
  <cp:lastPrinted>2017-07-12T15:27:00Z</cp:lastPrinted>
  <dcterms:created xsi:type="dcterms:W3CDTF">2019-03-14T10:00:00Z</dcterms:created>
  <dcterms:modified xsi:type="dcterms:W3CDTF">2019-03-14T11:44:00Z</dcterms:modified>
</cp:coreProperties>
</file>