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1006C7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8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1006C7" w:rsidP="001006C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D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40EF1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  <w:gridSpan w:val="3"/>
          </w:tcPr>
          <w:p w:rsidR="00C90060" w:rsidRPr="00C90060" w:rsidRDefault="00EC2A2D" w:rsidP="00EC2A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>
              <w:rPr>
                <w:rFonts w:asciiTheme="minorHAnsi" w:hAnsiTheme="minorHAnsi" w:cstheme="minorHAnsi"/>
                <w:vertAlign w:val="superscript"/>
              </w:rPr>
              <w:t>th</w:t>
            </w:r>
            <w:r w:rsidR="00512EC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November</w:t>
            </w:r>
            <w:r w:rsidR="00EE7815">
              <w:rPr>
                <w:rFonts w:asciiTheme="minorHAnsi" w:hAnsiTheme="minorHAnsi" w:cstheme="minorHAnsi"/>
              </w:rPr>
              <w:t xml:space="preserve"> 2016</w:t>
            </w:r>
          </w:p>
        </w:tc>
      </w:tr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  <w:gridSpan w:val="3"/>
          </w:tcPr>
          <w:p w:rsidR="0000688A" w:rsidRPr="00C90060" w:rsidRDefault="00B35C41" w:rsidP="00636C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KPI </w:t>
            </w:r>
            <w:r w:rsidR="00EC2A2D">
              <w:rPr>
                <w:rFonts w:asciiTheme="minorHAnsi" w:hAnsiTheme="minorHAnsi" w:cstheme="minorHAnsi"/>
              </w:rPr>
              <w:t xml:space="preserve">Q2 </w:t>
            </w:r>
            <w:r>
              <w:rPr>
                <w:rFonts w:asciiTheme="minorHAnsi" w:hAnsiTheme="minorHAnsi" w:cstheme="minorHAnsi"/>
              </w:rPr>
              <w:t xml:space="preserve">Report </w:t>
            </w: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  <w:gridSpan w:val="3"/>
          </w:tcPr>
          <w:p w:rsidR="0000688A" w:rsidRPr="00C90060" w:rsidRDefault="00B13FC0" w:rsidP="00EC2A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update the board on performance data</w:t>
            </w:r>
            <w:r w:rsidR="00EC2A2D">
              <w:rPr>
                <w:rFonts w:asciiTheme="minorHAnsi" w:hAnsiTheme="minorHAnsi" w:cstheme="minorHAnsi"/>
              </w:rPr>
              <w:t xml:space="preserve"> for Q2</w:t>
            </w:r>
            <w:r w:rsidR="009C133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  <w:gridSpan w:val="3"/>
          </w:tcPr>
          <w:p w:rsidR="0000688A" w:rsidRPr="00C90060" w:rsidRDefault="00B13FC0" w:rsidP="001448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HRA is committed to </w:t>
            </w:r>
            <w:r w:rsidR="00144864">
              <w:rPr>
                <w:rFonts w:asciiTheme="minorHAnsi" w:hAnsiTheme="minorHAnsi" w:cstheme="minorHAnsi"/>
              </w:rPr>
              <w:t>improving performance and has developed a comprehensive suite of indicators that enable it to both make necessary interventions when data suggests performance is dipping, and to highlight and celebrate areas of high performance</w:t>
            </w: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Lead reviewer: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  <w:gridSpan w:val="3"/>
          </w:tcPr>
          <w:p w:rsidR="00C90060" w:rsidRPr="00C90060" w:rsidRDefault="00144864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Directors</w:t>
            </w:r>
          </w:p>
        </w:tc>
      </w:tr>
      <w:tr w:rsidR="0082258E" w:rsidRPr="00C90060" w:rsidTr="00151DBF">
        <w:tc>
          <w:tcPr>
            <w:tcW w:w="2628" w:type="dxa"/>
          </w:tcPr>
          <w:p w:rsidR="0082258E" w:rsidRPr="00024663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024663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Pr="00024663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024663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  <w:gridSpan w:val="3"/>
          </w:tcPr>
          <w:p w:rsidR="00DC3DF1" w:rsidRDefault="00DC3DF1" w:rsidP="00061B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board are asked to consider the attached </w:t>
            </w:r>
            <w:r w:rsidR="0065399E">
              <w:rPr>
                <w:rFonts w:asciiTheme="minorHAnsi" w:hAnsiTheme="minorHAnsi" w:cstheme="minorHAnsi"/>
              </w:rPr>
              <w:t xml:space="preserve">data and </w:t>
            </w:r>
            <w:r w:rsidR="00DB2BDB">
              <w:rPr>
                <w:rFonts w:asciiTheme="minorHAnsi" w:hAnsiTheme="minorHAnsi" w:cstheme="minorHAnsi"/>
              </w:rPr>
              <w:t xml:space="preserve">associated </w:t>
            </w:r>
            <w:r w:rsidR="0065399E">
              <w:rPr>
                <w:rFonts w:asciiTheme="minorHAnsi" w:hAnsiTheme="minorHAnsi" w:cstheme="minorHAnsi"/>
              </w:rPr>
              <w:t>commentary and discuss</w:t>
            </w:r>
            <w:r w:rsidR="00DB2BDB">
              <w:rPr>
                <w:rFonts w:asciiTheme="minorHAnsi" w:hAnsiTheme="minorHAnsi" w:cstheme="minorHAnsi"/>
              </w:rPr>
              <w:t>.</w:t>
            </w:r>
          </w:p>
          <w:p w:rsidR="00DC3DF1" w:rsidRDefault="00DC3DF1" w:rsidP="00061BFD">
            <w:pPr>
              <w:rPr>
                <w:rFonts w:asciiTheme="minorHAnsi" w:hAnsiTheme="minorHAnsi" w:cstheme="minorHAnsi"/>
              </w:rPr>
            </w:pPr>
          </w:p>
          <w:p w:rsidR="00C5051D" w:rsidRDefault="00783405" w:rsidP="00061B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Board are also asked to note the following</w:t>
            </w:r>
            <w:r w:rsidR="0010590D">
              <w:rPr>
                <w:rFonts w:asciiTheme="minorHAnsi" w:hAnsiTheme="minorHAnsi" w:cstheme="minorHAnsi"/>
              </w:rPr>
              <w:t xml:space="preserve"> which </w:t>
            </w:r>
            <w:r w:rsidR="00DC3DF1">
              <w:rPr>
                <w:rFonts w:asciiTheme="minorHAnsi" w:hAnsiTheme="minorHAnsi" w:cstheme="minorHAnsi"/>
              </w:rPr>
              <w:t>have been removed from the KPI report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783405" w:rsidRDefault="00783405" w:rsidP="00061BFD">
            <w:pPr>
              <w:rPr>
                <w:rFonts w:asciiTheme="minorHAnsi" w:hAnsiTheme="minorHAnsi" w:cstheme="minorHAnsi"/>
              </w:rPr>
            </w:pPr>
          </w:p>
          <w:p w:rsidR="006729B0" w:rsidRPr="006729B0" w:rsidRDefault="006729B0" w:rsidP="006729B0">
            <w:pPr>
              <w:rPr>
                <w:rFonts w:asciiTheme="minorHAnsi" w:hAnsiTheme="minorHAnsi" w:cstheme="minorHAnsi"/>
                <w:b/>
                <w:i/>
              </w:rPr>
            </w:pPr>
            <w:r w:rsidRPr="006729B0">
              <w:rPr>
                <w:rFonts w:asciiTheme="minorHAnsi" w:hAnsiTheme="minorHAnsi" w:cstheme="minorHAnsi"/>
                <w:b/>
                <w:i/>
              </w:rPr>
              <w:t>A13</w:t>
            </w:r>
            <w:r w:rsidRPr="006729B0">
              <w:rPr>
                <w:rFonts w:asciiTheme="minorHAnsi" w:hAnsiTheme="minorHAnsi" w:cstheme="minorHAnsi"/>
                <w:b/>
                <w:i/>
              </w:rPr>
              <w:tab/>
              <w:t xml:space="preserve">Reduction in the number of Queries </w:t>
            </w:r>
            <w:proofErr w:type="gramStart"/>
            <w:r w:rsidRPr="006729B0">
              <w:rPr>
                <w:rFonts w:asciiTheme="minorHAnsi" w:hAnsiTheme="minorHAnsi" w:cstheme="minorHAnsi"/>
                <w:b/>
                <w:i/>
              </w:rPr>
              <w:t>raised</w:t>
            </w:r>
            <w:proofErr w:type="gramEnd"/>
            <w:r w:rsidRPr="006729B0">
              <w:rPr>
                <w:rFonts w:asciiTheme="minorHAnsi" w:hAnsiTheme="minorHAnsi" w:cstheme="minorHAnsi"/>
                <w:b/>
                <w:i/>
              </w:rPr>
              <w:t xml:space="preserve"> as a result of REC Review.</w:t>
            </w:r>
          </w:p>
          <w:p w:rsidR="00A1197F" w:rsidRPr="006729B0" w:rsidRDefault="006729B0" w:rsidP="006729B0">
            <w:pPr>
              <w:rPr>
                <w:rFonts w:asciiTheme="minorHAnsi" w:hAnsiTheme="minorHAnsi" w:cstheme="minorHAnsi"/>
                <w:b/>
                <w:i/>
              </w:rPr>
            </w:pPr>
            <w:r w:rsidRPr="006729B0">
              <w:rPr>
                <w:rFonts w:asciiTheme="minorHAnsi" w:hAnsiTheme="minorHAnsi" w:cstheme="minorHAnsi"/>
                <w:b/>
                <w:i/>
              </w:rPr>
              <w:t>A14</w:t>
            </w:r>
            <w:r w:rsidRPr="006729B0">
              <w:rPr>
                <w:rFonts w:asciiTheme="minorHAnsi" w:hAnsiTheme="minorHAnsi" w:cstheme="minorHAnsi"/>
                <w:b/>
                <w:i/>
              </w:rPr>
              <w:tab/>
              <w:t>Reduction in the number of Amendments being processed before a study recruits its first participant.</w:t>
            </w:r>
          </w:p>
          <w:p w:rsidR="006729B0" w:rsidRDefault="006729B0" w:rsidP="006729B0">
            <w:pPr>
              <w:rPr>
                <w:rFonts w:asciiTheme="minorHAnsi" w:hAnsiTheme="minorHAnsi" w:cstheme="minorHAnsi"/>
                <w:i/>
              </w:rPr>
            </w:pPr>
          </w:p>
          <w:p w:rsidR="006729B0" w:rsidRDefault="006729B0" w:rsidP="006729B0">
            <w:pPr>
              <w:rPr>
                <w:rFonts w:asciiTheme="minorHAnsi" w:hAnsiTheme="minorHAnsi" w:cstheme="minorHAnsi"/>
                <w:b/>
                <w:i/>
              </w:rPr>
            </w:pPr>
            <w:r w:rsidRPr="006729B0">
              <w:rPr>
                <w:rFonts w:asciiTheme="minorHAnsi" w:hAnsiTheme="minorHAnsi" w:cstheme="minorHAnsi"/>
                <w:b/>
                <w:i/>
              </w:rPr>
              <w:t>I1</w:t>
            </w:r>
            <w:r w:rsidRPr="006729B0">
              <w:rPr>
                <w:rFonts w:asciiTheme="minorHAnsi" w:hAnsiTheme="minorHAnsi" w:cstheme="minorHAnsi"/>
                <w:b/>
                <w:i/>
              </w:rPr>
              <w:tab/>
              <w:t xml:space="preserve">Increase in the number of Applications which have clearly involved patients, service users and the public in </w:t>
            </w:r>
            <w:r>
              <w:rPr>
                <w:rFonts w:asciiTheme="minorHAnsi" w:hAnsiTheme="minorHAnsi" w:cstheme="minorHAnsi"/>
                <w:b/>
                <w:i/>
              </w:rPr>
              <w:t>their development fr</w:t>
            </w:r>
            <w:r w:rsidR="000D6C8E">
              <w:rPr>
                <w:rFonts w:asciiTheme="minorHAnsi" w:hAnsiTheme="minorHAnsi" w:cstheme="minorHAnsi"/>
                <w:b/>
                <w:i/>
              </w:rPr>
              <w:t>om a 2010</w:t>
            </w:r>
            <w:r w:rsidRPr="006729B0">
              <w:rPr>
                <w:rFonts w:asciiTheme="minorHAnsi" w:hAnsiTheme="minorHAnsi" w:cstheme="minorHAnsi"/>
                <w:b/>
                <w:i/>
              </w:rPr>
              <w:t xml:space="preserve"> baseline.</w:t>
            </w:r>
          </w:p>
          <w:p w:rsidR="006729B0" w:rsidRDefault="006729B0" w:rsidP="006729B0">
            <w:pPr>
              <w:rPr>
                <w:rFonts w:asciiTheme="minorHAnsi" w:hAnsiTheme="minorHAnsi" w:cstheme="minorHAnsi"/>
                <w:b/>
                <w:i/>
              </w:rPr>
            </w:pPr>
          </w:p>
          <w:p w:rsidR="00DC3DF1" w:rsidRDefault="00DC3DF1" w:rsidP="005D0D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 reported to the Board in September there were a number of significant </w:t>
            </w:r>
            <w:r w:rsidRPr="00DC3DF1">
              <w:rPr>
                <w:rFonts w:asciiTheme="minorHAnsi" w:hAnsiTheme="minorHAnsi" w:cstheme="minorHAnsi"/>
              </w:rPr>
              <w:t>challenge</w:t>
            </w:r>
            <w:r>
              <w:rPr>
                <w:rFonts w:asciiTheme="minorHAnsi" w:hAnsiTheme="minorHAnsi" w:cstheme="minorHAnsi"/>
              </w:rPr>
              <w:t xml:space="preserve">s in pulling together data for these KPI’s. After further </w:t>
            </w:r>
            <w:r w:rsidR="006E1897">
              <w:rPr>
                <w:rFonts w:asciiTheme="minorHAnsi" w:hAnsiTheme="minorHAnsi" w:cstheme="minorHAnsi"/>
              </w:rPr>
              <w:t>internal</w:t>
            </w:r>
            <w:r w:rsidR="0010590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discussions it appears that the complexity of gathering the necessary data will not enable us to measure these </w:t>
            </w:r>
            <w:r w:rsidR="006E1897">
              <w:rPr>
                <w:rFonts w:asciiTheme="minorHAnsi" w:hAnsiTheme="minorHAnsi" w:cstheme="minorHAnsi"/>
              </w:rPr>
              <w:t>particular K</w:t>
            </w:r>
            <w:r>
              <w:rPr>
                <w:rFonts w:asciiTheme="minorHAnsi" w:hAnsiTheme="minorHAnsi" w:cstheme="minorHAnsi"/>
              </w:rPr>
              <w:t>PI’s in 16/17.</w:t>
            </w:r>
            <w:r w:rsidR="00AE697D">
              <w:rPr>
                <w:rFonts w:asciiTheme="minorHAnsi" w:hAnsiTheme="minorHAnsi" w:cstheme="minorHAnsi"/>
              </w:rPr>
              <w:t xml:space="preserve"> </w:t>
            </w:r>
            <w:r w:rsidR="000A51D8">
              <w:rPr>
                <w:rFonts w:asciiTheme="minorHAnsi" w:hAnsiTheme="minorHAnsi" w:cstheme="minorHAnsi"/>
              </w:rPr>
              <w:t xml:space="preserve">Although in the case of </w:t>
            </w:r>
            <w:r w:rsidR="000A51D8" w:rsidRPr="000A51D8">
              <w:rPr>
                <w:rFonts w:asciiTheme="minorHAnsi" w:hAnsiTheme="minorHAnsi" w:cstheme="minorHAnsi"/>
                <w:b/>
              </w:rPr>
              <w:t>I1</w:t>
            </w:r>
            <w:r w:rsidR="000A51D8">
              <w:rPr>
                <w:rFonts w:asciiTheme="minorHAnsi" w:hAnsiTheme="minorHAnsi" w:cstheme="minorHAnsi"/>
                <w:b/>
              </w:rPr>
              <w:t>,</w:t>
            </w:r>
            <w:r w:rsidR="000A51D8">
              <w:rPr>
                <w:rFonts w:asciiTheme="minorHAnsi" w:hAnsiTheme="minorHAnsi" w:cstheme="minorHAnsi"/>
              </w:rPr>
              <w:t xml:space="preserve"> data will be able to be produced at year end </w:t>
            </w:r>
            <w:r w:rsidR="00103A20">
              <w:rPr>
                <w:rFonts w:asciiTheme="minorHAnsi" w:hAnsiTheme="minorHAnsi" w:cstheme="minorHAnsi"/>
              </w:rPr>
              <w:t>for overall performance in 2016.</w:t>
            </w:r>
          </w:p>
          <w:p w:rsidR="00AE697D" w:rsidRDefault="00AE697D" w:rsidP="005D0D2D">
            <w:pPr>
              <w:rPr>
                <w:rFonts w:asciiTheme="minorHAnsi" w:hAnsiTheme="minorHAnsi" w:cstheme="minorHAnsi"/>
              </w:rPr>
            </w:pPr>
          </w:p>
          <w:p w:rsidR="00AE697D" w:rsidRDefault="00AE697D" w:rsidP="005D0D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intention is to take the necessary learning </w:t>
            </w:r>
            <w:r w:rsidR="00DB2BDB">
              <w:rPr>
                <w:rFonts w:asciiTheme="minorHAnsi" w:hAnsiTheme="minorHAnsi" w:cstheme="minorHAnsi"/>
              </w:rPr>
              <w:t xml:space="preserve">from this issue and ensure that we are able to have in place the </w:t>
            </w:r>
            <w:r w:rsidR="006E1897">
              <w:rPr>
                <w:rFonts w:asciiTheme="minorHAnsi" w:hAnsiTheme="minorHAnsi" w:cstheme="minorHAnsi"/>
              </w:rPr>
              <w:t xml:space="preserve">appropriate technical/manual </w:t>
            </w:r>
            <w:r w:rsidR="00DB2BDB">
              <w:rPr>
                <w:rFonts w:asciiTheme="minorHAnsi" w:hAnsiTheme="minorHAnsi" w:cstheme="minorHAnsi"/>
              </w:rPr>
              <w:t xml:space="preserve">mechanisms to report on </w:t>
            </w:r>
            <w:r w:rsidR="006E1897">
              <w:rPr>
                <w:rFonts w:asciiTheme="minorHAnsi" w:hAnsiTheme="minorHAnsi" w:cstheme="minorHAnsi"/>
              </w:rPr>
              <w:t xml:space="preserve">all </w:t>
            </w:r>
            <w:r w:rsidR="00DB2BDB">
              <w:rPr>
                <w:rFonts w:asciiTheme="minorHAnsi" w:hAnsiTheme="minorHAnsi" w:cstheme="minorHAnsi"/>
              </w:rPr>
              <w:t>KPI’s in 17/18</w:t>
            </w:r>
          </w:p>
          <w:p w:rsidR="005D0D2D" w:rsidRPr="00024663" w:rsidRDefault="005D0D2D" w:rsidP="00890133">
            <w:pPr>
              <w:rPr>
                <w:rFonts w:asciiTheme="minorHAnsi" w:hAnsiTheme="minorHAnsi" w:cstheme="minorHAnsi"/>
              </w:rPr>
            </w:pPr>
          </w:p>
        </w:tc>
      </w:tr>
      <w:tr w:rsidR="0000688A" w:rsidRPr="00C90060" w:rsidTr="00151DBF">
        <w:tc>
          <w:tcPr>
            <w:tcW w:w="2628" w:type="dxa"/>
          </w:tcPr>
          <w:p w:rsidR="00C90060" w:rsidRPr="00C90060" w:rsidRDefault="0000688A" w:rsidP="008006C2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Suitable for wider circulation?</w:t>
            </w:r>
            <w:r w:rsidR="008006C2" w:rsidRPr="00C9006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320" w:type="dxa"/>
            <w:gridSpan w:val="3"/>
          </w:tcPr>
          <w:p w:rsidR="0000688A" w:rsidRPr="004E2270" w:rsidRDefault="00F0393C" w:rsidP="00B86C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Yes.</w:t>
            </w:r>
          </w:p>
        </w:tc>
      </w:tr>
      <w:tr w:rsidR="00C90060" w:rsidRPr="00C90060" w:rsidTr="00151DBF">
        <w:tc>
          <w:tcPr>
            <w:tcW w:w="2628" w:type="dxa"/>
          </w:tcPr>
          <w:p w:rsidR="00C90060" w:rsidRPr="00C90060" w:rsidRDefault="00C90060" w:rsidP="008006C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Time required for item:</w:t>
            </w:r>
            <w:r w:rsidR="008006C2" w:rsidRPr="00C9006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320" w:type="dxa"/>
            <w:gridSpan w:val="3"/>
          </w:tcPr>
          <w:p w:rsidR="00C90060" w:rsidRPr="004E2270" w:rsidRDefault="00F0393C" w:rsidP="00B86C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mins</w:t>
            </w:r>
          </w:p>
        </w:tc>
      </w:tr>
      <w:tr w:rsidR="00E93D47" w:rsidRPr="00C90060" w:rsidTr="00BD0800">
        <w:tblPrEx>
          <w:shd w:val="clear" w:color="auto" w:fill="D9D9D9" w:themeFill="background1" w:themeFillShade="D9"/>
        </w:tblPrEx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FF6BB6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Yes</w:t>
            </w:r>
          </w:p>
        </w:tc>
      </w:tr>
      <w:tr w:rsidR="00E93D47" w:rsidRPr="00C90060" w:rsidTr="00BD0800">
        <w:tblPrEx>
          <w:shd w:val="clear" w:color="auto" w:fill="D9D9D9" w:themeFill="background1" w:themeFillShade="D9"/>
        </w:tblPrEx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043D" w:rsidRPr="00C90060" w:rsidTr="00BD0800">
        <w:tblPrEx>
          <w:shd w:val="clear" w:color="auto" w:fill="D9D9D9" w:themeFill="background1" w:themeFillShade="D9"/>
        </w:tblPrEx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4E2270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Yes</w:t>
            </w:r>
          </w:p>
        </w:tc>
      </w:tr>
      <w:tr w:rsidR="00E93D47" w:rsidRPr="00C90060" w:rsidTr="00BD0800">
        <w:tblPrEx>
          <w:shd w:val="clear" w:color="auto" w:fill="D9D9D9" w:themeFill="background1" w:themeFillShade="D9"/>
        </w:tblPrEx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  <w:gridSpan w:val="3"/>
          </w:tcPr>
          <w:p w:rsidR="00151DBF" w:rsidRPr="00C90060" w:rsidRDefault="006E695A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Ian Cook</w:t>
            </w: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C5051D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  <w:r w:rsidR="00C5051D" w:rsidRPr="00C9006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320" w:type="dxa"/>
            <w:gridSpan w:val="3"/>
          </w:tcPr>
          <w:p w:rsidR="00151DBF" w:rsidRPr="00C90060" w:rsidRDefault="006E695A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Director Corporate Services</w:t>
            </w: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C5051D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6320" w:type="dxa"/>
            <w:gridSpan w:val="3"/>
          </w:tcPr>
          <w:p w:rsidR="00151DBF" w:rsidRPr="00C90060" w:rsidRDefault="00AE4C38" w:rsidP="00AE4C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FF6BB6" w:rsidRPr="00FF6BB6">
              <w:rPr>
                <w:rFonts w:asciiTheme="minorHAnsi" w:hAnsiTheme="minorHAnsi" w:cstheme="minorHAnsi"/>
                <w:vertAlign w:val="superscript"/>
              </w:rPr>
              <w:t>th</w:t>
            </w:r>
            <w:r w:rsidR="00FF6BB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November</w:t>
            </w:r>
            <w:r w:rsidR="008D71C8">
              <w:rPr>
                <w:rFonts w:asciiTheme="minorHAnsi" w:hAnsiTheme="minorHAnsi" w:cstheme="minorHAnsi"/>
              </w:rPr>
              <w:t xml:space="preserve"> 2016</w:t>
            </w:r>
          </w:p>
        </w:tc>
      </w:tr>
    </w:tbl>
    <w:p w:rsidR="00151DBF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p w:rsidR="00783405" w:rsidRDefault="00783405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783405" w:rsidRDefault="00783405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783405" w:rsidRDefault="00783405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783405" w:rsidRDefault="00783405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783405" w:rsidRDefault="00783405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783405" w:rsidRDefault="00783405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783405" w:rsidRDefault="00783405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0D6C8E" w:rsidRDefault="000D6C8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0D6C8E" w:rsidRDefault="000D6C8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0D6C8E" w:rsidRDefault="000D6C8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0D6C8E" w:rsidRDefault="000D6C8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0D6C8E" w:rsidRDefault="000D6C8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0D6C8E" w:rsidRDefault="000D6C8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0D6C8E" w:rsidRDefault="000D6C8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0D6C8E" w:rsidRDefault="000D6C8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0D6C8E" w:rsidRDefault="000D6C8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0D6C8E" w:rsidRDefault="000D6C8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0D6C8E" w:rsidRDefault="000D6C8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0D6C8E" w:rsidRDefault="000D6C8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0D6C8E" w:rsidRDefault="000D6C8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0D6C8E" w:rsidRDefault="000D6C8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0D6C8E" w:rsidRDefault="000D6C8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0D6C8E" w:rsidRDefault="000D6C8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0D6C8E" w:rsidRDefault="000D6C8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0D6C8E" w:rsidRDefault="000D6C8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0D6C8E" w:rsidRDefault="000D6C8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0D6C8E" w:rsidRDefault="000D6C8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0D6C8E" w:rsidRDefault="000D6C8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65399E" w:rsidRDefault="0065399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65399E" w:rsidRDefault="0065399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65399E" w:rsidRDefault="0065399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65399E" w:rsidRDefault="0065399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65399E" w:rsidRDefault="0065399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65399E" w:rsidRDefault="0065399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65399E" w:rsidRDefault="0065399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65399E" w:rsidRDefault="0065399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65399E" w:rsidRDefault="0065399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65399E" w:rsidRDefault="0065399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65399E" w:rsidRDefault="0065399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65399E" w:rsidRDefault="0065399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65399E" w:rsidRDefault="0065399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65399E" w:rsidRDefault="0065399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65399E" w:rsidRDefault="0065399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65399E" w:rsidRDefault="0065399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65399E" w:rsidRDefault="0065399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C336B7" w:rsidRDefault="00C336B7" w:rsidP="00F47C78">
      <w:pPr>
        <w:tabs>
          <w:tab w:val="left" w:pos="1980"/>
        </w:tabs>
        <w:spacing w:after="0" w:line="240" w:lineRule="auto"/>
        <w:jc w:val="center"/>
        <w:rPr>
          <w:rFonts w:cs="Arial"/>
          <w:b/>
        </w:rPr>
      </w:pPr>
    </w:p>
    <w:p w:rsidR="00A840DB" w:rsidRDefault="00A873B2" w:rsidP="00F47C78">
      <w:pPr>
        <w:tabs>
          <w:tab w:val="left" w:pos="1980"/>
        </w:tabs>
        <w:spacing w:after="0" w:line="240" w:lineRule="auto"/>
        <w:jc w:val="center"/>
        <w:rPr>
          <w:rFonts w:cs="Arial"/>
          <w:b/>
        </w:rPr>
      </w:pPr>
      <w:r w:rsidRPr="00C22E08">
        <w:rPr>
          <w:rFonts w:cs="Arial"/>
          <w:b/>
        </w:rPr>
        <w:t xml:space="preserve">KPI </w:t>
      </w:r>
      <w:r w:rsidR="00C5051D">
        <w:rPr>
          <w:rFonts w:cs="Arial"/>
          <w:b/>
        </w:rPr>
        <w:t xml:space="preserve">‘Red’ </w:t>
      </w:r>
      <w:r w:rsidRPr="00C22E08">
        <w:rPr>
          <w:rFonts w:cs="Arial"/>
          <w:b/>
        </w:rPr>
        <w:t>Summary</w:t>
      </w:r>
    </w:p>
    <w:p w:rsidR="00BC4834" w:rsidRDefault="00BC4834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061BFD" w:rsidRPr="00061BFD" w:rsidRDefault="00997A8D" w:rsidP="00151DBF">
      <w:pPr>
        <w:tabs>
          <w:tab w:val="left" w:pos="1980"/>
        </w:tabs>
        <w:spacing w:after="0" w:line="240" w:lineRule="auto"/>
        <w:rPr>
          <w:rFonts w:cs="Arial"/>
        </w:rPr>
      </w:pPr>
      <w:r>
        <w:rPr>
          <w:rFonts w:cs="Arial"/>
        </w:rPr>
        <w:t>What follows</w:t>
      </w:r>
      <w:r w:rsidR="00BC4834">
        <w:rPr>
          <w:rFonts w:cs="Arial"/>
        </w:rPr>
        <w:t xml:space="preserve"> is a brief </w:t>
      </w:r>
      <w:r w:rsidR="00061BFD">
        <w:rPr>
          <w:rFonts w:cs="Arial"/>
        </w:rPr>
        <w:t xml:space="preserve">summary </w:t>
      </w:r>
      <w:r w:rsidR="00BC4834">
        <w:rPr>
          <w:rFonts w:cs="Arial"/>
        </w:rPr>
        <w:t>of</w:t>
      </w:r>
      <w:r w:rsidR="00061BFD">
        <w:rPr>
          <w:rFonts w:cs="Arial"/>
        </w:rPr>
        <w:t xml:space="preserve"> those KPI’s that have returned a ‘Red’ score and</w:t>
      </w:r>
      <w:r>
        <w:rPr>
          <w:rFonts w:cs="Arial"/>
        </w:rPr>
        <w:t xml:space="preserve"> describe</w:t>
      </w:r>
      <w:r w:rsidR="0079070E">
        <w:rPr>
          <w:rFonts w:cs="Arial"/>
        </w:rPr>
        <w:t>s</w:t>
      </w:r>
      <w:r>
        <w:rPr>
          <w:rFonts w:cs="Arial"/>
        </w:rPr>
        <w:t xml:space="preserve"> </w:t>
      </w:r>
      <w:r w:rsidR="00061BFD">
        <w:rPr>
          <w:rFonts w:cs="Arial"/>
        </w:rPr>
        <w:t xml:space="preserve">the cause/s of those results and </w:t>
      </w:r>
      <w:r w:rsidR="00CF6E0E">
        <w:rPr>
          <w:rFonts w:cs="Arial"/>
        </w:rPr>
        <w:t xml:space="preserve">any organisational response that has </w:t>
      </w:r>
      <w:r w:rsidR="00BC4834">
        <w:rPr>
          <w:rFonts w:cs="Arial"/>
        </w:rPr>
        <w:t>or will be</w:t>
      </w:r>
      <w:r w:rsidR="00CF6E0E">
        <w:rPr>
          <w:rFonts w:cs="Arial"/>
        </w:rPr>
        <w:t xml:space="preserve"> taken.</w:t>
      </w:r>
    </w:p>
    <w:p w:rsidR="00092482" w:rsidRDefault="00092482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p w:rsidR="00092482" w:rsidRPr="00477F03" w:rsidRDefault="00477F03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  <w:r w:rsidRPr="00477F03">
        <w:rPr>
          <w:rFonts w:cs="Arial"/>
          <w:b/>
        </w:rPr>
        <w:t>Areas returning ‘Red’ scores</w:t>
      </w:r>
    </w:p>
    <w:p w:rsidR="00092482" w:rsidRDefault="00092482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90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7960"/>
      </w:tblGrid>
      <w:tr w:rsidR="00092482" w:rsidRPr="00092482" w:rsidTr="00783405">
        <w:trPr>
          <w:trHeight w:val="771"/>
        </w:trPr>
        <w:tc>
          <w:tcPr>
            <w:tcW w:w="1120" w:type="dxa"/>
            <w:shd w:val="clear" w:color="auto" w:fill="auto"/>
            <w:vAlign w:val="center"/>
          </w:tcPr>
          <w:p w:rsidR="00092482" w:rsidRPr="00092482" w:rsidRDefault="0088212A" w:rsidP="002438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A3</w:t>
            </w:r>
          </w:p>
        </w:tc>
        <w:tc>
          <w:tcPr>
            <w:tcW w:w="7960" w:type="dxa"/>
            <w:shd w:val="clear" w:color="auto" w:fill="auto"/>
            <w:vAlign w:val="center"/>
          </w:tcPr>
          <w:p w:rsidR="00092482" w:rsidRPr="00092482" w:rsidRDefault="0088212A" w:rsidP="0024385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88212A">
              <w:rPr>
                <w:rFonts w:eastAsia="Times New Roman" w:cs="Arial"/>
                <w:color w:val="000000"/>
                <w:lang w:eastAsia="en-GB"/>
              </w:rPr>
              <w:t>95% of applications to research ethics proportionate review service to receive decision within 14 calendar days</w:t>
            </w:r>
          </w:p>
        </w:tc>
      </w:tr>
    </w:tbl>
    <w:p w:rsidR="008006C2" w:rsidRDefault="008006C2" w:rsidP="00477F03">
      <w:pPr>
        <w:spacing w:after="0" w:line="240" w:lineRule="auto"/>
        <w:rPr>
          <w:rFonts w:eastAsia="Times New Roman" w:cs="Arial"/>
          <w:b/>
          <w:color w:val="000000"/>
          <w:lang w:eastAsia="en-GB"/>
        </w:rPr>
      </w:pPr>
    </w:p>
    <w:p w:rsidR="0088212A" w:rsidRDefault="00477F03" w:rsidP="00477F03">
      <w:pPr>
        <w:spacing w:after="0" w:line="240" w:lineRule="auto"/>
        <w:rPr>
          <w:rFonts w:eastAsia="Times New Roman" w:cs="Arial"/>
          <w:color w:val="000000"/>
          <w:lang w:eastAsia="en-GB"/>
        </w:rPr>
      </w:pPr>
      <w:r w:rsidRPr="00092482">
        <w:rPr>
          <w:rFonts w:eastAsia="Times New Roman" w:cs="Arial"/>
          <w:b/>
          <w:color w:val="000000"/>
          <w:lang w:eastAsia="en-GB"/>
        </w:rPr>
        <w:t>Cause</w:t>
      </w:r>
      <w:r w:rsidRPr="00092482">
        <w:rPr>
          <w:rFonts w:eastAsia="Times New Roman" w:cs="Arial"/>
          <w:color w:val="000000"/>
          <w:lang w:eastAsia="en-GB"/>
        </w:rPr>
        <w:t xml:space="preserve">: </w:t>
      </w:r>
      <w:r w:rsidR="00B0634C" w:rsidRPr="00B0634C">
        <w:rPr>
          <w:rFonts w:eastAsia="Times New Roman" w:cs="Arial"/>
          <w:color w:val="000000"/>
          <w:lang w:eastAsia="en-GB"/>
        </w:rPr>
        <w:t xml:space="preserve">Diversion of resources to assist with amendment </w:t>
      </w:r>
      <w:proofErr w:type="gramStart"/>
      <w:r w:rsidR="00B0634C" w:rsidRPr="00B0634C">
        <w:rPr>
          <w:rFonts w:eastAsia="Times New Roman" w:cs="Arial"/>
          <w:color w:val="000000"/>
          <w:lang w:eastAsia="en-GB"/>
        </w:rPr>
        <w:t>workload .</w:t>
      </w:r>
      <w:proofErr w:type="gramEnd"/>
      <w:r w:rsidR="00B0634C" w:rsidRPr="00B0634C">
        <w:rPr>
          <w:rFonts w:eastAsia="Times New Roman" w:cs="Arial"/>
          <w:color w:val="000000"/>
          <w:lang w:eastAsia="en-GB"/>
        </w:rPr>
        <w:t xml:space="preserve"> </w:t>
      </w:r>
      <w:proofErr w:type="gramStart"/>
      <w:r w:rsidR="00B0634C" w:rsidRPr="00B0634C">
        <w:rPr>
          <w:rFonts w:eastAsia="Times New Roman" w:cs="Arial"/>
          <w:color w:val="000000"/>
          <w:lang w:eastAsia="en-GB"/>
        </w:rPr>
        <w:t>Higher levels of leave in summer months and increased sickness absence.</w:t>
      </w:r>
      <w:proofErr w:type="gramEnd"/>
      <w:r w:rsidR="00B0634C" w:rsidRPr="00B0634C">
        <w:rPr>
          <w:rFonts w:eastAsia="Times New Roman" w:cs="Arial"/>
          <w:color w:val="000000"/>
          <w:lang w:eastAsia="en-GB"/>
        </w:rPr>
        <w:t xml:space="preserve"> </w:t>
      </w:r>
      <w:proofErr w:type="gramStart"/>
      <w:r w:rsidR="00B0634C" w:rsidRPr="00B0634C">
        <w:rPr>
          <w:rFonts w:eastAsia="Times New Roman" w:cs="Arial"/>
          <w:color w:val="000000"/>
          <w:lang w:eastAsia="en-GB"/>
        </w:rPr>
        <w:t>Bank Holiday in August.</w:t>
      </w:r>
      <w:proofErr w:type="gramEnd"/>
    </w:p>
    <w:p w:rsidR="008C57CD" w:rsidRDefault="008C57CD" w:rsidP="00477F03">
      <w:pPr>
        <w:spacing w:after="0" w:line="240" w:lineRule="auto"/>
        <w:rPr>
          <w:rFonts w:eastAsia="Times New Roman" w:cs="Arial"/>
          <w:color w:val="000000"/>
          <w:lang w:eastAsia="en-GB"/>
        </w:rPr>
      </w:pPr>
    </w:p>
    <w:p w:rsidR="008C57CD" w:rsidRPr="002222CF" w:rsidRDefault="008C57CD" w:rsidP="00477F03">
      <w:pPr>
        <w:spacing w:after="0" w:line="240" w:lineRule="auto"/>
        <w:rPr>
          <w:rFonts w:eastAsia="Times New Roman" w:cs="Arial"/>
          <w:color w:val="000000"/>
          <w:lang w:eastAsia="en-GB"/>
        </w:rPr>
      </w:pPr>
      <w:r w:rsidRPr="008C57CD">
        <w:rPr>
          <w:rFonts w:eastAsia="Times New Roman" w:cs="Arial"/>
          <w:b/>
          <w:color w:val="000000"/>
          <w:lang w:eastAsia="en-GB"/>
        </w:rPr>
        <w:t>Response</w:t>
      </w:r>
      <w:r w:rsidR="002222CF">
        <w:rPr>
          <w:rFonts w:eastAsia="Times New Roman" w:cs="Arial"/>
          <w:b/>
          <w:color w:val="000000"/>
          <w:lang w:eastAsia="en-GB"/>
        </w:rPr>
        <w:t xml:space="preserve">: </w:t>
      </w:r>
      <w:r w:rsidR="002222CF" w:rsidRPr="002222CF">
        <w:rPr>
          <w:rFonts w:eastAsia="Times New Roman" w:cs="Arial"/>
          <w:color w:val="000000"/>
          <w:lang w:eastAsia="en-GB"/>
        </w:rPr>
        <w:t>Performance expected to strengthen in Q3 as factors</w:t>
      </w:r>
      <w:r w:rsidR="002222CF">
        <w:rPr>
          <w:rFonts w:eastAsia="Times New Roman" w:cs="Arial"/>
          <w:b/>
          <w:color w:val="000000"/>
          <w:lang w:eastAsia="en-GB"/>
        </w:rPr>
        <w:t xml:space="preserve"> </w:t>
      </w:r>
      <w:r w:rsidR="002222CF" w:rsidRPr="002222CF">
        <w:rPr>
          <w:rFonts w:eastAsia="Times New Roman" w:cs="Arial"/>
          <w:color w:val="000000"/>
          <w:lang w:eastAsia="en-GB"/>
        </w:rPr>
        <w:t>identified above no longer impact</w:t>
      </w:r>
    </w:p>
    <w:p w:rsidR="00477F03" w:rsidRDefault="0088212A" w:rsidP="00477F03">
      <w:pPr>
        <w:spacing w:after="0" w:line="240" w:lineRule="auto"/>
        <w:rPr>
          <w:rFonts w:eastAsia="Times New Roman" w:cs="Arial"/>
          <w:color w:val="000000"/>
          <w:lang w:eastAsia="en-GB"/>
        </w:rPr>
      </w:pPr>
      <w:r w:rsidRPr="0088212A">
        <w:rPr>
          <w:rFonts w:eastAsia="Times New Roman" w:cs="Arial"/>
          <w:color w:val="000000"/>
          <w:lang w:eastAsia="en-GB"/>
        </w:rPr>
        <w:t xml:space="preserve"> </w:t>
      </w:r>
    </w:p>
    <w:tbl>
      <w:tblPr>
        <w:tblW w:w="90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7960"/>
      </w:tblGrid>
      <w:tr w:rsidR="000F0F40" w:rsidRPr="00092482" w:rsidTr="00C33ABA">
        <w:trPr>
          <w:trHeight w:val="531"/>
        </w:trPr>
        <w:tc>
          <w:tcPr>
            <w:tcW w:w="1120" w:type="dxa"/>
            <w:shd w:val="clear" w:color="auto" w:fill="auto"/>
            <w:vAlign w:val="center"/>
          </w:tcPr>
          <w:p w:rsidR="000F0F40" w:rsidRPr="001E05EA" w:rsidRDefault="00CB5E44" w:rsidP="00C33ABA">
            <w:pPr>
              <w:spacing w:after="0" w:line="240" w:lineRule="auto"/>
              <w:jc w:val="center"/>
            </w:pPr>
            <w:r>
              <w:t>A15</w:t>
            </w:r>
          </w:p>
        </w:tc>
        <w:tc>
          <w:tcPr>
            <w:tcW w:w="7960" w:type="dxa"/>
            <w:shd w:val="clear" w:color="auto" w:fill="auto"/>
            <w:vAlign w:val="center"/>
          </w:tcPr>
          <w:p w:rsidR="000F0F40" w:rsidRDefault="00CB5E44" w:rsidP="00C33ABA">
            <w:pPr>
              <w:spacing w:after="0" w:line="240" w:lineRule="auto"/>
            </w:pPr>
            <w:r w:rsidRPr="00CB5E44">
              <w:t>Non-REC studies: Approved studies (non-REC) are approved in Median 15 days from date of application to the HRA to the date of approval.</w:t>
            </w:r>
          </w:p>
        </w:tc>
      </w:tr>
      <w:tr w:rsidR="00CB5E44" w:rsidRPr="00092482" w:rsidTr="00C33ABA">
        <w:trPr>
          <w:trHeight w:val="531"/>
        </w:trPr>
        <w:tc>
          <w:tcPr>
            <w:tcW w:w="1120" w:type="dxa"/>
            <w:shd w:val="clear" w:color="auto" w:fill="auto"/>
            <w:vAlign w:val="center"/>
          </w:tcPr>
          <w:p w:rsidR="00CB5E44" w:rsidRDefault="00CB5E44" w:rsidP="00C33ABA">
            <w:pPr>
              <w:spacing w:after="0" w:line="240" w:lineRule="auto"/>
              <w:jc w:val="center"/>
            </w:pPr>
            <w:r>
              <w:t>A16</w:t>
            </w:r>
          </w:p>
        </w:tc>
        <w:tc>
          <w:tcPr>
            <w:tcW w:w="7960" w:type="dxa"/>
            <w:shd w:val="clear" w:color="auto" w:fill="auto"/>
            <w:vAlign w:val="center"/>
          </w:tcPr>
          <w:p w:rsidR="00CB5E44" w:rsidRPr="00CB5E44" w:rsidRDefault="00CB5E44" w:rsidP="00C33ABA">
            <w:pPr>
              <w:spacing w:after="0" w:line="240" w:lineRule="auto"/>
            </w:pPr>
            <w:r w:rsidRPr="00CB5E44">
              <w:t>REC-PR studies: Approved studies (REC-PR) are approved in median 10 days from date of additional REC conditions being met to date of approval.</w:t>
            </w:r>
          </w:p>
        </w:tc>
      </w:tr>
    </w:tbl>
    <w:p w:rsidR="000F0F40" w:rsidRDefault="000F0F40" w:rsidP="000F0F40">
      <w:pPr>
        <w:spacing w:after="0" w:line="240" w:lineRule="auto"/>
        <w:jc w:val="both"/>
        <w:rPr>
          <w:b/>
        </w:rPr>
      </w:pPr>
    </w:p>
    <w:p w:rsidR="00540318" w:rsidRDefault="000F0F40" w:rsidP="000F0F40">
      <w:pPr>
        <w:jc w:val="both"/>
      </w:pPr>
      <w:r w:rsidRPr="00E34398">
        <w:rPr>
          <w:b/>
        </w:rPr>
        <w:t>Cause:</w:t>
      </w:r>
      <w:r w:rsidRPr="00E34398">
        <w:t xml:space="preserve"> </w:t>
      </w:r>
      <w:r w:rsidR="00CB5E44" w:rsidRPr="00CB5E44">
        <w:t>Worsening figure in Q2 reflects impact of clearing backlog of amendments and pre-Approval, and focus on clinical studies. Case load management balances progressing new studies vs open studies.</w:t>
      </w:r>
    </w:p>
    <w:tbl>
      <w:tblPr>
        <w:tblW w:w="90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7960"/>
      </w:tblGrid>
      <w:tr w:rsidR="00CB5E44" w:rsidRPr="00092482" w:rsidTr="006A6D68">
        <w:trPr>
          <w:trHeight w:val="531"/>
        </w:trPr>
        <w:tc>
          <w:tcPr>
            <w:tcW w:w="1120" w:type="dxa"/>
            <w:shd w:val="clear" w:color="auto" w:fill="auto"/>
            <w:vAlign w:val="center"/>
          </w:tcPr>
          <w:p w:rsidR="00CB5E44" w:rsidRPr="001E05EA" w:rsidRDefault="00CB5E44" w:rsidP="006A6D68">
            <w:pPr>
              <w:spacing w:after="0" w:line="240" w:lineRule="auto"/>
              <w:jc w:val="center"/>
            </w:pPr>
            <w:r>
              <w:t>A17</w:t>
            </w:r>
          </w:p>
        </w:tc>
        <w:tc>
          <w:tcPr>
            <w:tcW w:w="7960" w:type="dxa"/>
            <w:shd w:val="clear" w:color="auto" w:fill="auto"/>
            <w:vAlign w:val="center"/>
          </w:tcPr>
          <w:p w:rsidR="00CB5E44" w:rsidRDefault="00CB5E44" w:rsidP="006A6D68">
            <w:pPr>
              <w:spacing w:after="0" w:line="240" w:lineRule="auto"/>
            </w:pPr>
            <w:r w:rsidRPr="00CB5E44">
              <w:t xml:space="preserve">Full-REC, non-Commercial studies (NC Full REC) Approval studies are approved in a median 25 days from the date of final REC Opinion additional REC conditions being </w:t>
            </w:r>
            <w:proofErr w:type="gramStart"/>
            <w:r w:rsidRPr="00CB5E44">
              <w:t>met  to</w:t>
            </w:r>
            <w:proofErr w:type="gramEnd"/>
            <w:r w:rsidRPr="00CB5E44">
              <w:t xml:space="preserve"> the date of approval.</w:t>
            </w:r>
          </w:p>
        </w:tc>
      </w:tr>
      <w:tr w:rsidR="00CB5E44" w:rsidRPr="00092482" w:rsidTr="006A6D68">
        <w:trPr>
          <w:trHeight w:val="531"/>
        </w:trPr>
        <w:tc>
          <w:tcPr>
            <w:tcW w:w="1120" w:type="dxa"/>
            <w:shd w:val="clear" w:color="auto" w:fill="auto"/>
            <w:vAlign w:val="center"/>
          </w:tcPr>
          <w:p w:rsidR="00CB5E44" w:rsidRDefault="00CB5E44" w:rsidP="006A6D68">
            <w:pPr>
              <w:spacing w:after="0" w:line="240" w:lineRule="auto"/>
              <w:jc w:val="center"/>
            </w:pPr>
            <w:r>
              <w:t>A18</w:t>
            </w:r>
          </w:p>
        </w:tc>
        <w:tc>
          <w:tcPr>
            <w:tcW w:w="7960" w:type="dxa"/>
            <w:shd w:val="clear" w:color="auto" w:fill="auto"/>
            <w:vAlign w:val="center"/>
          </w:tcPr>
          <w:p w:rsidR="00CB5E44" w:rsidRPr="00CB5E44" w:rsidRDefault="00CB5E44" w:rsidP="006A6D68">
            <w:pPr>
              <w:spacing w:after="0" w:line="240" w:lineRule="auto"/>
            </w:pPr>
            <w:r w:rsidRPr="00CB5E44">
              <w:t xml:space="preserve">Full-REC, Commercial studies (C Full REC) Approval studies are approved in a median 10 days from the date of final REC Opinion additional REC conditions being </w:t>
            </w:r>
            <w:proofErr w:type="gramStart"/>
            <w:r w:rsidRPr="00CB5E44">
              <w:t>met  to</w:t>
            </w:r>
            <w:proofErr w:type="gramEnd"/>
            <w:r w:rsidRPr="00CB5E44">
              <w:t xml:space="preserve"> the date of approval.</w:t>
            </w:r>
          </w:p>
        </w:tc>
      </w:tr>
    </w:tbl>
    <w:p w:rsidR="00CB5E44" w:rsidRDefault="00CB5E44" w:rsidP="00CB5E44">
      <w:pPr>
        <w:jc w:val="both"/>
      </w:pPr>
    </w:p>
    <w:p w:rsidR="00CB5E44" w:rsidRDefault="00CB5E44" w:rsidP="00CB5E44">
      <w:pPr>
        <w:jc w:val="both"/>
      </w:pPr>
      <w:r w:rsidRPr="00CB5E44">
        <w:rPr>
          <w:b/>
        </w:rPr>
        <w:t>Cause</w:t>
      </w:r>
      <w:r>
        <w:t>:</w:t>
      </w:r>
      <w:r w:rsidRPr="00CB5E44">
        <w:t xml:space="preserve"> </w:t>
      </w:r>
      <w:r w:rsidR="006841AB" w:rsidRPr="006841AB">
        <w:t>Although figures exceed KPIs, median timelines have reached plateau</w:t>
      </w:r>
      <w:r w:rsidR="006841AB">
        <w:t>. M</w:t>
      </w:r>
      <w:r w:rsidRPr="00CB5E44">
        <w:t>any of these studies would have had a significant time gap between REC and R&amp;D applications, as well as gaps prior to SSI submission, as well as the R&amp;D review process.</w:t>
      </w:r>
    </w:p>
    <w:p w:rsidR="003D70E5" w:rsidRPr="003D70E5" w:rsidRDefault="008C57CD" w:rsidP="00CB5E44">
      <w:pPr>
        <w:jc w:val="both"/>
        <w:rPr>
          <w:i/>
        </w:rPr>
      </w:pPr>
      <w:r w:rsidRPr="008C57CD">
        <w:rPr>
          <w:b/>
          <w:i/>
        </w:rPr>
        <w:t>Response</w:t>
      </w:r>
      <w:r>
        <w:rPr>
          <w:i/>
        </w:rPr>
        <w:t xml:space="preserve">: </w:t>
      </w:r>
      <w:r w:rsidR="003D70E5" w:rsidRPr="008C57CD">
        <w:t>In relation to A15-18. The board received a full report on HRA Approval data and progress on recovery plans for amendments at its October meeting.</w:t>
      </w:r>
      <w:r w:rsidR="003D70E5" w:rsidRPr="003D70E5">
        <w:rPr>
          <w:i/>
        </w:rPr>
        <w:t xml:space="preserve"> </w:t>
      </w:r>
    </w:p>
    <w:p w:rsidR="000F0F40" w:rsidRDefault="000F0F40" w:rsidP="001E55D4">
      <w:pPr>
        <w:jc w:val="both"/>
      </w:pPr>
      <w:bookmarkStart w:id="0" w:name="_GoBack"/>
      <w:bookmarkEnd w:id="0"/>
    </w:p>
    <w:sectPr w:rsidR="000F0F40" w:rsidSect="00C90060">
      <w:headerReference w:type="default" r:id="rId9"/>
      <w:footerReference w:type="default" r:id="rId10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1D" w:rsidRDefault="00F1491D" w:rsidP="006B5376">
      <w:pPr>
        <w:spacing w:after="0" w:line="240" w:lineRule="auto"/>
      </w:pPr>
      <w:r>
        <w:separator/>
      </w:r>
    </w:p>
  </w:endnote>
  <w:endnote w:type="continuationSeparator" w:id="0">
    <w:p w:rsidR="00F1491D" w:rsidRDefault="00F1491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liss 2 Light">
    <w:altName w:val="Bliss 2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Default="00C90060" w:rsidP="00C90060">
    <w:pPr>
      <w:pStyle w:val="Footer"/>
      <w:ind w:left="-142" w:firstLine="862"/>
      <w:rPr>
        <w:sz w:val="18"/>
        <w:szCs w:val="18"/>
      </w:rPr>
    </w:pPr>
    <w:r w:rsidRPr="00C90060">
      <w:rPr>
        <w:rFonts w:asciiTheme="minorHAnsi" w:hAnsiTheme="minorHAnsi" w:cstheme="minorHAnsi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517F8E24" wp14:editId="257CD5E5">
          <wp:simplePos x="0" y="0"/>
          <wp:positionH relativeFrom="column">
            <wp:posOffset>-122237</wp:posOffset>
          </wp:positionH>
          <wp:positionV relativeFrom="paragraph">
            <wp:posOffset>-84773</wp:posOffset>
          </wp:positionV>
          <wp:extent cx="361950" cy="358775"/>
          <wp:effectExtent l="77787" t="74613" r="77788" b="77787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-Graphic-144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718273">
                    <a:off x="0" y="0"/>
                    <a:ext cx="36195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060">
      <w:rPr>
        <w:rFonts w:asciiTheme="minorHAnsi" w:hAnsiTheme="minorHAnsi" w:cstheme="minorHAns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266B5D" wp14:editId="79F198F6">
              <wp:simplePos x="0" y="0"/>
              <wp:positionH relativeFrom="column">
                <wp:posOffset>310515</wp:posOffset>
              </wp:positionH>
              <wp:positionV relativeFrom="paragraph">
                <wp:posOffset>104775</wp:posOffset>
              </wp:positionV>
              <wp:extent cx="56673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25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" strokecolor="#f79646 [3209]" strokeweight="2pt"/>
          </w:pict>
        </mc:Fallback>
      </mc:AlternateContent>
    </w:r>
  </w:p>
  <w:p w:rsidR="00C90060" w:rsidRPr="00C90060" w:rsidRDefault="00FF6BB6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 w:rsidR="00E11B46">
      <w:rPr>
        <w:rFonts w:asciiTheme="minorHAnsi" w:hAnsiTheme="minorHAnsi" w:cstheme="minorHAnsi"/>
        <w:sz w:val="18"/>
        <w:szCs w:val="18"/>
      </w:rPr>
      <w:t>January 2015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1D" w:rsidRDefault="00F1491D" w:rsidP="006B5376">
      <w:pPr>
        <w:spacing w:after="0" w:line="240" w:lineRule="auto"/>
      </w:pPr>
      <w:r>
        <w:separator/>
      </w:r>
    </w:p>
  </w:footnote>
  <w:footnote w:type="continuationSeparator" w:id="0">
    <w:p w:rsidR="00F1491D" w:rsidRDefault="00F1491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0688A" w:rsidP="00E068B3">
    <w:pPr>
      <w:pStyle w:val="Header"/>
      <w:ind w:left="-720" w:right="-718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173B1EBC" wp14:editId="5216D894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80FA6"/>
    <w:multiLevelType w:val="hybridMultilevel"/>
    <w:tmpl w:val="27FEBE8A"/>
    <w:lvl w:ilvl="0" w:tplc="8B6C2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36875"/>
    <w:multiLevelType w:val="hybridMultilevel"/>
    <w:tmpl w:val="78329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E22E7D"/>
    <w:multiLevelType w:val="hybridMultilevel"/>
    <w:tmpl w:val="E78EBFDC"/>
    <w:lvl w:ilvl="0" w:tplc="7AE4F392">
      <w:numFmt w:val="bullet"/>
      <w:lvlText w:val="-"/>
      <w:lvlJc w:val="left"/>
      <w:pPr>
        <w:ind w:left="720" w:hanging="360"/>
      </w:pPr>
      <w:rPr>
        <w:rFonts w:ascii="Bliss 2 Light" w:eastAsiaTheme="minorHAnsi" w:hAnsi="Bliss 2 Light" w:cs="Bliss 2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6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C8320E"/>
    <w:multiLevelType w:val="hybridMultilevel"/>
    <w:tmpl w:val="0C5EC80C"/>
    <w:lvl w:ilvl="0" w:tplc="1F7C2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9C2B03"/>
    <w:multiLevelType w:val="hybridMultilevel"/>
    <w:tmpl w:val="5030B4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39"/>
  </w:num>
  <w:num w:numId="4">
    <w:abstractNumId w:val="13"/>
  </w:num>
  <w:num w:numId="5">
    <w:abstractNumId w:val="26"/>
  </w:num>
  <w:num w:numId="6">
    <w:abstractNumId w:val="2"/>
  </w:num>
  <w:num w:numId="7">
    <w:abstractNumId w:val="32"/>
  </w:num>
  <w:num w:numId="8">
    <w:abstractNumId w:val="34"/>
  </w:num>
  <w:num w:numId="9">
    <w:abstractNumId w:val="36"/>
  </w:num>
  <w:num w:numId="10">
    <w:abstractNumId w:val="31"/>
  </w:num>
  <w:num w:numId="11">
    <w:abstractNumId w:val="0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21"/>
  </w:num>
  <w:num w:numId="15">
    <w:abstractNumId w:val="9"/>
  </w:num>
  <w:num w:numId="16">
    <w:abstractNumId w:val="24"/>
  </w:num>
  <w:num w:numId="17">
    <w:abstractNumId w:val="29"/>
  </w:num>
  <w:num w:numId="18">
    <w:abstractNumId w:val="1"/>
  </w:num>
  <w:num w:numId="19">
    <w:abstractNumId w:val="17"/>
  </w:num>
  <w:num w:numId="20">
    <w:abstractNumId w:val="27"/>
  </w:num>
  <w:num w:numId="21">
    <w:abstractNumId w:val="38"/>
  </w:num>
  <w:num w:numId="22">
    <w:abstractNumId w:val="19"/>
  </w:num>
  <w:num w:numId="23">
    <w:abstractNumId w:val="23"/>
  </w:num>
  <w:num w:numId="24">
    <w:abstractNumId w:val="7"/>
  </w:num>
  <w:num w:numId="25">
    <w:abstractNumId w:val="28"/>
  </w:num>
  <w:num w:numId="26">
    <w:abstractNumId w:val="41"/>
  </w:num>
  <w:num w:numId="27">
    <w:abstractNumId w:val="16"/>
  </w:num>
  <w:num w:numId="28">
    <w:abstractNumId w:val="35"/>
  </w:num>
  <w:num w:numId="29">
    <w:abstractNumId w:val="30"/>
  </w:num>
  <w:num w:numId="30">
    <w:abstractNumId w:val="12"/>
  </w:num>
  <w:num w:numId="31">
    <w:abstractNumId w:val="40"/>
  </w:num>
  <w:num w:numId="32">
    <w:abstractNumId w:val="15"/>
  </w:num>
  <w:num w:numId="33">
    <w:abstractNumId w:val="25"/>
  </w:num>
  <w:num w:numId="34">
    <w:abstractNumId w:val="46"/>
  </w:num>
  <w:num w:numId="35">
    <w:abstractNumId w:val="6"/>
  </w:num>
  <w:num w:numId="36">
    <w:abstractNumId w:val="8"/>
  </w:num>
  <w:num w:numId="37">
    <w:abstractNumId w:val="3"/>
  </w:num>
  <w:num w:numId="38">
    <w:abstractNumId w:val="18"/>
  </w:num>
  <w:num w:numId="39">
    <w:abstractNumId w:val="11"/>
  </w:num>
  <w:num w:numId="40">
    <w:abstractNumId w:val="14"/>
  </w:num>
  <w:num w:numId="41">
    <w:abstractNumId w:val="45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5"/>
  </w:num>
  <w:num w:numId="45">
    <w:abstractNumId w:val="37"/>
  </w:num>
  <w:num w:numId="46">
    <w:abstractNumId w:val="42"/>
  </w:num>
  <w:num w:numId="47">
    <w:abstractNumId w:val="33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24663"/>
    <w:rsid w:val="00031E55"/>
    <w:rsid w:val="00032018"/>
    <w:rsid w:val="00034690"/>
    <w:rsid w:val="00061BFD"/>
    <w:rsid w:val="00067801"/>
    <w:rsid w:val="00077FB8"/>
    <w:rsid w:val="000805FF"/>
    <w:rsid w:val="00080CB0"/>
    <w:rsid w:val="00082E02"/>
    <w:rsid w:val="00087C21"/>
    <w:rsid w:val="00092482"/>
    <w:rsid w:val="000A13D1"/>
    <w:rsid w:val="000A51D8"/>
    <w:rsid w:val="000A7224"/>
    <w:rsid w:val="000A7C2C"/>
    <w:rsid w:val="000C027C"/>
    <w:rsid w:val="000C44EF"/>
    <w:rsid w:val="000C6B29"/>
    <w:rsid w:val="000D0F34"/>
    <w:rsid w:val="000D6A51"/>
    <w:rsid w:val="000D6C8E"/>
    <w:rsid w:val="000E55E7"/>
    <w:rsid w:val="000E5A1B"/>
    <w:rsid w:val="000E6A39"/>
    <w:rsid w:val="000F0F40"/>
    <w:rsid w:val="000F2666"/>
    <w:rsid w:val="000F40ED"/>
    <w:rsid w:val="000F5FA5"/>
    <w:rsid w:val="00100687"/>
    <w:rsid w:val="001006C7"/>
    <w:rsid w:val="00103A20"/>
    <w:rsid w:val="0010590D"/>
    <w:rsid w:val="0011564E"/>
    <w:rsid w:val="00122C95"/>
    <w:rsid w:val="00125E43"/>
    <w:rsid w:val="00144864"/>
    <w:rsid w:val="001459D0"/>
    <w:rsid w:val="00151DBF"/>
    <w:rsid w:val="00156D64"/>
    <w:rsid w:val="00161566"/>
    <w:rsid w:val="00162E33"/>
    <w:rsid w:val="00162EEA"/>
    <w:rsid w:val="00170438"/>
    <w:rsid w:val="00170E54"/>
    <w:rsid w:val="001801B8"/>
    <w:rsid w:val="001803BF"/>
    <w:rsid w:val="00187B85"/>
    <w:rsid w:val="001B0E16"/>
    <w:rsid w:val="001C0074"/>
    <w:rsid w:val="001C0E64"/>
    <w:rsid w:val="001C3388"/>
    <w:rsid w:val="001C3D40"/>
    <w:rsid w:val="001C3FF9"/>
    <w:rsid w:val="001C5EE1"/>
    <w:rsid w:val="001D0C9D"/>
    <w:rsid w:val="001D339E"/>
    <w:rsid w:val="001D41F3"/>
    <w:rsid w:val="001D451F"/>
    <w:rsid w:val="001D4C53"/>
    <w:rsid w:val="001E55D4"/>
    <w:rsid w:val="001E7FBA"/>
    <w:rsid w:val="002015B9"/>
    <w:rsid w:val="002017F5"/>
    <w:rsid w:val="00202CE8"/>
    <w:rsid w:val="00204034"/>
    <w:rsid w:val="00217EFA"/>
    <w:rsid w:val="0022151D"/>
    <w:rsid w:val="002222CF"/>
    <w:rsid w:val="002226BE"/>
    <w:rsid w:val="002270EC"/>
    <w:rsid w:val="00236D2B"/>
    <w:rsid w:val="002528F0"/>
    <w:rsid w:val="0025318B"/>
    <w:rsid w:val="002551D9"/>
    <w:rsid w:val="00255B6D"/>
    <w:rsid w:val="0026003B"/>
    <w:rsid w:val="00267CD4"/>
    <w:rsid w:val="0027131C"/>
    <w:rsid w:val="00274C92"/>
    <w:rsid w:val="0027616F"/>
    <w:rsid w:val="0028249D"/>
    <w:rsid w:val="002A389A"/>
    <w:rsid w:val="002B1574"/>
    <w:rsid w:val="002B20F2"/>
    <w:rsid w:val="002D06F6"/>
    <w:rsid w:val="002E1034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56166"/>
    <w:rsid w:val="00360E64"/>
    <w:rsid w:val="003620D2"/>
    <w:rsid w:val="00362136"/>
    <w:rsid w:val="0036304E"/>
    <w:rsid w:val="00363763"/>
    <w:rsid w:val="00372EDD"/>
    <w:rsid w:val="00374989"/>
    <w:rsid w:val="0038407F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D70E5"/>
    <w:rsid w:val="003E62C3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62D31"/>
    <w:rsid w:val="00472A5C"/>
    <w:rsid w:val="00475E0A"/>
    <w:rsid w:val="00477F03"/>
    <w:rsid w:val="004806AB"/>
    <w:rsid w:val="00482B2C"/>
    <w:rsid w:val="00491A07"/>
    <w:rsid w:val="0049433E"/>
    <w:rsid w:val="004960CF"/>
    <w:rsid w:val="004968A5"/>
    <w:rsid w:val="004B078F"/>
    <w:rsid w:val="004B3B6C"/>
    <w:rsid w:val="004E2270"/>
    <w:rsid w:val="004E5A9A"/>
    <w:rsid w:val="004F58E8"/>
    <w:rsid w:val="004F7AF1"/>
    <w:rsid w:val="00502585"/>
    <w:rsid w:val="00510C14"/>
    <w:rsid w:val="00512EC9"/>
    <w:rsid w:val="00512FBB"/>
    <w:rsid w:val="00520466"/>
    <w:rsid w:val="00521B16"/>
    <w:rsid w:val="00540318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1C07"/>
    <w:rsid w:val="005C5A53"/>
    <w:rsid w:val="005C7E23"/>
    <w:rsid w:val="005D0C13"/>
    <w:rsid w:val="005D0D2D"/>
    <w:rsid w:val="005D7F75"/>
    <w:rsid w:val="005E241C"/>
    <w:rsid w:val="005F4D7F"/>
    <w:rsid w:val="00611EC3"/>
    <w:rsid w:val="00631534"/>
    <w:rsid w:val="00632573"/>
    <w:rsid w:val="0063397F"/>
    <w:rsid w:val="00636C32"/>
    <w:rsid w:val="006501B4"/>
    <w:rsid w:val="00650770"/>
    <w:rsid w:val="0065384C"/>
    <w:rsid w:val="0065399E"/>
    <w:rsid w:val="00661712"/>
    <w:rsid w:val="00662C00"/>
    <w:rsid w:val="006727FE"/>
    <w:rsid w:val="006729B0"/>
    <w:rsid w:val="00673D95"/>
    <w:rsid w:val="00676851"/>
    <w:rsid w:val="00683C84"/>
    <w:rsid w:val="006841AB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E1897"/>
    <w:rsid w:val="006E695A"/>
    <w:rsid w:val="006F0655"/>
    <w:rsid w:val="006F3C06"/>
    <w:rsid w:val="00703B1A"/>
    <w:rsid w:val="00704956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83405"/>
    <w:rsid w:val="0079070E"/>
    <w:rsid w:val="0079459F"/>
    <w:rsid w:val="007958A5"/>
    <w:rsid w:val="0079675F"/>
    <w:rsid w:val="00797B27"/>
    <w:rsid w:val="007A5239"/>
    <w:rsid w:val="007B7BA3"/>
    <w:rsid w:val="007C07BD"/>
    <w:rsid w:val="007C181C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006C2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212A"/>
    <w:rsid w:val="008835B9"/>
    <w:rsid w:val="00890133"/>
    <w:rsid w:val="00896585"/>
    <w:rsid w:val="008A46B0"/>
    <w:rsid w:val="008B043D"/>
    <w:rsid w:val="008B1A24"/>
    <w:rsid w:val="008B20CB"/>
    <w:rsid w:val="008B293F"/>
    <w:rsid w:val="008B56B4"/>
    <w:rsid w:val="008C4D96"/>
    <w:rsid w:val="008C57CD"/>
    <w:rsid w:val="008C747A"/>
    <w:rsid w:val="008D2FE3"/>
    <w:rsid w:val="008D32BF"/>
    <w:rsid w:val="008D4BB4"/>
    <w:rsid w:val="008D71C8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650AA"/>
    <w:rsid w:val="009708DE"/>
    <w:rsid w:val="00973512"/>
    <w:rsid w:val="0098103F"/>
    <w:rsid w:val="00986DBB"/>
    <w:rsid w:val="00987871"/>
    <w:rsid w:val="00995D46"/>
    <w:rsid w:val="00996564"/>
    <w:rsid w:val="00997A8D"/>
    <w:rsid w:val="009A1D17"/>
    <w:rsid w:val="009A35FA"/>
    <w:rsid w:val="009B7ADC"/>
    <w:rsid w:val="009C133C"/>
    <w:rsid w:val="009D119A"/>
    <w:rsid w:val="009D6D73"/>
    <w:rsid w:val="009E5183"/>
    <w:rsid w:val="009F234C"/>
    <w:rsid w:val="009F3946"/>
    <w:rsid w:val="009F44FD"/>
    <w:rsid w:val="00A0218A"/>
    <w:rsid w:val="00A06B20"/>
    <w:rsid w:val="00A10A0A"/>
    <w:rsid w:val="00A1179A"/>
    <w:rsid w:val="00A1197F"/>
    <w:rsid w:val="00A13804"/>
    <w:rsid w:val="00A262B0"/>
    <w:rsid w:val="00A330ED"/>
    <w:rsid w:val="00A34004"/>
    <w:rsid w:val="00A43609"/>
    <w:rsid w:val="00A43714"/>
    <w:rsid w:val="00A469FD"/>
    <w:rsid w:val="00A53B64"/>
    <w:rsid w:val="00A55FD0"/>
    <w:rsid w:val="00A71B66"/>
    <w:rsid w:val="00A732F1"/>
    <w:rsid w:val="00A73CFB"/>
    <w:rsid w:val="00A840DB"/>
    <w:rsid w:val="00A85692"/>
    <w:rsid w:val="00A86755"/>
    <w:rsid w:val="00A873B2"/>
    <w:rsid w:val="00A912C0"/>
    <w:rsid w:val="00A9292C"/>
    <w:rsid w:val="00A95157"/>
    <w:rsid w:val="00AA288A"/>
    <w:rsid w:val="00AA5F0C"/>
    <w:rsid w:val="00AB7764"/>
    <w:rsid w:val="00AC2BA5"/>
    <w:rsid w:val="00AC3ED9"/>
    <w:rsid w:val="00AC7807"/>
    <w:rsid w:val="00AE4C38"/>
    <w:rsid w:val="00AE500E"/>
    <w:rsid w:val="00AE697D"/>
    <w:rsid w:val="00AF2B98"/>
    <w:rsid w:val="00AF3C6E"/>
    <w:rsid w:val="00B0634C"/>
    <w:rsid w:val="00B101D8"/>
    <w:rsid w:val="00B1110F"/>
    <w:rsid w:val="00B12EAF"/>
    <w:rsid w:val="00B13FC0"/>
    <w:rsid w:val="00B16BC1"/>
    <w:rsid w:val="00B35C41"/>
    <w:rsid w:val="00B371BD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777A2"/>
    <w:rsid w:val="00B83C5D"/>
    <w:rsid w:val="00BA15CF"/>
    <w:rsid w:val="00BB19A7"/>
    <w:rsid w:val="00BB245B"/>
    <w:rsid w:val="00BB6571"/>
    <w:rsid w:val="00BC0B48"/>
    <w:rsid w:val="00BC3A08"/>
    <w:rsid w:val="00BC4834"/>
    <w:rsid w:val="00BF5379"/>
    <w:rsid w:val="00C04153"/>
    <w:rsid w:val="00C1135D"/>
    <w:rsid w:val="00C15CC6"/>
    <w:rsid w:val="00C22E08"/>
    <w:rsid w:val="00C24C6C"/>
    <w:rsid w:val="00C265FE"/>
    <w:rsid w:val="00C330A2"/>
    <w:rsid w:val="00C336B7"/>
    <w:rsid w:val="00C33ABA"/>
    <w:rsid w:val="00C34A0F"/>
    <w:rsid w:val="00C36837"/>
    <w:rsid w:val="00C40072"/>
    <w:rsid w:val="00C42D0D"/>
    <w:rsid w:val="00C458CC"/>
    <w:rsid w:val="00C5051D"/>
    <w:rsid w:val="00C528B2"/>
    <w:rsid w:val="00C53126"/>
    <w:rsid w:val="00C566DC"/>
    <w:rsid w:val="00C56E47"/>
    <w:rsid w:val="00C5789F"/>
    <w:rsid w:val="00C60EC1"/>
    <w:rsid w:val="00C665C4"/>
    <w:rsid w:val="00C7490C"/>
    <w:rsid w:val="00C8111C"/>
    <w:rsid w:val="00C815C1"/>
    <w:rsid w:val="00C81AD5"/>
    <w:rsid w:val="00C81FBF"/>
    <w:rsid w:val="00C90060"/>
    <w:rsid w:val="00C91983"/>
    <w:rsid w:val="00C928CF"/>
    <w:rsid w:val="00C941B8"/>
    <w:rsid w:val="00CA3A21"/>
    <w:rsid w:val="00CB16AC"/>
    <w:rsid w:val="00CB32FA"/>
    <w:rsid w:val="00CB5E44"/>
    <w:rsid w:val="00CC7EC2"/>
    <w:rsid w:val="00CC7F68"/>
    <w:rsid w:val="00CD103F"/>
    <w:rsid w:val="00CD6526"/>
    <w:rsid w:val="00CD7943"/>
    <w:rsid w:val="00CE51E2"/>
    <w:rsid w:val="00CE7EDE"/>
    <w:rsid w:val="00CF6E0E"/>
    <w:rsid w:val="00D244E5"/>
    <w:rsid w:val="00D506D1"/>
    <w:rsid w:val="00D53754"/>
    <w:rsid w:val="00D556A7"/>
    <w:rsid w:val="00D605E8"/>
    <w:rsid w:val="00D63E02"/>
    <w:rsid w:val="00D64CB6"/>
    <w:rsid w:val="00D87EE4"/>
    <w:rsid w:val="00DA1D6D"/>
    <w:rsid w:val="00DA683A"/>
    <w:rsid w:val="00DA6C5D"/>
    <w:rsid w:val="00DB1E6D"/>
    <w:rsid w:val="00DB2BDB"/>
    <w:rsid w:val="00DC3DF1"/>
    <w:rsid w:val="00DD4232"/>
    <w:rsid w:val="00DD7F46"/>
    <w:rsid w:val="00DE0B36"/>
    <w:rsid w:val="00DE44FD"/>
    <w:rsid w:val="00DF5E7E"/>
    <w:rsid w:val="00E068B3"/>
    <w:rsid w:val="00E06BF1"/>
    <w:rsid w:val="00E11B46"/>
    <w:rsid w:val="00E2595E"/>
    <w:rsid w:val="00E332CD"/>
    <w:rsid w:val="00E34398"/>
    <w:rsid w:val="00E348B8"/>
    <w:rsid w:val="00E36F0A"/>
    <w:rsid w:val="00E40EF1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2A2D"/>
    <w:rsid w:val="00EC2E8F"/>
    <w:rsid w:val="00EC6545"/>
    <w:rsid w:val="00ED05D5"/>
    <w:rsid w:val="00ED723B"/>
    <w:rsid w:val="00ED7497"/>
    <w:rsid w:val="00EE200F"/>
    <w:rsid w:val="00EE3EEA"/>
    <w:rsid w:val="00EE4784"/>
    <w:rsid w:val="00EE7815"/>
    <w:rsid w:val="00EE7888"/>
    <w:rsid w:val="00EF1675"/>
    <w:rsid w:val="00EF1E64"/>
    <w:rsid w:val="00EF3A3D"/>
    <w:rsid w:val="00EF727C"/>
    <w:rsid w:val="00F001A2"/>
    <w:rsid w:val="00F00C2E"/>
    <w:rsid w:val="00F0393C"/>
    <w:rsid w:val="00F126A6"/>
    <w:rsid w:val="00F13444"/>
    <w:rsid w:val="00F1491D"/>
    <w:rsid w:val="00F207D7"/>
    <w:rsid w:val="00F227F0"/>
    <w:rsid w:val="00F47C78"/>
    <w:rsid w:val="00F5469A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BB6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49A569-41D1-42B0-8CA7-871E8F09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17</cp:revision>
  <cp:lastPrinted>2013-01-08T15:55:00Z</cp:lastPrinted>
  <dcterms:created xsi:type="dcterms:W3CDTF">2016-11-09T07:41:00Z</dcterms:created>
  <dcterms:modified xsi:type="dcterms:W3CDTF">2016-11-09T14:14:00Z</dcterms:modified>
</cp:coreProperties>
</file>