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96E26" w:rsidRDefault="00196E26" w:rsidP="00E068B3">
            <w:pPr>
              <w:pStyle w:val="NoSpacing"/>
              <w:jc w:val="center"/>
              <w:rPr>
                <w:rFonts w:asciiTheme="minorHAnsi" w:hAnsiTheme="minorHAnsi" w:cstheme="minorHAnsi"/>
                <w:b/>
                <w:sz w:val="44"/>
                <w:lang w:val="en-GB"/>
              </w:rPr>
            </w:pPr>
            <w:r w:rsidRPr="00196E26">
              <w:rPr>
                <w:rFonts w:asciiTheme="minorHAnsi" w:hAnsiTheme="minorHAnsi" w:cstheme="minorHAnsi"/>
                <w:b/>
                <w:sz w:val="44"/>
                <w:lang w:val="en-GB"/>
              </w:rPr>
              <w:t>10</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96E26" w:rsidRDefault="00196E26" w:rsidP="00E068B3">
            <w:pPr>
              <w:pStyle w:val="NoSpacing"/>
              <w:jc w:val="center"/>
              <w:rPr>
                <w:rFonts w:asciiTheme="minorHAnsi" w:hAnsiTheme="minorHAnsi" w:cstheme="minorHAnsi"/>
                <w:b/>
                <w:sz w:val="44"/>
                <w:szCs w:val="44"/>
                <w:lang w:val="en-GB"/>
              </w:rPr>
            </w:pPr>
            <w:r w:rsidRPr="00196E26">
              <w:rPr>
                <w:rFonts w:asciiTheme="minorHAnsi" w:hAnsiTheme="minorHAnsi" w:cstheme="minorHAnsi"/>
                <w:b/>
                <w:sz w:val="44"/>
                <w:lang w:val="en-GB"/>
              </w:rPr>
              <w:t>D</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196E26">
        <w:rPr>
          <w:rFonts w:asciiTheme="minorHAnsi" w:hAnsiTheme="minorHAnsi" w:cstheme="minorHAnsi"/>
          <w:b/>
          <w:sz w:val="44"/>
          <w:szCs w:val="44"/>
        </w:rPr>
        <w:t xml:space="preserve">BOARD </w:t>
      </w:r>
      <w:r w:rsidRPr="00151DBF">
        <w:rPr>
          <w:rFonts w:asciiTheme="minorHAnsi" w:hAnsiTheme="minorHAnsi" w:cstheme="minorHAnsi"/>
          <w:b/>
          <w:sz w:val="44"/>
          <w:szCs w:val="44"/>
        </w:rPr>
        <w:t>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085"/>
        <w:gridCol w:w="5954"/>
      </w:tblGrid>
      <w:tr w:rsidR="00151DBF" w:rsidRPr="00C90060" w:rsidTr="009E18CA">
        <w:tc>
          <w:tcPr>
            <w:tcW w:w="3085"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5954" w:type="dxa"/>
          </w:tcPr>
          <w:p w:rsidR="00774D38" w:rsidRDefault="00196E26" w:rsidP="00AE2C5E">
            <w:pPr>
              <w:rPr>
                <w:rFonts w:asciiTheme="minorHAnsi" w:hAnsiTheme="minorHAnsi" w:cstheme="minorHAnsi"/>
              </w:rPr>
            </w:pPr>
            <w:r>
              <w:rPr>
                <w:rFonts w:asciiTheme="minorHAnsi" w:hAnsiTheme="minorHAnsi" w:cstheme="minorHAnsi"/>
              </w:rPr>
              <w:t>24 September 2018</w:t>
            </w:r>
          </w:p>
          <w:p w:rsidR="00C90060" w:rsidRPr="00F51E3D" w:rsidRDefault="00C90060" w:rsidP="00632620">
            <w:pPr>
              <w:rPr>
                <w:rFonts w:asciiTheme="minorHAnsi" w:hAnsiTheme="minorHAnsi" w:cstheme="minorHAnsi"/>
                <w:color w:val="808080" w:themeColor="background1" w:themeShade="80"/>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3085"/>
        <w:gridCol w:w="5954"/>
      </w:tblGrid>
      <w:tr w:rsidR="0000688A" w:rsidRPr="00C90060" w:rsidTr="009E18CA">
        <w:tc>
          <w:tcPr>
            <w:tcW w:w="3085" w:type="dxa"/>
          </w:tcPr>
          <w:p w:rsidR="00C90060"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Pr="00C90060" w:rsidRDefault="00C90060" w:rsidP="00C90060">
            <w:pPr>
              <w:rPr>
                <w:rFonts w:asciiTheme="minorHAnsi" w:hAnsiTheme="minorHAnsi" w:cstheme="minorHAnsi"/>
                <w:b/>
              </w:rPr>
            </w:pPr>
          </w:p>
        </w:tc>
        <w:tc>
          <w:tcPr>
            <w:tcW w:w="5954" w:type="dxa"/>
          </w:tcPr>
          <w:p w:rsidR="0000688A" w:rsidRPr="00F1677A" w:rsidRDefault="00F1677A" w:rsidP="00276682">
            <w:pPr>
              <w:rPr>
                <w:rFonts w:asciiTheme="minorHAnsi" w:hAnsiTheme="minorHAnsi" w:cstheme="minorHAnsi"/>
              </w:rPr>
            </w:pPr>
            <w:r w:rsidRPr="00F1677A">
              <w:rPr>
                <w:rFonts w:asciiTheme="minorHAnsi" w:hAnsiTheme="minorHAnsi" w:cstheme="minorHAnsi"/>
              </w:rPr>
              <w:t>Annual report Summary for RECs in England April 201</w:t>
            </w:r>
            <w:r w:rsidR="0071438E">
              <w:rPr>
                <w:rFonts w:asciiTheme="minorHAnsi" w:hAnsiTheme="minorHAnsi" w:cstheme="minorHAnsi"/>
              </w:rPr>
              <w:t>7</w:t>
            </w:r>
            <w:r w:rsidRPr="00F1677A">
              <w:rPr>
                <w:rFonts w:asciiTheme="minorHAnsi" w:hAnsiTheme="minorHAnsi" w:cstheme="minorHAnsi"/>
              </w:rPr>
              <w:t xml:space="preserve"> – March</w:t>
            </w:r>
            <w:r w:rsidR="0071438E">
              <w:rPr>
                <w:rFonts w:asciiTheme="minorHAnsi" w:hAnsiTheme="minorHAnsi" w:cstheme="minorHAnsi"/>
              </w:rPr>
              <w:t xml:space="preserve"> </w:t>
            </w:r>
            <w:r w:rsidRPr="00F1677A">
              <w:rPr>
                <w:rFonts w:asciiTheme="minorHAnsi" w:hAnsiTheme="minorHAnsi" w:cstheme="minorHAnsi"/>
              </w:rPr>
              <w:t>201</w:t>
            </w:r>
            <w:r w:rsidR="0071438E">
              <w:rPr>
                <w:rFonts w:asciiTheme="minorHAnsi" w:hAnsiTheme="minorHAnsi" w:cstheme="minorHAnsi"/>
              </w:rPr>
              <w:t>8</w:t>
            </w:r>
          </w:p>
          <w:p w:rsidR="0000688A" w:rsidRPr="00C90060" w:rsidRDefault="0000688A" w:rsidP="00276682">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Purpose of Paper:</w:t>
            </w:r>
          </w:p>
          <w:p w:rsidR="0082258E" w:rsidRPr="00C90060" w:rsidRDefault="0082258E" w:rsidP="00AE2C5E">
            <w:pPr>
              <w:rPr>
                <w:rFonts w:asciiTheme="minorHAnsi" w:hAnsiTheme="minorHAnsi" w:cstheme="minorHAnsi"/>
                <w:b/>
              </w:rPr>
            </w:pPr>
          </w:p>
        </w:tc>
        <w:tc>
          <w:tcPr>
            <w:tcW w:w="5954" w:type="dxa"/>
          </w:tcPr>
          <w:p w:rsidR="0000688A" w:rsidRPr="0000109F" w:rsidRDefault="00F1677A" w:rsidP="00AE2C5E">
            <w:pPr>
              <w:rPr>
                <w:rFonts w:asciiTheme="minorHAnsi" w:hAnsiTheme="minorHAnsi" w:cstheme="minorHAnsi"/>
              </w:rPr>
            </w:pPr>
            <w:r w:rsidRPr="0000109F">
              <w:rPr>
                <w:rFonts w:asciiTheme="minorHAnsi" w:hAnsiTheme="minorHAnsi" w:cstheme="minorHAnsi"/>
              </w:rPr>
              <w:t>To provide a management summary for the Heath Research Authority of the annual reports for the Research Ethics Committees (RECs) in England. This summary will enable the Board to discharge its function to monitor the performance of the RECs against the requirements of the Governance Arrangements for Research Ethics Committees (GAfREC – harmonised edition September 2011) which requires submission of the reports to the Board.</w:t>
            </w:r>
          </w:p>
          <w:p w:rsidR="0000688A" w:rsidRPr="0000109F" w:rsidRDefault="0000688A" w:rsidP="00AE2C5E">
            <w:pPr>
              <w:rPr>
                <w:rFonts w:asciiTheme="minorHAnsi" w:hAnsiTheme="minorHAnsi" w:cstheme="minorHAnsi"/>
              </w:rPr>
            </w:pPr>
          </w:p>
        </w:tc>
      </w:tr>
      <w:tr w:rsidR="0082258E" w:rsidRPr="00C90060" w:rsidTr="009E18CA">
        <w:tc>
          <w:tcPr>
            <w:tcW w:w="3085" w:type="dxa"/>
          </w:tcPr>
          <w:p w:rsidR="00C90060" w:rsidRPr="00C90060" w:rsidRDefault="0082258E" w:rsidP="00AE2C5E">
            <w:pPr>
              <w:rPr>
                <w:rFonts w:asciiTheme="minorHAnsi" w:hAnsiTheme="minorHAnsi" w:cstheme="minorHAnsi"/>
                <w:b/>
              </w:rPr>
            </w:pPr>
            <w:r w:rsidRPr="00C90060">
              <w:rPr>
                <w:rFonts w:asciiTheme="minorHAnsi" w:hAnsiTheme="minorHAnsi" w:cstheme="minorHAnsi"/>
                <w:b/>
              </w:rPr>
              <w:t>Reason for Submission:</w:t>
            </w:r>
          </w:p>
          <w:p w:rsidR="0082258E" w:rsidRPr="00C90060" w:rsidRDefault="0082258E" w:rsidP="00AE2C5E">
            <w:pPr>
              <w:rPr>
                <w:rFonts w:asciiTheme="minorHAnsi" w:hAnsiTheme="minorHAnsi" w:cstheme="minorHAnsi"/>
                <w:b/>
              </w:rPr>
            </w:pPr>
          </w:p>
        </w:tc>
        <w:tc>
          <w:tcPr>
            <w:tcW w:w="5954" w:type="dxa"/>
          </w:tcPr>
          <w:p w:rsidR="0000688A" w:rsidRPr="0000109F" w:rsidRDefault="00F1677A" w:rsidP="00F1677A">
            <w:pPr>
              <w:contextualSpacing/>
              <w:rPr>
                <w:rFonts w:asciiTheme="minorHAnsi" w:hAnsiTheme="minorHAnsi" w:cstheme="minorHAnsi"/>
              </w:rPr>
            </w:pPr>
            <w:r w:rsidRPr="0000109F">
              <w:rPr>
                <w:rFonts w:asciiTheme="minorHAnsi" w:hAnsiTheme="minorHAnsi" w:cstheme="minorHAnsi"/>
              </w:rPr>
              <w:t>To provide a recommendation to the Board to receive and adopt the annual reports for the RECs in England and to publish them on its website.</w:t>
            </w:r>
            <w:r w:rsidR="00352595" w:rsidRPr="0000109F">
              <w:rPr>
                <w:rFonts w:asciiTheme="minorHAnsi" w:hAnsiTheme="minorHAnsi" w:cstheme="minorHAnsi"/>
              </w:rPr>
              <w:t xml:space="preserve"> </w:t>
            </w:r>
          </w:p>
          <w:p w:rsidR="00F1677A" w:rsidRPr="0000109F" w:rsidRDefault="00F1677A" w:rsidP="00F1677A">
            <w:pPr>
              <w:contextualSpacing/>
              <w:rPr>
                <w:rFonts w:asciiTheme="minorHAnsi" w:hAnsiTheme="minorHAnsi" w:cstheme="minorHAnsi"/>
              </w:rPr>
            </w:pPr>
          </w:p>
        </w:tc>
      </w:tr>
      <w:tr w:rsidR="00C90060" w:rsidRPr="00C90060" w:rsidTr="009E18CA">
        <w:tc>
          <w:tcPr>
            <w:tcW w:w="3085" w:type="dxa"/>
          </w:tcPr>
          <w:p w:rsidR="00352595" w:rsidRDefault="00352595" w:rsidP="00352595">
            <w:pPr>
              <w:rPr>
                <w:rFonts w:asciiTheme="minorHAnsi" w:hAnsiTheme="minorHAnsi" w:cstheme="minorHAnsi"/>
                <w:b/>
              </w:rPr>
            </w:pPr>
            <w:r w:rsidRPr="00C90060">
              <w:rPr>
                <w:rFonts w:asciiTheme="minorHAnsi" w:hAnsiTheme="minorHAnsi" w:cstheme="minorHAnsi"/>
                <w:b/>
              </w:rPr>
              <w:t>Details:</w:t>
            </w:r>
          </w:p>
          <w:p w:rsidR="009E18CA" w:rsidRDefault="009E18CA" w:rsidP="009E18CA">
            <w:pPr>
              <w:rPr>
                <w:rFonts w:asciiTheme="minorHAnsi" w:hAnsiTheme="minorHAnsi" w:cstheme="minorHAnsi"/>
                <w:b/>
              </w:rPr>
            </w:pPr>
          </w:p>
          <w:p w:rsidR="009E18CA" w:rsidRPr="00C90060" w:rsidRDefault="009E18CA" w:rsidP="009E18CA">
            <w:pPr>
              <w:rPr>
                <w:rFonts w:asciiTheme="minorHAnsi" w:hAnsiTheme="minorHAnsi" w:cstheme="minorHAnsi"/>
                <w:b/>
              </w:rPr>
            </w:pPr>
          </w:p>
        </w:tc>
        <w:tc>
          <w:tcPr>
            <w:tcW w:w="5954" w:type="dxa"/>
          </w:tcPr>
          <w:p w:rsidR="0000109F" w:rsidRPr="00986A88" w:rsidRDefault="0000109F" w:rsidP="00F34B48">
            <w:pPr>
              <w:rPr>
                <w:rFonts w:asciiTheme="minorHAnsi" w:hAnsiTheme="minorHAnsi" w:cstheme="minorHAnsi"/>
              </w:rPr>
            </w:pPr>
            <w:r w:rsidRPr="00986A88">
              <w:rPr>
                <w:rFonts w:asciiTheme="minorHAnsi" w:hAnsiTheme="minorHAnsi" w:cstheme="minorHAnsi"/>
              </w:rPr>
              <w:t>The summary report is attached.</w:t>
            </w:r>
          </w:p>
          <w:p w:rsidR="0000109F" w:rsidRPr="00986A88" w:rsidRDefault="0000109F" w:rsidP="00F34B48">
            <w:pPr>
              <w:rPr>
                <w:rFonts w:asciiTheme="minorHAnsi" w:hAnsiTheme="minorHAnsi" w:cstheme="minorHAnsi"/>
              </w:rPr>
            </w:pPr>
          </w:p>
          <w:p w:rsidR="0000109F" w:rsidRPr="00986A88" w:rsidRDefault="0000109F" w:rsidP="00F34B48">
            <w:pPr>
              <w:rPr>
                <w:rFonts w:asciiTheme="minorHAnsi" w:hAnsiTheme="minorHAnsi" w:cstheme="minorHAnsi"/>
              </w:rPr>
            </w:pPr>
            <w:r w:rsidRPr="00986A88">
              <w:rPr>
                <w:rFonts w:asciiTheme="minorHAnsi" w:hAnsiTheme="minorHAnsi" w:cstheme="minorHAnsi"/>
              </w:rPr>
              <w:t>RECs have continued to meet statutory timelines for the review of new applications and substantial amendments; this is excellent across the service. A significant number of RECs are meeting 100% of all statutory timelines.</w:t>
            </w:r>
          </w:p>
          <w:p w:rsidR="0000109F" w:rsidRPr="00986A88" w:rsidRDefault="0000109F" w:rsidP="00F34B48">
            <w:pPr>
              <w:rPr>
                <w:rFonts w:asciiTheme="minorHAnsi" w:hAnsiTheme="minorHAnsi" w:cstheme="minorHAnsi"/>
              </w:rPr>
            </w:pPr>
          </w:p>
          <w:p w:rsidR="00986A88" w:rsidRPr="00986A88" w:rsidRDefault="00422240" w:rsidP="00F34B48">
            <w:pPr>
              <w:rPr>
                <w:rFonts w:asciiTheme="minorHAnsi" w:hAnsiTheme="minorHAnsi" w:cstheme="minorHAnsi"/>
              </w:rPr>
            </w:pPr>
            <w:r>
              <w:rPr>
                <w:rFonts w:asciiTheme="minorHAnsi" w:hAnsiTheme="minorHAnsi" w:cstheme="minorHAnsi"/>
              </w:rPr>
              <w:t xml:space="preserve">Compliance with the timeline for PR </w:t>
            </w:r>
            <w:r w:rsidR="0071438E">
              <w:rPr>
                <w:rFonts w:asciiTheme="minorHAnsi" w:hAnsiTheme="minorHAnsi" w:cstheme="minorHAnsi"/>
              </w:rPr>
              <w:t>has decreased overall</w:t>
            </w:r>
            <w:r w:rsidR="00986A88" w:rsidRPr="00986A88">
              <w:rPr>
                <w:rFonts w:asciiTheme="minorHAnsi" w:hAnsiTheme="minorHAnsi" w:cstheme="minorHAnsi"/>
              </w:rPr>
              <w:t xml:space="preserve"> but again a number of RECs met 100% of </w:t>
            </w:r>
            <w:r>
              <w:rPr>
                <w:rFonts w:asciiTheme="minorHAnsi" w:hAnsiTheme="minorHAnsi" w:cstheme="minorHAnsi"/>
              </w:rPr>
              <w:t xml:space="preserve">the </w:t>
            </w:r>
            <w:r w:rsidR="00986A88" w:rsidRPr="00986A88">
              <w:rPr>
                <w:rFonts w:asciiTheme="minorHAnsi" w:hAnsiTheme="minorHAnsi" w:cstheme="minorHAnsi"/>
              </w:rPr>
              <w:t>target.</w:t>
            </w:r>
          </w:p>
          <w:p w:rsidR="00986A88" w:rsidRPr="00986A88" w:rsidRDefault="00986A88" w:rsidP="00F34B48">
            <w:pPr>
              <w:rPr>
                <w:rFonts w:asciiTheme="minorHAnsi" w:hAnsiTheme="minorHAnsi" w:cstheme="minorHAnsi"/>
              </w:rPr>
            </w:pPr>
          </w:p>
          <w:p w:rsidR="00C90060" w:rsidRDefault="00986A88" w:rsidP="00986A88">
            <w:pPr>
              <w:rPr>
                <w:rFonts w:asciiTheme="minorHAnsi" w:hAnsiTheme="minorHAnsi" w:cstheme="minorHAnsi"/>
              </w:rPr>
            </w:pPr>
            <w:r w:rsidRPr="00986A88">
              <w:rPr>
                <w:rFonts w:asciiTheme="minorHAnsi" w:hAnsiTheme="minorHAnsi" w:cstheme="minorHAnsi"/>
              </w:rPr>
              <w:t>Individual REC reports have been prepared and are available to the Board.</w:t>
            </w:r>
          </w:p>
          <w:p w:rsidR="00632620" w:rsidRPr="00F51E3D" w:rsidRDefault="00632620" w:rsidP="00986A88">
            <w:pPr>
              <w:rPr>
                <w:rFonts w:asciiTheme="minorHAnsi" w:hAnsiTheme="minorHAnsi" w:cstheme="minorHAnsi"/>
                <w:i/>
                <w:color w:val="808080" w:themeColor="background1" w:themeShade="80"/>
              </w:rPr>
            </w:pPr>
          </w:p>
        </w:tc>
      </w:tr>
      <w:tr w:rsidR="00352595" w:rsidRPr="00C90060" w:rsidTr="009E18CA">
        <w:tc>
          <w:tcPr>
            <w:tcW w:w="3085" w:type="dxa"/>
          </w:tcPr>
          <w:p w:rsidR="00352595" w:rsidRPr="00196E26" w:rsidRDefault="00352595" w:rsidP="00352595">
            <w:pPr>
              <w:rPr>
                <w:rFonts w:asciiTheme="minorHAnsi" w:hAnsiTheme="minorHAnsi" w:cstheme="minorHAnsi"/>
                <w:b/>
              </w:rPr>
            </w:pPr>
            <w:r w:rsidRPr="00196E26">
              <w:rPr>
                <w:rFonts w:asciiTheme="minorHAnsi" w:hAnsiTheme="minorHAnsi" w:cstheme="minorHAnsi"/>
                <w:b/>
              </w:rPr>
              <w:t>Lead reviewer (if applicable):</w:t>
            </w:r>
          </w:p>
          <w:p w:rsidR="00352595" w:rsidRPr="00196E26" w:rsidRDefault="00352595" w:rsidP="009E18CA">
            <w:pPr>
              <w:rPr>
                <w:rFonts w:asciiTheme="minorHAnsi" w:hAnsiTheme="minorHAnsi" w:cstheme="minorHAnsi"/>
                <w:b/>
              </w:rPr>
            </w:pPr>
          </w:p>
        </w:tc>
        <w:tc>
          <w:tcPr>
            <w:tcW w:w="5954" w:type="dxa"/>
          </w:tcPr>
          <w:p w:rsidR="00352595" w:rsidRPr="00196E26" w:rsidRDefault="00196E26" w:rsidP="00632620">
            <w:pPr>
              <w:rPr>
                <w:rFonts w:asciiTheme="minorHAnsi" w:hAnsiTheme="minorHAnsi" w:cstheme="minorHAnsi"/>
              </w:rPr>
            </w:pPr>
            <w:r w:rsidRPr="00196E26">
              <w:rPr>
                <w:rFonts w:asciiTheme="minorHAnsi" w:hAnsiTheme="minorHAnsi" w:cstheme="minorHAnsi"/>
              </w:rPr>
              <w:t>Approved by LT</w:t>
            </w:r>
          </w:p>
        </w:tc>
      </w:tr>
      <w:tr w:rsidR="00C90060" w:rsidRPr="00C90060" w:rsidTr="009E18CA">
        <w:tc>
          <w:tcPr>
            <w:tcW w:w="3085" w:type="dxa"/>
          </w:tcPr>
          <w:p w:rsidR="00C90060" w:rsidRPr="00C90060" w:rsidRDefault="00C90060" w:rsidP="009E18CA">
            <w:pPr>
              <w:rPr>
                <w:rFonts w:asciiTheme="minorHAnsi" w:hAnsiTheme="minorHAnsi" w:cstheme="minorHAnsi"/>
                <w:b/>
              </w:rPr>
            </w:pPr>
            <w:r>
              <w:rPr>
                <w:rFonts w:asciiTheme="minorHAnsi" w:hAnsiTheme="minorHAnsi" w:cstheme="minorHAnsi"/>
                <w:b/>
              </w:rPr>
              <w:t>Time required for item:</w:t>
            </w:r>
          </w:p>
        </w:tc>
        <w:tc>
          <w:tcPr>
            <w:tcW w:w="5954" w:type="dxa"/>
          </w:tcPr>
          <w:p w:rsidR="009E18CA" w:rsidRPr="00196E26" w:rsidRDefault="00196E26" w:rsidP="00196E26">
            <w:pPr>
              <w:rPr>
                <w:rFonts w:asciiTheme="minorHAnsi" w:hAnsiTheme="minorHAnsi" w:cstheme="minorHAnsi"/>
                <w:b/>
              </w:rPr>
            </w:pPr>
            <w:r w:rsidRPr="00196E26">
              <w:rPr>
                <w:rFonts w:asciiTheme="minorHAnsi" w:hAnsiTheme="minorHAnsi" w:cstheme="minorHAnsi"/>
              </w:rPr>
              <w:t>10 mins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3085"/>
        <w:gridCol w:w="1202"/>
        <w:gridCol w:w="3690"/>
        <w:gridCol w:w="1062"/>
      </w:tblGrid>
      <w:tr w:rsidR="00E93D47" w:rsidRPr="00C90060" w:rsidTr="009E18CA">
        <w:tc>
          <w:tcPr>
            <w:tcW w:w="3085"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BD0800">
            <w:pPr>
              <w:rPr>
                <w:rFonts w:asciiTheme="minorHAnsi" w:hAnsiTheme="minorHAnsi" w:cstheme="minorHAnsi"/>
                <w:b/>
              </w:rPr>
            </w:pPr>
            <w:r>
              <w:rPr>
                <w:rFonts w:asciiTheme="minorHAnsi" w:hAnsiTheme="minorHAnsi" w:cstheme="minorHAnsi"/>
                <w:b/>
              </w:rPr>
              <w:t>To a</w:t>
            </w:r>
            <w:r w:rsidR="00E93D47" w:rsidRPr="00C90060">
              <w:rPr>
                <w:rFonts w:asciiTheme="minorHAnsi" w:hAnsiTheme="minorHAnsi" w:cstheme="minorHAnsi"/>
                <w:b/>
              </w:rPr>
              <w:t>pprove</w:t>
            </w:r>
          </w:p>
        </w:tc>
        <w:tc>
          <w:tcPr>
            <w:tcW w:w="1062" w:type="dxa"/>
            <w:shd w:val="clear" w:color="auto" w:fill="auto"/>
          </w:tcPr>
          <w:p w:rsidR="00E93D47" w:rsidRPr="00C90060" w:rsidRDefault="00196E26" w:rsidP="00BD0800">
            <w:pPr>
              <w:rPr>
                <w:rFonts w:asciiTheme="minorHAnsi" w:hAnsiTheme="minorHAnsi" w:cstheme="minorHAnsi"/>
                <w:b/>
              </w:rPr>
            </w:pPr>
            <w:r>
              <w:rPr>
                <w:rFonts w:asciiTheme="minorHAnsi" w:hAnsiTheme="minorHAnsi" w:cstheme="minorHAnsi"/>
                <w:b/>
              </w:rPr>
              <w:t>x</w:t>
            </w: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4892" w:type="dxa"/>
            <w:gridSpan w:val="2"/>
            <w:shd w:val="clear" w:color="auto" w:fill="D9D9D9" w:themeFill="background1" w:themeFillShade="D9"/>
          </w:tcPr>
          <w:p w:rsidR="00E93D47" w:rsidRPr="00C90060" w:rsidRDefault="00352595" w:rsidP="00352595">
            <w:pPr>
              <w:rPr>
                <w:rFonts w:asciiTheme="minorHAnsi" w:hAnsiTheme="minorHAnsi" w:cstheme="minorHAnsi"/>
                <w:b/>
              </w:rPr>
            </w:pPr>
            <w:r>
              <w:rPr>
                <w:rFonts w:asciiTheme="minorHAnsi" w:hAnsiTheme="minorHAnsi" w:cstheme="minorHAnsi"/>
                <w:b/>
              </w:rPr>
              <w:t>For information / t</w:t>
            </w:r>
            <w:r w:rsidR="00E93D47" w:rsidRPr="00C90060">
              <w:rPr>
                <w:rFonts w:asciiTheme="minorHAnsi" w:hAnsiTheme="minorHAnsi" w:cstheme="minorHAnsi"/>
                <w:b/>
              </w:rPr>
              <w:t xml:space="preserve">o </w:t>
            </w:r>
            <w:r>
              <w:rPr>
                <w:rFonts w:asciiTheme="minorHAnsi" w:hAnsiTheme="minorHAnsi" w:cstheme="minorHAnsi"/>
                <w:b/>
              </w:rPr>
              <w:t>n</w:t>
            </w:r>
            <w:r w:rsidR="00E93D47" w:rsidRPr="00C90060">
              <w:rPr>
                <w:rFonts w:asciiTheme="minorHAnsi" w:hAnsiTheme="minorHAnsi" w:cstheme="minorHAnsi"/>
                <w:b/>
              </w:rPr>
              <w:t>ote</w:t>
            </w:r>
          </w:p>
        </w:tc>
        <w:tc>
          <w:tcPr>
            <w:tcW w:w="1062" w:type="dxa"/>
            <w:shd w:val="clear" w:color="auto" w:fill="auto"/>
          </w:tcPr>
          <w:p w:rsidR="00E93D47" w:rsidRPr="00C90060" w:rsidRDefault="00E93D47" w:rsidP="00BD0800">
            <w:pPr>
              <w:rPr>
                <w:rFonts w:asciiTheme="minorHAnsi" w:hAnsiTheme="minorHAnsi" w:cstheme="minorHAnsi"/>
                <w:b/>
              </w:rPr>
            </w:pPr>
          </w:p>
        </w:tc>
      </w:tr>
      <w:tr w:rsidR="008B043D" w:rsidRPr="00C90060" w:rsidTr="009E18CA">
        <w:tc>
          <w:tcPr>
            <w:tcW w:w="3085"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4892" w:type="dxa"/>
            <w:gridSpan w:val="2"/>
            <w:shd w:val="clear" w:color="auto" w:fill="D9D9D9" w:themeFill="background1" w:themeFillShade="D9"/>
          </w:tcPr>
          <w:p w:rsidR="008B043D" w:rsidRPr="00C90060" w:rsidRDefault="00352595" w:rsidP="00BD0800">
            <w:pPr>
              <w:rPr>
                <w:rFonts w:asciiTheme="minorHAnsi" w:hAnsiTheme="minorHAnsi" w:cstheme="minorHAnsi"/>
                <w:b/>
              </w:rPr>
            </w:pPr>
            <w:r>
              <w:rPr>
                <w:rFonts w:asciiTheme="minorHAnsi" w:hAnsiTheme="minorHAnsi" w:cstheme="minorHAnsi"/>
                <w:b/>
              </w:rPr>
              <w:t>For d</w:t>
            </w:r>
            <w:r w:rsidR="008B043D" w:rsidRPr="00C90060">
              <w:rPr>
                <w:rFonts w:asciiTheme="minorHAnsi" w:hAnsiTheme="minorHAnsi" w:cstheme="minorHAnsi"/>
                <w:b/>
              </w:rPr>
              <w:t>iscussion</w:t>
            </w:r>
          </w:p>
        </w:tc>
        <w:tc>
          <w:tcPr>
            <w:tcW w:w="1062" w:type="dxa"/>
            <w:shd w:val="clear" w:color="auto" w:fill="auto"/>
          </w:tcPr>
          <w:p w:rsidR="008B043D" w:rsidRPr="00C90060" w:rsidRDefault="008B043D" w:rsidP="00BD0800">
            <w:pPr>
              <w:rPr>
                <w:rFonts w:asciiTheme="minorHAnsi" w:hAnsiTheme="minorHAnsi" w:cstheme="minorHAnsi"/>
                <w:b/>
              </w:rPr>
            </w:pPr>
          </w:p>
        </w:tc>
      </w:tr>
      <w:tr w:rsidR="00E93D47" w:rsidRPr="00C90060" w:rsidTr="009E18CA">
        <w:tc>
          <w:tcPr>
            <w:tcW w:w="3085"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202"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752" w:type="dxa"/>
            <w:gridSpan w:val="2"/>
            <w:shd w:val="clear" w:color="auto" w:fill="auto"/>
          </w:tcPr>
          <w:p w:rsidR="00E93D47" w:rsidRPr="00C90060" w:rsidRDefault="00E93D47" w:rsidP="00BD0800">
            <w:pPr>
              <w:rPr>
                <w:rFonts w:asciiTheme="minorHAnsi" w:hAnsiTheme="minorHAnsi" w:cstheme="minorHAnsi"/>
                <w:b/>
              </w:rPr>
            </w:pPr>
            <w:bookmarkStart w:id="0" w:name="_GoBack"/>
            <w:bookmarkEnd w:id="0"/>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411"/>
      </w:tblGrid>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411" w:type="dxa"/>
          </w:tcPr>
          <w:p w:rsidR="00151DBF" w:rsidRPr="00C90060" w:rsidRDefault="0000109F" w:rsidP="00AE2C5E">
            <w:pPr>
              <w:rPr>
                <w:rFonts w:asciiTheme="minorHAnsi" w:hAnsiTheme="minorHAnsi" w:cstheme="minorHAnsi"/>
              </w:rPr>
            </w:pPr>
            <w:r>
              <w:rPr>
                <w:rFonts w:asciiTheme="minorHAnsi" w:hAnsiTheme="minorHAnsi" w:cstheme="minorHAnsi"/>
              </w:rPr>
              <w:t>Ann Tunley</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411" w:type="dxa"/>
          </w:tcPr>
          <w:p w:rsidR="00151DBF" w:rsidRPr="00C90060" w:rsidRDefault="0000109F" w:rsidP="00AE2C5E">
            <w:pPr>
              <w:rPr>
                <w:rFonts w:asciiTheme="minorHAnsi" w:hAnsiTheme="minorHAnsi" w:cstheme="minorHAnsi"/>
              </w:rPr>
            </w:pPr>
            <w:r>
              <w:rPr>
                <w:rFonts w:asciiTheme="minorHAnsi" w:hAnsiTheme="minorHAnsi" w:cstheme="minorHAnsi"/>
              </w:rPr>
              <w:t>Head of Research Ethics Service (England)</w:t>
            </w:r>
          </w:p>
          <w:p w:rsidR="00151DBF" w:rsidRPr="00C90060" w:rsidRDefault="00151DBF" w:rsidP="00AE2C5E">
            <w:pPr>
              <w:rPr>
                <w:rFonts w:asciiTheme="minorHAnsi" w:hAnsiTheme="minorHAnsi" w:cstheme="minorHAnsi"/>
              </w:rPr>
            </w:pPr>
          </w:p>
        </w:tc>
      </w:tr>
      <w:tr w:rsidR="00151DBF" w:rsidRPr="00C90060" w:rsidTr="009E18CA">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411" w:type="dxa"/>
          </w:tcPr>
          <w:p w:rsidR="00151DBF" w:rsidRPr="00C90060" w:rsidRDefault="0071438E" w:rsidP="00AE2C5E">
            <w:pPr>
              <w:rPr>
                <w:rFonts w:asciiTheme="minorHAnsi" w:hAnsiTheme="minorHAnsi" w:cstheme="minorHAnsi"/>
              </w:rPr>
            </w:pPr>
            <w:r>
              <w:rPr>
                <w:rFonts w:asciiTheme="minorHAnsi" w:hAnsiTheme="minorHAnsi" w:cstheme="minorHAnsi"/>
              </w:rPr>
              <w:t>August 2018</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F51E3D">
      <w:headerReference w:type="default" r:id="rId9"/>
      <w:headerReference w:type="first" r:id="rId10"/>
      <w:pgSz w:w="11907" w:h="16840" w:code="9"/>
      <w:pgMar w:top="1134" w:right="850" w:bottom="1134" w:left="1560" w:header="567" w:footer="7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1B0E16" w:rsidP="00E068B3">
    <w:pPr>
      <w:pStyle w:val="Header"/>
      <w:ind w:left="-720" w:right="-71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3D" w:rsidRDefault="00F34B48" w:rsidP="00F51E3D">
    <w:pPr>
      <w:pStyle w:val="Header"/>
      <w:jc w:val="right"/>
    </w:pPr>
    <w:r>
      <w:rPr>
        <w:noProof/>
        <w:lang w:eastAsia="en-GB"/>
      </w:rPr>
      <w:drawing>
        <wp:inline distT="0" distB="0" distL="0" distR="0" wp14:anchorId="052E3015" wp14:editId="57F7497A">
          <wp:extent cx="1238250" cy="6525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BD795D"/>
    <w:multiLevelType w:val="multilevel"/>
    <w:tmpl w:val="64824F70"/>
    <w:lvl w:ilvl="0">
      <w:start w:val="1"/>
      <w:numFmt w:val="decimal"/>
      <w:lvlText w:val="%1."/>
      <w:lvlJc w:val="left"/>
      <w:pPr>
        <w:ind w:left="360" w:hanging="360"/>
      </w:pPr>
      <w:rPr>
        <w:rFonts w:hint="default"/>
        <w:b/>
      </w:rPr>
    </w:lvl>
    <w:lvl w:ilvl="1">
      <w:start w:val="1"/>
      <w:numFmt w:val="decimal"/>
      <w:lvlText w:val="%1.%2."/>
      <w:lvlJc w:val="left"/>
      <w:pPr>
        <w:ind w:left="1008" w:hanging="576"/>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14" w:hanging="7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6"/>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5"/>
  </w:num>
  <w:num w:numId="22">
    <w:abstractNumId w:val="18"/>
  </w:num>
  <w:num w:numId="23">
    <w:abstractNumId w:val="21"/>
  </w:num>
  <w:num w:numId="24">
    <w:abstractNumId w:val="6"/>
  </w:num>
  <w:num w:numId="25">
    <w:abstractNumId w:val="26"/>
  </w:num>
  <w:num w:numId="26">
    <w:abstractNumId w:val="38"/>
  </w:num>
  <w:num w:numId="27">
    <w:abstractNumId w:val="15"/>
  </w:num>
  <w:num w:numId="28">
    <w:abstractNumId w:val="32"/>
  </w:num>
  <w:num w:numId="29">
    <w:abstractNumId w:val="28"/>
  </w:num>
  <w:num w:numId="30">
    <w:abstractNumId w:val="11"/>
  </w:num>
  <w:num w:numId="31">
    <w:abstractNumId w:val="37"/>
  </w:num>
  <w:num w:numId="32">
    <w:abstractNumId w:val="14"/>
  </w:num>
  <w:num w:numId="33">
    <w:abstractNumId w:val="23"/>
  </w:num>
  <w:num w:numId="34">
    <w:abstractNumId w:val="42"/>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1"/>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109F"/>
    <w:rsid w:val="00002037"/>
    <w:rsid w:val="0000688A"/>
    <w:rsid w:val="0001520F"/>
    <w:rsid w:val="0001579B"/>
    <w:rsid w:val="00031E55"/>
    <w:rsid w:val="00032018"/>
    <w:rsid w:val="00034690"/>
    <w:rsid w:val="000664B1"/>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96E26"/>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52595"/>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2240"/>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2620"/>
    <w:rsid w:val="0063397F"/>
    <w:rsid w:val="006501B4"/>
    <w:rsid w:val="00650770"/>
    <w:rsid w:val="0065384C"/>
    <w:rsid w:val="00661712"/>
    <w:rsid w:val="00662C00"/>
    <w:rsid w:val="006727FE"/>
    <w:rsid w:val="00673D95"/>
    <w:rsid w:val="0067520E"/>
    <w:rsid w:val="00676851"/>
    <w:rsid w:val="00683C84"/>
    <w:rsid w:val="006A3631"/>
    <w:rsid w:val="006A7595"/>
    <w:rsid w:val="006B5376"/>
    <w:rsid w:val="006B7A8D"/>
    <w:rsid w:val="006C5258"/>
    <w:rsid w:val="006D039A"/>
    <w:rsid w:val="006D1922"/>
    <w:rsid w:val="006D37A9"/>
    <w:rsid w:val="006D515A"/>
    <w:rsid w:val="006E07C7"/>
    <w:rsid w:val="006F0655"/>
    <w:rsid w:val="006F77AB"/>
    <w:rsid w:val="00703B1A"/>
    <w:rsid w:val="00704C22"/>
    <w:rsid w:val="00705F0F"/>
    <w:rsid w:val="00706270"/>
    <w:rsid w:val="00710AEF"/>
    <w:rsid w:val="0071438E"/>
    <w:rsid w:val="00717BF6"/>
    <w:rsid w:val="00717E0A"/>
    <w:rsid w:val="00731474"/>
    <w:rsid w:val="007607A8"/>
    <w:rsid w:val="00767841"/>
    <w:rsid w:val="00774D38"/>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A88"/>
    <w:rsid w:val="00986DBB"/>
    <w:rsid w:val="00987871"/>
    <w:rsid w:val="00995D46"/>
    <w:rsid w:val="00996564"/>
    <w:rsid w:val="009A1D17"/>
    <w:rsid w:val="009A35FA"/>
    <w:rsid w:val="009B7ADC"/>
    <w:rsid w:val="009D119A"/>
    <w:rsid w:val="009E18CA"/>
    <w:rsid w:val="009E5183"/>
    <w:rsid w:val="009F234C"/>
    <w:rsid w:val="009F3946"/>
    <w:rsid w:val="009F44FD"/>
    <w:rsid w:val="00A0218A"/>
    <w:rsid w:val="00A06B20"/>
    <w:rsid w:val="00A10A0A"/>
    <w:rsid w:val="00A13804"/>
    <w:rsid w:val="00A262B0"/>
    <w:rsid w:val="00A330ED"/>
    <w:rsid w:val="00A34004"/>
    <w:rsid w:val="00A43609"/>
    <w:rsid w:val="00A43714"/>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15B2"/>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E5E52"/>
    <w:rsid w:val="00EF1675"/>
    <w:rsid w:val="00EF1E64"/>
    <w:rsid w:val="00EF3A3D"/>
    <w:rsid w:val="00EF727C"/>
    <w:rsid w:val="00F126A6"/>
    <w:rsid w:val="00F13444"/>
    <w:rsid w:val="00F1677A"/>
    <w:rsid w:val="00F207D7"/>
    <w:rsid w:val="00F227F0"/>
    <w:rsid w:val="00F34B48"/>
    <w:rsid w:val="00F51E3D"/>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27432F8-08B3-4702-82BB-83317C4A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3</cp:revision>
  <cp:lastPrinted>2013-01-08T15:55:00Z</cp:lastPrinted>
  <dcterms:created xsi:type="dcterms:W3CDTF">2018-08-29T08:58:00Z</dcterms:created>
  <dcterms:modified xsi:type="dcterms:W3CDTF">2018-09-18T13:25:00Z</dcterms:modified>
</cp:coreProperties>
</file>