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43206C"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43206C"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7F458D" w:rsidRPr="00A5757C" w:rsidRDefault="00092A9E"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4</w:t>
            </w:r>
            <w:r w:rsidRPr="00092A9E">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November</w:t>
            </w:r>
            <w:r w:rsidR="008D3436">
              <w:rPr>
                <w:rFonts w:asciiTheme="minorHAnsi" w:eastAsiaTheme="minorHAnsi" w:hAnsiTheme="minorHAnsi" w:cstheme="minorHAnsi"/>
                <w:lang w:eastAsia="en-US"/>
              </w:rPr>
              <w:t xml:space="preserve"> </w:t>
            </w:r>
            <w:r w:rsidR="00A5757C">
              <w:rPr>
                <w:rFonts w:asciiTheme="minorHAnsi" w:eastAsiaTheme="minorHAnsi" w:hAnsiTheme="minorHAnsi" w:cstheme="minorHAnsi"/>
                <w:lang w:eastAsia="en-US"/>
              </w:rPr>
              <w:t xml:space="preserve">2016 - </w:t>
            </w:r>
            <w:r w:rsidR="007F458D" w:rsidRPr="00A5757C">
              <w:rPr>
                <w:rFonts w:asciiTheme="minorHAnsi" w:eastAsiaTheme="minorHAnsi" w:hAnsiTheme="minorHAnsi" w:cstheme="minorHAnsi"/>
                <w:lang w:eastAsia="en-US"/>
              </w:rPr>
              <w:t xml:space="preserve">written report to </w:t>
            </w:r>
            <w:r w:rsidR="00861399" w:rsidRPr="00A5757C">
              <w:rPr>
                <w:rFonts w:asciiTheme="minorHAnsi" w:eastAsiaTheme="minorHAnsi" w:hAnsiTheme="minorHAnsi" w:cstheme="minorHAnsi"/>
                <w:lang w:eastAsia="en-US"/>
              </w:rPr>
              <w:t>S</w:t>
            </w:r>
            <w:r w:rsidR="007F458D" w:rsidRPr="00A5757C">
              <w:rPr>
                <w:rFonts w:asciiTheme="minorHAnsi" w:eastAsiaTheme="minorHAnsi" w:hAnsiTheme="minorHAnsi" w:cstheme="minorHAnsi"/>
                <w:lang w:eastAsia="en-US"/>
              </w:rPr>
              <w:t>EMT</w:t>
            </w:r>
          </w:p>
          <w:p w:rsidR="00861399" w:rsidRPr="00A5757C" w:rsidRDefault="00092A9E"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14</w:t>
            </w:r>
            <w:r w:rsidRPr="00092A9E">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w:t>
            </w:r>
            <w:r w:rsidR="008D3436">
              <w:rPr>
                <w:rFonts w:asciiTheme="minorHAnsi" w:eastAsiaTheme="minorHAnsi" w:hAnsiTheme="minorHAnsi" w:cstheme="minorHAnsi"/>
                <w:lang w:eastAsia="en-US"/>
              </w:rPr>
              <w:t xml:space="preserve">November </w:t>
            </w:r>
            <w:r w:rsidR="00A5757C">
              <w:rPr>
                <w:rFonts w:asciiTheme="minorHAnsi" w:eastAsiaTheme="minorHAnsi" w:hAnsiTheme="minorHAnsi" w:cstheme="minorHAnsi"/>
                <w:lang w:eastAsia="en-US"/>
              </w:rPr>
              <w:t xml:space="preserve"> 2016- </w:t>
            </w:r>
            <w:r w:rsidR="00861399" w:rsidRPr="00A5757C">
              <w:rPr>
                <w:rFonts w:asciiTheme="minorHAnsi" w:eastAsiaTheme="minorHAnsi" w:hAnsiTheme="minorHAnsi" w:cstheme="minorHAnsi"/>
                <w:lang w:eastAsia="en-US"/>
              </w:rPr>
              <w:t xml:space="preserve"> written report to EMT</w:t>
            </w:r>
          </w:p>
          <w:p w:rsidR="006C6D07" w:rsidRPr="00A5757C" w:rsidRDefault="008D3436"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16 November</w:t>
            </w:r>
            <w:r w:rsidR="003E0E56">
              <w:rPr>
                <w:rFonts w:asciiTheme="minorHAnsi" w:eastAsiaTheme="minorHAnsi" w:hAnsiTheme="minorHAnsi" w:cstheme="minorHAnsi"/>
                <w:lang w:eastAsia="en-US"/>
              </w:rPr>
              <w:t xml:space="preserve"> </w:t>
            </w:r>
            <w:r w:rsidR="00A5757C">
              <w:rPr>
                <w:rFonts w:asciiTheme="minorHAnsi" w:eastAsiaTheme="minorHAnsi" w:hAnsiTheme="minorHAnsi" w:cstheme="minorHAnsi"/>
                <w:lang w:eastAsia="en-US"/>
              </w:rPr>
              <w:t>2016</w:t>
            </w:r>
            <w:r w:rsidR="006C6D07" w:rsidRPr="00A5757C">
              <w:rPr>
                <w:rFonts w:asciiTheme="minorHAnsi" w:eastAsiaTheme="minorHAnsi" w:hAnsiTheme="minorHAnsi" w:cstheme="minorHAnsi"/>
                <w:lang w:eastAsia="en-US"/>
              </w:rPr>
              <w:t xml:space="preserve"> – written 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8D3436">
              <w:rPr>
                <w:rFonts w:asciiTheme="minorHAnsi" w:hAnsiTheme="minorHAnsi" w:cstheme="minorHAnsi"/>
              </w:rPr>
              <w:t xml:space="preserve"> - September</w:t>
            </w:r>
            <w:r w:rsidR="00B603BD">
              <w:rPr>
                <w:rFonts w:asciiTheme="minorHAnsi" w:hAnsiTheme="minorHAnsi" w:cstheme="minorHAnsi"/>
              </w:rPr>
              <w:t xml:space="preserve">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9F5C1B" w:rsidP="00DC0E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seek approval of</w:t>
            </w:r>
            <w:r w:rsidR="00DF3EE3">
              <w:rPr>
                <w:rFonts w:asciiTheme="minorHAnsi" w:eastAsiaTheme="minorHAnsi" w:hAnsiTheme="minorHAnsi" w:cstheme="minorHAnsi"/>
                <w:lang w:eastAsia="en-US"/>
              </w:rPr>
              <w:t xml:space="preserve"> the financial position of the Authority </w:t>
            </w:r>
            <w:r w:rsidR="008D3436">
              <w:rPr>
                <w:rFonts w:asciiTheme="minorHAnsi" w:eastAsiaTheme="minorHAnsi" w:hAnsiTheme="minorHAnsi" w:cstheme="minorHAnsi"/>
                <w:lang w:eastAsia="en-US"/>
              </w:rPr>
              <w:t>as at the 30</w:t>
            </w:r>
            <w:r w:rsidR="008D3436" w:rsidRPr="008D3436">
              <w:rPr>
                <w:rFonts w:asciiTheme="minorHAnsi" w:eastAsiaTheme="minorHAnsi" w:hAnsiTheme="minorHAnsi" w:cstheme="minorHAnsi"/>
                <w:vertAlign w:val="superscript"/>
                <w:lang w:eastAsia="en-US"/>
              </w:rPr>
              <w:t>th</w:t>
            </w:r>
            <w:r w:rsidR="008D3436">
              <w:rPr>
                <w:rFonts w:asciiTheme="minorHAnsi" w:eastAsiaTheme="minorHAnsi" w:hAnsiTheme="minorHAnsi" w:cstheme="minorHAnsi"/>
                <w:lang w:eastAsia="en-US"/>
              </w:rPr>
              <w:t xml:space="preserve"> September</w:t>
            </w:r>
            <w:r w:rsidR="00643FCA">
              <w:rPr>
                <w:rFonts w:asciiTheme="minorHAnsi" w:eastAsiaTheme="minorHAnsi" w:hAnsiTheme="minorHAnsi" w:cstheme="minorHAnsi"/>
                <w:lang w:eastAsia="en-US"/>
              </w:rPr>
              <w:t xml:space="preserve">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165D47"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ensure</w:t>
            </w:r>
            <w:r w:rsidR="00AD76CF">
              <w:rPr>
                <w:rFonts w:asciiTheme="minorHAnsi" w:eastAsiaTheme="minorHAnsi" w:hAnsiTheme="minorHAnsi" w:cstheme="minorHAnsi"/>
                <w:lang w:eastAsia="en-US"/>
              </w:rPr>
              <w:t xml:space="preserve"> the Board, </w:t>
            </w:r>
            <w:r w:rsidR="00DF3EE3"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8D3436">
              <w:rPr>
                <w:rFonts w:asciiTheme="minorHAnsi" w:eastAsiaTheme="minorHAnsi" w:hAnsiTheme="minorHAnsi" w:cstheme="minorHAnsi"/>
                <w:lang w:eastAsia="en-US"/>
              </w:rPr>
              <w:t>September</w:t>
            </w:r>
            <w:r w:rsidR="00D428E3">
              <w:rPr>
                <w:rFonts w:asciiTheme="minorHAnsi" w:eastAsiaTheme="minorHAnsi" w:hAnsiTheme="minorHAnsi" w:cstheme="minorHAnsi"/>
                <w:lang w:eastAsia="en-US"/>
              </w:rPr>
              <w:t xml:space="preserve"> 2016</w:t>
            </w:r>
            <w:r w:rsidR="00643FCA">
              <w:rPr>
                <w:rFonts w:asciiTheme="minorHAnsi" w:eastAsiaTheme="minorHAnsi" w:hAnsiTheme="minorHAnsi" w:cstheme="minorHAnsi"/>
                <w:lang w:eastAsia="en-US"/>
              </w:rPr>
              <w:t>.</w:t>
            </w:r>
            <w:r w:rsidR="00615A53">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C91F1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9F5C1B">
              <w:rPr>
                <w:rFonts w:asciiTheme="minorHAnsi" w:eastAsiaTheme="minorHAnsi" w:hAnsiTheme="minorHAnsi" w:cstheme="minorHAnsi"/>
                <w:lang w:eastAsia="en-US"/>
              </w:rPr>
              <w:t>31</w:t>
            </w:r>
            <w:r w:rsidR="008D3436">
              <w:rPr>
                <w:rFonts w:asciiTheme="minorHAnsi" w:eastAsiaTheme="minorHAnsi" w:hAnsiTheme="minorHAnsi" w:cstheme="minorHAnsi"/>
                <w:lang w:eastAsia="en-US"/>
              </w:rPr>
              <w:t xml:space="preserve"> October </w:t>
            </w:r>
            <w:r w:rsidR="00564FF5">
              <w:rPr>
                <w:rFonts w:asciiTheme="minorHAnsi" w:eastAsiaTheme="minorHAnsi" w:hAnsiTheme="minorHAnsi" w:cstheme="minorHAnsi"/>
                <w:lang w:eastAsia="en-US"/>
              </w:rPr>
              <w:t xml:space="preserve"> </w:t>
            </w:r>
            <w:r w:rsidR="0022372A">
              <w:rPr>
                <w:rFonts w:asciiTheme="minorHAnsi" w:eastAsiaTheme="minorHAnsi" w:hAnsiTheme="minorHAnsi" w:cstheme="minorHAnsi"/>
                <w:lang w:eastAsia="en-US"/>
              </w:rPr>
              <w:t xml:space="preserve">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564FF5">
              <w:rPr>
                <w:rFonts w:asciiTheme="minorHAnsi" w:eastAsiaTheme="minorHAnsi" w:hAnsiTheme="minorHAnsi" w:cstheme="minorHAnsi"/>
                <w:lang w:eastAsia="en-US"/>
              </w:rPr>
              <w:t xml:space="preserve">ition as at the end of August </w:t>
            </w:r>
            <w:r w:rsidR="00D428E3">
              <w:rPr>
                <w:rFonts w:asciiTheme="minorHAnsi" w:eastAsiaTheme="minorHAnsi" w:hAnsiTheme="minorHAnsi" w:cstheme="minorHAnsi"/>
                <w:lang w:eastAsia="en-US"/>
              </w:rPr>
              <w:t>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172DD0" w:rsidRPr="0066437D"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 xml:space="preserve">The HRA </w:t>
            </w:r>
            <w:r w:rsidR="00A5757C" w:rsidRPr="0066437D">
              <w:rPr>
                <w:rFonts w:asciiTheme="minorHAnsi" w:eastAsiaTheme="minorHAnsi" w:hAnsiTheme="minorHAnsi" w:cstheme="minorHAnsi"/>
                <w:lang w:eastAsia="en-US"/>
              </w:rPr>
              <w:t xml:space="preserve">moved to </w:t>
            </w:r>
            <w:r w:rsidR="00DD6AFF" w:rsidRPr="0066437D">
              <w:rPr>
                <w:rFonts w:asciiTheme="minorHAnsi" w:eastAsiaTheme="minorHAnsi" w:hAnsiTheme="minorHAnsi" w:cstheme="minorHAnsi"/>
                <w:lang w:eastAsia="en-US"/>
              </w:rPr>
              <w:t>a</w:t>
            </w:r>
            <w:r w:rsidR="0066437D" w:rsidRPr="0066437D">
              <w:rPr>
                <w:rFonts w:asciiTheme="minorHAnsi" w:eastAsiaTheme="minorHAnsi" w:hAnsiTheme="minorHAnsi" w:cstheme="minorHAnsi"/>
                <w:lang w:eastAsia="en-US"/>
              </w:rPr>
              <w:t>n over</w:t>
            </w:r>
            <w:r w:rsidR="0022372A" w:rsidRPr="0066437D">
              <w:rPr>
                <w:rFonts w:asciiTheme="minorHAnsi" w:eastAsiaTheme="minorHAnsi" w:hAnsiTheme="minorHAnsi" w:cstheme="minorHAnsi"/>
                <w:lang w:eastAsia="en-US"/>
              </w:rPr>
              <w:t xml:space="preserve">spend </w:t>
            </w:r>
            <w:r w:rsidR="0009591A" w:rsidRPr="0066437D">
              <w:rPr>
                <w:rFonts w:asciiTheme="minorHAnsi" w:eastAsiaTheme="minorHAnsi" w:hAnsiTheme="minorHAnsi" w:cstheme="minorHAnsi"/>
                <w:lang w:eastAsia="en-US"/>
              </w:rPr>
              <w:t>p</w:t>
            </w:r>
            <w:r w:rsidR="00DC0E07" w:rsidRPr="0066437D">
              <w:rPr>
                <w:rFonts w:asciiTheme="minorHAnsi" w:eastAsiaTheme="minorHAnsi" w:hAnsiTheme="minorHAnsi" w:cstheme="minorHAnsi"/>
                <w:lang w:eastAsia="en-US"/>
              </w:rPr>
              <w:t xml:space="preserve">osition </w:t>
            </w:r>
            <w:r w:rsidR="008D3436">
              <w:rPr>
                <w:rFonts w:asciiTheme="minorHAnsi" w:eastAsiaTheme="minorHAnsi" w:hAnsiTheme="minorHAnsi" w:cstheme="minorHAnsi"/>
                <w:lang w:eastAsia="en-US"/>
              </w:rPr>
              <w:t>of £</w:t>
            </w:r>
            <w:r w:rsidR="0066437D" w:rsidRPr="0066437D">
              <w:rPr>
                <w:rFonts w:asciiTheme="minorHAnsi" w:eastAsiaTheme="minorHAnsi" w:hAnsiTheme="minorHAnsi" w:cstheme="minorHAnsi"/>
                <w:lang w:eastAsia="en-US"/>
              </w:rPr>
              <w:t>4</w:t>
            </w:r>
            <w:r w:rsidR="008D3436">
              <w:rPr>
                <w:rFonts w:asciiTheme="minorHAnsi" w:eastAsiaTheme="minorHAnsi" w:hAnsiTheme="minorHAnsi" w:cstheme="minorHAnsi"/>
                <w:lang w:eastAsia="en-US"/>
              </w:rPr>
              <w:t>k as at the end of September</w:t>
            </w:r>
            <w:r w:rsidR="00DC0E07" w:rsidRPr="0066437D">
              <w:rPr>
                <w:rFonts w:asciiTheme="minorHAnsi" w:eastAsiaTheme="minorHAnsi" w:hAnsiTheme="minorHAnsi" w:cstheme="minorHAnsi"/>
                <w:lang w:eastAsia="en-US"/>
              </w:rPr>
              <w:t xml:space="preserve"> </w:t>
            </w:r>
            <w:r w:rsidR="00DD6AFF" w:rsidRPr="0066437D">
              <w:rPr>
                <w:rFonts w:asciiTheme="minorHAnsi" w:eastAsiaTheme="minorHAnsi" w:hAnsiTheme="minorHAnsi" w:cstheme="minorHAnsi"/>
                <w:lang w:eastAsia="en-US"/>
              </w:rPr>
              <w:t>2016</w:t>
            </w:r>
            <w:r w:rsidR="00DC0E07" w:rsidRPr="0066437D">
              <w:rPr>
                <w:rFonts w:asciiTheme="minorHAnsi" w:eastAsiaTheme="minorHAnsi" w:hAnsiTheme="minorHAnsi" w:cstheme="minorHAnsi"/>
                <w:lang w:eastAsia="en-US"/>
              </w:rPr>
              <w:t xml:space="preserve"> </w:t>
            </w:r>
            <w:proofErr w:type="gramStart"/>
            <w:r w:rsidR="00DC0E07" w:rsidRPr="0066437D">
              <w:rPr>
                <w:rFonts w:asciiTheme="minorHAnsi" w:eastAsiaTheme="minorHAnsi" w:hAnsiTheme="minorHAnsi" w:cstheme="minorHAnsi"/>
                <w:lang w:eastAsia="en-US"/>
              </w:rPr>
              <w:t>( position</w:t>
            </w:r>
            <w:proofErr w:type="gramEnd"/>
            <w:r w:rsidR="00DC0E07" w:rsidRPr="0066437D">
              <w:rPr>
                <w:rFonts w:asciiTheme="minorHAnsi" w:eastAsiaTheme="minorHAnsi" w:hAnsiTheme="minorHAnsi" w:cstheme="minorHAnsi"/>
                <w:lang w:eastAsia="en-US"/>
              </w:rPr>
              <w:t xml:space="preserve"> at </w:t>
            </w:r>
            <w:r w:rsidR="008D3436">
              <w:rPr>
                <w:rFonts w:asciiTheme="minorHAnsi" w:eastAsiaTheme="minorHAnsi" w:hAnsiTheme="minorHAnsi" w:cstheme="minorHAnsi"/>
                <w:lang w:eastAsia="en-US"/>
              </w:rPr>
              <w:t>end of August over spend of £24</w:t>
            </w:r>
            <w:r w:rsidR="0066437D" w:rsidRPr="0066437D">
              <w:rPr>
                <w:rFonts w:asciiTheme="minorHAnsi" w:eastAsiaTheme="minorHAnsi" w:hAnsiTheme="minorHAnsi" w:cstheme="minorHAnsi"/>
                <w:lang w:eastAsia="en-US"/>
              </w:rPr>
              <w:t>k</w:t>
            </w:r>
            <w:r w:rsidR="00DC0E07" w:rsidRPr="0066437D">
              <w:rPr>
                <w:rFonts w:asciiTheme="minorHAnsi" w:eastAsiaTheme="minorHAnsi" w:hAnsiTheme="minorHAnsi" w:cstheme="minorHAnsi"/>
                <w:lang w:eastAsia="en-US"/>
              </w:rPr>
              <w:t>)</w:t>
            </w:r>
            <w:r w:rsidRPr="0066437D">
              <w:rPr>
                <w:rFonts w:asciiTheme="minorHAnsi" w:eastAsiaTheme="minorHAnsi" w:hAnsiTheme="minorHAnsi" w:cstheme="minorHAnsi"/>
                <w:lang w:eastAsia="en-US"/>
              </w:rPr>
              <w:t xml:space="preserve">. </w:t>
            </w:r>
          </w:p>
          <w:p w:rsidR="00172DD0" w:rsidRPr="0066437D" w:rsidRDefault="008D3436"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An under spend on pay of £50</w:t>
            </w:r>
            <w:r w:rsidR="00DD6AFF" w:rsidRPr="0066437D">
              <w:rPr>
                <w:rFonts w:asciiTheme="minorHAnsi" w:eastAsiaTheme="minorHAnsi" w:hAnsiTheme="minorHAnsi" w:cstheme="minorHAnsi"/>
                <w:lang w:eastAsia="en-US"/>
              </w:rPr>
              <w:t>k was offset by</w:t>
            </w:r>
            <w:r>
              <w:rPr>
                <w:rFonts w:asciiTheme="minorHAnsi" w:eastAsiaTheme="minorHAnsi" w:hAnsiTheme="minorHAnsi" w:cstheme="minorHAnsi"/>
                <w:lang w:eastAsia="en-US"/>
              </w:rPr>
              <w:t xml:space="preserve"> an over spend on non pay of £54</w:t>
            </w:r>
            <w:r w:rsidR="00DD6AFF" w:rsidRPr="0066437D">
              <w:rPr>
                <w:rFonts w:asciiTheme="minorHAnsi" w:eastAsiaTheme="minorHAnsi" w:hAnsiTheme="minorHAnsi" w:cstheme="minorHAnsi"/>
                <w:lang w:eastAsia="en-US"/>
              </w:rPr>
              <w:t xml:space="preserve">k. </w:t>
            </w:r>
          </w:p>
          <w:p w:rsidR="000E2B98" w:rsidRDefault="000E2B98" w:rsidP="00172DD0">
            <w:pPr>
              <w:pStyle w:val="ListParagraph"/>
              <w:numPr>
                <w:ilvl w:val="0"/>
                <w:numId w:val="24"/>
              </w:numPr>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 xml:space="preserve">The position includes </w:t>
            </w:r>
            <w:r w:rsidR="00655157">
              <w:rPr>
                <w:rFonts w:asciiTheme="minorHAnsi" w:eastAsiaTheme="minorHAnsi" w:hAnsiTheme="minorHAnsi" w:cstheme="minorHAnsi"/>
                <w:lang w:eastAsia="en-US"/>
              </w:rPr>
              <w:t xml:space="preserve">the previously </w:t>
            </w:r>
            <w:proofErr w:type="gramStart"/>
            <w:r w:rsidR="00655157">
              <w:rPr>
                <w:rFonts w:asciiTheme="minorHAnsi" w:eastAsiaTheme="minorHAnsi" w:hAnsiTheme="minorHAnsi" w:cstheme="minorHAnsi"/>
                <w:lang w:eastAsia="en-US"/>
              </w:rPr>
              <w:t xml:space="preserve">reported </w:t>
            </w:r>
            <w:r w:rsidRPr="0066437D">
              <w:rPr>
                <w:rFonts w:asciiTheme="minorHAnsi" w:eastAsiaTheme="minorHAnsi" w:hAnsiTheme="minorHAnsi" w:cstheme="minorHAnsi"/>
                <w:lang w:eastAsia="en-US"/>
              </w:rPr>
              <w:t xml:space="preserve"> unbudgeted</w:t>
            </w:r>
            <w:proofErr w:type="gramEnd"/>
            <w:r w:rsidRPr="0066437D">
              <w:rPr>
                <w:rFonts w:asciiTheme="minorHAnsi" w:eastAsiaTheme="minorHAnsi" w:hAnsiTheme="minorHAnsi" w:cstheme="minorHAnsi"/>
                <w:lang w:eastAsia="en-US"/>
              </w:rPr>
              <w:t xml:space="preserve"> charge for the disposal of the Video conferencing equipment (£18.5k) and includes </w:t>
            </w:r>
            <w:r w:rsidR="006F05D4">
              <w:rPr>
                <w:rFonts w:asciiTheme="minorHAnsi" w:eastAsiaTheme="minorHAnsi" w:hAnsiTheme="minorHAnsi" w:cstheme="minorHAnsi"/>
                <w:lang w:eastAsia="en-US"/>
              </w:rPr>
              <w:t xml:space="preserve"> </w:t>
            </w:r>
            <w:r w:rsidRPr="0066437D">
              <w:rPr>
                <w:rFonts w:asciiTheme="minorHAnsi" w:eastAsiaTheme="minorHAnsi" w:hAnsiTheme="minorHAnsi" w:cstheme="minorHAnsi"/>
                <w:lang w:eastAsia="en-US"/>
              </w:rPr>
              <w:t xml:space="preserve">costs </w:t>
            </w:r>
            <w:r w:rsidR="00655157">
              <w:rPr>
                <w:rFonts w:asciiTheme="minorHAnsi" w:eastAsiaTheme="minorHAnsi" w:hAnsiTheme="minorHAnsi" w:cstheme="minorHAnsi"/>
                <w:lang w:eastAsia="en-US"/>
              </w:rPr>
              <w:t xml:space="preserve">associated with </w:t>
            </w:r>
            <w:r w:rsidRPr="0066437D">
              <w:rPr>
                <w:rFonts w:asciiTheme="minorHAnsi" w:eastAsiaTheme="minorHAnsi" w:hAnsiTheme="minorHAnsi" w:cstheme="minorHAnsi"/>
                <w:lang w:eastAsia="en-US"/>
              </w:rPr>
              <w:t xml:space="preserve"> the archiving project (£70k)</w:t>
            </w:r>
            <w:r w:rsidR="00861399" w:rsidRPr="0066437D">
              <w:rPr>
                <w:rFonts w:asciiTheme="minorHAnsi" w:eastAsiaTheme="minorHAnsi" w:hAnsiTheme="minorHAnsi" w:cstheme="minorHAnsi"/>
                <w:lang w:eastAsia="en-US"/>
              </w:rPr>
              <w:t xml:space="preserve"> which unexpectedly </w:t>
            </w:r>
            <w:r w:rsidR="00A5757C" w:rsidRPr="0066437D">
              <w:rPr>
                <w:rFonts w:asciiTheme="minorHAnsi" w:eastAsiaTheme="minorHAnsi" w:hAnsiTheme="minorHAnsi" w:cstheme="minorHAnsi"/>
                <w:lang w:eastAsia="en-US"/>
              </w:rPr>
              <w:t xml:space="preserve">over </w:t>
            </w:r>
            <w:r w:rsidR="00861399" w:rsidRPr="0066437D">
              <w:rPr>
                <w:rFonts w:asciiTheme="minorHAnsi" w:eastAsiaTheme="minorHAnsi" w:hAnsiTheme="minorHAnsi" w:cstheme="minorHAnsi"/>
                <w:lang w:eastAsia="en-US"/>
              </w:rPr>
              <w:t>ran into 2016/17.</w:t>
            </w:r>
          </w:p>
          <w:p w:rsidR="008D3436" w:rsidRPr="0066437D" w:rsidRDefault="008D3436"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 reduction from initial budget with regards to HRA income</w:t>
            </w:r>
          </w:p>
          <w:p w:rsidR="00DD6AFF" w:rsidRPr="006A777C" w:rsidRDefault="00DD6AFF" w:rsidP="00DD6AFF">
            <w:pPr>
              <w:pStyle w:val="ListParagraph"/>
              <w:numPr>
                <w:ilvl w:val="0"/>
                <w:numId w:val="24"/>
              </w:numPr>
              <w:rPr>
                <w:rFonts w:asciiTheme="minorHAnsi" w:eastAsiaTheme="minorHAnsi" w:hAnsiTheme="minorHAnsi" w:cstheme="minorHAnsi"/>
                <w:lang w:eastAsia="en-US"/>
              </w:rPr>
            </w:pPr>
            <w:r w:rsidRPr="006A777C">
              <w:rPr>
                <w:rFonts w:asciiTheme="minorHAnsi" w:eastAsiaTheme="minorHAnsi" w:hAnsiTheme="minorHAnsi" w:cstheme="minorHAnsi"/>
                <w:lang w:eastAsia="en-US"/>
              </w:rPr>
              <w:t>The HRA has continued to meet the duty to pay 95% of invoices in 30 days achieving 97% based on number of invoices, and achieved the targe</w:t>
            </w:r>
            <w:r w:rsidR="001E4F94" w:rsidRPr="006A777C">
              <w:rPr>
                <w:rFonts w:asciiTheme="minorHAnsi" w:eastAsiaTheme="minorHAnsi" w:hAnsiTheme="minorHAnsi" w:cstheme="minorHAnsi"/>
                <w:lang w:eastAsia="en-US"/>
              </w:rPr>
              <w:t>t based on value by achieving 100</w:t>
            </w:r>
            <w:r w:rsidRPr="006A777C">
              <w:rPr>
                <w:rFonts w:asciiTheme="minorHAnsi" w:eastAsiaTheme="minorHAnsi" w:hAnsiTheme="minorHAnsi" w:cstheme="minorHAnsi"/>
                <w:lang w:eastAsia="en-US"/>
              </w:rPr>
              <w:t xml:space="preserve">%.  </w:t>
            </w:r>
          </w:p>
          <w:p w:rsidR="004405C3" w:rsidRPr="004405C3" w:rsidRDefault="00E54475" w:rsidP="004405C3">
            <w:pPr>
              <w:pStyle w:val="ListParagraph"/>
              <w:numPr>
                <w:ilvl w:val="0"/>
                <w:numId w:val="24"/>
              </w:numPr>
              <w:spacing w:after="200" w:line="276" w:lineRule="auto"/>
              <w:rPr>
                <w:rFonts w:asciiTheme="minorHAnsi" w:eastAsiaTheme="minorHAnsi" w:hAnsiTheme="minorHAnsi" w:cstheme="minorHAnsi"/>
                <w:lang w:eastAsia="en-US"/>
              </w:rPr>
            </w:pPr>
            <w:r w:rsidRPr="004405C3">
              <w:rPr>
                <w:rFonts w:asciiTheme="minorHAnsi" w:eastAsiaTheme="minorHAnsi" w:hAnsiTheme="minorHAnsi" w:cstheme="minorHAnsi"/>
                <w:lang w:eastAsia="en-US"/>
              </w:rPr>
              <w:t>The capi</w:t>
            </w:r>
            <w:r w:rsidR="00996BCF" w:rsidRPr="004405C3">
              <w:rPr>
                <w:rFonts w:asciiTheme="minorHAnsi" w:eastAsiaTheme="minorHAnsi" w:hAnsiTheme="minorHAnsi" w:cstheme="minorHAnsi"/>
                <w:lang w:eastAsia="en-US"/>
              </w:rPr>
              <w:t xml:space="preserve">tal </w:t>
            </w:r>
            <w:r w:rsidR="003914C4" w:rsidRPr="004405C3">
              <w:rPr>
                <w:rFonts w:asciiTheme="minorHAnsi" w:eastAsiaTheme="minorHAnsi" w:hAnsiTheme="minorHAnsi" w:cstheme="minorHAnsi"/>
                <w:lang w:eastAsia="en-US"/>
              </w:rPr>
              <w:t xml:space="preserve">position is reporting a slight underspend </w:t>
            </w:r>
            <w:r w:rsidR="00DE6E33" w:rsidRPr="004405C3">
              <w:rPr>
                <w:rFonts w:asciiTheme="minorHAnsi" w:eastAsiaTheme="minorHAnsi" w:hAnsiTheme="minorHAnsi" w:cstheme="minorHAnsi"/>
                <w:lang w:eastAsia="en-US"/>
              </w:rPr>
              <w:t xml:space="preserve">of </w:t>
            </w:r>
            <w:r w:rsidR="004405C3" w:rsidRPr="004405C3">
              <w:rPr>
                <w:rFonts w:asciiTheme="minorHAnsi" w:eastAsiaTheme="minorHAnsi" w:hAnsiTheme="minorHAnsi" w:cstheme="minorHAnsi"/>
                <w:lang w:eastAsia="en-US"/>
              </w:rPr>
              <w:lastRenderedPageBreak/>
              <w:t>£18</w:t>
            </w:r>
            <w:r w:rsidR="003914C4" w:rsidRPr="004405C3">
              <w:rPr>
                <w:rFonts w:asciiTheme="minorHAnsi" w:eastAsiaTheme="minorHAnsi" w:hAnsiTheme="minorHAnsi" w:cstheme="minorHAnsi"/>
                <w:lang w:eastAsia="en-US"/>
              </w:rPr>
              <w:t>k</w:t>
            </w:r>
            <w:r w:rsidR="000C1D47" w:rsidRPr="004405C3">
              <w:rPr>
                <w:rFonts w:asciiTheme="minorHAnsi" w:eastAsiaTheme="minorHAnsi" w:hAnsiTheme="minorHAnsi" w:cstheme="minorHAnsi"/>
                <w:lang w:eastAsia="en-US"/>
              </w:rPr>
              <w:t xml:space="preserve"> (position at end of</w:t>
            </w:r>
            <w:r w:rsidR="004405C3" w:rsidRPr="004405C3">
              <w:rPr>
                <w:rFonts w:asciiTheme="minorHAnsi" w:eastAsiaTheme="minorHAnsi" w:hAnsiTheme="minorHAnsi" w:cstheme="minorHAnsi"/>
                <w:lang w:eastAsia="en-US"/>
              </w:rPr>
              <w:t xml:space="preserve"> August £14</w:t>
            </w:r>
            <w:r w:rsidR="000C1D47" w:rsidRPr="004405C3">
              <w:rPr>
                <w:rFonts w:asciiTheme="minorHAnsi" w:eastAsiaTheme="minorHAnsi" w:hAnsiTheme="minorHAnsi" w:cstheme="minorHAnsi"/>
                <w:lang w:eastAsia="en-US"/>
              </w:rPr>
              <w:t>k underspent)</w:t>
            </w:r>
            <w:r w:rsidR="004405C3" w:rsidRPr="004405C3">
              <w:rPr>
                <w:rFonts w:asciiTheme="minorHAnsi" w:eastAsiaTheme="minorHAnsi" w:hAnsiTheme="minorHAnsi" w:cstheme="minorHAnsi"/>
                <w:lang w:eastAsia="en-US"/>
              </w:rPr>
              <w:t>.  Initial forecasting indicates a</w:t>
            </w:r>
            <w:r w:rsidR="0025472D">
              <w:rPr>
                <w:rFonts w:asciiTheme="minorHAnsi" w:eastAsiaTheme="minorHAnsi" w:hAnsiTheme="minorHAnsi" w:cstheme="minorHAnsi"/>
                <w:lang w:eastAsia="en-US"/>
              </w:rPr>
              <w:t xml:space="preserve"> year end </w:t>
            </w:r>
            <w:r w:rsidR="004405C3" w:rsidRPr="004405C3">
              <w:rPr>
                <w:rFonts w:asciiTheme="minorHAnsi" w:eastAsiaTheme="minorHAnsi" w:hAnsiTheme="minorHAnsi" w:cstheme="minorHAnsi"/>
                <w:lang w:eastAsia="en-US"/>
              </w:rPr>
              <w:t xml:space="preserve">underspend of £138k, as a result of the reduced contract price with the systems developers. </w:t>
            </w:r>
          </w:p>
          <w:p w:rsidR="00652DA7" w:rsidRPr="0025472D"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sidRPr="0025472D">
              <w:rPr>
                <w:rFonts w:asciiTheme="minorHAnsi" w:eastAsiaTheme="minorHAnsi" w:hAnsiTheme="minorHAnsi" w:cstheme="minorHAnsi"/>
                <w:lang w:eastAsia="en-US"/>
              </w:rPr>
              <w:t>The</w:t>
            </w:r>
            <w:r w:rsidR="003914C4" w:rsidRPr="0025472D">
              <w:rPr>
                <w:rFonts w:asciiTheme="minorHAnsi" w:eastAsiaTheme="minorHAnsi" w:hAnsiTheme="minorHAnsi" w:cstheme="minorHAnsi"/>
                <w:lang w:eastAsia="en-US"/>
              </w:rPr>
              <w:t>re has been a reduction in the level of cash held from t</w:t>
            </w:r>
            <w:r w:rsidR="0025472D" w:rsidRPr="0025472D">
              <w:rPr>
                <w:rFonts w:asciiTheme="minorHAnsi" w:eastAsiaTheme="minorHAnsi" w:hAnsiTheme="minorHAnsi" w:cstheme="minorHAnsi"/>
                <w:lang w:eastAsia="en-US"/>
              </w:rPr>
              <w:t>he year end of £3.485m to £2.727</w:t>
            </w:r>
            <w:r w:rsidR="003914C4" w:rsidRPr="0025472D">
              <w:rPr>
                <w:rFonts w:asciiTheme="minorHAnsi" w:eastAsiaTheme="minorHAnsi" w:hAnsiTheme="minorHAnsi" w:cstheme="minorHAnsi"/>
                <w:lang w:eastAsia="en-US"/>
              </w:rPr>
              <w:t>m</w:t>
            </w:r>
          </w:p>
          <w:p w:rsidR="002C0638" w:rsidRPr="00D62F91" w:rsidRDefault="00861399" w:rsidP="0086139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Department of Health has confirmed the</w:t>
            </w:r>
            <w:r w:rsidR="002C0638" w:rsidRPr="00861399">
              <w:rPr>
                <w:rFonts w:asciiTheme="minorHAnsi" w:eastAsiaTheme="minorHAnsi" w:hAnsiTheme="minorHAnsi" w:cstheme="minorHAnsi"/>
                <w:lang w:eastAsia="en-US"/>
              </w:rPr>
              <w:t xml:space="preserve"> budget for 2016/17 </w:t>
            </w:r>
            <w:r w:rsidR="00042A65" w:rsidRPr="00861399">
              <w:rPr>
                <w:rFonts w:asciiTheme="minorHAnsi" w:eastAsiaTheme="minorHAnsi" w:hAnsiTheme="minorHAnsi" w:cstheme="minorHAnsi"/>
                <w:lang w:eastAsia="en-US"/>
              </w:rPr>
              <w:t xml:space="preserve">in line with </w:t>
            </w:r>
            <w:r>
              <w:rPr>
                <w:rFonts w:asciiTheme="minorHAnsi" w:eastAsiaTheme="minorHAnsi" w:hAnsiTheme="minorHAnsi" w:cstheme="minorHAnsi"/>
                <w:lang w:eastAsia="en-US"/>
              </w:rPr>
              <w:t>the financial plan as expected</w:t>
            </w:r>
            <w:r w:rsidR="00DD6AFF" w:rsidRPr="00861399">
              <w:rPr>
                <w:rFonts w:asciiTheme="minorHAnsi" w:eastAsiaTheme="minorHAnsi" w:hAnsiTheme="minorHAnsi" w:cstheme="minorHAnsi"/>
                <w:lang w:eastAsia="en-US"/>
              </w:rPr>
              <w:t>.</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564FF5"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Sylvia Hazard</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3E0E56" w:rsidP="003E0E5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Interim Head of </w:t>
            </w:r>
            <w:r w:rsidR="00DF3EE3">
              <w:rPr>
                <w:rFonts w:asciiTheme="minorHAnsi" w:eastAsiaTheme="minorHAnsi" w:hAnsiTheme="minorHAnsi" w:cstheme="minorHAnsi"/>
                <w:lang w:eastAsia="en-US"/>
              </w:rPr>
              <w:t>Finance</w:t>
            </w:r>
            <w:r>
              <w:rPr>
                <w:rFonts w:asciiTheme="minorHAnsi" w:eastAsiaTheme="minorHAnsi" w:hAnsiTheme="minorHAnsi" w:cstheme="minorHAnsi"/>
                <w:lang w:eastAsia="en-US"/>
              </w:rPr>
              <w:t xml:space="preserve"> and Procurement </w:t>
            </w:r>
          </w:p>
        </w:tc>
      </w:tr>
      <w:tr w:rsidR="00DF3EE3" w:rsidRPr="00DF3EE3" w:rsidTr="00DB6762">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shd w:val="clear" w:color="auto" w:fill="auto"/>
          </w:tcPr>
          <w:p w:rsidR="00DF3EE3" w:rsidRPr="00DB6762" w:rsidRDefault="008D3436" w:rsidP="008D343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24 October</w:t>
            </w:r>
            <w:r w:rsidR="00DB6762">
              <w:rPr>
                <w:rFonts w:asciiTheme="minorHAnsi" w:eastAsiaTheme="minorHAnsi" w:hAnsiTheme="minorHAnsi" w:cstheme="minorHAnsi"/>
                <w:lang w:eastAsia="en-US"/>
              </w:rPr>
              <w:t xml:space="preserve"> 2016</w:t>
            </w:r>
          </w:p>
        </w:tc>
      </w:tr>
    </w:tbl>
    <w:p w:rsidR="00150CE4" w:rsidRDefault="00150CE4"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092A9E" w:rsidRDefault="00092A9E"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Pr="007055AB" w:rsidRDefault="007055AB" w:rsidP="007055AB">
      <w:pPr>
        <w:numPr>
          <w:ilvl w:val="0"/>
          <w:numId w:val="2"/>
        </w:numPr>
        <w:contextualSpacing/>
        <w:rPr>
          <w:rFonts w:ascii="Arial" w:hAnsi="Arial" w:cs="Arial"/>
          <w:sz w:val="22"/>
          <w:szCs w:val="22"/>
        </w:rPr>
      </w:pPr>
      <w:r w:rsidRPr="007055AB">
        <w:rPr>
          <w:rFonts w:ascii="Arial" w:hAnsi="Arial" w:cs="Arial"/>
          <w:sz w:val="22"/>
          <w:szCs w:val="22"/>
        </w:rPr>
        <w:t>HRA is reporting an expenditure budget overspend of £4k at the end of September (£24k overspend in August).  Revenue forecast outturn remains at break-even.</w:t>
      </w:r>
    </w:p>
    <w:p w:rsidR="007055AB" w:rsidRPr="007055AB" w:rsidRDefault="007055AB" w:rsidP="007055AB">
      <w:pPr>
        <w:ind w:left="720"/>
        <w:contextualSpacing/>
        <w:rPr>
          <w:rFonts w:ascii="Arial" w:hAnsi="Arial" w:cs="Arial"/>
          <w:sz w:val="22"/>
          <w:szCs w:val="22"/>
          <w:highlight w:val="yellow"/>
        </w:rPr>
      </w:pPr>
    </w:p>
    <w:p w:rsidR="007055AB" w:rsidRPr="007055AB" w:rsidRDefault="007055AB" w:rsidP="007055AB">
      <w:pPr>
        <w:numPr>
          <w:ilvl w:val="0"/>
          <w:numId w:val="2"/>
        </w:numPr>
        <w:contextualSpacing/>
        <w:rPr>
          <w:rFonts w:ascii="Arial" w:hAnsi="Arial" w:cs="Arial"/>
          <w:sz w:val="22"/>
          <w:szCs w:val="22"/>
        </w:rPr>
      </w:pPr>
      <w:r w:rsidRPr="007055AB">
        <w:rPr>
          <w:rFonts w:ascii="Arial" w:hAnsi="Arial" w:cs="Arial"/>
          <w:sz w:val="22"/>
          <w:szCs w:val="22"/>
        </w:rPr>
        <w:t>Pay budgets are under spent by £50k.  This is including a £75k year to date vacancy factor having been applied.</w:t>
      </w:r>
    </w:p>
    <w:p w:rsidR="007055AB" w:rsidRPr="007055AB" w:rsidRDefault="007055AB" w:rsidP="007055AB">
      <w:pPr>
        <w:ind w:left="720"/>
        <w:contextualSpacing/>
        <w:rPr>
          <w:rFonts w:ascii="Arial" w:hAnsi="Arial" w:cs="Arial"/>
          <w:sz w:val="22"/>
          <w:szCs w:val="22"/>
          <w:highlight w:val="yellow"/>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Non pay budgets are over spen</w:t>
      </w:r>
      <w:r w:rsidR="00655157">
        <w:rPr>
          <w:rFonts w:ascii="Arial" w:hAnsi="Arial" w:cs="Arial"/>
          <w:sz w:val="22"/>
          <w:szCs w:val="22"/>
        </w:rPr>
        <w:t>t</w:t>
      </w:r>
      <w:r w:rsidRPr="007055AB">
        <w:rPr>
          <w:rFonts w:ascii="Arial" w:hAnsi="Arial" w:cs="Arial"/>
          <w:sz w:val="22"/>
          <w:szCs w:val="22"/>
        </w:rPr>
        <w:t xml:space="preserve"> by £54k largely due the over run of the archiving project and the disposal of the video conferencing assets.</w:t>
      </w:r>
    </w:p>
    <w:p w:rsidR="007055AB" w:rsidRPr="007055AB" w:rsidRDefault="007055AB" w:rsidP="007055AB">
      <w:pPr>
        <w:ind w:left="720"/>
        <w:contextualSpacing/>
        <w:rPr>
          <w:rFonts w:ascii="Arial" w:hAnsi="Arial" w:cs="Arial"/>
          <w:sz w:val="22"/>
          <w:szCs w:val="22"/>
        </w:rPr>
      </w:pPr>
    </w:p>
    <w:p w:rsid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Reduction in income budget as calculated charges for Devolved Administrations lower than initial budget estimate.</w:t>
      </w:r>
    </w:p>
    <w:p w:rsidR="0035681C" w:rsidRDefault="0035681C" w:rsidP="0035681C">
      <w:pPr>
        <w:pStyle w:val="ListParagraph"/>
        <w:rPr>
          <w:rFonts w:ascii="Arial" w:hAnsi="Arial" w:cs="Arial"/>
          <w:sz w:val="22"/>
          <w:szCs w:val="22"/>
        </w:rPr>
      </w:pPr>
    </w:p>
    <w:p w:rsidR="0035681C" w:rsidRPr="007055AB" w:rsidRDefault="0035681C" w:rsidP="007055AB">
      <w:pPr>
        <w:numPr>
          <w:ilvl w:val="0"/>
          <w:numId w:val="2"/>
        </w:numPr>
        <w:tabs>
          <w:tab w:val="left" w:pos="2172"/>
        </w:tabs>
        <w:contextualSpacing/>
        <w:rPr>
          <w:rFonts w:ascii="Arial" w:hAnsi="Arial" w:cs="Arial"/>
          <w:sz w:val="22"/>
          <w:szCs w:val="22"/>
        </w:rPr>
      </w:pPr>
      <w:r>
        <w:rPr>
          <w:rFonts w:ascii="Arial" w:hAnsi="Arial" w:cs="Arial"/>
          <w:sz w:val="22"/>
          <w:szCs w:val="22"/>
        </w:rPr>
        <w:t>Capital budgets are underspent by £18k</w:t>
      </w:r>
      <w:r w:rsidR="00D0015F">
        <w:rPr>
          <w:rFonts w:ascii="Arial" w:hAnsi="Arial" w:cs="Arial"/>
          <w:sz w:val="22"/>
          <w:szCs w:val="22"/>
        </w:rPr>
        <w:t xml:space="preserve"> at the end of September</w:t>
      </w:r>
      <w:r>
        <w:rPr>
          <w:rFonts w:ascii="Arial" w:hAnsi="Arial" w:cs="Arial"/>
          <w:sz w:val="22"/>
          <w:szCs w:val="22"/>
        </w:rPr>
        <w:t>.</w:t>
      </w:r>
    </w:p>
    <w:p w:rsidR="007055AB" w:rsidRPr="007055AB" w:rsidRDefault="007055AB" w:rsidP="007055AB">
      <w:pPr>
        <w:tabs>
          <w:tab w:val="left" w:pos="2172"/>
        </w:tabs>
        <w:contextualSpacing/>
        <w:rPr>
          <w:rFonts w:ascii="Arial" w:hAnsi="Arial" w:cs="Arial"/>
          <w:sz w:val="22"/>
          <w:szCs w:val="22"/>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The Better Payment Practice Code (BPPC) compliance for April to September was 97% for the number of invoices paid, which is in line with the overall performance for 2015/16, and is reporting 100% for value of invo</w:t>
      </w:r>
      <w:r w:rsidR="0035681C">
        <w:rPr>
          <w:rFonts w:ascii="Arial" w:hAnsi="Arial" w:cs="Arial"/>
          <w:sz w:val="22"/>
          <w:szCs w:val="22"/>
        </w:rPr>
        <w:t xml:space="preserve">ices paid.   The HRA has maintained the stretched target </w:t>
      </w:r>
      <w:r w:rsidR="00C277CF">
        <w:rPr>
          <w:rFonts w:ascii="Arial" w:hAnsi="Arial" w:cs="Arial"/>
          <w:sz w:val="22"/>
          <w:szCs w:val="22"/>
        </w:rPr>
        <w:t>of pay</w:t>
      </w:r>
      <w:r w:rsidR="0035681C">
        <w:rPr>
          <w:rFonts w:ascii="Arial" w:hAnsi="Arial" w:cs="Arial"/>
          <w:sz w:val="22"/>
          <w:szCs w:val="22"/>
        </w:rPr>
        <w:t>ing 60% of suppliers in 10 days</w:t>
      </w:r>
      <w:r w:rsidRPr="007055AB">
        <w:rPr>
          <w:rFonts w:ascii="Arial" w:hAnsi="Arial" w:cs="Arial"/>
          <w:sz w:val="22"/>
          <w:szCs w:val="22"/>
        </w:rPr>
        <w:t xml:space="preserve"> targ</w:t>
      </w:r>
      <w:r w:rsidR="0035681C">
        <w:rPr>
          <w:rFonts w:ascii="Arial" w:hAnsi="Arial" w:cs="Arial"/>
          <w:sz w:val="22"/>
          <w:szCs w:val="22"/>
        </w:rPr>
        <w:t xml:space="preserve">et for 2016/17.  </w:t>
      </w:r>
      <w:r w:rsidRPr="007055AB">
        <w:rPr>
          <w:rFonts w:ascii="Arial" w:hAnsi="Arial" w:cs="Arial"/>
          <w:sz w:val="22"/>
          <w:szCs w:val="22"/>
        </w:rPr>
        <w:t xml:space="preserve">All approvers are asked to note this and to approve invoices promptly or place on hold if there is a dispute.  Performance is published on our website. </w:t>
      </w:r>
    </w:p>
    <w:p w:rsidR="007055AB" w:rsidRPr="007055AB" w:rsidRDefault="007055AB" w:rsidP="007055AB">
      <w:pPr>
        <w:rPr>
          <w:rFonts w:ascii="Arial" w:hAnsi="Arial" w:cs="Arial"/>
          <w:sz w:val="22"/>
          <w:szCs w:val="22"/>
          <w:highlight w:val="yellow"/>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Cash balance has reduced from year end £3.485 million (with liabilities to pay of £1.296million) to £2.727 million (with liabilities to pay of £1.032million).</w:t>
      </w:r>
    </w:p>
    <w:p w:rsidR="007055AB" w:rsidRPr="007055AB" w:rsidRDefault="007055AB" w:rsidP="007055AB">
      <w:pPr>
        <w:tabs>
          <w:tab w:val="left" w:pos="2172"/>
        </w:tabs>
        <w:contextualSpacing/>
        <w:rPr>
          <w:rFonts w:ascii="Arial" w:hAnsi="Arial" w:cs="Arial"/>
          <w:sz w:val="22"/>
          <w:szCs w:val="22"/>
        </w:rPr>
      </w:pPr>
    </w:p>
    <w:p w:rsidR="007055AB" w:rsidRPr="007055AB" w:rsidRDefault="007055AB" w:rsidP="007055AB">
      <w:pPr>
        <w:numPr>
          <w:ilvl w:val="0"/>
          <w:numId w:val="2"/>
        </w:numPr>
        <w:tabs>
          <w:tab w:val="left" w:pos="2172"/>
        </w:tabs>
        <w:contextualSpacing/>
        <w:rPr>
          <w:rFonts w:ascii="Arial" w:hAnsi="Arial" w:cs="Arial"/>
          <w:sz w:val="22"/>
          <w:szCs w:val="22"/>
        </w:rPr>
      </w:pPr>
      <w:r w:rsidRPr="007055AB">
        <w:rPr>
          <w:rFonts w:ascii="Arial" w:hAnsi="Arial" w:cs="Arial"/>
          <w:sz w:val="22"/>
          <w:szCs w:val="22"/>
        </w:rPr>
        <w:t xml:space="preserve">The cash balance at the end of September 2016 was £2.727m, which is a reduction against the balance held at the end of August 16 (£2.744m) and less than the balance held at the end of March 16 of £3.485m.  </w:t>
      </w:r>
    </w:p>
    <w:p w:rsidR="007055AB" w:rsidRPr="007055AB" w:rsidRDefault="007055AB" w:rsidP="007055AB">
      <w:pPr>
        <w:ind w:left="720"/>
        <w:contextualSpacing/>
        <w:rPr>
          <w:rFonts w:ascii="Arial" w:hAnsi="Arial" w:cs="Arial"/>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7055AB" w:rsidRDefault="007055AB" w:rsidP="00092A9E">
      <w:pPr>
        <w:rPr>
          <w:rFonts w:ascii="Arial" w:hAnsi="Arial" w:cs="Arial"/>
          <w:b/>
          <w:sz w:val="22"/>
          <w:szCs w:val="22"/>
        </w:rPr>
      </w:pPr>
    </w:p>
    <w:p w:rsidR="0044673F" w:rsidRDefault="0044673F" w:rsidP="00092A9E">
      <w:pPr>
        <w:rPr>
          <w:rFonts w:ascii="Arial" w:hAnsi="Arial" w:cs="Arial"/>
          <w:b/>
          <w:sz w:val="22"/>
          <w:szCs w:val="22"/>
        </w:rPr>
      </w:pPr>
    </w:p>
    <w:p w:rsidR="0044673F" w:rsidRDefault="0044673F" w:rsidP="00092A9E">
      <w:pPr>
        <w:rPr>
          <w:rFonts w:ascii="Arial" w:hAnsi="Arial" w:cs="Arial"/>
          <w:b/>
          <w:sz w:val="22"/>
          <w:szCs w:val="22"/>
        </w:rPr>
      </w:pPr>
    </w:p>
    <w:p w:rsidR="0044673F" w:rsidRDefault="0044673F" w:rsidP="00092A9E">
      <w:pPr>
        <w:rPr>
          <w:rFonts w:ascii="Arial" w:hAnsi="Arial" w:cs="Arial"/>
          <w:b/>
          <w:sz w:val="22"/>
          <w:szCs w:val="22"/>
        </w:rPr>
      </w:pPr>
    </w:p>
    <w:p w:rsidR="0044673F" w:rsidRDefault="0044673F" w:rsidP="00092A9E">
      <w:pPr>
        <w:rPr>
          <w:rFonts w:ascii="Arial" w:hAnsi="Arial" w:cs="Arial"/>
          <w:b/>
          <w:sz w:val="22"/>
          <w:szCs w:val="22"/>
        </w:rPr>
      </w:pPr>
    </w:p>
    <w:p w:rsidR="007055AB" w:rsidRDefault="007055AB" w:rsidP="00092A9E">
      <w:pPr>
        <w:rPr>
          <w:rFonts w:ascii="Arial" w:hAnsi="Arial" w:cs="Arial"/>
          <w:b/>
          <w:sz w:val="22"/>
          <w:szCs w:val="22"/>
        </w:rPr>
      </w:pPr>
    </w:p>
    <w:p w:rsidR="0044673F" w:rsidRPr="0044673F" w:rsidRDefault="0044673F" w:rsidP="0044673F">
      <w:pPr>
        <w:rPr>
          <w:rFonts w:ascii="Arial" w:hAnsi="Arial" w:cs="Arial"/>
          <w:b/>
          <w:sz w:val="22"/>
          <w:szCs w:val="22"/>
        </w:rPr>
      </w:pPr>
      <w:r w:rsidRPr="0044673F">
        <w:rPr>
          <w:rFonts w:ascii="Arial" w:hAnsi="Arial" w:cs="Arial"/>
          <w:b/>
          <w:sz w:val="22"/>
          <w:szCs w:val="22"/>
        </w:rPr>
        <w:t>Finance Report - Financial Year 2016/17</w:t>
      </w:r>
    </w:p>
    <w:p w:rsidR="007055AB" w:rsidRDefault="0044673F" w:rsidP="0044673F">
      <w:pPr>
        <w:rPr>
          <w:rFonts w:ascii="Arial" w:hAnsi="Arial" w:cs="Arial"/>
          <w:b/>
          <w:sz w:val="22"/>
          <w:szCs w:val="22"/>
        </w:rPr>
      </w:pPr>
      <w:r w:rsidRPr="0044673F">
        <w:rPr>
          <w:rFonts w:ascii="Arial" w:hAnsi="Arial" w:cs="Arial"/>
          <w:b/>
          <w:sz w:val="22"/>
          <w:szCs w:val="22"/>
        </w:rPr>
        <w:t>Health Research Authority as at 30 September 2016</w:t>
      </w:r>
    </w:p>
    <w:p w:rsidR="00092A9E" w:rsidRDefault="00092A9E"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Resource Limit Revenue and Capital</w:t>
      </w:r>
    </w:p>
    <w:p w:rsidR="005E6B5C" w:rsidRDefault="00B2011F" w:rsidP="00AD76CF">
      <w:pPr>
        <w:jc w:val="both"/>
        <w:rPr>
          <w:rFonts w:ascii="Arial" w:hAnsi="Arial" w:cs="Arial"/>
          <w:sz w:val="22"/>
          <w:szCs w:val="22"/>
        </w:rPr>
      </w:pPr>
      <w:r w:rsidRPr="002D1079">
        <w:rPr>
          <w:rFonts w:ascii="Arial" w:hAnsi="Arial" w:cs="Arial"/>
          <w:sz w:val="22"/>
          <w:szCs w:val="22"/>
        </w:rPr>
        <w:t xml:space="preserve">The HRA </w:t>
      </w:r>
      <w:r w:rsidR="003179D5" w:rsidRPr="002D1079">
        <w:rPr>
          <w:rFonts w:ascii="Arial" w:hAnsi="Arial" w:cs="Arial"/>
          <w:sz w:val="22"/>
          <w:szCs w:val="22"/>
        </w:rPr>
        <w:t>grant in aid</w:t>
      </w:r>
      <w:r w:rsidR="002D1079">
        <w:rPr>
          <w:rFonts w:ascii="Arial" w:hAnsi="Arial" w:cs="Arial"/>
          <w:sz w:val="22"/>
          <w:szCs w:val="22"/>
        </w:rPr>
        <w:t xml:space="preserve"> and revenue resource limit for the year </w:t>
      </w:r>
      <w:r w:rsidR="005E5369">
        <w:rPr>
          <w:rFonts w:ascii="Arial" w:hAnsi="Arial" w:cs="Arial"/>
          <w:sz w:val="22"/>
          <w:szCs w:val="22"/>
        </w:rPr>
        <w:t xml:space="preserve">was presented in the 2016/17 financial plan and this report continues to be based on the same figures of </w:t>
      </w:r>
      <w:r w:rsidR="002D1079">
        <w:rPr>
          <w:rFonts w:ascii="Arial" w:hAnsi="Arial" w:cs="Arial"/>
          <w:sz w:val="22"/>
          <w:szCs w:val="22"/>
        </w:rPr>
        <w:t>£13,</w:t>
      </w:r>
      <w:r w:rsidR="005E5369">
        <w:rPr>
          <w:rFonts w:ascii="Arial" w:hAnsi="Arial" w:cs="Arial"/>
          <w:sz w:val="22"/>
          <w:szCs w:val="22"/>
        </w:rPr>
        <w:t>080</w:t>
      </w:r>
      <w:r w:rsidR="002D1079">
        <w:rPr>
          <w:rFonts w:ascii="Arial" w:hAnsi="Arial" w:cs="Arial"/>
          <w:sz w:val="22"/>
          <w:szCs w:val="22"/>
        </w:rPr>
        <w:t xml:space="preserve">k.  </w:t>
      </w:r>
      <w:r w:rsidR="00092A9E">
        <w:rPr>
          <w:rFonts w:ascii="Arial" w:hAnsi="Arial" w:cs="Arial"/>
          <w:sz w:val="22"/>
          <w:szCs w:val="22"/>
        </w:rPr>
        <w:t>The Capital Resource Limit agreed for 2016/17 by the Department of Health is £910k.</w:t>
      </w:r>
    </w:p>
    <w:p w:rsidR="00092A9E" w:rsidRDefault="00092A9E" w:rsidP="00AD76CF">
      <w:pPr>
        <w:jc w:val="both"/>
        <w:rPr>
          <w:rFonts w:ascii="Arial" w:hAnsi="Arial" w:cs="Arial"/>
          <w:sz w:val="22"/>
          <w:szCs w:val="22"/>
        </w:rPr>
      </w:pPr>
    </w:p>
    <w:p w:rsidR="00092A9E" w:rsidRPr="00092A9E" w:rsidRDefault="00092A9E" w:rsidP="00AD76CF">
      <w:pPr>
        <w:jc w:val="both"/>
        <w:rPr>
          <w:rFonts w:ascii="Arial" w:hAnsi="Arial" w:cs="Arial"/>
          <w:b/>
          <w:sz w:val="22"/>
          <w:szCs w:val="22"/>
        </w:rPr>
      </w:pPr>
      <w:r w:rsidRPr="00092A9E">
        <w:rPr>
          <w:rFonts w:ascii="Arial" w:hAnsi="Arial" w:cs="Arial"/>
          <w:b/>
          <w:sz w:val="22"/>
          <w:szCs w:val="22"/>
        </w:rPr>
        <w:t xml:space="preserve">Position </w:t>
      </w:r>
      <w:proofErr w:type="gramStart"/>
      <w:r w:rsidRPr="00092A9E">
        <w:rPr>
          <w:rFonts w:ascii="Arial" w:hAnsi="Arial" w:cs="Arial"/>
          <w:b/>
          <w:sz w:val="22"/>
          <w:szCs w:val="22"/>
        </w:rPr>
        <w:t>Against</w:t>
      </w:r>
      <w:proofErr w:type="gramEnd"/>
      <w:r w:rsidRPr="00092A9E">
        <w:rPr>
          <w:rFonts w:ascii="Arial" w:hAnsi="Arial" w:cs="Arial"/>
          <w:b/>
          <w:sz w:val="22"/>
          <w:szCs w:val="22"/>
        </w:rPr>
        <w:t xml:space="preserve"> Revenue and Capital Resource Limit</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66437D"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8D3436">
        <w:rPr>
          <w:rFonts w:ascii="Arial" w:hAnsi="Arial" w:cs="Arial"/>
          <w:sz w:val="22"/>
          <w:szCs w:val="22"/>
        </w:rPr>
        <w:t>6.16</w:t>
      </w:r>
      <w:r w:rsidR="006935C1">
        <w:rPr>
          <w:rFonts w:ascii="Arial" w:hAnsi="Arial" w:cs="Arial"/>
          <w:sz w:val="22"/>
          <w:szCs w:val="22"/>
        </w:rPr>
        <w:t xml:space="preserve"> </w:t>
      </w:r>
      <w:r w:rsidR="00E82F54" w:rsidRPr="009B4C8D">
        <w:rPr>
          <w:rFonts w:ascii="Arial" w:hAnsi="Arial" w:cs="Arial"/>
          <w:sz w:val="22"/>
          <w:szCs w:val="22"/>
        </w:rPr>
        <w:t>million</w:t>
      </w:r>
      <w:r w:rsidR="007055AB">
        <w:rPr>
          <w:rFonts w:ascii="Arial" w:hAnsi="Arial" w:cs="Arial"/>
          <w:sz w:val="22"/>
          <w:szCs w:val="22"/>
        </w:rPr>
        <w:t xml:space="preserve"> year to date – shown in table 1</w:t>
      </w:r>
    </w:p>
    <w:p w:rsidR="006F05D4" w:rsidRDefault="006F05D4" w:rsidP="006E46EB">
      <w:pPr>
        <w:jc w:val="both"/>
        <w:rPr>
          <w:rFonts w:ascii="Arial" w:hAnsi="Arial" w:cs="Arial"/>
          <w:sz w:val="22"/>
          <w:szCs w:val="22"/>
        </w:rPr>
      </w:pPr>
    </w:p>
    <w:p w:rsidR="006E46EB" w:rsidRDefault="009509FD" w:rsidP="006E46EB">
      <w:pPr>
        <w:jc w:val="both"/>
        <w:rPr>
          <w:rFonts w:ascii="Arial" w:hAnsi="Arial" w:cs="Arial"/>
          <w:sz w:val="22"/>
          <w:szCs w:val="22"/>
        </w:rPr>
      </w:pPr>
      <w:r>
        <w:rPr>
          <w:rFonts w:ascii="Arial" w:hAnsi="Arial" w:cs="Arial"/>
          <w:sz w:val="22"/>
          <w:szCs w:val="22"/>
        </w:rPr>
        <w:t>The main points to note in th</w:t>
      </w:r>
      <w:r w:rsidR="000C1D47">
        <w:rPr>
          <w:rFonts w:ascii="Arial" w:hAnsi="Arial" w:cs="Arial"/>
          <w:sz w:val="22"/>
          <w:szCs w:val="22"/>
        </w:rPr>
        <w:t>e</w:t>
      </w:r>
      <w:r w:rsidR="001166D1">
        <w:rPr>
          <w:rFonts w:ascii="Arial" w:hAnsi="Arial" w:cs="Arial"/>
          <w:sz w:val="22"/>
          <w:szCs w:val="22"/>
        </w:rPr>
        <w:t xml:space="preserve"> reported </w:t>
      </w:r>
      <w:r>
        <w:rPr>
          <w:rFonts w:ascii="Arial" w:hAnsi="Arial" w:cs="Arial"/>
          <w:sz w:val="22"/>
          <w:szCs w:val="22"/>
        </w:rPr>
        <w:t xml:space="preserve">outturn expenditure position </w:t>
      </w:r>
      <w:r w:rsidR="006E46EB" w:rsidRPr="006E46EB">
        <w:rPr>
          <w:rFonts w:ascii="Arial" w:hAnsi="Arial" w:cs="Arial"/>
          <w:sz w:val="22"/>
          <w:szCs w:val="22"/>
        </w:rPr>
        <w:t>as</w:t>
      </w:r>
      <w:r w:rsidR="008D3436">
        <w:rPr>
          <w:rFonts w:ascii="Arial" w:hAnsi="Arial" w:cs="Arial"/>
          <w:sz w:val="22"/>
          <w:szCs w:val="22"/>
        </w:rPr>
        <w:t xml:space="preserve"> at 30 September</w:t>
      </w:r>
      <w:r>
        <w:rPr>
          <w:rFonts w:ascii="Arial" w:hAnsi="Arial" w:cs="Arial"/>
          <w:sz w:val="22"/>
          <w:szCs w:val="22"/>
        </w:rPr>
        <w:t xml:space="preserve"> </w:t>
      </w:r>
      <w:r w:rsidR="005F05D0">
        <w:rPr>
          <w:rFonts w:ascii="Arial" w:hAnsi="Arial" w:cs="Arial"/>
          <w:sz w:val="22"/>
          <w:szCs w:val="22"/>
        </w:rPr>
        <w:t>2016</w:t>
      </w:r>
      <w:r w:rsidR="00936A58">
        <w:rPr>
          <w:rFonts w:ascii="Arial" w:hAnsi="Arial" w:cs="Arial"/>
          <w:sz w:val="22"/>
          <w:szCs w:val="22"/>
        </w:rPr>
        <w:t xml:space="preserve"> of </w:t>
      </w:r>
      <w:r w:rsidR="00936A58" w:rsidRPr="009B4C8D">
        <w:rPr>
          <w:rFonts w:ascii="Arial" w:hAnsi="Arial" w:cs="Arial"/>
          <w:sz w:val="22"/>
          <w:szCs w:val="22"/>
        </w:rPr>
        <w:t>£</w:t>
      </w:r>
      <w:r w:rsidR="008D3436">
        <w:rPr>
          <w:rFonts w:ascii="Arial" w:hAnsi="Arial" w:cs="Arial"/>
          <w:sz w:val="22"/>
          <w:szCs w:val="22"/>
        </w:rPr>
        <w:t>6.16</w:t>
      </w:r>
      <w:r w:rsidR="006E46EB"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Pr="00B1511E" w:rsidRDefault="002B67AD" w:rsidP="001F7421">
      <w:pPr>
        <w:pStyle w:val="ListParagraph"/>
        <w:numPr>
          <w:ilvl w:val="0"/>
          <w:numId w:val="17"/>
        </w:numPr>
        <w:jc w:val="both"/>
        <w:rPr>
          <w:rFonts w:ascii="Arial" w:hAnsi="Arial" w:cs="Arial"/>
          <w:sz w:val="22"/>
          <w:szCs w:val="22"/>
        </w:rPr>
      </w:pPr>
      <w:r w:rsidRPr="00B1511E">
        <w:rPr>
          <w:rFonts w:ascii="Arial" w:hAnsi="Arial" w:cs="Arial"/>
          <w:sz w:val="22"/>
          <w:szCs w:val="22"/>
        </w:rPr>
        <w:t>Total pa</w:t>
      </w:r>
      <w:r w:rsidR="000C5914" w:rsidRPr="00B1511E">
        <w:rPr>
          <w:rFonts w:ascii="Arial" w:hAnsi="Arial" w:cs="Arial"/>
          <w:sz w:val="22"/>
          <w:szCs w:val="22"/>
        </w:rPr>
        <w:t xml:space="preserve">y </w:t>
      </w:r>
      <w:r w:rsidR="0000631A" w:rsidRPr="00B1511E">
        <w:rPr>
          <w:rFonts w:ascii="Arial" w:hAnsi="Arial" w:cs="Arial"/>
          <w:sz w:val="22"/>
          <w:szCs w:val="22"/>
        </w:rPr>
        <w:t xml:space="preserve">costs incurred </w:t>
      </w:r>
      <w:r w:rsidR="00DC096C" w:rsidRPr="00B1511E">
        <w:rPr>
          <w:rFonts w:ascii="Arial" w:hAnsi="Arial" w:cs="Arial"/>
          <w:sz w:val="22"/>
          <w:szCs w:val="22"/>
        </w:rPr>
        <w:t>are £</w:t>
      </w:r>
      <w:r w:rsidR="008D3436">
        <w:rPr>
          <w:rFonts w:ascii="Arial" w:hAnsi="Arial" w:cs="Arial"/>
          <w:sz w:val="22"/>
          <w:szCs w:val="22"/>
        </w:rPr>
        <w:t>4.24</w:t>
      </w:r>
      <w:r w:rsidR="004B5C87" w:rsidRPr="00B1511E">
        <w:rPr>
          <w:rFonts w:ascii="Arial" w:hAnsi="Arial" w:cs="Arial"/>
          <w:sz w:val="22"/>
          <w:szCs w:val="22"/>
        </w:rPr>
        <w:t>m</w:t>
      </w:r>
      <w:r w:rsidR="00EF27D7" w:rsidRPr="00B1511E">
        <w:rPr>
          <w:rFonts w:ascii="Arial" w:hAnsi="Arial" w:cs="Arial"/>
          <w:sz w:val="22"/>
          <w:szCs w:val="22"/>
        </w:rPr>
        <w:t xml:space="preserve"> (6</w:t>
      </w:r>
      <w:r w:rsidR="0066437D">
        <w:rPr>
          <w:rFonts w:ascii="Arial" w:hAnsi="Arial" w:cs="Arial"/>
          <w:sz w:val="22"/>
          <w:szCs w:val="22"/>
        </w:rPr>
        <w:t>9</w:t>
      </w:r>
      <w:r w:rsidR="003A4D87" w:rsidRPr="00B1511E">
        <w:rPr>
          <w:rFonts w:ascii="Arial" w:hAnsi="Arial" w:cs="Arial"/>
          <w:sz w:val="22"/>
          <w:szCs w:val="22"/>
        </w:rPr>
        <w:t>%</w:t>
      </w:r>
      <w:r w:rsidR="00EF27D7" w:rsidRPr="00B1511E">
        <w:rPr>
          <w:rFonts w:ascii="Arial" w:hAnsi="Arial" w:cs="Arial"/>
          <w:sz w:val="22"/>
          <w:szCs w:val="22"/>
        </w:rPr>
        <w:t xml:space="preserve"> of total expenditure costs</w:t>
      </w:r>
      <w:r w:rsidR="003A4D87" w:rsidRPr="00B1511E">
        <w:rPr>
          <w:rFonts w:ascii="Arial" w:hAnsi="Arial" w:cs="Arial"/>
          <w:sz w:val="22"/>
          <w:szCs w:val="22"/>
        </w:rPr>
        <w:t>)</w:t>
      </w:r>
      <w:r w:rsidR="00EF27D7" w:rsidRPr="00B1511E">
        <w:rPr>
          <w:rFonts w:ascii="Arial" w:hAnsi="Arial" w:cs="Arial"/>
          <w:sz w:val="22"/>
          <w:szCs w:val="22"/>
        </w:rPr>
        <w:t>.</w:t>
      </w:r>
      <w:r w:rsidR="000C5914" w:rsidRPr="00B1511E">
        <w:rPr>
          <w:rFonts w:ascii="Arial" w:hAnsi="Arial" w:cs="Arial"/>
          <w:sz w:val="22"/>
          <w:szCs w:val="22"/>
        </w:rPr>
        <w:t xml:space="preserve"> </w:t>
      </w:r>
    </w:p>
    <w:p w:rsidR="00361479" w:rsidRDefault="00361479" w:rsidP="00361479">
      <w:pPr>
        <w:pStyle w:val="ListParagraph"/>
        <w:numPr>
          <w:ilvl w:val="0"/>
          <w:numId w:val="17"/>
        </w:numPr>
        <w:jc w:val="both"/>
        <w:rPr>
          <w:rFonts w:ascii="Arial" w:hAnsi="Arial" w:cs="Arial"/>
          <w:sz w:val="22"/>
          <w:szCs w:val="22"/>
        </w:rPr>
      </w:pPr>
      <w:r w:rsidRPr="00361479">
        <w:rPr>
          <w:rFonts w:ascii="Arial" w:hAnsi="Arial" w:cs="Arial"/>
          <w:sz w:val="22"/>
          <w:szCs w:val="22"/>
        </w:rPr>
        <w:t>Pay b</w:t>
      </w:r>
      <w:r w:rsidR="007A3B4E">
        <w:rPr>
          <w:rFonts w:ascii="Arial" w:hAnsi="Arial" w:cs="Arial"/>
          <w:sz w:val="22"/>
          <w:szCs w:val="22"/>
        </w:rPr>
        <w:t>udgets are under sp</w:t>
      </w:r>
      <w:r w:rsidR="00635141">
        <w:rPr>
          <w:rFonts w:ascii="Arial" w:hAnsi="Arial" w:cs="Arial"/>
          <w:sz w:val="22"/>
          <w:szCs w:val="22"/>
        </w:rPr>
        <w:t>ent</w:t>
      </w:r>
      <w:r w:rsidR="007E7C69">
        <w:rPr>
          <w:rFonts w:ascii="Arial" w:hAnsi="Arial" w:cs="Arial"/>
          <w:sz w:val="22"/>
          <w:szCs w:val="22"/>
        </w:rPr>
        <w:t xml:space="preserve"> by £50</w:t>
      </w:r>
      <w:r w:rsidR="007A3B4E">
        <w:rPr>
          <w:rFonts w:ascii="Arial" w:hAnsi="Arial" w:cs="Arial"/>
          <w:sz w:val="22"/>
          <w:szCs w:val="22"/>
        </w:rPr>
        <w:t xml:space="preserve">k. This is </w:t>
      </w:r>
      <w:r w:rsidR="007817C4">
        <w:rPr>
          <w:rFonts w:ascii="Arial" w:hAnsi="Arial" w:cs="Arial"/>
          <w:sz w:val="22"/>
          <w:szCs w:val="22"/>
        </w:rPr>
        <w:t xml:space="preserve">net of </w:t>
      </w:r>
      <w:r w:rsidR="00BA2A8B">
        <w:rPr>
          <w:rFonts w:ascii="Arial" w:hAnsi="Arial" w:cs="Arial"/>
          <w:sz w:val="22"/>
          <w:szCs w:val="22"/>
        </w:rPr>
        <w:t>the</w:t>
      </w:r>
      <w:r w:rsidR="007E7C69">
        <w:rPr>
          <w:rFonts w:ascii="Arial" w:hAnsi="Arial" w:cs="Arial"/>
          <w:sz w:val="22"/>
          <w:szCs w:val="22"/>
        </w:rPr>
        <w:t xml:space="preserve"> £75</w:t>
      </w:r>
      <w:r w:rsidRPr="00361479">
        <w:rPr>
          <w:rFonts w:ascii="Arial" w:hAnsi="Arial" w:cs="Arial"/>
          <w:sz w:val="22"/>
          <w:szCs w:val="22"/>
        </w:rPr>
        <w:t>k year to date vacancy factor</w:t>
      </w:r>
      <w:r w:rsidR="004639EE">
        <w:rPr>
          <w:rFonts w:ascii="Arial" w:hAnsi="Arial" w:cs="Arial"/>
          <w:sz w:val="22"/>
          <w:szCs w:val="22"/>
        </w:rPr>
        <w:t>,</w:t>
      </w:r>
      <w:r w:rsidRPr="00361479">
        <w:rPr>
          <w:rFonts w:ascii="Arial" w:hAnsi="Arial" w:cs="Arial"/>
          <w:sz w:val="22"/>
          <w:szCs w:val="22"/>
        </w:rPr>
        <w:t xml:space="preserve"> the overall pay underspe</w:t>
      </w:r>
      <w:r w:rsidR="007A3B4E">
        <w:rPr>
          <w:rFonts w:ascii="Arial" w:hAnsi="Arial" w:cs="Arial"/>
          <w:sz w:val="22"/>
          <w:szCs w:val="22"/>
        </w:rPr>
        <w:t>nd</w:t>
      </w:r>
      <w:r w:rsidR="007E7C69">
        <w:rPr>
          <w:rFonts w:ascii="Arial" w:hAnsi="Arial" w:cs="Arial"/>
          <w:sz w:val="22"/>
          <w:szCs w:val="22"/>
        </w:rPr>
        <w:t xml:space="preserve"> would have therefore been £125</w:t>
      </w:r>
      <w:r w:rsidR="00E64294">
        <w:rPr>
          <w:rFonts w:ascii="Arial" w:hAnsi="Arial" w:cs="Arial"/>
          <w:sz w:val="22"/>
          <w:szCs w:val="22"/>
        </w:rPr>
        <w:t xml:space="preserve">k.  </w:t>
      </w:r>
    </w:p>
    <w:p w:rsidR="00156315" w:rsidRDefault="004308A8" w:rsidP="00092A9E">
      <w:pPr>
        <w:pStyle w:val="ListParagraph"/>
        <w:numPr>
          <w:ilvl w:val="0"/>
          <w:numId w:val="17"/>
        </w:numPr>
        <w:jc w:val="both"/>
        <w:rPr>
          <w:rFonts w:ascii="Arial" w:hAnsi="Arial" w:cs="Arial"/>
          <w:sz w:val="22"/>
          <w:szCs w:val="22"/>
        </w:rPr>
      </w:pPr>
      <w:r w:rsidRPr="004308A8">
        <w:rPr>
          <w:rFonts w:ascii="Arial" w:hAnsi="Arial" w:cs="Arial"/>
          <w:sz w:val="22"/>
          <w:szCs w:val="22"/>
        </w:rPr>
        <w:t>Non-p</w:t>
      </w:r>
      <w:r w:rsidR="007E7C69">
        <w:rPr>
          <w:rFonts w:ascii="Arial" w:hAnsi="Arial" w:cs="Arial"/>
          <w:sz w:val="22"/>
          <w:szCs w:val="22"/>
        </w:rPr>
        <w:t>ay budgets are over spent by £54</w:t>
      </w:r>
      <w:r w:rsidRPr="004308A8">
        <w:rPr>
          <w:rFonts w:ascii="Arial" w:hAnsi="Arial" w:cs="Arial"/>
          <w:sz w:val="22"/>
          <w:szCs w:val="22"/>
        </w:rPr>
        <w:t xml:space="preserve">k.    As </w:t>
      </w:r>
      <w:r w:rsidR="007E7C69">
        <w:rPr>
          <w:rFonts w:ascii="Arial" w:hAnsi="Arial" w:cs="Arial"/>
          <w:sz w:val="22"/>
          <w:szCs w:val="22"/>
        </w:rPr>
        <w:t xml:space="preserve">previously advised </w:t>
      </w:r>
      <w:r w:rsidRPr="004308A8">
        <w:rPr>
          <w:rFonts w:ascii="Arial" w:hAnsi="Arial" w:cs="Arial"/>
          <w:sz w:val="22"/>
          <w:szCs w:val="22"/>
        </w:rPr>
        <w:t xml:space="preserve">£70k relates to the archiving projects running into the </w:t>
      </w:r>
      <w:proofErr w:type="gramStart"/>
      <w:r w:rsidRPr="004308A8">
        <w:rPr>
          <w:rFonts w:ascii="Arial" w:hAnsi="Arial" w:cs="Arial"/>
          <w:sz w:val="22"/>
          <w:szCs w:val="22"/>
        </w:rPr>
        <w:t>new year</w:t>
      </w:r>
      <w:proofErr w:type="gramEnd"/>
      <w:r w:rsidRPr="004308A8">
        <w:rPr>
          <w:rFonts w:ascii="Arial" w:hAnsi="Arial" w:cs="Arial"/>
          <w:sz w:val="22"/>
          <w:szCs w:val="22"/>
        </w:rPr>
        <w:t xml:space="preserve"> and £18.5k relates to the asset disposal. These are both non </w:t>
      </w:r>
      <w:r>
        <w:rPr>
          <w:rFonts w:ascii="Arial" w:hAnsi="Arial" w:cs="Arial"/>
          <w:sz w:val="22"/>
          <w:szCs w:val="22"/>
        </w:rPr>
        <w:t xml:space="preserve">recurrent impacts. </w:t>
      </w:r>
      <w:r w:rsidR="00092A9E">
        <w:rPr>
          <w:rFonts w:ascii="Arial" w:hAnsi="Arial" w:cs="Arial"/>
          <w:sz w:val="22"/>
          <w:szCs w:val="22"/>
        </w:rPr>
        <w:t xml:space="preserve">A continuing cost pressure on non-pay is </w:t>
      </w:r>
      <w:proofErr w:type="gramStart"/>
      <w:r w:rsidR="00092A9E">
        <w:rPr>
          <w:rFonts w:ascii="Arial" w:hAnsi="Arial" w:cs="Arial"/>
          <w:sz w:val="22"/>
          <w:szCs w:val="22"/>
        </w:rPr>
        <w:t xml:space="preserve">the </w:t>
      </w:r>
      <w:r w:rsidRPr="004308A8">
        <w:rPr>
          <w:rFonts w:ascii="Arial" w:hAnsi="Arial" w:cs="Arial"/>
          <w:sz w:val="22"/>
          <w:szCs w:val="22"/>
        </w:rPr>
        <w:t>oversp</w:t>
      </w:r>
      <w:r>
        <w:rPr>
          <w:rFonts w:ascii="Arial" w:hAnsi="Arial" w:cs="Arial"/>
          <w:sz w:val="22"/>
          <w:szCs w:val="22"/>
        </w:rPr>
        <w:t>end</w:t>
      </w:r>
      <w:proofErr w:type="gramEnd"/>
      <w:r>
        <w:rPr>
          <w:rFonts w:ascii="Arial" w:hAnsi="Arial" w:cs="Arial"/>
          <w:sz w:val="22"/>
          <w:szCs w:val="22"/>
        </w:rPr>
        <w:t xml:space="preserve"> on Skipton House rent</w:t>
      </w:r>
      <w:r w:rsidR="00745E47">
        <w:rPr>
          <w:rFonts w:ascii="Arial" w:hAnsi="Arial" w:cs="Arial"/>
          <w:sz w:val="22"/>
          <w:szCs w:val="22"/>
        </w:rPr>
        <w:t xml:space="preserve"> which will remain as a recurrent pressure.</w:t>
      </w:r>
    </w:p>
    <w:p w:rsidR="00745E47" w:rsidRDefault="00745E47" w:rsidP="00745E47">
      <w:pPr>
        <w:pStyle w:val="ListParagraph"/>
        <w:ind w:left="1080"/>
        <w:jc w:val="both"/>
        <w:rPr>
          <w:rFonts w:ascii="Arial" w:hAnsi="Arial" w:cs="Arial"/>
          <w:sz w:val="22"/>
          <w:szCs w:val="22"/>
        </w:rPr>
      </w:pPr>
    </w:p>
    <w:p w:rsidR="00E00739" w:rsidRPr="00745E47" w:rsidRDefault="007055AB" w:rsidP="00745E47">
      <w:pPr>
        <w:pStyle w:val="ListParagraph"/>
        <w:spacing w:after="200" w:line="276" w:lineRule="auto"/>
        <w:ind w:left="-567"/>
        <w:rPr>
          <w:rFonts w:ascii="Arial" w:hAnsi="Arial" w:cs="Arial"/>
          <w:b/>
          <w:sz w:val="22"/>
          <w:szCs w:val="22"/>
        </w:rPr>
      </w:pPr>
      <w:r>
        <w:rPr>
          <w:rFonts w:ascii="Arial" w:hAnsi="Arial" w:cs="Arial"/>
          <w:b/>
          <w:sz w:val="22"/>
          <w:szCs w:val="22"/>
        </w:rPr>
        <w:t xml:space="preserve">Table 1: </w:t>
      </w:r>
      <w:r w:rsidR="00745E47" w:rsidRPr="00745E47">
        <w:rPr>
          <w:rFonts w:ascii="Arial" w:hAnsi="Arial" w:cs="Arial"/>
          <w:b/>
          <w:sz w:val="22"/>
          <w:szCs w:val="22"/>
        </w:rPr>
        <w:t xml:space="preserve">HRA Revenue position for the period ended 30 September 2016  </w:t>
      </w:r>
    </w:p>
    <w:tbl>
      <w:tblPr>
        <w:tblW w:w="11446" w:type="dxa"/>
        <w:tblInd w:w="-1324" w:type="dxa"/>
        <w:tblLook w:val="04A0" w:firstRow="1" w:lastRow="0" w:firstColumn="1" w:lastColumn="0" w:noHBand="0" w:noVBand="1"/>
      </w:tblPr>
      <w:tblGrid>
        <w:gridCol w:w="905"/>
        <w:gridCol w:w="828"/>
        <w:gridCol w:w="1050"/>
        <w:gridCol w:w="232"/>
        <w:gridCol w:w="1372"/>
        <w:gridCol w:w="267"/>
        <w:gridCol w:w="905"/>
        <w:gridCol w:w="828"/>
        <w:gridCol w:w="1050"/>
        <w:gridCol w:w="232"/>
        <w:gridCol w:w="939"/>
        <w:gridCol w:w="883"/>
        <w:gridCol w:w="905"/>
        <w:gridCol w:w="1050"/>
      </w:tblGrid>
      <w:tr w:rsidR="00745E47" w:rsidRPr="00065E53" w:rsidTr="00745E47">
        <w:trPr>
          <w:trHeight w:val="192"/>
        </w:trPr>
        <w:tc>
          <w:tcPr>
            <w:tcW w:w="2783" w:type="dxa"/>
            <w:gridSpan w:val="3"/>
            <w:tcBorders>
              <w:top w:val="single" w:sz="8" w:space="0" w:color="FFFFFF"/>
              <w:left w:val="single" w:sz="8" w:space="0" w:color="FFFFFF"/>
              <w:bottom w:val="nil"/>
              <w:right w:val="nil"/>
            </w:tcBorders>
            <w:shd w:val="clear" w:color="000000" w:fill="E28C05"/>
            <w:vAlign w:val="center"/>
            <w:hideMark/>
          </w:tcPr>
          <w:p w:rsidR="00745E47" w:rsidRPr="00065E53" w:rsidRDefault="00745E47" w:rsidP="007C5117">
            <w:pPr>
              <w:ind w:right="255"/>
              <w:jc w:val="center"/>
              <w:rPr>
                <w:rFonts w:ascii="Arial" w:hAnsi="Arial" w:cs="Arial"/>
                <w:b/>
                <w:bCs/>
                <w:color w:val="56008C"/>
                <w:sz w:val="20"/>
                <w:szCs w:val="20"/>
              </w:rPr>
            </w:pPr>
            <w:r w:rsidRPr="00065E53">
              <w:rPr>
                <w:rFonts w:ascii="Arial" w:hAnsi="Arial" w:cs="Arial"/>
                <w:b/>
                <w:bCs/>
                <w:color w:val="56008C"/>
                <w:sz w:val="20"/>
                <w:szCs w:val="20"/>
              </w:rPr>
              <w:t>Period (£'000)</w:t>
            </w:r>
          </w:p>
        </w:tc>
        <w:tc>
          <w:tcPr>
            <w:tcW w:w="232"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FFFFFF"/>
                <w:sz w:val="20"/>
                <w:szCs w:val="20"/>
              </w:rPr>
            </w:pPr>
          </w:p>
        </w:tc>
        <w:tc>
          <w:tcPr>
            <w:tcW w:w="1372" w:type="dxa"/>
            <w:tcBorders>
              <w:top w:val="single" w:sz="4" w:space="0" w:color="666666"/>
              <w:left w:val="nil"/>
              <w:bottom w:val="single" w:sz="4" w:space="0" w:color="666666"/>
              <w:right w:val="single" w:sz="4" w:space="0" w:color="666666"/>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Department</w:t>
            </w:r>
          </w:p>
        </w:tc>
        <w:tc>
          <w:tcPr>
            <w:tcW w:w="267"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FFFFFF"/>
                <w:sz w:val="20"/>
                <w:szCs w:val="20"/>
              </w:rPr>
            </w:pPr>
          </w:p>
        </w:tc>
        <w:tc>
          <w:tcPr>
            <w:tcW w:w="2783" w:type="dxa"/>
            <w:gridSpan w:val="3"/>
            <w:tcBorders>
              <w:top w:val="single" w:sz="8" w:space="0" w:color="FFFFFF"/>
              <w:left w:val="single" w:sz="8" w:space="0" w:color="FFFFFF"/>
              <w:bottom w:val="nil"/>
              <w:right w:val="single" w:sz="8" w:space="0" w:color="FFFFFF"/>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Year to date (£'000)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0"/>
                <w:szCs w:val="20"/>
              </w:rPr>
            </w:pPr>
          </w:p>
        </w:tc>
        <w:tc>
          <w:tcPr>
            <w:tcW w:w="3777" w:type="dxa"/>
            <w:gridSpan w:val="4"/>
            <w:tcBorders>
              <w:top w:val="single" w:sz="8" w:space="0" w:color="FFFFFF"/>
              <w:left w:val="single" w:sz="8" w:space="0" w:color="FFFFFF"/>
              <w:bottom w:val="nil"/>
              <w:right w:val="single" w:sz="8" w:space="0" w:color="FFFFFF"/>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Full year (£'000)</w:t>
            </w:r>
          </w:p>
        </w:tc>
      </w:tr>
      <w:tr w:rsidR="00745E47" w:rsidRPr="00065E53" w:rsidTr="00745E47">
        <w:trPr>
          <w:trHeight w:val="192"/>
        </w:trPr>
        <w:tc>
          <w:tcPr>
            <w:tcW w:w="905"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 </w:t>
            </w:r>
          </w:p>
        </w:tc>
        <w:tc>
          <w:tcPr>
            <w:tcW w:w="828"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 </w:t>
            </w:r>
          </w:p>
        </w:tc>
        <w:tc>
          <w:tcPr>
            <w:tcW w:w="1050"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 </w:t>
            </w:r>
          </w:p>
        </w:tc>
        <w:tc>
          <w:tcPr>
            <w:tcW w:w="232"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FFFFFF"/>
                <w:sz w:val="20"/>
                <w:szCs w:val="20"/>
              </w:rPr>
            </w:pPr>
          </w:p>
        </w:tc>
        <w:tc>
          <w:tcPr>
            <w:tcW w:w="1372" w:type="dxa"/>
            <w:tcBorders>
              <w:top w:val="nil"/>
              <w:left w:val="nil"/>
              <w:bottom w:val="nil"/>
              <w:right w:val="nil"/>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 </w:t>
            </w:r>
          </w:p>
        </w:tc>
        <w:tc>
          <w:tcPr>
            <w:tcW w:w="267"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FFFFFF"/>
                <w:sz w:val="20"/>
                <w:szCs w:val="20"/>
              </w:rPr>
            </w:pPr>
          </w:p>
        </w:tc>
        <w:tc>
          <w:tcPr>
            <w:tcW w:w="905"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 </w:t>
            </w:r>
          </w:p>
        </w:tc>
        <w:tc>
          <w:tcPr>
            <w:tcW w:w="828"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 </w:t>
            </w:r>
          </w:p>
        </w:tc>
        <w:tc>
          <w:tcPr>
            <w:tcW w:w="1050"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 </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0"/>
                <w:szCs w:val="20"/>
              </w:rPr>
            </w:pPr>
          </w:p>
        </w:tc>
        <w:tc>
          <w:tcPr>
            <w:tcW w:w="939" w:type="dxa"/>
            <w:tcBorders>
              <w:top w:val="nil"/>
              <w:left w:val="nil"/>
              <w:bottom w:val="nil"/>
              <w:right w:val="nil"/>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 </w:t>
            </w:r>
          </w:p>
        </w:tc>
        <w:tc>
          <w:tcPr>
            <w:tcW w:w="2838" w:type="dxa"/>
            <w:gridSpan w:val="3"/>
            <w:tcBorders>
              <w:top w:val="nil"/>
              <w:left w:val="single" w:sz="8" w:space="0" w:color="538DD5"/>
              <w:bottom w:val="nil"/>
              <w:right w:val="nil"/>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2016/17</w:t>
            </w:r>
          </w:p>
        </w:tc>
      </w:tr>
      <w:tr w:rsidR="00745E47" w:rsidRPr="00065E53" w:rsidTr="00745E47">
        <w:trPr>
          <w:trHeight w:val="346"/>
        </w:trPr>
        <w:tc>
          <w:tcPr>
            <w:tcW w:w="905" w:type="dxa"/>
            <w:tcBorders>
              <w:top w:val="nil"/>
              <w:left w:val="nil"/>
              <w:bottom w:val="nil"/>
              <w:right w:val="single" w:sz="8" w:space="0" w:color="816EA6"/>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Budget</w:t>
            </w:r>
          </w:p>
        </w:tc>
        <w:tc>
          <w:tcPr>
            <w:tcW w:w="828" w:type="dxa"/>
            <w:tcBorders>
              <w:top w:val="nil"/>
              <w:left w:val="nil"/>
              <w:bottom w:val="nil"/>
              <w:right w:val="single" w:sz="8" w:space="0" w:color="816EA6"/>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Actual</w:t>
            </w:r>
          </w:p>
        </w:tc>
        <w:tc>
          <w:tcPr>
            <w:tcW w:w="1050"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Variance</w:t>
            </w:r>
          </w:p>
        </w:tc>
        <w:tc>
          <w:tcPr>
            <w:tcW w:w="232"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000000"/>
                <w:sz w:val="20"/>
                <w:szCs w:val="20"/>
              </w:rPr>
            </w:pPr>
          </w:p>
        </w:tc>
        <w:tc>
          <w:tcPr>
            <w:tcW w:w="1372" w:type="dxa"/>
            <w:tcBorders>
              <w:top w:val="nil"/>
              <w:left w:val="nil"/>
              <w:bottom w:val="single" w:sz="8" w:space="0" w:color="CCCCCC"/>
              <w:right w:val="single" w:sz="8" w:space="0" w:color="CCCCCC"/>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Income</w:t>
            </w:r>
          </w:p>
        </w:tc>
        <w:tc>
          <w:tcPr>
            <w:tcW w:w="267"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000000"/>
                <w:sz w:val="20"/>
                <w:szCs w:val="20"/>
              </w:rPr>
            </w:pPr>
          </w:p>
        </w:tc>
        <w:tc>
          <w:tcPr>
            <w:tcW w:w="905" w:type="dxa"/>
            <w:tcBorders>
              <w:top w:val="nil"/>
              <w:left w:val="nil"/>
              <w:bottom w:val="nil"/>
              <w:right w:val="single" w:sz="8" w:space="0" w:color="55ACD3"/>
            </w:tcBorders>
            <w:shd w:val="clear" w:color="000000" w:fill="E28C05"/>
            <w:vAlign w:val="center"/>
            <w:hideMark/>
          </w:tcPr>
          <w:p w:rsidR="00745E47" w:rsidRPr="00065E53" w:rsidRDefault="00745E47" w:rsidP="007C5117">
            <w:pPr>
              <w:rPr>
                <w:rFonts w:ascii="Arial" w:hAnsi="Arial" w:cs="Arial"/>
                <w:b/>
                <w:bCs/>
                <w:color w:val="56008C"/>
                <w:sz w:val="20"/>
                <w:szCs w:val="20"/>
              </w:rPr>
            </w:pPr>
            <w:r w:rsidRPr="00065E53">
              <w:rPr>
                <w:rFonts w:ascii="Arial" w:hAnsi="Arial" w:cs="Arial"/>
                <w:b/>
                <w:bCs/>
                <w:color w:val="56008C"/>
                <w:sz w:val="20"/>
                <w:szCs w:val="20"/>
              </w:rPr>
              <w:t>Budget</w:t>
            </w:r>
          </w:p>
        </w:tc>
        <w:tc>
          <w:tcPr>
            <w:tcW w:w="828" w:type="dxa"/>
            <w:tcBorders>
              <w:top w:val="nil"/>
              <w:left w:val="nil"/>
              <w:bottom w:val="nil"/>
              <w:right w:val="single" w:sz="8" w:space="0" w:color="55ACD3"/>
            </w:tcBorders>
            <w:shd w:val="clear" w:color="000000" w:fill="E28C05"/>
            <w:vAlign w:val="center"/>
            <w:hideMark/>
          </w:tcPr>
          <w:p w:rsidR="00745E47" w:rsidRPr="00065E53" w:rsidRDefault="00745E47" w:rsidP="007C5117">
            <w:pPr>
              <w:rPr>
                <w:rFonts w:ascii="Arial" w:hAnsi="Arial" w:cs="Arial"/>
                <w:b/>
                <w:bCs/>
                <w:color w:val="56008C"/>
                <w:sz w:val="20"/>
                <w:szCs w:val="20"/>
              </w:rPr>
            </w:pPr>
            <w:r w:rsidRPr="00065E53">
              <w:rPr>
                <w:rFonts w:ascii="Arial" w:hAnsi="Arial" w:cs="Arial"/>
                <w:b/>
                <w:bCs/>
                <w:color w:val="56008C"/>
                <w:sz w:val="20"/>
                <w:szCs w:val="20"/>
              </w:rPr>
              <w:t>Actual</w:t>
            </w:r>
          </w:p>
        </w:tc>
        <w:tc>
          <w:tcPr>
            <w:tcW w:w="1050" w:type="dxa"/>
            <w:tcBorders>
              <w:top w:val="nil"/>
              <w:left w:val="nil"/>
              <w:bottom w:val="nil"/>
              <w:right w:val="nil"/>
            </w:tcBorders>
            <w:shd w:val="clear" w:color="000000" w:fill="E28C05"/>
            <w:vAlign w:val="center"/>
            <w:hideMark/>
          </w:tcPr>
          <w:p w:rsidR="00745E47" w:rsidRPr="00065E53" w:rsidRDefault="00745E47" w:rsidP="007C5117">
            <w:pPr>
              <w:rPr>
                <w:rFonts w:ascii="Arial" w:hAnsi="Arial" w:cs="Arial"/>
                <w:b/>
                <w:bCs/>
                <w:color w:val="56008C"/>
                <w:sz w:val="20"/>
                <w:szCs w:val="20"/>
              </w:rPr>
            </w:pPr>
            <w:r w:rsidRPr="00065E53">
              <w:rPr>
                <w:rFonts w:ascii="Arial" w:hAnsi="Arial" w:cs="Arial"/>
                <w:b/>
                <w:bCs/>
                <w:color w:val="56008C"/>
                <w:sz w:val="20"/>
                <w:szCs w:val="20"/>
              </w:rPr>
              <w:t>Variance</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0"/>
                <w:szCs w:val="20"/>
              </w:rPr>
            </w:pPr>
          </w:p>
        </w:tc>
        <w:tc>
          <w:tcPr>
            <w:tcW w:w="939" w:type="dxa"/>
            <w:tcBorders>
              <w:top w:val="nil"/>
              <w:left w:val="nil"/>
              <w:bottom w:val="nil"/>
              <w:right w:val="single" w:sz="8" w:space="0" w:color="55ACD3"/>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2015/16 actual</w:t>
            </w:r>
          </w:p>
        </w:tc>
        <w:tc>
          <w:tcPr>
            <w:tcW w:w="883" w:type="dxa"/>
            <w:tcBorders>
              <w:top w:val="nil"/>
              <w:left w:val="nil"/>
              <w:bottom w:val="nil"/>
              <w:right w:val="single" w:sz="8" w:space="0" w:color="55ACD3"/>
            </w:tcBorders>
            <w:shd w:val="clear" w:color="000000" w:fill="56008C"/>
            <w:vAlign w:val="center"/>
            <w:hideMark/>
          </w:tcPr>
          <w:p w:rsidR="00745E47" w:rsidRPr="00065E53" w:rsidRDefault="00745E47" w:rsidP="007C5117">
            <w:pPr>
              <w:rPr>
                <w:rFonts w:ascii="Arial" w:hAnsi="Arial" w:cs="Arial"/>
                <w:b/>
                <w:bCs/>
                <w:color w:val="FFFFFF"/>
                <w:sz w:val="20"/>
                <w:szCs w:val="20"/>
              </w:rPr>
            </w:pPr>
            <w:r w:rsidRPr="00065E53">
              <w:rPr>
                <w:rFonts w:ascii="Arial" w:hAnsi="Arial" w:cs="Arial"/>
                <w:b/>
                <w:bCs/>
                <w:color w:val="FFFFFF"/>
                <w:sz w:val="20"/>
                <w:szCs w:val="20"/>
              </w:rPr>
              <w:t xml:space="preserve"> Initial budget</w:t>
            </w:r>
          </w:p>
        </w:tc>
        <w:tc>
          <w:tcPr>
            <w:tcW w:w="905" w:type="dxa"/>
            <w:tcBorders>
              <w:top w:val="nil"/>
              <w:left w:val="nil"/>
              <w:bottom w:val="nil"/>
              <w:right w:val="single" w:sz="8" w:space="0" w:color="55ACD3"/>
            </w:tcBorders>
            <w:shd w:val="clear" w:color="000000" w:fill="56008C"/>
            <w:vAlign w:val="center"/>
            <w:hideMark/>
          </w:tcPr>
          <w:p w:rsidR="00745E47" w:rsidRPr="00065E53" w:rsidRDefault="00745E47" w:rsidP="007C5117">
            <w:pPr>
              <w:rPr>
                <w:rFonts w:ascii="Arial" w:hAnsi="Arial" w:cs="Arial"/>
                <w:b/>
                <w:bCs/>
                <w:color w:val="FFFFFF"/>
                <w:sz w:val="20"/>
                <w:szCs w:val="20"/>
              </w:rPr>
            </w:pPr>
            <w:r w:rsidRPr="00065E53">
              <w:rPr>
                <w:rFonts w:ascii="Arial" w:hAnsi="Arial" w:cs="Arial"/>
                <w:b/>
                <w:bCs/>
                <w:color w:val="FFFFFF"/>
                <w:sz w:val="20"/>
                <w:szCs w:val="20"/>
              </w:rPr>
              <w:t>Latest Budget</w:t>
            </w:r>
          </w:p>
        </w:tc>
        <w:tc>
          <w:tcPr>
            <w:tcW w:w="1050" w:type="dxa"/>
            <w:tcBorders>
              <w:top w:val="nil"/>
              <w:left w:val="nil"/>
              <w:bottom w:val="nil"/>
              <w:right w:val="nil"/>
            </w:tcBorders>
            <w:shd w:val="clear" w:color="000000" w:fill="56008C"/>
            <w:vAlign w:val="center"/>
            <w:hideMark/>
          </w:tcPr>
          <w:p w:rsidR="00745E47" w:rsidRPr="00065E53" w:rsidRDefault="00745E47" w:rsidP="007C5117">
            <w:pPr>
              <w:rPr>
                <w:rFonts w:ascii="Arial" w:hAnsi="Arial" w:cs="Arial"/>
                <w:b/>
                <w:bCs/>
                <w:color w:val="FFFFFF"/>
                <w:sz w:val="20"/>
                <w:szCs w:val="20"/>
              </w:rPr>
            </w:pPr>
            <w:r w:rsidRPr="00065E53">
              <w:rPr>
                <w:rFonts w:ascii="Arial" w:hAnsi="Arial" w:cs="Arial"/>
                <w:b/>
                <w:bCs/>
                <w:color w:val="FFFFFF"/>
                <w:sz w:val="20"/>
                <w:szCs w:val="20"/>
              </w:rPr>
              <w:t>Forecast</w:t>
            </w:r>
          </w:p>
        </w:tc>
      </w:tr>
      <w:tr w:rsidR="00745E47" w:rsidRPr="00065E53" w:rsidTr="00745E47">
        <w:trPr>
          <w:trHeight w:val="192"/>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88</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88</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HRA income</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88</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88</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198</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200</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176</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176</w:t>
            </w:r>
          </w:p>
        </w:tc>
      </w:tr>
      <w:tr w:rsidR="00745E47" w:rsidRPr="00065E53" w:rsidTr="00745E47">
        <w:trPr>
          <w:trHeight w:val="192"/>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898</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878</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Grant in Aid confirmed</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5,879</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5,883</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12,509</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12,630</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12,630</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12,630</w:t>
            </w:r>
          </w:p>
        </w:tc>
      </w:tr>
      <w:tr w:rsidR="00745E47" w:rsidRPr="00065E53" w:rsidTr="00745E47">
        <w:trPr>
          <w:trHeight w:val="185"/>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98</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98</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nil"/>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Non cash revenue resource limit</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186</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186</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253</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450</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450</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450</w:t>
            </w:r>
          </w:p>
        </w:tc>
      </w:tr>
      <w:tr w:rsidR="00745E47" w:rsidRPr="00065E53" w:rsidTr="00745E47">
        <w:trPr>
          <w:trHeight w:val="185"/>
        </w:trPr>
        <w:tc>
          <w:tcPr>
            <w:tcW w:w="905"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1,084</w:t>
            </w:r>
          </w:p>
        </w:tc>
        <w:tc>
          <w:tcPr>
            <w:tcW w:w="828"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1,064</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-20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rPr>
                <w:rFonts w:ascii="Arial" w:hAnsi="Arial" w:cs="Arial"/>
                <w:b/>
                <w:bCs/>
                <w:color w:val="000000"/>
                <w:sz w:val="18"/>
                <w:szCs w:val="18"/>
              </w:rPr>
            </w:pPr>
            <w:r w:rsidRPr="00065E53">
              <w:rPr>
                <w:rFonts w:ascii="Arial" w:hAnsi="Arial" w:cs="Arial"/>
                <w:b/>
                <w:bCs/>
                <w:color w:val="000000"/>
                <w:sz w:val="18"/>
                <w:szCs w:val="18"/>
              </w:rPr>
              <w:t xml:space="preserve"> Total Income</w:t>
            </w:r>
          </w:p>
        </w:tc>
        <w:tc>
          <w:tcPr>
            <w:tcW w:w="267" w:type="dxa"/>
            <w:tcBorders>
              <w:top w:val="nil"/>
              <w:left w:val="nil"/>
              <w:bottom w:val="nil"/>
              <w:right w:val="single" w:sz="8" w:space="0" w:color="FFFFFF"/>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 </w:t>
            </w:r>
          </w:p>
        </w:tc>
        <w:tc>
          <w:tcPr>
            <w:tcW w:w="905"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6,153</w:t>
            </w:r>
          </w:p>
        </w:tc>
        <w:tc>
          <w:tcPr>
            <w:tcW w:w="828"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6,157</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4</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12,960</w:t>
            </w:r>
          </w:p>
        </w:tc>
        <w:tc>
          <w:tcPr>
            <w:tcW w:w="883"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13,280</w:t>
            </w:r>
          </w:p>
        </w:tc>
        <w:tc>
          <w:tcPr>
            <w:tcW w:w="905"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13,256</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13,256</w:t>
            </w:r>
          </w:p>
        </w:tc>
      </w:tr>
      <w:tr w:rsidR="00745E47" w:rsidRPr="00065E53" w:rsidTr="00745E47">
        <w:trPr>
          <w:trHeight w:val="185"/>
        </w:trPr>
        <w:tc>
          <w:tcPr>
            <w:tcW w:w="905" w:type="dxa"/>
            <w:tcBorders>
              <w:top w:val="nil"/>
              <w:left w:val="nil"/>
              <w:bottom w:val="nil"/>
              <w:right w:val="nil"/>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p>
        </w:tc>
        <w:tc>
          <w:tcPr>
            <w:tcW w:w="828" w:type="dxa"/>
            <w:tcBorders>
              <w:top w:val="nil"/>
              <w:left w:val="nil"/>
              <w:bottom w:val="nil"/>
              <w:right w:val="nil"/>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p>
        </w:tc>
        <w:tc>
          <w:tcPr>
            <w:tcW w:w="1050" w:type="dxa"/>
            <w:tcBorders>
              <w:top w:val="nil"/>
              <w:left w:val="nil"/>
              <w:bottom w:val="nil"/>
              <w:right w:val="nil"/>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nil"/>
              <w:bottom w:val="nil"/>
              <w:right w:val="nil"/>
            </w:tcBorders>
            <w:shd w:val="clear" w:color="auto" w:fill="auto"/>
            <w:vAlign w:val="bottom"/>
            <w:hideMark/>
          </w:tcPr>
          <w:p w:rsidR="00745E47" w:rsidRPr="00065E53" w:rsidRDefault="00745E47" w:rsidP="007C5117">
            <w:pPr>
              <w:rPr>
                <w:rFonts w:ascii="Arial" w:hAnsi="Arial" w:cs="Arial"/>
                <w:b/>
                <w:bCs/>
                <w:color w:val="000000"/>
                <w:sz w:val="18"/>
                <w:szCs w:val="18"/>
              </w:rPr>
            </w:pPr>
          </w:p>
        </w:tc>
        <w:tc>
          <w:tcPr>
            <w:tcW w:w="267" w:type="dxa"/>
            <w:tcBorders>
              <w:top w:val="nil"/>
              <w:left w:val="nil"/>
              <w:bottom w:val="nil"/>
              <w:right w:val="nil"/>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p>
        </w:tc>
        <w:tc>
          <w:tcPr>
            <w:tcW w:w="905" w:type="dxa"/>
            <w:tcBorders>
              <w:top w:val="nil"/>
              <w:left w:val="nil"/>
              <w:bottom w:val="nil"/>
              <w:right w:val="nil"/>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p>
        </w:tc>
        <w:tc>
          <w:tcPr>
            <w:tcW w:w="828" w:type="dxa"/>
            <w:tcBorders>
              <w:top w:val="nil"/>
              <w:left w:val="nil"/>
              <w:bottom w:val="nil"/>
              <w:right w:val="nil"/>
            </w:tcBorders>
            <w:shd w:val="clear" w:color="auto" w:fill="auto"/>
            <w:vAlign w:val="bottom"/>
            <w:hideMark/>
          </w:tcPr>
          <w:p w:rsidR="00745E47" w:rsidRPr="00065E53" w:rsidRDefault="00745E47" w:rsidP="007C5117">
            <w:pPr>
              <w:rPr>
                <w:rFonts w:ascii="Arial" w:hAnsi="Arial" w:cs="Arial"/>
                <w:b/>
                <w:bCs/>
                <w:color w:val="000000"/>
                <w:sz w:val="18"/>
                <w:szCs w:val="18"/>
              </w:rPr>
            </w:pPr>
          </w:p>
        </w:tc>
        <w:tc>
          <w:tcPr>
            <w:tcW w:w="1050" w:type="dxa"/>
            <w:tcBorders>
              <w:top w:val="nil"/>
              <w:left w:val="nil"/>
              <w:bottom w:val="nil"/>
              <w:right w:val="nil"/>
            </w:tcBorders>
            <w:shd w:val="clear" w:color="auto" w:fill="auto"/>
            <w:vAlign w:val="bottom"/>
            <w:hideMark/>
          </w:tcPr>
          <w:p w:rsidR="00745E47" w:rsidRPr="00065E53" w:rsidRDefault="00745E47" w:rsidP="007C5117">
            <w:pPr>
              <w:rPr>
                <w:rFonts w:ascii="Arial" w:hAnsi="Arial" w:cs="Arial"/>
                <w:b/>
                <w:bCs/>
                <w:color w:val="000000"/>
                <w:sz w:val="18"/>
                <w:szCs w:val="18"/>
              </w:rPr>
            </w:pP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p>
        </w:tc>
        <w:tc>
          <w:tcPr>
            <w:tcW w:w="883" w:type="dxa"/>
            <w:tcBorders>
              <w:top w:val="nil"/>
              <w:left w:val="nil"/>
              <w:bottom w:val="nil"/>
              <w:right w:val="nil"/>
            </w:tcBorders>
            <w:shd w:val="clear" w:color="auto" w:fill="auto"/>
            <w:vAlign w:val="bottom"/>
            <w:hideMark/>
          </w:tcPr>
          <w:p w:rsidR="00745E47" w:rsidRPr="00065E53" w:rsidRDefault="00745E47" w:rsidP="007C5117">
            <w:pPr>
              <w:rPr>
                <w:rFonts w:ascii="Arial" w:hAnsi="Arial" w:cs="Arial"/>
                <w:b/>
                <w:bCs/>
                <w:color w:val="000000"/>
                <w:sz w:val="18"/>
                <w:szCs w:val="18"/>
              </w:rPr>
            </w:pPr>
          </w:p>
        </w:tc>
        <w:tc>
          <w:tcPr>
            <w:tcW w:w="905" w:type="dxa"/>
            <w:tcBorders>
              <w:top w:val="nil"/>
              <w:left w:val="nil"/>
              <w:bottom w:val="nil"/>
              <w:right w:val="nil"/>
            </w:tcBorders>
            <w:shd w:val="clear" w:color="auto" w:fill="auto"/>
            <w:vAlign w:val="bottom"/>
            <w:hideMark/>
          </w:tcPr>
          <w:p w:rsidR="00745E47" w:rsidRPr="00065E53" w:rsidRDefault="00745E47" w:rsidP="007C5117">
            <w:pPr>
              <w:rPr>
                <w:rFonts w:ascii="Arial" w:hAnsi="Arial" w:cs="Arial"/>
                <w:b/>
                <w:bCs/>
                <w:color w:val="000000"/>
                <w:sz w:val="18"/>
                <w:szCs w:val="18"/>
              </w:rPr>
            </w:pPr>
          </w:p>
        </w:tc>
        <w:tc>
          <w:tcPr>
            <w:tcW w:w="1050" w:type="dxa"/>
            <w:tcBorders>
              <w:top w:val="nil"/>
              <w:left w:val="nil"/>
              <w:bottom w:val="nil"/>
              <w:right w:val="nil"/>
            </w:tcBorders>
            <w:shd w:val="clear" w:color="auto" w:fill="auto"/>
            <w:vAlign w:val="bottom"/>
            <w:hideMark/>
          </w:tcPr>
          <w:p w:rsidR="00745E47" w:rsidRPr="00065E53" w:rsidRDefault="00745E47" w:rsidP="007C5117">
            <w:pPr>
              <w:rPr>
                <w:rFonts w:ascii="Arial" w:hAnsi="Arial" w:cs="Arial"/>
                <w:b/>
                <w:bCs/>
                <w:color w:val="000000"/>
                <w:sz w:val="18"/>
                <w:szCs w:val="18"/>
              </w:rPr>
            </w:pPr>
          </w:p>
        </w:tc>
      </w:tr>
      <w:tr w:rsidR="00745E47" w:rsidRPr="00065E53" w:rsidTr="00745E47">
        <w:trPr>
          <w:trHeight w:val="346"/>
        </w:trPr>
        <w:tc>
          <w:tcPr>
            <w:tcW w:w="905" w:type="dxa"/>
            <w:tcBorders>
              <w:top w:val="nil"/>
              <w:left w:val="nil"/>
              <w:bottom w:val="nil"/>
              <w:right w:val="single" w:sz="8" w:space="0" w:color="816EA6"/>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Budget</w:t>
            </w:r>
          </w:p>
        </w:tc>
        <w:tc>
          <w:tcPr>
            <w:tcW w:w="828" w:type="dxa"/>
            <w:tcBorders>
              <w:top w:val="nil"/>
              <w:left w:val="nil"/>
              <w:bottom w:val="nil"/>
              <w:right w:val="single" w:sz="8" w:space="0" w:color="816EA6"/>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Actual</w:t>
            </w:r>
          </w:p>
        </w:tc>
        <w:tc>
          <w:tcPr>
            <w:tcW w:w="1050" w:type="dxa"/>
            <w:tcBorders>
              <w:top w:val="nil"/>
              <w:left w:val="nil"/>
              <w:bottom w:val="nil"/>
              <w:right w:val="nil"/>
            </w:tcBorders>
            <w:shd w:val="clear" w:color="000000" w:fill="E28C05"/>
            <w:vAlign w:val="center"/>
            <w:hideMark/>
          </w:tcPr>
          <w:p w:rsidR="00745E47" w:rsidRPr="00065E53" w:rsidRDefault="00745E47" w:rsidP="007C5117">
            <w:pPr>
              <w:jc w:val="center"/>
              <w:rPr>
                <w:rFonts w:ascii="Arial" w:hAnsi="Arial" w:cs="Arial"/>
                <w:b/>
                <w:bCs/>
                <w:color w:val="56008C"/>
                <w:sz w:val="20"/>
                <w:szCs w:val="20"/>
              </w:rPr>
            </w:pPr>
            <w:r w:rsidRPr="00065E53">
              <w:rPr>
                <w:rFonts w:ascii="Arial" w:hAnsi="Arial" w:cs="Arial"/>
                <w:b/>
                <w:bCs/>
                <w:color w:val="56008C"/>
                <w:sz w:val="20"/>
                <w:szCs w:val="20"/>
              </w:rPr>
              <w:t>Variance</w:t>
            </w:r>
          </w:p>
        </w:tc>
        <w:tc>
          <w:tcPr>
            <w:tcW w:w="232"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000000"/>
                <w:sz w:val="20"/>
                <w:szCs w:val="20"/>
              </w:rPr>
            </w:pPr>
          </w:p>
        </w:tc>
        <w:tc>
          <w:tcPr>
            <w:tcW w:w="1372" w:type="dxa"/>
            <w:tcBorders>
              <w:top w:val="nil"/>
              <w:left w:val="nil"/>
              <w:bottom w:val="single" w:sz="8" w:space="0" w:color="CCCCCC"/>
              <w:right w:val="single" w:sz="8" w:space="0" w:color="CCCCCC"/>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Expenditure</w:t>
            </w:r>
          </w:p>
        </w:tc>
        <w:tc>
          <w:tcPr>
            <w:tcW w:w="267" w:type="dxa"/>
            <w:tcBorders>
              <w:top w:val="nil"/>
              <w:left w:val="nil"/>
              <w:bottom w:val="nil"/>
              <w:right w:val="nil"/>
            </w:tcBorders>
            <w:shd w:val="clear" w:color="auto" w:fill="auto"/>
            <w:vAlign w:val="center"/>
            <w:hideMark/>
          </w:tcPr>
          <w:p w:rsidR="00745E47" w:rsidRPr="00065E53" w:rsidRDefault="00745E47" w:rsidP="007C5117">
            <w:pPr>
              <w:jc w:val="center"/>
              <w:rPr>
                <w:rFonts w:ascii="Arial" w:hAnsi="Arial" w:cs="Arial"/>
                <w:b/>
                <w:bCs/>
                <w:color w:val="000000"/>
                <w:sz w:val="20"/>
                <w:szCs w:val="20"/>
              </w:rPr>
            </w:pPr>
          </w:p>
        </w:tc>
        <w:tc>
          <w:tcPr>
            <w:tcW w:w="905" w:type="dxa"/>
            <w:tcBorders>
              <w:top w:val="nil"/>
              <w:left w:val="nil"/>
              <w:bottom w:val="nil"/>
              <w:right w:val="single" w:sz="8" w:space="0" w:color="55ACD3"/>
            </w:tcBorders>
            <w:shd w:val="clear" w:color="000000" w:fill="E28C05"/>
            <w:vAlign w:val="center"/>
            <w:hideMark/>
          </w:tcPr>
          <w:p w:rsidR="00745E47" w:rsidRPr="00065E53" w:rsidRDefault="00745E47" w:rsidP="007C5117">
            <w:pPr>
              <w:rPr>
                <w:rFonts w:ascii="Arial" w:hAnsi="Arial" w:cs="Arial"/>
                <w:b/>
                <w:bCs/>
                <w:color w:val="56008C"/>
                <w:sz w:val="20"/>
                <w:szCs w:val="20"/>
              </w:rPr>
            </w:pPr>
            <w:r w:rsidRPr="00065E53">
              <w:rPr>
                <w:rFonts w:ascii="Arial" w:hAnsi="Arial" w:cs="Arial"/>
                <w:b/>
                <w:bCs/>
                <w:color w:val="56008C"/>
                <w:sz w:val="20"/>
                <w:szCs w:val="20"/>
              </w:rPr>
              <w:t>Budget</w:t>
            </w:r>
          </w:p>
        </w:tc>
        <w:tc>
          <w:tcPr>
            <w:tcW w:w="828" w:type="dxa"/>
            <w:tcBorders>
              <w:top w:val="nil"/>
              <w:left w:val="nil"/>
              <w:bottom w:val="nil"/>
              <w:right w:val="single" w:sz="8" w:space="0" w:color="55ACD3"/>
            </w:tcBorders>
            <w:shd w:val="clear" w:color="000000" w:fill="E28C05"/>
            <w:vAlign w:val="center"/>
            <w:hideMark/>
          </w:tcPr>
          <w:p w:rsidR="00745E47" w:rsidRPr="00065E53" w:rsidRDefault="00745E47" w:rsidP="007C5117">
            <w:pPr>
              <w:rPr>
                <w:rFonts w:ascii="Arial" w:hAnsi="Arial" w:cs="Arial"/>
                <w:b/>
                <w:bCs/>
                <w:color w:val="56008C"/>
                <w:sz w:val="20"/>
                <w:szCs w:val="20"/>
              </w:rPr>
            </w:pPr>
            <w:r w:rsidRPr="00065E53">
              <w:rPr>
                <w:rFonts w:ascii="Arial" w:hAnsi="Arial" w:cs="Arial"/>
                <w:b/>
                <w:bCs/>
                <w:color w:val="56008C"/>
                <w:sz w:val="20"/>
                <w:szCs w:val="20"/>
              </w:rPr>
              <w:t>Actual</w:t>
            </w:r>
          </w:p>
        </w:tc>
        <w:tc>
          <w:tcPr>
            <w:tcW w:w="1050" w:type="dxa"/>
            <w:tcBorders>
              <w:top w:val="nil"/>
              <w:left w:val="nil"/>
              <w:bottom w:val="nil"/>
              <w:right w:val="nil"/>
            </w:tcBorders>
            <w:shd w:val="clear" w:color="000000" w:fill="E28C05"/>
            <w:vAlign w:val="center"/>
            <w:hideMark/>
          </w:tcPr>
          <w:p w:rsidR="00745E47" w:rsidRPr="00065E53" w:rsidRDefault="00745E47" w:rsidP="007C5117">
            <w:pPr>
              <w:rPr>
                <w:rFonts w:ascii="Arial" w:hAnsi="Arial" w:cs="Arial"/>
                <w:b/>
                <w:bCs/>
                <w:color w:val="56008C"/>
                <w:sz w:val="20"/>
                <w:szCs w:val="20"/>
              </w:rPr>
            </w:pPr>
            <w:r w:rsidRPr="00065E53">
              <w:rPr>
                <w:rFonts w:ascii="Arial" w:hAnsi="Arial" w:cs="Arial"/>
                <w:b/>
                <w:bCs/>
                <w:color w:val="56008C"/>
                <w:sz w:val="20"/>
                <w:szCs w:val="20"/>
              </w:rPr>
              <w:t>Variance</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0"/>
                <w:szCs w:val="20"/>
              </w:rPr>
            </w:pPr>
          </w:p>
        </w:tc>
        <w:tc>
          <w:tcPr>
            <w:tcW w:w="939" w:type="dxa"/>
            <w:tcBorders>
              <w:top w:val="nil"/>
              <w:left w:val="nil"/>
              <w:bottom w:val="nil"/>
              <w:right w:val="single" w:sz="8" w:space="0" w:color="55ACD3"/>
            </w:tcBorders>
            <w:shd w:val="clear" w:color="000000" w:fill="56008C"/>
            <w:vAlign w:val="center"/>
            <w:hideMark/>
          </w:tcPr>
          <w:p w:rsidR="00745E47" w:rsidRPr="00065E53" w:rsidRDefault="00745E47" w:rsidP="007C5117">
            <w:pPr>
              <w:jc w:val="center"/>
              <w:rPr>
                <w:rFonts w:ascii="Arial" w:hAnsi="Arial" w:cs="Arial"/>
                <w:b/>
                <w:bCs/>
                <w:color w:val="FFFFFF"/>
                <w:sz w:val="20"/>
                <w:szCs w:val="20"/>
              </w:rPr>
            </w:pPr>
            <w:r w:rsidRPr="00065E53">
              <w:rPr>
                <w:rFonts w:ascii="Arial" w:hAnsi="Arial" w:cs="Arial"/>
                <w:b/>
                <w:bCs/>
                <w:color w:val="FFFFFF"/>
                <w:sz w:val="20"/>
                <w:szCs w:val="20"/>
              </w:rPr>
              <w:t>2015/16 actual</w:t>
            </w:r>
          </w:p>
        </w:tc>
        <w:tc>
          <w:tcPr>
            <w:tcW w:w="883" w:type="dxa"/>
            <w:tcBorders>
              <w:top w:val="nil"/>
              <w:left w:val="nil"/>
              <w:bottom w:val="nil"/>
              <w:right w:val="single" w:sz="8" w:space="0" w:color="55ACD3"/>
            </w:tcBorders>
            <w:shd w:val="clear" w:color="000000" w:fill="56008C"/>
            <w:vAlign w:val="center"/>
            <w:hideMark/>
          </w:tcPr>
          <w:p w:rsidR="00745E47" w:rsidRPr="00065E53" w:rsidRDefault="00745E47" w:rsidP="007C5117">
            <w:pPr>
              <w:rPr>
                <w:rFonts w:ascii="Arial" w:hAnsi="Arial" w:cs="Arial"/>
                <w:b/>
                <w:bCs/>
                <w:color w:val="FFFFFF"/>
                <w:sz w:val="20"/>
                <w:szCs w:val="20"/>
              </w:rPr>
            </w:pPr>
            <w:r w:rsidRPr="00065E53">
              <w:rPr>
                <w:rFonts w:ascii="Arial" w:hAnsi="Arial" w:cs="Arial"/>
                <w:b/>
                <w:bCs/>
                <w:color w:val="FFFFFF"/>
                <w:sz w:val="20"/>
                <w:szCs w:val="20"/>
              </w:rPr>
              <w:t>Initial budget</w:t>
            </w:r>
          </w:p>
        </w:tc>
        <w:tc>
          <w:tcPr>
            <w:tcW w:w="905" w:type="dxa"/>
            <w:tcBorders>
              <w:top w:val="nil"/>
              <w:left w:val="nil"/>
              <w:bottom w:val="nil"/>
              <w:right w:val="single" w:sz="8" w:space="0" w:color="55ACD3"/>
            </w:tcBorders>
            <w:shd w:val="clear" w:color="000000" w:fill="56008C"/>
            <w:vAlign w:val="center"/>
            <w:hideMark/>
          </w:tcPr>
          <w:p w:rsidR="00745E47" w:rsidRPr="00065E53" w:rsidRDefault="00745E47" w:rsidP="007C5117">
            <w:pPr>
              <w:rPr>
                <w:rFonts w:ascii="Arial" w:hAnsi="Arial" w:cs="Arial"/>
                <w:b/>
                <w:bCs/>
                <w:color w:val="FFFFFF"/>
                <w:sz w:val="20"/>
                <w:szCs w:val="20"/>
              </w:rPr>
            </w:pPr>
            <w:r w:rsidRPr="00065E53">
              <w:rPr>
                <w:rFonts w:ascii="Arial" w:hAnsi="Arial" w:cs="Arial"/>
                <w:b/>
                <w:bCs/>
                <w:color w:val="FFFFFF"/>
                <w:sz w:val="20"/>
                <w:szCs w:val="20"/>
              </w:rPr>
              <w:t>Latest Budget</w:t>
            </w:r>
          </w:p>
        </w:tc>
        <w:tc>
          <w:tcPr>
            <w:tcW w:w="1050" w:type="dxa"/>
            <w:tcBorders>
              <w:top w:val="nil"/>
              <w:left w:val="nil"/>
              <w:bottom w:val="nil"/>
              <w:right w:val="nil"/>
            </w:tcBorders>
            <w:shd w:val="clear" w:color="000000" w:fill="56008C"/>
            <w:vAlign w:val="center"/>
            <w:hideMark/>
          </w:tcPr>
          <w:p w:rsidR="00745E47" w:rsidRPr="00065E53" w:rsidRDefault="00745E47" w:rsidP="007C5117">
            <w:pPr>
              <w:rPr>
                <w:rFonts w:ascii="Arial" w:hAnsi="Arial" w:cs="Arial"/>
                <w:b/>
                <w:bCs/>
                <w:color w:val="FFFFFF"/>
                <w:sz w:val="20"/>
                <w:szCs w:val="20"/>
              </w:rPr>
            </w:pPr>
            <w:r w:rsidRPr="00065E53">
              <w:rPr>
                <w:rFonts w:ascii="Arial" w:hAnsi="Arial" w:cs="Arial"/>
                <w:b/>
                <w:bCs/>
                <w:color w:val="FFFFFF"/>
                <w:sz w:val="20"/>
                <w:szCs w:val="20"/>
              </w:rPr>
              <w:t>Forecast</w:t>
            </w:r>
          </w:p>
        </w:tc>
      </w:tr>
      <w:tr w:rsidR="00745E47" w:rsidRPr="00065E53" w:rsidTr="00745E47">
        <w:trPr>
          <w:trHeight w:val="192"/>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334</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329</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-5</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Operations</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2,009</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2,009</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4,573</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4,021</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4,021</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4,021</w:t>
            </w:r>
          </w:p>
        </w:tc>
      </w:tr>
      <w:tr w:rsidR="00745E47" w:rsidRPr="00065E53" w:rsidTr="00745E47">
        <w:trPr>
          <w:trHeight w:val="192"/>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234</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237</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 xml:space="preserve">Chief Executive </w:t>
            </w:r>
            <w:proofErr w:type="spellStart"/>
            <w:r w:rsidRPr="00065E53">
              <w:rPr>
                <w:rFonts w:ascii="Arial" w:hAnsi="Arial" w:cs="Arial"/>
                <w:color w:val="000000"/>
                <w:sz w:val="18"/>
                <w:szCs w:val="18"/>
              </w:rPr>
              <w:t>inc.</w:t>
            </w:r>
            <w:proofErr w:type="spellEnd"/>
            <w:r w:rsidRPr="00065E53">
              <w:rPr>
                <w:rFonts w:ascii="Arial" w:hAnsi="Arial" w:cs="Arial"/>
                <w:color w:val="000000"/>
                <w:sz w:val="18"/>
                <w:szCs w:val="18"/>
              </w:rPr>
              <w:t xml:space="preserve"> Corp Sec</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924</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942</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18</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1,821</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1,986</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1,984</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1,984</w:t>
            </w:r>
          </w:p>
        </w:tc>
      </w:tr>
      <w:tr w:rsidR="00745E47" w:rsidRPr="00065E53" w:rsidTr="00745E47">
        <w:trPr>
          <w:trHeight w:val="192"/>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206</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200</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-6</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Corporate Services</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1,298</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1,321</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23</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1,828</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1,812</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2,676</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2,676</w:t>
            </w:r>
          </w:p>
        </w:tc>
      </w:tr>
      <w:tr w:rsidR="00745E47" w:rsidRPr="00065E53" w:rsidTr="00745E47">
        <w:trPr>
          <w:trHeight w:val="192"/>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48</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48</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Finance, Procurement and Estates</w:t>
            </w: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342</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340</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1,256</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1,315</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1,321</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1,321</w:t>
            </w:r>
          </w:p>
        </w:tc>
      </w:tr>
      <w:tr w:rsidR="00745E47" w:rsidRPr="00065E53" w:rsidTr="00745E47">
        <w:trPr>
          <w:trHeight w:val="315"/>
        </w:trPr>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262</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250</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-12</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single" w:sz="8" w:space="0" w:color="FFFFFF"/>
              <w:right w:val="single" w:sz="8" w:space="0" w:color="FFFFFF"/>
            </w:tcBorders>
            <w:shd w:val="clear" w:color="auto" w:fill="auto"/>
            <w:vAlign w:val="bottom"/>
            <w:hideMark/>
          </w:tcPr>
          <w:p w:rsidR="00745E47" w:rsidRPr="00065E53" w:rsidRDefault="00745E47" w:rsidP="007C5117">
            <w:pPr>
              <w:rPr>
                <w:rFonts w:ascii="Arial" w:hAnsi="Arial" w:cs="Arial"/>
                <w:color w:val="000000"/>
                <w:sz w:val="18"/>
                <w:szCs w:val="18"/>
              </w:rPr>
            </w:pPr>
            <w:r w:rsidRPr="00065E53">
              <w:rPr>
                <w:rFonts w:ascii="Arial" w:hAnsi="Arial" w:cs="Arial"/>
                <w:color w:val="000000"/>
                <w:sz w:val="18"/>
                <w:szCs w:val="18"/>
              </w:rPr>
              <w:t xml:space="preserve">Research Systems, Standards and HRA Approval </w:t>
            </w:r>
            <w:proofErr w:type="spellStart"/>
            <w:r w:rsidRPr="00065E53">
              <w:rPr>
                <w:rFonts w:ascii="Arial" w:hAnsi="Arial" w:cs="Arial"/>
                <w:color w:val="000000"/>
                <w:sz w:val="18"/>
                <w:szCs w:val="18"/>
              </w:rPr>
              <w:t>Prog</w:t>
            </w:r>
            <w:proofErr w:type="spellEnd"/>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1,580</w:t>
            </w:r>
          </w:p>
        </w:tc>
        <w:tc>
          <w:tcPr>
            <w:tcW w:w="828"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1,545</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-35</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3,482</w:t>
            </w:r>
          </w:p>
        </w:tc>
        <w:tc>
          <w:tcPr>
            <w:tcW w:w="883"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4,146</w:t>
            </w:r>
          </w:p>
        </w:tc>
        <w:tc>
          <w:tcPr>
            <w:tcW w:w="905"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3,254</w:t>
            </w:r>
          </w:p>
        </w:tc>
        <w:tc>
          <w:tcPr>
            <w:tcW w:w="1050" w:type="dxa"/>
            <w:tcBorders>
              <w:top w:val="nil"/>
              <w:left w:val="nil"/>
              <w:bottom w:val="nil"/>
              <w:right w:val="nil"/>
            </w:tcBorders>
            <w:shd w:val="clear" w:color="auto" w:fill="auto"/>
            <w:noWrap/>
            <w:vAlign w:val="bottom"/>
            <w:hideMark/>
          </w:tcPr>
          <w:p w:rsidR="00745E47" w:rsidRPr="00065E53" w:rsidRDefault="00745E47" w:rsidP="007C5117">
            <w:pPr>
              <w:jc w:val="right"/>
              <w:rPr>
                <w:rFonts w:ascii="Calibri" w:hAnsi="Calibri" w:cs="Calibri"/>
                <w:color w:val="000000"/>
                <w:sz w:val="22"/>
                <w:szCs w:val="22"/>
              </w:rPr>
            </w:pPr>
            <w:r w:rsidRPr="00065E53">
              <w:rPr>
                <w:rFonts w:ascii="Calibri" w:hAnsi="Calibri" w:cs="Calibri"/>
                <w:color w:val="000000"/>
                <w:sz w:val="22"/>
                <w:szCs w:val="22"/>
              </w:rPr>
              <w:t>3,254</w:t>
            </w:r>
          </w:p>
        </w:tc>
      </w:tr>
      <w:tr w:rsidR="00745E47" w:rsidRPr="00065E53" w:rsidTr="00745E47">
        <w:trPr>
          <w:trHeight w:val="185"/>
        </w:trPr>
        <w:tc>
          <w:tcPr>
            <w:tcW w:w="905"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1,084</w:t>
            </w:r>
          </w:p>
        </w:tc>
        <w:tc>
          <w:tcPr>
            <w:tcW w:w="828"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1,064</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-20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rPr>
                <w:rFonts w:ascii="Arial" w:hAnsi="Arial" w:cs="Arial"/>
                <w:b/>
                <w:bCs/>
                <w:color w:val="000000"/>
                <w:sz w:val="18"/>
                <w:szCs w:val="18"/>
              </w:rPr>
            </w:pPr>
            <w:r w:rsidRPr="00065E53">
              <w:rPr>
                <w:rFonts w:ascii="Arial" w:hAnsi="Arial" w:cs="Arial"/>
                <w:b/>
                <w:bCs/>
                <w:color w:val="000000"/>
                <w:sz w:val="18"/>
                <w:szCs w:val="18"/>
              </w:rPr>
              <w:t xml:space="preserve"> Total Expenditure</w:t>
            </w:r>
          </w:p>
        </w:tc>
        <w:tc>
          <w:tcPr>
            <w:tcW w:w="267" w:type="dxa"/>
            <w:tcBorders>
              <w:top w:val="nil"/>
              <w:left w:val="nil"/>
              <w:bottom w:val="nil"/>
              <w:right w:val="single" w:sz="8" w:space="0" w:color="FFFFFF"/>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 </w:t>
            </w:r>
          </w:p>
        </w:tc>
        <w:tc>
          <w:tcPr>
            <w:tcW w:w="905"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6,153</w:t>
            </w:r>
          </w:p>
        </w:tc>
        <w:tc>
          <w:tcPr>
            <w:tcW w:w="828"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6,157</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4</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12,960</w:t>
            </w:r>
          </w:p>
        </w:tc>
        <w:tc>
          <w:tcPr>
            <w:tcW w:w="883"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13,280</w:t>
            </w:r>
          </w:p>
        </w:tc>
        <w:tc>
          <w:tcPr>
            <w:tcW w:w="905"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13,256</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13,256</w:t>
            </w:r>
          </w:p>
        </w:tc>
      </w:tr>
      <w:tr w:rsidR="00745E47" w:rsidRPr="00065E53" w:rsidTr="00745E47">
        <w:trPr>
          <w:trHeight w:val="185"/>
        </w:trPr>
        <w:tc>
          <w:tcPr>
            <w:tcW w:w="905"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828"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050"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267"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828"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050"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883"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050"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r>
      <w:tr w:rsidR="00745E47" w:rsidRPr="00065E53" w:rsidTr="00745E47">
        <w:trPr>
          <w:trHeight w:val="185"/>
        </w:trPr>
        <w:tc>
          <w:tcPr>
            <w:tcW w:w="905"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828"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1372"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rPr>
                <w:rFonts w:ascii="Arial" w:hAnsi="Arial" w:cs="Arial"/>
                <w:b/>
                <w:bCs/>
                <w:color w:val="000000"/>
                <w:sz w:val="18"/>
                <w:szCs w:val="18"/>
              </w:rPr>
            </w:pPr>
            <w:r w:rsidRPr="00065E53">
              <w:rPr>
                <w:rFonts w:ascii="Arial" w:hAnsi="Arial" w:cs="Arial"/>
                <w:b/>
                <w:bCs/>
                <w:color w:val="000000"/>
                <w:sz w:val="18"/>
                <w:szCs w:val="18"/>
              </w:rPr>
              <w:t>Surplus /Deficit</w:t>
            </w:r>
          </w:p>
        </w:tc>
        <w:tc>
          <w:tcPr>
            <w:tcW w:w="267" w:type="dxa"/>
            <w:tcBorders>
              <w:top w:val="nil"/>
              <w:left w:val="nil"/>
              <w:bottom w:val="nil"/>
              <w:right w:val="single" w:sz="8" w:space="0" w:color="FFFFFF"/>
            </w:tcBorders>
            <w:shd w:val="clear" w:color="auto" w:fill="auto"/>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 </w:t>
            </w:r>
          </w:p>
        </w:tc>
        <w:tc>
          <w:tcPr>
            <w:tcW w:w="905"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828"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232" w:type="dxa"/>
            <w:tcBorders>
              <w:top w:val="nil"/>
              <w:left w:val="nil"/>
              <w:bottom w:val="nil"/>
              <w:right w:val="nil"/>
            </w:tcBorders>
            <w:shd w:val="clear" w:color="auto" w:fill="auto"/>
            <w:noWrap/>
            <w:vAlign w:val="bottom"/>
            <w:hideMark/>
          </w:tcPr>
          <w:p w:rsidR="00745E47" w:rsidRPr="00065E53" w:rsidRDefault="00745E47" w:rsidP="007C5117">
            <w:pPr>
              <w:rPr>
                <w:rFonts w:ascii="Calibri" w:hAnsi="Calibri" w:cs="Calibri"/>
                <w:color w:val="000000"/>
                <w:sz w:val="22"/>
                <w:szCs w:val="22"/>
              </w:rPr>
            </w:pPr>
          </w:p>
        </w:tc>
        <w:tc>
          <w:tcPr>
            <w:tcW w:w="939" w:type="dxa"/>
            <w:tcBorders>
              <w:top w:val="nil"/>
              <w:left w:val="single" w:sz="8" w:space="0" w:color="FFFFFF"/>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883"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905"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c>
          <w:tcPr>
            <w:tcW w:w="1050" w:type="dxa"/>
            <w:tcBorders>
              <w:top w:val="nil"/>
              <w:left w:val="nil"/>
              <w:bottom w:val="nil"/>
              <w:right w:val="single" w:sz="8" w:space="0" w:color="FFFFFF"/>
            </w:tcBorders>
            <w:shd w:val="clear" w:color="000000" w:fill="C0C0C0"/>
            <w:vAlign w:val="bottom"/>
            <w:hideMark/>
          </w:tcPr>
          <w:p w:rsidR="00745E47" w:rsidRPr="00065E53" w:rsidRDefault="00745E47" w:rsidP="007C5117">
            <w:pPr>
              <w:jc w:val="right"/>
              <w:rPr>
                <w:rFonts w:ascii="Arial" w:hAnsi="Arial" w:cs="Arial"/>
                <w:b/>
                <w:bCs/>
                <w:color w:val="000000"/>
                <w:sz w:val="18"/>
                <w:szCs w:val="18"/>
              </w:rPr>
            </w:pPr>
            <w:r w:rsidRPr="00065E53">
              <w:rPr>
                <w:rFonts w:ascii="Arial" w:hAnsi="Arial" w:cs="Arial"/>
                <w:b/>
                <w:bCs/>
                <w:color w:val="000000"/>
                <w:sz w:val="18"/>
                <w:szCs w:val="18"/>
              </w:rPr>
              <w:t>0</w:t>
            </w:r>
          </w:p>
        </w:tc>
      </w:tr>
    </w:tbl>
    <w:p w:rsidR="00F03CDB" w:rsidRDefault="00F03CDB" w:rsidP="00745E47">
      <w:pPr>
        <w:pStyle w:val="ListParagraph"/>
        <w:spacing w:after="200" w:line="276" w:lineRule="auto"/>
        <w:ind w:left="-993"/>
        <w:rPr>
          <w:rFonts w:ascii="Arial" w:hAnsi="Arial" w:cs="Arial"/>
          <w:b/>
          <w:sz w:val="22"/>
          <w:szCs w:val="22"/>
        </w:rPr>
      </w:pPr>
    </w:p>
    <w:p w:rsidR="004D4BF4" w:rsidRDefault="004D4BF4" w:rsidP="007C5117">
      <w:pPr>
        <w:spacing w:after="200" w:line="276" w:lineRule="auto"/>
        <w:rPr>
          <w:rFonts w:ascii="Arial" w:hAnsi="Arial" w:cs="Arial"/>
          <w:b/>
          <w:sz w:val="22"/>
          <w:szCs w:val="22"/>
        </w:rPr>
      </w:pPr>
    </w:p>
    <w:p w:rsidR="007C5117" w:rsidRDefault="007C5117" w:rsidP="007C5117">
      <w:pPr>
        <w:spacing w:after="200" w:line="276" w:lineRule="auto"/>
        <w:rPr>
          <w:rFonts w:ascii="Arial" w:hAnsi="Arial" w:cs="Arial"/>
          <w:sz w:val="22"/>
          <w:szCs w:val="22"/>
        </w:rPr>
      </w:pPr>
      <w:r w:rsidRPr="00765609">
        <w:rPr>
          <w:rFonts w:ascii="Arial" w:hAnsi="Arial" w:cs="Arial"/>
          <w:sz w:val="22"/>
          <w:szCs w:val="22"/>
        </w:rPr>
        <w:t xml:space="preserve">The </w:t>
      </w:r>
      <w:r>
        <w:rPr>
          <w:rFonts w:ascii="Arial" w:hAnsi="Arial" w:cs="Arial"/>
          <w:sz w:val="22"/>
          <w:szCs w:val="22"/>
        </w:rPr>
        <w:t>Au</w:t>
      </w:r>
      <w:r w:rsidR="00C277CF">
        <w:rPr>
          <w:rFonts w:ascii="Arial" w:hAnsi="Arial" w:cs="Arial"/>
          <w:sz w:val="22"/>
          <w:szCs w:val="22"/>
        </w:rPr>
        <w:t xml:space="preserve">thority has spent £374k </w:t>
      </w:r>
      <w:r>
        <w:rPr>
          <w:rFonts w:ascii="Arial" w:hAnsi="Arial" w:cs="Arial"/>
          <w:sz w:val="22"/>
          <w:szCs w:val="22"/>
        </w:rPr>
        <w:t xml:space="preserve">on </w:t>
      </w:r>
      <w:r w:rsidRPr="00765609">
        <w:rPr>
          <w:rFonts w:ascii="Arial" w:hAnsi="Arial" w:cs="Arial"/>
          <w:sz w:val="22"/>
          <w:szCs w:val="22"/>
        </w:rPr>
        <w:t>capital</w:t>
      </w:r>
      <w:r w:rsidR="00C277CF">
        <w:rPr>
          <w:rFonts w:ascii="Arial" w:hAnsi="Arial" w:cs="Arial"/>
          <w:sz w:val="22"/>
          <w:szCs w:val="22"/>
        </w:rPr>
        <w:t xml:space="preserve"> year</w:t>
      </w:r>
      <w:r w:rsidRPr="00765609">
        <w:rPr>
          <w:rFonts w:ascii="Arial" w:hAnsi="Arial" w:cs="Arial"/>
          <w:sz w:val="22"/>
          <w:szCs w:val="22"/>
        </w:rPr>
        <w:t xml:space="preserve"> </w:t>
      </w:r>
      <w:r>
        <w:rPr>
          <w:rFonts w:ascii="Arial" w:hAnsi="Arial" w:cs="Arial"/>
          <w:sz w:val="22"/>
          <w:szCs w:val="22"/>
        </w:rPr>
        <w:t>to date – shown in table 1a.</w:t>
      </w:r>
    </w:p>
    <w:p w:rsidR="007C5117" w:rsidRDefault="007C5117" w:rsidP="007C5117">
      <w:pPr>
        <w:jc w:val="both"/>
        <w:rPr>
          <w:rFonts w:ascii="Arial" w:hAnsi="Arial" w:cs="Arial"/>
          <w:sz w:val="22"/>
          <w:szCs w:val="22"/>
        </w:rPr>
      </w:pPr>
      <w:r>
        <w:rPr>
          <w:rFonts w:ascii="Arial" w:hAnsi="Arial" w:cs="Arial"/>
          <w:sz w:val="22"/>
          <w:szCs w:val="22"/>
        </w:rPr>
        <w:t xml:space="preserve">The main points to note in the reported capital outturn expenditure position </w:t>
      </w:r>
      <w:r w:rsidRPr="006E46EB">
        <w:rPr>
          <w:rFonts w:ascii="Arial" w:hAnsi="Arial" w:cs="Arial"/>
          <w:sz w:val="22"/>
          <w:szCs w:val="22"/>
        </w:rPr>
        <w:t>as</w:t>
      </w:r>
      <w:r>
        <w:rPr>
          <w:rFonts w:ascii="Arial" w:hAnsi="Arial" w:cs="Arial"/>
          <w:sz w:val="22"/>
          <w:szCs w:val="22"/>
        </w:rPr>
        <w:t xml:space="preserve"> at 30 September 2016 of </w:t>
      </w:r>
      <w:r w:rsidRPr="009B4C8D">
        <w:rPr>
          <w:rFonts w:ascii="Arial" w:hAnsi="Arial" w:cs="Arial"/>
          <w:sz w:val="22"/>
          <w:szCs w:val="22"/>
        </w:rPr>
        <w:t>£</w:t>
      </w:r>
      <w:r>
        <w:rPr>
          <w:rFonts w:ascii="Arial" w:hAnsi="Arial" w:cs="Arial"/>
          <w:sz w:val="22"/>
          <w:szCs w:val="22"/>
        </w:rPr>
        <w:t>374k are:</w:t>
      </w:r>
    </w:p>
    <w:p w:rsidR="007C5117" w:rsidRDefault="007C5117" w:rsidP="007C5117">
      <w:pPr>
        <w:jc w:val="both"/>
        <w:rPr>
          <w:rFonts w:ascii="Arial" w:hAnsi="Arial" w:cs="Arial"/>
          <w:sz w:val="22"/>
          <w:szCs w:val="22"/>
        </w:rPr>
      </w:pPr>
    </w:p>
    <w:p w:rsidR="007C5117" w:rsidRDefault="007C5117" w:rsidP="007C5117">
      <w:pPr>
        <w:pStyle w:val="ListParagraph"/>
        <w:numPr>
          <w:ilvl w:val="0"/>
          <w:numId w:val="29"/>
        </w:numPr>
        <w:jc w:val="both"/>
        <w:rPr>
          <w:rFonts w:ascii="Arial" w:hAnsi="Arial" w:cs="Arial"/>
          <w:sz w:val="22"/>
          <w:szCs w:val="22"/>
        </w:rPr>
      </w:pPr>
      <w:r>
        <w:rPr>
          <w:rFonts w:ascii="Arial" w:hAnsi="Arial" w:cs="Arial"/>
          <w:sz w:val="22"/>
          <w:szCs w:val="22"/>
        </w:rPr>
        <w:t>Underspend on the capitalised salaries of £32k.  This is due to contractors leaving earlier than originally budgeted for and a delay in recruitment of one post.</w:t>
      </w:r>
    </w:p>
    <w:p w:rsidR="007C5117" w:rsidRPr="007C5117" w:rsidRDefault="007C5117" w:rsidP="007C5117">
      <w:pPr>
        <w:pStyle w:val="ListParagraph"/>
        <w:numPr>
          <w:ilvl w:val="0"/>
          <w:numId w:val="29"/>
        </w:numPr>
        <w:jc w:val="both"/>
        <w:rPr>
          <w:rFonts w:ascii="Arial" w:hAnsi="Arial" w:cs="Arial"/>
          <w:sz w:val="22"/>
          <w:szCs w:val="22"/>
        </w:rPr>
      </w:pPr>
      <w:r>
        <w:rPr>
          <w:rFonts w:ascii="Arial" w:hAnsi="Arial" w:cs="Arial"/>
          <w:sz w:val="22"/>
          <w:szCs w:val="22"/>
        </w:rPr>
        <w:t>Overspend on the BGO contract of £13k.  This is due to more senior posts continuing to be used on the developments to the IRAS system.  This is being addressed with BGO to ensure that the trend does not continue.</w:t>
      </w:r>
    </w:p>
    <w:p w:rsidR="0035681C" w:rsidRDefault="0035681C" w:rsidP="007C5117">
      <w:pPr>
        <w:spacing w:after="200" w:line="276" w:lineRule="auto"/>
        <w:rPr>
          <w:rFonts w:ascii="Arial" w:hAnsi="Arial" w:cs="Arial"/>
          <w:b/>
          <w:sz w:val="22"/>
          <w:szCs w:val="22"/>
        </w:rPr>
      </w:pPr>
    </w:p>
    <w:p w:rsidR="007C5117" w:rsidRDefault="007C5117" w:rsidP="007C5117">
      <w:pPr>
        <w:spacing w:after="200" w:line="276" w:lineRule="auto"/>
        <w:rPr>
          <w:rFonts w:ascii="Arial" w:hAnsi="Arial" w:cs="Arial"/>
          <w:b/>
          <w:sz w:val="22"/>
          <w:szCs w:val="22"/>
        </w:rPr>
      </w:pPr>
      <w:r>
        <w:rPr>
          <w:rFonts w:ascii="Arial" w:hAnsi="Arial" w:cs="Arial"/>
          <w:b/>
          <w:sz w:val="22"/>
          <w:szCs w:val="22"/>
        </w:rPr>
        <w:t>Table 1a</w:t>
      </w:r>
    </w:p>
    <w:tbl>
      <w:tblPr>
        <w:tblW w:w="9140" w:type="dxa"/>
        <w:tblInd w:w="98" w:type="dxa"/>
        <w:tblLook w:val="04A0" w:firstRow="1" w:lastRow="0" w:firstColumn="1" w:lastColumn="0" w:noHBand="0" w:noVBand="1"/>
      </w:tblPr>
      <w:tblGrid>
        <w:gridCol w:w="3779"/>
        <w:gridCol w:w="947"/>
        <w:gridCol w:w="947"/>
        <w:gridCol w:w="1066"/>
        <w:gridCol w:w="1028"/>
        <w:gridCol w:w="1373"/>
      </w:tblGrid>
      <w:tr w:rsidR="007C5117" w:rsidRPr="006102C2" w:rsidTr="007C5117">
        <w:trPr>
          <w:trHeight w:val="765"/>
        </w:trPr>
        <w:tc>
          <w:tcPr>
            <w:tcW w:w="4034" w:type="dxa"/>
            <w:vMerge w:val="restart"/>
            <w:tcBorders>
              <w:top w:val="single" w:sz="8" w:space="0" w:color="FFFFFF"/>
              <w:left w:val="single" w:sz="8" w:space="0" w:color="FFFFFF"/>
              <w:bottom w:val="single" w:sz="8" w:space="0" w:color="FFFFFF"/>
              <w:right w:val="single" w:sz="8" w:space="0" w:color="FFFFFF"/>
            </w:tcBorders>
            <w:shd w:val="clear" w:color="000000" w:fill="56008C"/>
            <w:vAlign w:val="center"/>
            <w:hideMark/>
          </w:tcPr>
          <w:p w:rsidR="007C5117" w:rsidRPr="006102C2" w:rsidRDefault="007C5117" w:rsidP="007C5117">
            <w:pPr>
              <w:rPr>
                <w:rFonts w:ascii="Arial" w:hAnsi="Arial" w:cs="Arial"/>
                <w:b/>
                <w:bCs/>
                <w:color w:val="FFFFFF"/>
                <w:sz w:val="20"/>
                <w:szCs w:val="20"/>
              </w:rPr>
            </w:pPr>
            <w:r w:rsidRPr="006102C2">
              <w:rPr>
                <w:rFonts w:ascii="Arial" w:hAnsi="Arial" w:cs="Arial"/>
                <w:b/>
                <w:bCs/>
                <w:color w:val="FFFFFF"/>
                <w:sz w:val="20"/>
                <w:szCs w:val="20"/>
              </w:rPr>
              <w:t>Plan initiative</w:t>
            </w:r>
          </w:p>
        </w:tc>
        <w:tc>
          <w:tcPr>
            <w:tcW w:w="948" w:type="dxa"/>
            <w:tcBorders>
              <w:top w:val="single" w:sz="8" w:space="0" w:color="FFFFFF"/>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2016/17 plan</w:t>
            </w:r>
          </w:p>
        </w:tc>
        <w:tc>
          <w:tcPr>
            <w:tcW w:w="948" w:type="dxa"/>
            <w:tcBorders>
              <w:top w:val="single" w:sz="8" w:space="0" w:color="FFFFFF"/>
              <w:left w:val="nil"/>
              <w:bottom w:val="nil"/>
              <w:right w:val="nil"/>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2016/17 budget to date</w:t>
            </w:r>
          </w:p>
        </w:tc>
        <w:tc>
          <w:tcPr>
            <w:tcW w:w="1080" w:type="dxa"/>
            <w:tcBorders>
              <w:top w:val="single" w:sz="8" w:space="0" w:color="FFFFFF"/>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2016/17 actual</w:t>
            </w:r>
          </w:p>
        </w:tc>
        <w:tc>
          <w:tcPr>
            <w:tcW w:w="953" w:type="dxa"/>
            <w:tcBorders>
              <w:top w:val="single" w:sz="8" w:space="0" w:color="FFFFFF"/>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 xml:space="preserve">2016/17 variance </w:t>
            </w:r>
          </w:p>
        </w:tc>
        <w:tc>
          <w:tcPr>
            <w:tcW w:w="1177" w:type="dxa"/>
            <w:tcBorders>
              <w:top w:val="single" w:sz="8" w:space="0" w:color="FFFFFF"/>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2016/17Year end Forecast</w:t>
            </w:r>
          </w:p>
        </w:tc>
      </w:tr>
      <w:tr w:rsidR="007C5117" w:rsidRPr="006102C2" w:rsidTr="007C5117">
        <w:trPr>
          <w:trHeight w:val="315"/>
        </w:trPr>
        <w:tc>
          <w:tcPr>
            <w:tcW w:w="4034" w:type="dxa"/>
            <w:vMerge/>
            <w:tcBorders>
              <w:top w:val="single" w:sz="8" w:space="0" w:color="FFFFFF"/>
              <w:left w:val="single" w:sz="8" w:space="0" w:color="FFFFFF"/>
              <w:bottom w:val="single" w:sz="8" w:space="0" w:color="FFFFFF"/>
              <w:right w:val="single" w:sz="8" w:space="0" w:color="FFFFFF"/>
            </w:tcBorders>
            <w:vAlign w:val="center"/>
            <w:hideMark/>
          </w:tcPr>
          <w:p w:rsidR="007C5117" w:rsidRPr="006102C2" w:rsidRDefault="007C5117" w:rsidP="007C5117">
            <w:pPr>
              <w:rPr>
                <w:rFonts w:ascii="Arial" w:hAnsi="Arial" w:cs="Arial"/>
                <w:b/>
                <w:bCs/>
                <w:color w:val="FFFFFF"/>
                <w:sz w:val="20"/>
                <w:szCs w:val="20"/>
              </w:rPr>
            </w:pPr>
          </w:p>
        </w:tc>
        <w:tc>
          <w:tcPr>
            <w:tcW w:w="948"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948" w:type="dxa"/>
            <w:tcBorders>
              <w:top w:val="nil"/>
              <w:left w:val="nil"/>
              <w:bottom w:val="nil"/>
              <w:right w:val="nil"/>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080"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953"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177"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20"/>
                <w:szCs w:val="20"/>
              </w:rPr>
            </w:pPr>
            <w:r w:rsidRPr="006102C2">
              <w:rPr>
                <w:rFonts w:ascii="Arial" w:hAnsi="Arial" w:cs="Arial"/>
                <w:b/>
                <w:bCs/>
                <w:color w:val="FFFFFF"/>
                <w:sz w:val="20"/>
                <w:szCs w:val="20"/>
              </w:rPr>
              <w:t>£ '000</w:t>
            </w:r>
          </w:p>
        </w:tc>
      </w:tr>
      <w:tr w:rsidR="007C5117" w:rsidRPr="006102C2" w:rsidTr="007C5117">
        <w:trPr>
          <w:trHeight w:val="315"/>
        </w:trPr>
        <w:tc>
          <w:tcPr>
            <w:tcW w:w="4034" w:type="dxa"/>
            <w:tcBorders>
              <w:top w:val="nil"/>
              <w:left w:val="single" w:sz="8" w:space="0" w:color="FFFFFF"/>
              <w:bottom w:val="single" w:sz="8" w:space="0" w:color="FFFFFF"/>
              <w:right w:val="single" w:sz="8" w:space="0" w:color="FFFFFF"/>
            </w:tcBorders>
            <w:shd w:val="clear" w:color="000000" w:fill="E28C05"/>
            <w:vAlign w:val="center"/>
            <w:hideMark/>
          </w:tcPr>
          <w:p w:rsidR="007C5117" w:rsidRPr="006102C2" w:rsidRDefault="007C5117" w:rsidP="007C5117">
            <w:pPr>
              <w:rPr>
                <w:rFonts w:ascii="Arial" w:hAnsi="Arial" w:cs="Arial"/>
                <w:color w:val="000000"/>
                <w:sz w:val="18"/>
                <w:szCs w:val="18"/>
              </w:rPr>
            </w:pPr>
            <w:r w:rsidRPr="006102C2">
              <w:rPr>
                <w:rFonts w:ascii="Arial" w:hAnsi="Arial" w:cs="Arial"/>
                <w:color w:val="000000"/>
                <w:sz w:val="18"/>
                <w:szCs w:val="18"/>
              </w:rPr>
              <w:t>HARP Developments</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215</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108</w:t>
            </w:r>
          </w:p>
        </w:tc>
        <w:tc>
          <w:tcPr>
            <w:tcW w:w="1080"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104</w:t>
            </w:r>
          </w:p>
        </w:tc>
        <w:tc>
          <w:tcPr>
            <w:tcW w:w="953"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-4</w:t>
            </w:r>
          </w:p>
        </w:tc>
        <w:tc>
          <w:tcPr>
            <w:tcW w:w="1177"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212</w:t>
            </w:r>
          </w:p>
        </w:tc>
      </w:tr>
      <w:tr w:rsidR="007C5117" w:rsidRPr="006102C2" w:rsidTr="007C5117">
        <w:trPr>
          <w:trHeight w:val="315"/>
        </w:trPr>
        <w:tc>
          <w:tcPr>
            <w:tcW w:w="4034" w:type="dxa"/>
            <w:tcBorders>
              <w:top w:val="nil"/>
              <w:left w:val="single" w:sz="8" w:space="0" w:color="FFFFFF"/>
              <w:bottom w:val="single" w:sz="8" w:space="0" w:color="FFFFFF"/>
              <w:right w:val="single" w:sz="8" w:space="0" w:color="FFFFFF"/>
            </w:tcBorders>
            <w:shd w:val="clear" w:color="000000" w:fill="E28C05"/>
            <w:vAlign w:val="center"/>
            <w:hideMark/>
          </w:tcPr>
          <w:p w:rsidR="007C5117" w:rsidRPr="006102C2" w:rsidRDefault="007C5117" w:rsidP="007C5117">
            <w:pPr>
              <w:rPr>
                <w:rFonts w:ascii="Arial" w:hAnsi="Arial" w:cs="Arial"/>
                <w:color w:val="000000"/>
                <w:sz w:val="18"/>
                <w:szCs w:val="18"/>
              </w:rPr>
            </w:pPr>
            <w:r w:rsidRPr="006102C2">
              <w:rPr>
                <w:rFonts w:ascii="Arial" w:hAnsi="Arial" w:cs="Arial"/>
                <w:color w:val="000000"/>
                <w:sz w:val="18"/>
                <w:szCs w:val="18"/>
              </w:rPr>
              <w:t>IRAS Developments</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362</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181</w:t>
            </w:r>
          </w:p>
        </w:tc>
        <w:tc>
          <w:tcPr>
            <w:tcW w:w="1080"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198</w:t>
            </w:r>
          </w:p>
        </w:tc>
        <w:tc>
          <w:tcPr>
            <w:tcW w:w="953"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17</w:t>
            </w:r>
          </w:p>
        </w:tc>
        <w:tc>
          <w:tcPr>
            <w:tcW w:w="1177"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379</w:t>
            </w:r>
          </w:p>
        </w:tc>
      </w:tr>
      <w:tr w:rsidR="007C5117" w:rsidRPr="006102C2" w:rsidTr="007C5117">
        <w:trPr>
          <w:trHeight w:val="315"/>
        </w:trPr>
        <w:tc>
          <w:tcPr>
            <w:tcW w:w="4034" w:type="dxa"/>
            <w:tcBorders>
              <w:top w:val="nil"/>
              <w:left w:val="single" w:sz="8" w:space="0" w:color="FFFFFF"/>
              <w:bottom w:val="single" w:sz="8" w:space="0" w:color="FFFFFF"/>
              <w:right w:val="single" w:sz="8" w:space="0" w:color="FFFFFF"/>
            </w:tcBorders>
            <w:shd w:val="clear" w:color="000000" w:fill="E28C05"/>
            <w:vAlign w:val="center"/>
            <w:hideMark/>
          </w:tcPr>
          <w:p w:rsidR="007C5117" w:rsidRPr="006102C2" w:rsidRDefault="007C5117" w:rsidP="007C5117">
            <w:pPr>
              <w:rPr>
                <w:rFonts w:ascii="Arial" w:hAnsi="Arial" w:cs="Arial"/>
                <w:color w:val="000000"/>
                <w:sz w:val="18"/>
                <w:szCs w:val="18"/>
              </w:rPr>
            </w:pPr>
            <w:r w:rsidRPr="006102C2">
              <w:rPr>
                <w:rFonts w:ascii="Arial" w:hAnsi="Arial" w:cs="Arial"/>
                <w:color w:val="000000"/>
                <w:sz w:val="18"/>
                <w:szCs w:val="18"/>
              </w:rPr>
              <w:t>IS Team – capitalised salaries</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155</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103</w:t>
            </w:r>
          </w:p>
        </w:tc>
        <w:tc>
          <w:tcPr>
            <w:tcW w:w="1080"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71</w:t>
            </w:r>
          </w:p>
        </w:tc>
        <w:tc>
          <w:tcPr>
            <w:tcW w:w="953"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-32</w:t>
            </w:r>
          </w:p>
        </w:tc>
        <w:tc>
          <w:tcPr>
            <w:tcW w:w="1177"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126</w:t>
            </w:r>
          </w:p>
        </w:tc>
      </w:tr>
      <w:tr w:rsidR="007C5117" w:rsidRPr="006102C2" w:rsidTr="007C5117">
        <w:trPr>
          <w:trHeight w:val="315"/>
        </w:trPr>
        <w:tc>
          <w:tcPr>
            <w:tcW w:w="4034" w:type="dxa"/>
            <w:tcBorders>
              <w:top w:val="nil"/>
              <w:left w:val="single" w:sz="8" w:space="0" w:color="FFFFFF"/>
              <w:bottom w:val="single" w:sz="8" w:space="0" w:color="FFFFFF"/>
              <w:right w:val="single" w:sz="8" w:space="0" w:color="FFFFFF"/>
            </w:tcBorders>
            <w:shd w:val="clear" w:color="000000" w:fill="E28C05"/>
            <w:vAlign w:val="center"/>
            <w:hideMark/>
          </w:tcPr>
          <w:p w:rsidR="007C5117" w:rsidRPr="006102C2" w:rsidRDefault="007C5117" w:rsidP="007C5117">
            <w:pPr>
              <w:rPr>
                <w:rFonts w:ascii="Arial" w:hAnsi="Arial" w:cs="Arial"/>
                <w:color w:val="000000"/>
                <w:sz w:val="18"/>
                <w:szCs w:val="18"/>
              </w:rPr>
            </w:pPr>
            <w:r w:rsidRPr="006102C2">
              <w:rPr>
                <w:rFonts w:ascii="Arial" w:hAnsi="Arial" w:cs="Arial"/>
                <w:color w:val="000000"/>
                <w:sz w:val="18"/>
                <w:szCs w:val="18"/>
              </w:rPr>
              <w:t>Capital reserve</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178</w:t>
            </w:r>
          </w:p>
        </w:tc>
        <w:tc>
          <w:tcPr>
            <w:tcW w:w="948"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 </w:t>
            </w:r>
          </w:p>
        </w:tc>
        <w:tc>
          <w:tcPr>
            <w:tcW w:w="1080"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0</w:t>
            </w:r>
          </w:p>
        </w:tc>
        <w:tc>
          <w:tcPr>
            <w:tcW w:w="953"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0</w:t>
            </w:r>
          </w:p>
        </w:tc>
        <w:tc>
          <w:tcPr>
            <w:tcW w:w="1177" w:type="dxa"/>
            <w:tcBorders>
              <w:top w:val="nil"/>
              <w:left w:val="nil"/>
              <w:bottom w:val="single" w:sz="8" w:space="0" w:color="FFFFFF"/>
              <w:right w:val="single" w:sz="8" w:space="0" w:color="FFFFFF"/>
            </w:tcBorders>
            <w:shd w:val="clear" w:color="000000" w:fill="E28C05"/>
            <w:vAlign w:val="center"/>
            <w:hideMark/>
          </w:tcPr>
          <w:p w:rsidR="007C5117" w:rsidRPr="006102C2" w:rsidRDefault="007C5117" w:rsidP="007C5117">
            <w:pPr>
              <w:jc w:val="center"/>
              <w:rPr>
                <w:rFonts w:ascii="Arial" w:hAnsi="Arial" w:cs="Arial"/>
                <w:color w:val="000000"/>
                <w:sz w:val="18"/>
                <w:szCs w:val="18"/>
              </w:rPr>
            </w:pPr>
            <w:r w:rsidRPr="006102C2">
              <w:rPr>
                <w:rFonts w:ascii="Arial" w:hAnsi="Arial" w:cs="Arial"/>
                <w:color w:val="000000"/>
                <w:sz w:val="18"/>
                <w:szCs w:val="18"/>
              </w:rPr>
              <w:t>55</w:t>
            </w:r>
          </w:p>
        </w:tc>
      </w:tr>
      <w:tr w:rsidR="007C5117" w:rsidRPr="006102C2" w:rsidTr="007C5117">
        <w:trPr>
          <w:trHeight w:val="480"/>
        </w:trPr>
        <w:tc>
          <w:tcPr>
            <w:tcW w:w="4034" w:type="dxa"/>
            <w:tcBorders>
              <w:top w:val="nil"/>
              <w:left w:val="single" w:sz="8" w:space="0" w:color="FFFFFF"/>
              <w:bottom w:val="nil"/>
              <w:right w:val="single" w:sz="8" w:space="0" w:color="FFFFFF"/>
            </w:tcBorders>
            <w:shd w:val="clear" w:color="000000" w:fill="56008C"/>
            <w:vAlign w:val="center"/>
            <w:hideMark/>
          </w:tcPr>
          <w:p w:rsidR="007C5117" w:rsidRPr="006102C2" w:rsidRDefault="007C5117" w:rsidP="007C5117">
            <w:pPr>
              <w:rPr>
                <w:rFonts w:ascii="Arial" w:hAnsi="Arial" w:cs="Arial"/>
                <w:b/>
                <w:bCs/>
                <w:color w:val="FFFFFF"/>
                <w:sz w:val="18"/>
                <w:szCs w:val="18"/>
              </w:rPr>
            </w:pPr>
            <w:r w:rsidRPr="006102C2">
              <w:rPr>
                <w:rFonts w:ascii="Arial" w:hAnsi="Arial" w:cs="Arial"/>
                <w:b/>
                <w:bCs/>
                <w:color w:val="FFFFFF"/>
                <w:sz w:val="18"/>
                <w:szCs w:val="18"/>
              </w:rPr>
              <w:t>TOTAL AGREED FOLLOWING SPENDING REVIEW</w:t>
            </w:r>
          </w:p>
        </w:tc>
        <w:tc>
          <w:tcPr>
            <w:tcW w:w="948" w:type="dxa"/>
            <w:tcBorders>
              <w:top w:val="nil"/>
              <w:left w:val="single" w:sz="8" w:space="0" w:color="FFFFFF"/>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18"/>
                <w:szCs w:val="18"/>
              </w:rPr>
            </w:pPr>
            <w:r w:rsidRPr="006102C2">
              <w:rPr>
                <w:rFonts w:ascii="Arial" w:hAnsi="Arial" w:cs="Arial"/>
                <w:b/>
                <w:bCs/>
                <w:color w:val="FFFFFF"/>
                <w:sz w:val="18"/>
                <w:szCs w:val="18"/>
              </w:rPr>
              <w:t>910</w:t>
            </w:r>
          </w:p>
        </w:tc>
        <w:tc>
          <w:tcPr>
            <w:tcW w:w="948"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18"/>
                <w:szCs w:val="18"/>
              </w:rPr>
            </w:pPr>
            <w:r w:rsidRPr="006102C2">
              <w:rPr>
                <w:rFonts w:ascii="Arial" w:hAnsi="Arial" w:cs="Arial"/>
                <w:b/>
                <w:bCs/>
                <w:color w:val="FFFFFF"/>
                <w:sz w:val="18"/>
                <w:szCs w:val="18"/>
              </w:rPr>
              <w:t>392</w:t>
            </w:r>
          </w:p>
        </w:tc>
        <w:tc>
          <w:tcPr>
            <w:tcW w:w="1080"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18"/>
                <w:szCs w:val="18"/>
              </w:rPr>
            </w:pPr>
            <w:r w:rsidRPr="006102C2">
              <w:rPr>
                <w:rFonts w:ascii="Arial" w:hAnsi="Arial" w:cs="Arial"/>
                <w:b/>
                <w:bCs/>
                <w:color w:val="FFFFFF"/>
                <w:sz w:val="18"/>
                <w:szCs w:val="18"/>
              </w:rPr>
              <w:t>374</w:t>
            </w:r>
          </w:p>
        </w:tc>
        <w:tc>
          <w:tcPr>
            <w:tcW w:w="953"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18"/>
                <w:szCs w:val="18"/>
              </w:rPr>
            </w:pPr>
            <w:r w:rsidRPr="006102C2">
              <w:rPr>
                <w:rFonts w:ascii="Arial" w:hAnsi="Arial" w:cs="Arial"/>
                <w:b/>
                <w:bCs/>
                <w:color w:val="FFFFFF"/>
                <w:sz w:val="18"/>
                <w:szCs w:val="18"/>
              </w:rPr>
              <w:t>-18</w:t>
            </w:r>
          </w:p>
        </w:tc>
        <w:tc>
          <w:tcPr>
            <w:tcW w:w="1177" w:type="dxa"/>
            <w:tcBorders>
              <w:top w:val="nil"/>
              <w:left w:val="nil"/>
              <w:bottom w:val="nil"/>
              <w:right w:val="single" w:sz="8" w:space="0" w:color="FFFFFF"/>
            </w:tcBorders>
            <w:shd w:val="clear" w:color="000000" w:fill="56008C"/>
            <w:vAlign w:val="center"/>
            <w:hideMark/>
          </w:tcPr>
          <w:p w:rsidR="007C5117" w:rsidRPr="006102C2" w:rsidRDefault="007C5117" w:rsidP="007C5117">
            <w:pPr>
              <w:jc w:val="center"/>
              <w:rPr>
                <w:rFonts w:ascii="Arial" w:hAnsi="Arial" w:cs="Arial"/>
                <w:b/>
                <w:bCs/>
                <w:color w:val="FFFFFF"/>
                <w:sz w:val="18"/>
                <w:szCs w:val="18"/>
              </w:rPr>
            </w:pPr>
            <w:r w:rsidRPr="006102C2">
              <w:rPr>
                <w:rFonts w:ascii="Arial" w:hAnsi="Arial" w:cs="Arial"/>
                <w:b/>
                <w:bCs/>
                <w:color w:val="FFFFFF"/>
                <w:sz w:val="18"/>
                <w:szCs w:val="18"/>
              </w:rPr>
              <w:t>772</w:t>
            </w:r>
          </w:p>
        </w:tc>
      </w:tr>
    </w:tbl>
    <w:p w:rsidR="00A310F0" w:rsidRPr="007C5117" w:rsidRDefault="00A310F0" w:rsidP="007C5117">
      <w:pPr>
        <w:spacing w:after="200" w:line="276" w:lineRule="auto"/>
        <w:rPr>
          <w:rFonts w:ascii="Arial" w:hAnsi="Arial" w:cs="Arial"/>
          <w:b/>
          <w:sz w:val="22"/>
          <w:szCs w:val="22"/>
        </w:rPr>
      </w:pPr>
    </w:p>
    <w:p w:rsidR="004B1C3A" w:rsidRPr="007055AB" w:rsidRDefault="004B1C3A" w:rsidP="007055AB">
      <w:pPr>
        <w:spacing w:line="276" w:lineRule="auto"/>
        <w:rPr>
          <w:rFonts w:ascii="Arial" w:hAnsi="Arial" w:cs="Arial"/>
          <w:sz w:val="22"/>
          <w:szCs w:val="22"/>
        </w:rPr>
      </w:pPr>
      <w:r w:rsidRPr="007055AB">
        <w:rPr>
          <w:rFonts w:ascii="Arial" w:hAnsi="Arial" w:cs="Arial"/>
          <w:b/>
          <w:sz w:val="22"/>
          <w:szCs w:val="22"/>
        </w:rPr>
        <w:t>Forecast outturn 201</w:t>
      </w:r>
      <w:r w:rsidR="00D15B33" w:rsidRPr="007055AB">
        <w:rPr>
          <w:rFonts w:ascii="Arial" w:hAnsi="Arial" w:cs="Arial"/>
          <w:b/>
          <w:sz w:val="22"/>
          <w:szCs w:val="22"/>
        </w:rPr>
        <w:t>6</w:t>
      </w:r>
      <w:r w:rsidRPr="007055AB">
        <w:rPr>
          <w:rFonts w:ascii="Arial" w:hAnsi="Arial" w:cs="Arial"/>
          <w:b/>
          <w:sz w:val="22"/>
          <w:szCs w:val="22"/>
        </w:rPr>
        <w:t>/1</w:t>
      </w:r>
      <w:r w:rsidR="00D15B33" w:rsidRPr="007055AB">
        <w:rPr>
          <w:rFonts w:ascii="Arial" w:hAnsi="Arial" w:cs="Arial"/>
          <w:b/>
          <w:sz w:val="22"/>
          <w:szCs w:val="22"/>
        </w:rPr>
        <w:t>7</w:t>
      </w:r>
    </w:p>
    <w:p w:rsidR="001166D1" w:rsidRDefault="001166D1" w:rsidP="004B1C3A">
      <w:pPr>
        <w:pStyle w:val="ListParagraph"/>
        <w:spacing w:line="276" w:lineRule="auto"/>
        <w:ind w:left="0"/>
        <w:rPr>
          <w:rFonts w:ascii="Arial" w:hAnsi="Arial" w:cs="Arial"/>
          <w:sz w:val="22"/>
          <w:szCs w:val="22"/>
        </w:rPr>
      </w:pPr>
    </w:p>
    <w:p w:rsidR="007055AB" w:rsidRPr="007055AB" w:rsidRDefault="007055AB" w:rsidP="004B1C3A">
      <w:pPr>
        <w:pStyle w:val="ListParagraph"/>
        <w:spacing w:line="276" w:lineRule="auto"/>
        <w:ind w:left="0"/>
        <w:rPr>
          <w:rFonts w:ascii="Arial" w:hAnsi="Arial" w:cs="Arial"/>
          <w:sz w:val="22"/>
          <w:szCs w:val="22"/>
          <w:u w:val="single"/>
        </w:rPr>
      </w:pPr>
      <w:r w:rsidRPr="007055AB">
        <w:rPr>
          <w:rFonts w:ascii="Arial" w:hAnsi="Arial" w:cs="Arial"/>
          <w:sz w:val="22"/>
          <w:szCs w:val="22"/>
          <w:u w:val="single"/>
        </w:rPr>
        <w:t>Revenue</w:t>
      </w:r>
    </w:p>
    <w:p w:rsidR="005645DC" w:rsidRDefault="001166D1" w:rsidP="004B1C3A">
      <w:pPr>
        <w:pStyle w:val="ListParagraph"/>
        <w:spacing w:line="276" w:lineRule="auto"/>
        <w:ind w:left="0"/>
        <w:rPr>
          <w:rFonts w:ascii="Arial" w:hAnsi="Arial" w:cs="Arial"/>
          <w:sz w:val="22"/>
          <w:szCs w:val="22"/>
        </w:rPr>
      </w:pPr>
      <w:r>
        <w:rPr>
          <w:rFonts w:ascii="Arial" w:hAnsi="Arial" w:cs="Arial"/>
          <w:sz w:val="22"/>
          <w:szCs w:val="22"/>
        </w:rPr>
        <w:t xml:space="preserve">The finance team </w:t>
      </w:r>
      <w:r w:rsidR="005645DC">
        <w:rPr>
          <w:rFonts w:ascii="Arial" w:hAnsi="Arial" w:cs="Arial"/>
          <w:sz w:val="22"/>
          <w:szCs w:val="22"/>
        </w:rPr>
        <w:t xml:space="preserve">have received monthly forecast from budget managers since June.  These </w:t>
      </w:r>
      <w:r w:rsidR="007055AB">
        <w:rPr>
          <w:rFonts w:ascii="Arial" w:hAnsi="Arial" w:cs="Arial"/>
          <w:sz w:val="22"/>
          <w:szCs w:val="22"/>
        </w:rPr>
        <w:t xml:space="preserve">revenue </w:t>
      </w:r>
      <w:r w:rsidR="005645DC">
        <w:rPr>
          <w:rFonts w:ascii="Arial" w:hAnsi="Arial" w:cs="Arial"/>
          <w:sz w:val="22"/>
          <w:szCs w:val="22"/>
        </w:rPr>
        <w:t xml:space="preserve">forecasts have been refined over the three months, and although some further refinements are still required the forecast position </w:t>
      </w:r>
      <w:r w:rsidR="00065E53">
        <w:rPr>
          <w:rFonts w:ascii="Arial" w:hAnsi="Arial" w:cs="Arial"/>
          <w:sz w:val="22"/>
          <w:szCs w:val="22"/>
        </w:rPr>
        <w:t>against expenditure remains at broadly</w:t>
      </w:r>
      <w:r w:rsidR="005645DC">
        <w:rPr>
          <w:rFonts w:ascii="Arial" w:hAnsi="Arial" w:cs="Arial"/>
          <w:sz w:val="22"/>
          <w:szCs w:val="22"/>
        </w:rPr>
        <w:t xml:space="preserve"> break even.</w:t>
      </w:r>
    </w:p>
    <w:p w:rsidR="00210E3A" w:rsidRDefault="005645DC" w:rsidP="004B1C3A">
      <w:pPr>
        <w:pStyle w:val="ListParagraph"/>
        <w:spacing w:line="276" w:lineRule="auto"/>
        <w:ind w:left="0"/>
        <w:rPr>
          <w:rFonts w:ascii="Arial" w:hAnsi="Arial" w:cs="Arial"/>
          <w:sz w:val="22"/>
          <w:szCs w:val="22"/>
        </w:rPr>
      </w:pPr>
      <w:r>
        <w:rPr>
          <w:rFonts w:ascii="Arial" w:hAnsi="Arial" w:cs="Arial"/>
          <w:sz w:val="22"/>
          <w:szCs w:val="22"/>
        </w:rPr>
        <w:t xml:space="preserve">The reserves have being reviewed and the updated position is </w:t>
      </w:r>
      <w:r w:rsidR="00D205DE">
        <w:rPr>
          <w:rFonts w:ascii="Arial" w:hAnsi="Arial" w:cs="Arial"/>
          <w:sz w:val="22"/>
          <w:szCs w:val="22"/>
        </w:rPr>
        <w:t xml:space="preserve">£539k of earmarked reserves and £67k </w:t>
      </w:r>
      <w:proofErr w:type="spellStart"/>
      <w:r w:rsidR="00D205DE">
        <w:rPr>
          <w:rFonts w:ascii="Arial" w:hAnsi="Arial" w:cs="Arial"/>
          <w:sz w:val="22"/>
          <w:szCs w:val="22"/>
        </w:rPr>
        <w:t>unearmarked</w:t>
      </w:r>
      <w:proofErr w:type="spellEnd"/>
      <w:r w:rsidR="00D205DE">
        <w:rPr>
          <w:rFonts w:ascii="Arial" w:hAnsi="Arial" w:cs="Arial"/>
          <w:sz w:val="22"/>
          <w:szCs w:val="22"/>
        </w:rPr>
        <w:t xml:space="preserve"> reserves.  Some of the projects within earmarked reserves are in collaboration with other organisations and this creates an element of uncertainty with regards to the projects timescales.</w:t>
      </w:r>
      <w:r w:rsidR="00065E53">
        <w:rPr>
          <w:rFonts w:ascii="Arial" w:hAnsi="Arial" w:cs="Arial"/>
          <w:sz w:val="22"/>
          <w:szCs w:val="22"/>
        </w:rPr>
        <w:t xml:space="preserve">  Any range created by these projects on the forecast will be included from October onwards.</w:t>
      </w:r>
    </w:p>
    <w:p w:rsidR="007055AB" w:rsidRPr="001166D1" w:rsidRDefault="007055AB" w:rsidP="004B1C3A">
      <w:pPr>
        <w:pStyle w:val="ListParagraph"/>
        <w:spacing w:line="276" w:lineRule="auto"/>
        <w:ind w:left="0"/>
        <w:rPr>
          <w:rFonts w:ascii="Arial" w:hAnsi="Arial" w:cs="Arial"/>
          <w:sz w:val="22"/>
          <w:szCs w:val="22"/>
        </w:rPr>
      </w:pPr>
    </w:p>
    <w:p w:rsidR="004717CC" w:rsidRDefault="007055AB" w:rsidP="004B1C3A">
      <w:pPr>
        <w:pStyle w:val="ListParagraph"/>
        <w:spacing w:line="276" w:lineRule="auto"/>
        <w:ind w:left="0"/>
        <w:rPr>
          <w:rFonts w:ascii="Arial" w:hAnsi="Arial" w:cs="Arial"/>
          <w:sz w:val="22"/>
          <w:szCs w:val="22"/>
          <w:u w:val="single"/>
        </w:rPr>
      </w:pPr>
      <w:r w:rsidRPr="007055AB">
        <w:rPr>
          <w:rFonts w:ascii="Arial" w:hAnsi="Arial" w:cs="Arial"/>
          <w:sz w:val="22"/>
          <w:szCs w:val="22"/>
          <w:u w:val="single"/>
        </w:rPr>
        <w:t>Capital</w:t>
      </w:r>
    </w:p>
    <w:p w:rsidR="007C5117" w:rsidRPr="007055AB" w:rsidRDefault="007C5117" w:rsidP="004B1C3A">
      <w:pPr>
        <w:pStyle w:val="ListParagraph"/>
        <w:spacing w:line="276" w:lineRule="auto"/>
        <w:ind w:left="0"/>
        <w:rPr>
          <w:rFonts w:ascii="Arial" w:hAnsi="Arial" w:cs="Arial"/>
          <w:sz w:val="22"/>
          <w:szCs w:val="22"/>
          <w:u w:val="single"/>
        </w:rPr>
      </w:pPr>
    </w:p>
    <w:p w:rsidR="007C5117" w:rsidRDefault="007C5117" w:rsidP="007C5117">
      <w:pPr>
        <w:spacing w:after="200" w:line="276" w:lineRule="auto"/>
        <w:rPr>
          <w:rFonts w:ascii="Arial" w:hAnsi="Arial" w:cs="Arial"/>
          <w:sz w:val="22"/>
          <w:szCs w:val="22"/>
        </w:rPr>
      </w:pPr>
      <w:r>
        <w:rPr>
          <w:rFonts w:ascii="Arial" w:hAnsi="Arial" w:cs="Arial"/>
          <w:sz w:val="22"/>
          <w:szCs w:val="22"/>
        </w:rPr>
        <w:t>Initial work on the forecasting for the year end, indicates a surplus of £138k, which is mainly as a result of the contract for the development of the HARP and IRAS system being negotiated at a lower cost than anticipated when setting the capital budget. This initial forecast underspend has been notified to DH through the quarter 2 consolidation schedule, but this potential surplus has not agreed to be returned for use in the wider system until the final position is known regarding planned investment linked to the EU portal, which may impact on the final year end position.</w:t>
      </w:r>
    </w:p>
    <w:p w:rsidR="007C5117" w:rsidRDefault="007C5117" w:rsidP="007C5117">
      <w:pPr>
        <w:spacing w:after="200" w:line="276" w:lineRule="auto"/>
        <w:rPr>
          <w:rFonts w:ascii="Arial" w:hAnsi="Arial" w:cs="Arial"/>
          <w:b/>
          <w:sz w:val="22"/>
          <w:szCs w:val="22"/>
        </w:rPr>
      </w:pPr>
      <w:r w:rsidRPr="00DE6E33">
        <w:rPr>
          <w:rFonts w:ascii="Arial" w:hAnsi="Arial" w:cs="Arial"/>
          <w:b/>
          <w:sz w:val="22"/>
          <w:szCs w:val="22"/>
        </w:rPr>
        <w:t>Statement of Financial Position and cash</w:t>
      </w:r>
    </w:p>
    <w:p w:rsidR="00A7799B" w:rsidRDefault="007C5117" w:rsidP="007C5117">
      <w:pPr>
        <w:tabs>
          <w:tab w:val="left" w:pos="2172"/>
        </w:tabs>
        <w:contextualSpacing/>
        <w:rPr>
          <w:rFonts w:ascii="Arial" w:hAnsi="Arial" w:cs="Arial"/>
          <w:sz w:val="22"/>
          <w:szCs w:val="22"/>
        </w:rPr>
      </w:pPr>
      <w:r>
        <w:rPr>
          <w:rFonts w:ascii="Arial" w:hAnsi="Arial" w:cs="Arial"/>
          <w:sz w:val="22"/>
          <w:szCs w:val="22"/>
        </w:rPr>
        <w:t xml:space="preserve">The Statement of Financial Position </w:t>
      </w:r>
      <w:r w:rsidR="0035681C">
        <w:rPr>
          <w:rFonts w:ascii="Arial" w:hAnsi="Arial" w:cs="Arial"/>
          <w:sz w:val="22"/>
          <w:szCs w:val="22"/>
        </w:rPr>
        <w:t xml:space="preserve">and </w:t>
      </w:r>
      <w:proofErr w:type="spellStart"/>
      <w:r w:rsidR="0035681C">
        <w:rPr>
          <w:rFonts w:ascii="Arial" w:hAnsi="Arial" w:cs="Arial"/>
          <w:sz w:val="22"/>
          <w:szCs w:val="22"/>
        </w:rPr>
        <w:t>cashflow</w:t>
      </w:r>
      <w:proofErr w:type="spellEnd"/>
      <w:r w:rsidR="0035681C">
        <w:rPr>
          <w:rFonts w:ascii="Arial" w:hAnsi="Arial" w:cs="Arial"/>
          <w:sz w:val="22"/>
          <w:szCs w:val="22"/>
        </w:rPr>
        <w:t xml:space="preserve"> </w:t>
      </w:r>
      <w:r w:rsidR="00C277CF">
        <w:rPr>
          <w:rFonts w:ascii="Arial" w:hAnsi="Arial" w:cs="Arial"/>
          <w:sz w:val="22"/>
          <w:szCs w:val="22"/>
        </w:rPr>
        <w:t xml:space="preserve">are </w:t>
      </w:r>
      <w:r w:rsidR="00A7799B">
        <w:rPr>
          <w:rFonts w:ascii="Arial" w:hAnsi="Arial" w:cs="Arial"/>
          <w:sz w:val="22"/>
          <w:szCs w:val="22"/>
        </w:rPr>
        <w:t>produced for each quarter end</w:t>
      </w:r>
      <w:r w:rsidR="0035681C">
        <w:rPr>
          <w:rFonts w:ascii="Arial" w:hAnsi="Arial" w:cs="Arial"/>
          <w:sz w:val="22"/>
          <w:szCs w:val="22"/>
        </w:rPr>
        <w:t>.  These</w:t>
      </w:r>
      <w:r w:rsidR="00A7799B">
        <w:rPr>
          <w:rFonts w:ascii="Arial" w:hAnsi="Arial" w:cs="Arial"/>
          <w:sz w:val="22"/>
          <w:szCs w:val="22"/>
        </w:rPr>
        <w:t xml:space="preserve"> can be found within the additional information at the end of the report.</w:t>
      </w:r>
    </w:p>
    <w:p w:rsidR="00A7799B" w:rsidRDefault="00A7799B" w:rsidP="007C5117">
      <w:pPr>
        <w:tabs>
          <w:tab w:val="left" w:pos="2172"/>
        </w:tabs>
        <w:contextualSpacing/>
        <w:rPr>
          <w:rFonts w:ascii="Arial" w:hAnsi="Arial" w:cs="Arial"/>
          <w:sz w:val="22"/>
          <w:szCs w:val="22"/>
        </w:rPr>
      </w:pPr>
    </w:p>
    <w:p w:rsidR="00A7799B" w:rsidRDefault="00A7799B" w:rsidP="007C5117">
      <w:pPr>
        <w:tabs>
          <w:tab w:val="left" w:pos="2172"/>
        </w:tabs>
        <w:contextualSpacing/>
        <w:rPr>
          <w:rFonts w:ascii="Arial" w:hAnsi="Arial" w:cs="Arial"/>
          <w:sz w:val="22"/>
          <w:szCs w:val="22"/>
        </w:rPr>
      </w:pPr>
    </w:p>
    <w:p w:rsidR="00A7799B" w:rsidRDefault="00A7799B" w:rsidP="007C5117">
      <w:pPr>
        <w:tabs>
          <w:tab w:val="left" w:pos="2172"/>
        </w:tabs>
        <w:contextualSpacing/>
        <w:rPr>
          <w:rFonts w:ascii="Arial" w:hAnsi="Arial" w:cs="Arial"/>
          <w:sz w:val="22"/>
          <w:szCs w:val="22"/>
        </w:rPr>
      </w:pPr>
      <w:r>
        <w:rPr>
          <w:rFonts w:ascii="Arial" w:hAnsi="Arial" w:cs="Arial"/>
          <w:sz w:val="22"/>
          <w:szCs w:val="22"/>
        </w:rPr>
        <w:t>The main points of the Statement of Financial Position as at the 30</w:t>
      </w:r>
      <w:r w:rsidRPr="00A7799B">
        <w:rPr>
          <w:rFonts w:ascii="Arial" w:hAnsi="Arial" w:cs="Arial"/>
          <w:sz w:val="22"/>
          <w:szCs w:val="22"/>
          <w:vertAlign w:val="superscript"/>
        </w:rPr>
        <w:t>th</w:t>
      </w:r>
      <w:r>
        <w:rPr>
          <w:rFonts w:ascii="Arial" w:hAnsi="Arial" w:cs="Arial"/>
          <w:sz w:val="22"/>
          <w:szCs w:val="22"/>
        </w:rPr>
        <w:t xml:space="preserve"> September </w:t>
      </w:r>
      <w:r w:rsidR="00C277CF">
        <w:rPr>
          <w:rFonts w:ascii="Arial" w:hAnsi="Arial" w:cs="Arial"/>
          <w:sz w:val="22"/>
          <w:szCs w:val="22"/>
        </w:rPr>
        <w:t xml:space="preserve">2016 </w:t>
      </w:r>
      <w:r>
        <w:rPr>
          <w:rFonts w:ascii="Arial" w:hAnsi="Arial" w:cs="Arial"/>
          <w:sz w:val="22"/>
          <w:szCs w:val="22"/>
        </w:rPr>
        <w:t>are:</w:t>
      </w:r>
    </w:p>
    <w:p w:rsidR="00A7799B" w:rsidRDefault="00A7799B" w:rsidP="007C5117">
      <w:pPr>
        <w:tabs>
          <w:tab w:val="left" w:pos="2172"/>
        </w:tabs>
        <w:contextualSpacing/>
        <w:rPr>
          <w:rFonts w:ascii="Arial" w:hAnsi="Arial" w:cs="Arial"/>
          <w:sz w:val="22"/>
          <w:szCs w:val="22"/>
        </w:rPr>
      </w:pPr>
    </w:p>
    <w:p w:rsidR="00A7799B" w:rsidRDefault="00C277CF" w:rsidP="00A7799B">
      <w:pPr>
        <w:pStyle w:val="ListParagraph"/>
        <w:numPr>
          <w:ilvl w:val="0"/>
          <w:numId w:val="30"/>
        </w:numPr>
        <w:tabs>
          <w:tab w:val="left" w:pos="2172"/>
        </w:tabs>
        <w:rPr>
          <w:rFonts w:ascii="Arial" w:hAnsi="Arial" w:cs="Arial"/>
          <w:sz w:val="22"/>
          <w:szCs w:val="22"/>
        </w:rPr>
      </w:pPr>
      <w:r>
        <w:rPr>
          <w:rFonts w:ascii="Arial" w:hAnsi="Arial" w:cs="Arial"/>
          <w:sz w:val="22"/>
          <w:szCs w:val="22"/>
        </w:rPr>
        <w:t xml:space="preserve">The increase in fixed assets represents </w:t>
      </w:r>
      <w:r w:rsidR="00A7799B">
        <w:rPr>
          <w:rFonts w:ascii="Arial" w:hAnsi="Arial" w:cs="Arial"/>
          <w:sz w:val="22"/>
          <w:szCs w:val="22"/>
        </w:rPr>
        <w:t>the capital investment in</w:t>
      </w:r>
      <w:r>
        <w:rPr>
          <w:rFonts w:ascii="Arial" w:hAnsi="Arial" w:cs="Arial"/>
          <w:sz w:val="22"/>
          <w:szCs w:val="22"/>
        </w:rPr>
        <w:t xml:space="preserve"> the development </w:t>
      </w:r>
      <w:proofErr w:type="gramStart"/>
      <w:r>
        <w:rPr>
          <w:rFonts w:ascii="Arial" w:hAnsi="Arial" w:cs="Arial"/>
          <w:sz w:val="22"/>
          <w:szCs w:val="22"/>
        </w:rPr>
        <w:t xml:space="preserve">of </w:t>
      </w:r>
      <w:r w:rsidR="00A7799B">
        <w:rPr>
          <w:rFonts w:ascii="Arial" w:hAnsi="Arial" w:cs="Arial"/>
          <w:sz w:val="22"/>
          <w:szCs w:val="22"/>
        </w:rPr>
        <w:t xml:space="preserve"> IRAS</w:t>
      </w:r>
      <w:proofErr w:type="gramEnd"/>
      <w:r w:rsidR="00A7799B">
        <w:rPr>
          <w:rFonts w:ascii="Arial" w:hAnsi="Arial" w:cs="Arial"/>
          <w:sz w:val="22"/>
          <w:szCs w:val="22"/>
        </w:rPr>
        <w:t xml:space="preserve"> and HARP during the year.</w:t>
      </w:r>
    </w:p>
    <w:p w:rsidR="00A7799B" w:rsidRDefault="00A7799B" w:rsidP="00A7799B">
      <w:pPr>
        <w:pStyle w:val="ListParagraph"/>
        <w:tabs>
          <w:tab w:val="left" w:pos="2172"/>
        </w:tabs>
        <w:rPr>
          <w:rFonts w:ascii="Arial" w:hAnsi="Arial" w:cs="Arial"/>
          <w:sz w:val="22"/>
          <w:szCs w:val="22"/>
        </w:rPr>
      </w:pPr>
    </w:p>
    <w:p w:rsidR="007C5117" w:rsidRDefault="00A7799B" w:rsidP="00A7799B">
      <w:pPr>
        <w:pStyle w:val="ListParagraph"/>
        <w:numPr>
          <w:ilvl w:val="0"/>
          <w:numId w:val="30"/>
        </w:numPr>
        <w:tabs>
          <w:tab w:val="left" w:pos="2172"/>
        </w:tabs>
        <w:rPr>
          <w:rFonts w:ascii="Arial" w:hAnsi="Arial" w:cs="Arial"/>
          <w:sz w:val="22"/>
          <w:szCs w:val="22"/>
        </w:rPr>
      </w:pPr>
      <w:r>
        <w:rPr>
          <w:rFonts w:ascii="Arial" w:hAnsi="Arial" w:cs="Arial"/>
          <w:sz w:val="22"/>
          <w:szCs w:val="22"/>
        </w:rPr>
        <w:t xml:space="preserve">Net current </w:t>
      </w:r>
      <w:r w:rsidR="007C5117" w:rsidRPr="00A7799B">
        <w:rPr>
          <w:rFonts w:ascii="Arial" w:hAnsi="Arial" w:cs="Arial"/>
          <w:sz w:val="22"/>
          <w:szCs w:val="22"/>
        </w:rPr>
        <w:t xml:space="preserve">assets in the quarter have reduced compared to the </w:t>
      </w:r>
      <w:proofErr w:type="spellStart"/>
      <w:r w:rsidR="007C5117" w:rsidRPr="00A7799B">
        <w:rPr>
          <w:rFonts w:ascii="Arial" w:hAnsi="Arial" w:cs="Arial"/>
          <w:sz w:val="22"/>
          <w:szCs w:val="22"/>
        </w:rPr>
        <w:t>year end</w:t>
      </w:r>
      <w:proofErr w:type="spellEnd"/>
      <w:r w:rsidR="007C5117" w:rsidRPr="00A7799B">
        <w:rPr>
          <w:rFonts w:ascii="Arial" w:hAnsi="Arial" w:cs="Arial"/>
          <w:sz w:val="22"/>
          <w:szCs w:val="22"/>
        </w:rPr>
        <w:t xml:space="preserve"> position, which is due to a lower level of cash being held at the end of September </w:t>
      </w:r>
      <w:r>
        <w:rPr>
          <w:rFonts w:ascii="Arial" w:hAnsi="Arial" w:cs="Arial"/>
          <w:sz w:val="22"/>
          <w:szCs w:val="22"/>
        </w:rPr>
        <w:t>and a lower level of creditors being held.</w:t>
      </w:r>
    </w:p>
    <w:p w:rsidR="00A7799B" w:rsidRPr="00A7799B" w:rsidRDefault="00A7799B" w:rsidP="00A7799B">
      <w:pPr>
        <w:pStyle w:val="ListParagraph"/>
        <w:rPr>
          <w:rFonts w:ascii="Arial" w:hAnsi="Arial" w:cs="Arial"/>
          <w:sz w:val="22"/>
          <w:szCs w:val="22"/>
        </w:rPr>
      </w:pPr>
    </w:p>
    <w:p w:rsidR="00B91162" w:rsidRDefault="00A7799B" w:rsidP="0035681C">
      <w:pPr>
        <w:tabs>
          <w:tab w:val="left" w:pos="2172"/>
        </w:tabs>
        <w:contextualSpacing/>
        <w:rPr>
          <w:rFonts w:ascii="Arial" w:hAnsi="Arial" w:cs="Arial"/>
          <w:sz w:val="22"/>
          <w:szCs w:val="22"/>
        </w:rPr>
      </w:pPr>
      <w:r w:rsidRPr="00B90EA0">
        <w:rPr>
          <w:rFonts w:ascii="Arial" w:hAnsi="Arial" w:cs="Arial"/>
          <w:sz w:val="22"/>
          <w:szCs w:val="22"/>
        </w:rPr>
        <w:t>At the end of the reporting period, the cash balance was £</w:t>
      </w:r>
      <w:r>
        <w:rPr>
          <w:rFonts w:ascii="Arial" w:hAnsi="Arial" w:cs="Arial"/>
          <w:sz w:val="22"/>
          <w:szCs w:val="22"/>
        </w:rPr>
        <w:t>2.727</w:t>
      </w:r>
      <w:r w:rsidRPr="00B90EA0">
        <w:rPr>
          <w:rFonts w:ascii="Arial" w:hAnsi="Arial" w:cs="Arial"/>
          <w:sz w:val="22"/>
          <w:szCs w:val="22"/>
        </w:rPr>
        <w:t>m</w:t>
      </w:r>
      <w:r>
        <w:rPr>
          <w:rFonts w:ascii="Arial" w:hAnsi="Arial" w:cs="Arial"/>
          <w:sz w:val="22"/>
          <w:szCs w:val="22"/>
        </w:rPr>
        <w:t xml:space="preserve">.  </w:t>
      </w:r>
      <w:r w:rsidR="007C5117">
        <w:rPr>
          <w:rFonts w:ascii="Arial" w:hAnsi="Arial" w:cs="Arial"/>
          <w:sz w:val="22"/>
          <w:szCs w:val="22"/>
        </w:rPr>
        <w:t>The forecast cash balance at t</w:t>
      </w:r>
      <w:r>
        <w:rPr>
          <w:rFonts w:ascii="Arial" w:hAnsi="Arial" w:cs="Arial"/>
          <w:sz w:val="22"/>
          <w:szCs w:val="22"/>
        </w:rPr>
        <w:t xml:space="preserve">he end </w:t>
      </w:r>
      <w:r w:rsidR="0035681C">
        <w:rPr>
          <w:rFonts w:ascii="Arial" w:hAnsi="Arial" w:cs="Arial"/>
          <w:sz w:val="22"/>
          <w:szCs w:val="22"/>
        </w:rPr>
        <w:t xml:space="preserve">of March 2017 is £3.195m.  </w:t>
      </w:r>
      <w:r w:rsidR="007C5117" w:rsidRPr="00011FDF">
        <w:rPr>
          <w:rFonts w:ascii="Arial" w:hAnsi="Arial" w:cs="Arial"/>
          <w:sz w:val="22"/>
          <w:szCs w:val="22"/>
        </w:rPr>
        <w:t>In order to fulfil the duty to avoid holding excess levels of cash, the HRA will continue to monit</w:t>
      </w:r>
      <w:r w:rsidR="007C5117">
        <w:rPr>
          <w:rFonts w:ascii="Arial" w:hAnsi="Arial" w:cs="Arial"/>
          <w:sz w:val="22"/>
          <w:szCs w:val="22"/>
        </w:rPr>
        <w:t>or the cash position during 2016/17</w:t>
      </w:r>
      <w:r w:rsidR="007C5117" w:rsidRPr="00011FDF">
        <w:rPr>
          <w:rFonts w:ascii="Arial" w:hAnsi="Arial" w:cs="Arial"/>
          <w:sz w:val="22"/>
          <w:szCs w:val="22"/>
        </w:rPr>
        <w:t xml:space="preserve"> to ensure that sufficient cash is held for future needs, but will aim to reduce the cash balances held</w:t>
      </w:r>
      <w:r w:rsidR="0035681C">
        <w:rPr>
          <w:rFonts w:ascii="Arial" w:hAnsi="Arial" w:cs="Arial"/>
          <w:sz w:val="22"/>
          <w:szCs w:val="22"/>
        </w:rPr>
        <w:t xml:space="preserve">.  </w:t>
      </w:r>
    </w:p>
    <w:p w:rsidR="0035681C" w:rsidRPr="0035681C" w:rsidRDefault="0035681C" w:rsidP="0035681C">
      <w:pPr>
        <w:tabs>
          <w:tab w:val="left" w:pos="2172"/>
        </w:tabs>
        <w:contextualSpacing/>
        <w:rPr>
          <w:rFonts w:ascii="Arial" w:hAnsi="Arial" w:cs="Arial"/>
          <w:sz w:val="22"/>
          <w:szCs w:val="22"/>
        </w:rPr>
      </w:pPr>
    </w:p>
    <w:p w:rsidR="00DD6897" w:rsidRDefault="00DD6897" w:rsidP="00951DD0">
      <w:pPr>
        <w:pStyle w:val="ListParagraph"/>
        <w:spacing w:line="276" w:lineRule="auto"/>
        <w:ind w:left="0"/>
        <w:rPr>
          <w:rFonts w:ascii="Arial" w:hAnsi="Arial" w:cs="Arial"/>
          <w:b/>
          <w:sz w:val="22"/>
          <w:szCs w:val="22"/>
        </w:rPr>
      </w:pPr>
      <w:r>
        <w:rPr>
          <w:rFonts w:ascii="Arial" w:hAnsi="Arial" w:cs="Arial"/>
          <w:b/>
          <w:sz w:val="22"/>
          <w:szCs w:val="22"/>
        </w:rPr>
        <w:t>Better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b/>
          <w:sz w:val="22"/>
          <w:szCs w:val="22"/>
        </w:rPr>
      </w:pP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p>
    <w:p w:rsidR="0035681C" w:rsidRDefault="0035681C" w:rsidP="00951DD0">
      <w:pPr>
        <w:pStyle w:val="ListParagraph"/>
        <w:spacing w:line="276" w:lineRule="auto"/>
        <w:ind w:left="0"/>
        <w:rPr>
          <w:rFonts w:ascii="Arial" w:hAnsi="Arial" w:cs="Arial"/>
          <w:b/>
          <w:sz w:val="22"/>
          <w:szCs w:val="22"/>
        </w:rPr>
      </w:pPr>
    </w:p>
    <w:tbl>
      <w:tblPr>
        <w:tblW w:w="7140" w:type="dxa"/>
        <w:tblLook w:val="04A0" w:firstRow="1" w:lastRow="0" w:firstColumn="1" w:lastColumn="0" w:noHBand="0" w:noVBand="1"/>
      </w:tblPr>
      <w:tblGrid>
        <w:gridCol w:w="2200"/>
        <w:gridCol w:w="1300"/>
        <w:gridCol w:w="1160"/>
        <w:gridCol w:w="1320"/>
        <w:gridCol w:w="1160"/>
      </w:tblGrid>
      <w:tr w:rsidR="0035681C" w:rsidRPr="00236B2E" w:rsidTr="004D4BF4">
        <w:trPr>
          <w:trHeight w:val="537"/>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681C" w:rsidRPr="00236B2E" w:rsidRDefault="0035681C" w:rsidP="00655157">
            <w:pPr>
              <w:rPr>
                <w:rFonts w:ascii="Calibri" w:hAnsi="Calibri" w:cs="Calibri"/>
                <w:color w:val="000000"/>
              </w:rPr>
            </w:pPr>
            <w:r w:rsidRPr="00236B2E">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rPr>
                <w:rFonts w:ascii="Calibri" w:hAnsi="Calibri" w:cs="Calibri"/>
                <w:color w:val="FFFFFF"/>
                <w:sz w:val="22"/>
                <w:szCs w:val="22"/>
              </w:rPr>
            </w:pPr>
            <w:r w:rsidRPr="00236B2E">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center"/>
              <w:rPr>
                <w:rFonts w:ascii="Calibri" w:hAnsi="Calibri" w:cs="Calibri"/>
                <w:color w:val="FFFFFF"/>
                <w:sz w:val="22"/>
                <w:szCs w:val="22"/>
              </w:rPr>
            </w:pPr>
            <w:r w:rsidRPr="00236B2E">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rPr>
                <w:rFonts w:ascii="Calibri" w:hAnsi="Calibri" w:cs="Calibri"/>
                <w:color w:val="FFFFFF"/>
                <w:sz w:val="22"/>
                <w:szCs w:val="22"/>
              </w:rPr>
            </w:pPr>
            <w:r w:rsidRPr="00236B2E">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center"/>
              <w:rPr>
                <w:rFonts w:ascii="Calibri" w:hAnsi="Calibri" w:cs="Calibri"/>
                <w:color w:val="FFFFFF"/>
                <w:sz w:val="22"/>
                <w:szCs w:val="22"/>
              </w:rPr>
            </w:pPr>
            <w:r w:rsidRPr="00236B2E">
              <w:rPr>
                <w:rFonts w:ascii="Calibri" w:hAnsi="Calibri" w:cs="Calibri"/>
                <w:color w:val="FFFFFF"/>
                <w:sz w:val="22"/>
                <w:szCs w:val="22"/>
              </w:rPr>
              <w:t>%</w:t>
            </w:r>
          </w:p>
        </w:tc>
      </w:tr>
      <w:tr w:rsidR="0035681C" w:rsidRPr="00236B2E" w:rsidTr="0035681C">
        <w:trPr>
          <w:trHeight w:val="330"/>
        </w:trPr>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35681C" w:rsidRPr="00236B2E" w:rsidRDefault="0035681C" w:rsidP="00655157">
            <w:pPr>
              <w:rPr>
                <w:rFonts w:ascii="Calibri" w:hAnsi="Calibri" w:cs="Calibri"/>
                <w:color w:val="000000"/>
              </w:rPr>
            </w:pPr>
            <w:r w:rsidRPr="00236B2E">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220</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387,291</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14%</w:t>
            </w:r>
          </w:p>
        </w:tc>
      </w:tr>
      <w:tr w:rsidR="0035681C"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color w:val="000000"/>
                <w:sz w:val="22"/>
                <w:szCs w:val="22"/>
              </w:rPr>
            </w:pPr>
            <w:r w:rsidRPr="00236B2E">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1316</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62%</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1,323,397</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48%</w:t>
            </w:r>
          </w:p>
        </w:tc>
      </w:tr>
      <w:tr w:rsidR="0035681C"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color w:val="000000"/>
                <w:sz w:val="22"/>
                <w:szCs w:val="22"/>
              </w:rPr>
            </w:pPr>
            <w:r w:rsidRPr="00236B2E">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496</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23%</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918,342</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33%</w:t>
            </w:r>
          </w:p>
        </w:tc>
      </w:tr>
      <w:tr w:rsidR="0035681C"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color w:val="000000"/>
                <w:sz w:val="22"/>
                <w:szCs w:val="22"/>
              </w:rPr>
            </w:pPr>
            <w:r w:rsidRPr="00236B2E">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26</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129,210</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5%</w:t>
            </w:r>
          </w:p>
        </w:tc>
      </w:tr>
      <w:tr w:rsidR="0035681C"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color w:val="000000"/>
                <w:sz w:val="22"/>
                <w:szCs w:val="22"/>
              </w:rPr>
            </w:pPr>
            <w:r w:rsidRPr="00236B2E">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57</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3%</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3,428</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0%</w:t>
            </w:r>
          </w:p>
        </w:tc>
      </w:tr>
      <w:tr w:rsidR="0035681C" w:rsidRPr="00236B2E" w:rsidTr="0035681C">
        <w:trPr>
          <w:trHeight w:val="315"/>
        </w:trPr>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color w:val="000000"/>
                <w:sz w:val="22"/>
                <w:szCs w:val="22"/>
              </w:rPr>
            </w:pPr>
            <w:r w:rsidRPr="00236B2E">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2,115</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2,761,667</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100%</w:t>
            </w:r>
          </w:p>
        </w:tc>
      </w:tr>
      <w:tr w:rsidR="0035681C" w:rsidRPr="00236B2E" w:rsidTr="0035681C">
        <w:trPr>
          <w:trHeight w:val="315"/>
        </w:trPr>
        <w:tc>
          <w:tcPr>
            <w:tcW w:w="2200" w:type="dxa"/>
            <w:tcBorders>
              <w:top w:val="nil"/>
              <w:left w:val="nil"/>
              <w:bottom w:val="nil"/>
              <w:right w:val="nil"/>
            </w:tcBorders>
            <w:shd w:val="clear" w:color="auto" w:fill="auto"/>
            <w:noWrap/>
            <w:vAlign w:val="bottom"/>
            <w:hideMark/>
          </w:tcPr>
          <w:p w:rsidR="0035681C" w:rsidRPr="00236B2E" w:rsidRDefault="0035681C" w:rsidP="00655157">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35681C" w:rsidRDefault="0035681C" w:rsidP="00655157">
            <w:pPr>
              <w:rPr>
                <w:rFonts w:ascii="Calibri" w:hAnsi="Calibri" w:cs="Calibri"/>
                <w:color w:val="000000"/>
                <w:sz w:val="22"/>
                <w:szCs w:val="22"/>
              </w:rPr>
            </w:pPr>
          </w:p>
        </w:tc>
      </w:tr>
      <w:tr w:rsidR="0035681C" w:rsidRPr="00236B2E" w:rsidTr="0035681C">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97%</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100%</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Default="0035681C" w:rsidP="00655157">
            <w:pPr>
              <w:jc w:val="right"/>
              <w:rPr>
                <w:rFonts w:ascii="Calibri" w:hAnsi="Calibri" w:cs="Calibri"/>
                <w:color w:val="FFFFFF"/>
                <w:sz w:val="22"/>
                <w:szCs w:val="22"/>
              </w:rPr>
            </w:pPr>
            <w:r>
              <w:rPr>
                <w:rFonts w:ascii="Calibri" w:hAnsi="Calibri" w:cs="Calibri"/>
                <w:color w:val="FFFFFF"/>
                <w:sz w:val="22"/>
                <w:szCs w:val="22"/>
              </w:rPr>
              <w:t>100%</w:t>
            </w:r>
          </w:p>
        </w:tc>
      </w:tr>
      <w:tr w:rsidR="0035681C" w:rsidRPr="00236B2E" w:rsidTr="0035681C">
        <w:trPr>
          <w:trHeight w:val="315"/>
        </w:trPr>
        <w:tc>
          <w:tcPr>
            <w:tcW w:w="2200" w:type="dxa"/>
            <w:tcBorders>
              <w:top w:val="nil"/>
              <w:left w:val="nil"/>
              <w:bottom w:val="nil"/>
              <w:right w:val="nil"/>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p>
        </w:tc>
        <w:tc>
          <w:tcPr>
            <w:tcW w:w="130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center"/>
            <w:hideMark/>
          </w:tcPr>
          <w:p w:rsidR="0035681C" w:rsidRPr="00236B2E" w:rsidRDefault="0035681C" w:rsidP="00655157">
            <w:pPr>
              <w:jc w:val="right"/>
              <w:rPr>
                <w:rFonts w:ascii="Calibri" w:hAnsi="Calibri" w:cs="Calibri"/>
                <w:color w:val="000000"/>
                <w:sz w:val="22"/>
                <w:szCs w:val="22"/>
              </w:rPr>
            </w:pPr>
          </w:p>
        </w:tc>
      </w:tr>
      <w:tr w:rsidR="0035681C" w:rsidRPr="00236B2E" w:rsidTr="0035681C">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2015/16 Performance</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97%</w:t>
            </w:r>
          </w:p>
        </w:tc>
      </w:tr>
      <w:tr w:rsidR="0035681C" w:rsidRPr="00236B2E" w:rsidTr="0035681C">
        <w:trPr>
          <w:trHeight w:val="615"/>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2015/16 0-5 day performance</w:t>
            </w:r>
          </w:p>
        </w:tc>
        <w:tc>
          <w:tcPr>
            <w:tcW w:w="1300" w:type="dxa"/>
            <w:tcBorders>
              <w:top w:val="nil"/>
              <w:left w:val="nil"/>
              <w:bottom w:val="nil"/>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306</w:t>
            </w:r>
          </w:p>
        </w:tc>
        <w:tc>
          <w:tcPr>
            <w:tcW w:w="1160" w:type="dxa"/>
            <w:tcBorders>
              <w:top w:val="nil"/>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7%</w:t>
            </w:r>
          </w:p>
        </w:tc>
        <w:tc>
          <w:tcPr>
            <w:tcW w:w="1320" w:type="dxa"/>
            <w:tcBorders>
              <w:top w:val="nil"/>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1,395,005</w:t>
            </w:r>
          </w:p>
        </w:tc>
        <w:tc>
          <w:tcPr>
            <w:tcW w:w="1160" w:type="dxa"/>
            <w:tcBorders>
              <w:top w:val="nil"/>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21%</w:t>
            </w:r>
          </w:p>
        </w:tc>
      </w:tr>
    </w:tbl>
    <w:p w:rsidR="00552D9B" w:rsidRDefault="00552D9B" w:rsidP="00DD6897">
      <w:pPr>
        <w:rPr>
          <w:rFonts w:ascii="Arial" w:hAnsi="Arial" w:cs="Arial"/>
          <w:b/>
          <w:sz w:val="22"/>
          <w:szCs w:val="22"/>
        </w:rPr>
      </w:pPr>
    </w:p>
    <w:p w:rsidR="004D4BF4" w:rsidRDefault="004D4BF4" w:rsidP="00DD6897">
      <w:pPr>
        <w:rPr>
          <w:rFonts w:ascii="Arial" w:hAnsi="Arial" w:cs="Arial"/>
          <w:sz w:val="22"/>
          <w:szCs w:val="22"/>
        </w:rPr>
      </w:pPr>
    </w:p>
    <w:p w:rsidR="00AE0798" w:rsidRPr="00ED6F79" w:rsidRDefault="00AE0798" w:rsidP="00DD6897">
      <w:pPr>
        <w:rPr>
          <w:rFonts w:ascii="Arial" w:hAnsi="Arial" w:cs="Arial"/>
          <w:b/>
          <w:sz w:val="22"/>
          <w:szCs w:val="22"/>
        </w:rPr>
      </w:pPr>
      <w:r w:rsidRPr="00ED6F79">
        <w:rPr>
          <w:rFonts w:ascii="Arial" w:hAnsi="Arial" w:cs="Arial"/>
          <w:b/>
          <w:sz w:val="22"/>
          <w:szCs w:val="22"/>
        </w:rPr>
        <w:t>Travel costs</w:t>
      </w:r>
    </w:p>
    <w:p w:rsidR="00F22918" w:rsidRDefault="00ED6F79" w:rsidP="00ED6F79">
      <w:pPr>
        <w:spacing w:after="200" w:line="276" w:lineRule="auto"/>
        <w:rPr>
          <w:rFonts w:ascii="Arial" w:hAnsi="Arial" w:cs="Arial"/>
          <w:sz w:val="22"/>
          <w:szCs w:val="22"/>
        </w:rPr>
      </w:pPr>
      <w:r w:rsidRPr="00E904C3">
        <w:rPr>
          <w:rFonts w:ascii="Arial" w:hAnsi="Arial" w:cs="Arial"/>
          <w:sz w:val="22"/>
          <w:szCs w:val="22"/>
        </w:rPr>
        <w:t xml:space="preserve">Table </w:t>
      </w:r>
      <w:r w:rsidR="007055AB">
        <w:rPr>
          <w:rFonts w:ascii="Arial" w:hAnsi="Arial" w:cs="Arial"/>
          <w:sz w:val="22"/>
          <w:szCs w:val="22"/>
        </w:rPr>
        <w:t>2</w:t>
      </w:r>
      <w:r w:rsidRPr="00E904C3">
        <w:rPr>
          <w:rFonts w:ascii="Arial" w:hAnsi="Arial" w:cs="Arial"/>
          <w:sz w:val="22"/>
          <w:szCs w:val="22"/>
        </w:rPr>
        <w:t xml:space="preserve"> below sets out the total travel costs position (staff, members inclusi</w:t>
      </w:r>
      <w:r w:rsidR="00732803">
        <w:rPr>
          <w:rFonts w:ascii="Arial" w:hAnsi="Arial" w:cs="Arial"/>
          <w:sz w:val="22"/>
          <w:szCs w:val="22"/>
        </w:rPr>
        <w:t xml:space="preserve">ve) at the end of </w:t>
      </w:r>
      <w:r w:rsidR="00D205DE">
        <w:rPr>
          <w:rFonts w:ascii="Arial" w:hAnsi="Arial" w:cs="Arial"/>
          <w:sz w:val="22"/>
          <w:szCs w:val="22"/>
        </w:rPr>
        <w:t>September</w:t>
      </w:r>
      <w:r w:rsidRPr="00E904C3">
        <w:rPr>
          <w:rFonts w:ascii="Arial" w:hAnsi="Arial" w:cs="Arial"/>
          <w:sz w:val="22"/>
          <w:szCs w:val="22"/>
        </w:rPr>
        <w:t xml:space="preserve"> </w:t>
      </w:r>
      <w:r w:rsidR="00D205DE">
        <w:rPr>
          <w:rFonts w:ascii="Arial" w:hAnsi="Arial" w:cs="Arial"/>
          <w:sz w:val="22"/>
          <w:szCs w:val="22"/>
        </w:rPr>
        <w:t>2016.  £273</w:t>
      </w:r>
      <w:r w:rsidR="00E904C3">
        <w:rPr>
          <w:rFonts w:ascii="Arial" w:hAnsi="Arial" w:cs="Arial"/>
          <w:sz w:val="22"/>
          <w:szCs w:val="22"/>
        </w:rPr>
        <w:t>k has b</w:t>
      </w:r>
      <w:r w:rsidR="00732803">
        <w:rPr>
          <w:rFonts w:ascii="Arial" w:hAnsi="Arial" w:cs="Arial"/>
          <w:sz w:val="22"/>
          <w:szCs w:val="22"/>
        </w:rPr>
        <w:t>een</w:t>
      </w:r>
      <w:r w:rsidR="00776D15">
        <w:rPr>
          <w:rFonts w:ascii="Arial" w:hAnsi="Arial" w:cs="Arial"/>
          <w:sz w:val="22"/>
          <w:szCs w:val="22"/>
        </w:rPr>
        <w:t xml:space="preserve"> spent year to date with a £1.6</w:t>
      </w:r>
      <w:r w:rsidR="00331BF9">
        <w:rPr>
          <w:rFonts w:ascii="Arial" w:hAnsi="Arial" w:cs="Arial"/>
          <w:sz w:val="22"/>
          <w:szCs w:val="22"/>
        </w:rPr>
        <w:t>k under</w:t>
      </w:r>
      <w:r w:rsidR="00E904C3">
        <w:rPr>
          <w:rFonts w:ascii="Arial" w:hAnsi="Arial" w:cs="Arial"/>
          <w:sz w:val="22"/>
          <w:szCs w:val="22"/>
        </w:rPr>
        <w:t xml:space="preserve"> spend against the plan</w:t>
      </w:r>
      <w:r w:rsidR="00B91162">
        <w:rPr>
          <w:rFonts w:ascii="Arial" w:hAnsi="Arial" w:cs="Arial"/>
          <w:sz w:val="22"/>
          <w:szCs w:val="22"/>
        </w:rPr>
        <w:t xml:space="preserve"> </w:t>
      </w:r>
      <w:r w:rsidR="00D205DE">
        <w:rPr>
          <w:rFonts w:ascii="Arial" w:hAnsi="Arial" w:cs="Arial"/>
          <w:sz w:val="22"/>
          <w:szCs w:val="22"/>
        </w:rPr>
        <w:t>(£2k underspend in August</w:t>
      </w:r>
      <w:r w:rsidR="00B91162">
        <w:rPr>
          <w:rFonts w:ascii="Arial" w:hAnsi="Arial" w:cs="Arial"/>
          <w:sz w:val="22"/>
          <w:szCs w:val="22"/>
        </w:rPr>
        <w:t>)</w:t>
      </w:r>
      <w:r w:rsidR="00E904C3">
        <w:rPr>
          <w:rFonts w:ascii="Arial" w:hAnsi="Arial" w:cs="Arial"/>
          <w:sz w:val="22"/>
          <w:szCs w:val="22"/>
        </w:rPr>
        <w:t xml:space="preserve">.  </w:t>
      </w:r>
    </w:p>
    <w:p w:rsidR="00CB67F3" w:rsidRDefault="00ED6F79" w:rsidP="003D18BA">
      <w:pPr>
        <w:spacing w:after="200" w:line="276" w:lineRule="auto"/>
        <w:rPr>
          <w:noProof/>
        </w:rPr>
      </w:pPr>
      <w:r w:rsidRPr="00E904C3">
        <w:rPr>
          <w:rFonts w:ascii="Arial" w:hAnsi="Arial" w:cs="Arial"/>
          <w:b/>
          <w:sz w:val="22"/>
          <w:szCs w:val="22"/>
        </w:rPr>
        <w:t xml:space="preserve">Table </w:t>
      </w:r>
      <w:r w:rsidR="007055AB">
        <w:rPr>
          <w:rFonts w:ascii="Arial" w:hAnsi="Arial" w:cs="Arial"/>
          <w:b/>
          <w:sz w:val="22"/>
          <w:szCs w:val="22"/>
        </w:rPr>
        <w:t>2</w:t>
      </w:r>
      <w:r w:rsidRPr="00E904C3">
        <w:rPr>
          <w:rFonts w:ascii="Arial" w:hAnsi="Arial" w:cs="Arial"/>
          <w:b/>
          <w:sz w:val="22"/>
          <w:szCs w:val="22"/>
        </w:rPr>
        <w:t>:  Travel costs and budget across the HRA by Directorate</w:t>
      </w:r>
    </w:p>
    <w:p w:rsidR="00086661" w:rsidRPr="007C5117" w:rsidRDefault="00D205DE" w:rsidP="007C5117">
      <w:pPr>
        <w:spacing w:after="200" w:line="276" w:lineRule="auto"/>
        <w:rPr>
          <w:rFonts w:ascii="Arial" w:hAnsi="Arial" w:cs="Arial"/>
          <w:b/>
          <w:sz w:val="22"/>
          <w:szCs w:val="22"/>
        </w:rPr>
      </w:pPr>
      <w:r w:rsidRPr="00D205DE">
        <w:rPr>
          <w:noProof/>
        </w:rPr>
        <w:lastRenderedPageBreak/>
        <w:drawing>
          <wp:inline distT="0" distB="0" distL="0" distR="0" wp14:anchorId="55C69291" wp14:editId="3DF1A350">
            <wp:extent cx="4823460" cy="2385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460" cy="2385060"/>
                    </a:xfrm>
                    <a:prstGeom prst="rect">
                      <a:avLst/>
                    </a:prstGeom>
                    <a:noFill/>
                    <a:ln>
                      <a:noFill/>
                    </a:ln>
                  </pic:spPr>
                </pic:pic>
              </a:graphicData>
            </a:graphic>
          </wp:inline>
        </w:drawing>
      </w:r>
    </w:p>
    <w:p w:rsidR="007326AA" w:rsidRDefault="007326AA" w:rsidP="0028079F">
      <w:pPr>
        <w:jc w:val="both"/>
        <w:rPr>
          <w:rFonts w:ascii="Arial" w:hAnsi="Arial" w:cs="Arial"/>
          <w:b/>
          <w:sz w:val="22"/>
          <w:szCs w:val="22"/>
        </w:rPr>
      </w:pPr>
    </w:p>
    <w:p w:rsidR="0028079F" w:rsidRPr="00B1174F" w:rsidRDefault="0028079F" w:rsidP="0028079F">
      <w:pPr>
        <w:jc w:val="both"/>
        <w:rPr>
          <w:rFonts w:ascii="Arial" w:hAnsi="Arial" w:cs="Arial"/>
          <w:b/>
          <w:sz w:val="22"/>
          <w:szCs w:val="22"/>
        </w:rPr>
      </w:pPr>
      <w:r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44673F" w:rsidP="00115E84">
      <w:p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00B40EA9" w:rsidRPr="00B1174F">
        <w:rPr>
          <w:rFonts w:ascii="Arial" w:hAnsi="Arial" w:cs="Arial"/>
          <w:sz w:val="22"/>
          <w:szCs w:val="22"/>
        </w:rPr>
        <w:t xml:space="preserve">he </w:t>
      </w:r>
      <w:r w:rsidR="00D211BF">
        <w:rPr>
          <w:rFonts w:ascii="Arial" w:hAnsi="Arial" w:cs="Arial"/>
          <w:sz w:val="22"/>
          <w:szCs w:val="22"/>
        </w:rPr>
        <w:t xml:space="preserve">Board </w:t>
      </w:r>
      <w:r w:rsidR="00DF39E7">
        <w:rPr>
          <w:rFonts w:ascii="Arial" w:hAnsi="Arial" w:cs="Arial"/>
          <w:sz w:val="22"/>
          <w:szCs w:val="22"/>
        </w:rPr>
        <w:t xml:space="preserve">is asked to </w:t>
      </w:r>
      <w:r w:rsidR="00D211BF">
        <w:rPr>
          <w:rFonts w:ascii="Arial" w:hAnsi="Arial" w:cs="Arial"/>
          <w:sz w:val="22"/>
          <w:szCs w:val="22"/>
        </w:rPr>
        <w:t>note</w:t>
      </w:r>
      <w:r w:rsidR="001C4432">
        <w:rPr>
          <w:rFonts w:ascii="Arial" w:hAnsi="Arial" w:cs="Arial"/>
          <w:sz w:val="22"/>
          <w:szCs w:val="22"/>
        </w:rPr>
        <w:t xml:space="preserve"> </w:t>
      </w:r>
      <w:r w:rsidR="00B40EA9" w:rsidRPr="00B1174F">
        <w:rPr>
          <w:rFonts w:ascii="Arial" w:hAnsi="Arial" w:cs="Arial"/>
          <w:sz w:val="22"/>
          <w:szCs w:val="22"/>
        </w:rPr>
        <w:t>the financial position</w:t>
      </w:r>
      <w:r w:rsidR="00115E84" w:rsidRPr="00B1174F">
        <w:rPr>
          <w:rFonts w:ascii="Arial" w:hAnsi="Arial" w:cs="Arial"/>
          <w:sz w:val="22"/>
          <w:szCs w:val="22"/>
        </w:rPr>
        <w:t xml:space="preserve"> and </w:t>
      </w:r>
      <w:r w:rsidR="00DF39E7">
        <w:rPr>
          <w:rFonts w:ascii="Arial" w:hAnsi="Arial" w:cs="Arial"/>
          <w:sz w:val="22"/>
          <w:szCs w:val="22"/>
        </w:rPr>
        <w:t>the following points of note</w:t>
      </w:r>
      <w:r w:rsidR="00B14BF6" w:rsidRPr="00B1174F">
        <w:rPr>
          <w:rFonts w:ascii="Arial" w:hAnsi="Arial" w:cs="Arial"/>
          <w:sz w:val="22"/>
          <w:szCs w:val="22"/>
        </w:rPr>
        <w:t>:</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The </w:t>
      </w:r>
      <w:r w:rsidR="00E73495">
        <w:rPr>
          <w:rFonts w:ascii="Arial" w:hAnsi="Arial" w:cs="Arial"/>
          <w:sz w:val="22"/>
          <w:szCs w:val="22"/>
        </w:rPr>
        <w:t>current over</w:t>
      </w:r>
      <w:r w:rsidR="00E070F4">
        <w:rPr>
          <w:rFonts w:ascii="Arial" w:hAnsi="Arial" w:cs="Arial"/>
          <w:sz w:val="22"/>
          <w:szCs w:val="22"/>
        </w:rPr>
        <w:t>spend posit</w:t>
      </w:r>
      <w:r w:rsidR="00776D15">
        <w:rPr>
          <w:rFonts w:ascii="Arial" w:hAnsi="Arial" w:cs="Arial"/>
          <w:sz w:val="22"/>
          <w:szCs w:val="22"/>
        </w:rPr>
        <w:t>ion, with the broadly breakeven revenue forecast outturn</w:t>
      </w:r>
    </w:p>
    <w:p w:rsidR="009D724D" w:rsidRDefault="009D724D"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9D724D">
        <w:rPr>
          <w:rFonts w:ascii="Arial" w:hAnsi="Arial" w:cs="Arial"/>
          <w:sz w:val="22"/>
          <w:szCs w:val="22"/>
        </w:rPr>
        <w:t>T</w:t>
      </w:r>
      <w:r w:rsidR="00254D93" w:rsidRPr="009D724D">
        <w:rPr>
          <w:rFonts w:ascii="Arial" w:hAnsi="Arial" w:cs="Arial"/>
          <w:sz w:val="22"/>
          <w:szCs w:val="22"/>
        </w:rPr>
        <w:t>he und</w:t>
      </w:r>
      <w:r w:rsidR="00D211BF">
        <w:rPr>
          <w:rFonts w:ascii="Arial" w:hAnsi="Arial" w:cs="Arial"/>
          <w:sz w:val="22"/>
          <w:szCs w:val="22"/>
        </w:rPr>
        <w:t>er spend on pay offset by an over spend on non pay</w:t>
      </w:r>
      <w:r w:rsidR="00AF07FE">
        <w:rPr>
          <w:rFonts w:ascii="Arial" w:hAnsi="Arial" w:cs="Arial"/>
          <w:sz w:val="22"/>
          <w:szCs w:val="22"/>
        </w:rPr>
        <w:t xml:space="preserve"> and the reasons</w:t>
      </w:r>
      <w:r w:rsidR="00D211BF">
        <w:rPr>
          <w:rFonts w:ascii="Arial" w:hAnsi="Arial" w:cs="Arial"/>
          <w:sz w:val="22"/>
          <w:szCs w:val="22"/>
        </w:rPr>
        <w:t>.</w:t>
      </w:r>
    </w:p>
    <w:p w:rsidR="001A2303"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w:t>
      </w:r>
      <w:r w:rsidR="00E550F2">
        <w:rPr>
          <w:rFonts w:ascii="Arial" w:hAnsi="Arial" w:cs="Arial"/>
          <w:sz w:val="22"/>
          <w:szCs w:val="22"/>
        </w:rPr>
        <w:t xml:space="preserve">excellent performance on the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550F2">
        <w:rPr>
          <w:rFonts w:ascii="Arial" w:hAnsi="Arial" w:cs="Arial"/>
          <w:sz w:val="22"/>
          <w:szCs w:val="22"/>
        </w:rPr>
        <w:t xml:space="preserve"> and the 60% achievement of payments within 10 days.</w:t>
      </w:r>
    </w:p>
    <w:p w:rsidR="003C1D2F" w:rsidRPr="00B1174F" w:rsidRDefault="003C1D2F"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actual performance on travel costs which show that delivery of savings is achievable provided travel decisions and timings are carefully considered.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proofErr w:type="gramStart"/>
      <w:r w:rsidR="00803D4B" w:rsidRPr="001C4432">
        <w:rPr>
          <w:rFonts w:ascii="Arial" w:hAnsi="Arial" w:cs="Arial"/>
          <w:sz w:val="22"/>
          <w:szCs w:val="22"/>
        </w:rPr>
        <w:t>capital position</w:t>
      </w:r>
      <w:r w:rsidR="00161C29">
        <w:rPr>
          <w:rFonts w:ascii="Arial" w:hAnsi="Arial" w:cs="Arial"/>
          <w:sz w:val="22"/>
          <w:szCs w:val="22"/>
        </w:rPr>
        <w:t xml:space="preserve"> </w:t>
      </w:r>
      <w:r w:rsidR="00B43093">
        <w:rPr>
          <w:rFonts w:ascii="Arial" w:hAnsi="Arial" w:cs="Arial"/>
          <w:sz w:val="22"/>
          <w:szCs w:val="22"/>
        </w:rPr>
        <w:t xml:space="preserve">at the end of </w:t>
      </w:r>
      <w:r w:rsidR="006F24A4">
        <w:rPr>
          <w:rFonts w:ascii="Arial" w:hAnsi="Arial" w:cs="Arial"/>
          <w:sz w:val="22"/>
          <w:szCs w:val="22"/>
        </w:rPr>
        <w:t>the period</w:t>
      </w:r>
      <w:r w:rsidR="00776D15">
        <w:rPr>
          <w:rFonts w:ascii="Arial" w:hAnsi="Arial" w:cs="Arial"/>
          <w:sz w:val="22"/>
          <w:szCs w:val="22"/>
        </w:rPr>
        <w:t xml:space="preserve"> and likely underspend</w:t>
      </w:r>
      <w:proofErr w:type="gramEnd"/>
      <w:r w:rsidR="00776D15">
        <w:rPr>
          <w:rFonts w:ascii="Arial" w:hAnsi="Arial" w:cs="Arial"/>
          <w:sz w:val="22"/>
          <w:szCs w:val="22"/>
        </w:rPr>
        <w:t xml:space="preserve"> forecast outturn.</w:t>
      </w:r>
    </w:p>
    <w:p w:rsidR="00CC740F" w:rsidRDefault="00CC740F" w:rsidP="00B40EA9">
      <w:pPr>
        <w:spacing w:line="276" w:lineRule="auto"/>
        <w:rPr>
          <w:rFonts w:ascii="Arial" w:hAnsi="Arial" w:cs="Arial"/>
          <w:b/>
          <w:sz w:val="22"/>
          <w:szCs w:val="22"/>
        </w:rPr>
      </w:pPr>
    </w:p>
    <w:p w:rsidR="00B40EA9" w:rsidRPr="00B40EA9" w:rsidRDefault="00E73495" w:rsidP="00B40EA9">
      <w:pPr>
        <w:spacing w:line="276" w:lineRule="auto"/>
        <w:rPr>
          <w:rFonts w:ascii="Arial" w:hAnsi="Arial" w:cs="Arial"/>
          <w:b/>
          <w:sz w:val="22"/>
          <w:szCs w:val="22"/>
        </w:rPr>
      </w:pPr>
      <w:r>
        <w:rPr>
          <w:rFonts w:ascii="Arial" w:hAnsi="Arial" w:cs="Arial"/>
          <w:b/>
          <w:sz w:val="22"/>
          <w:szCs w:val="22"/>
        </w:rPr>
        <w:t>Sylvia Hazard</w:t>
      </w:r>
    </w:p>
    <w:p w:rsidR="00B40EA9" w:rsidRPr="00B40EA9" w:rsidRDefault="00E73495" w:rsidP="00B40EA9">
      <w:pPr>
        <w:spacing w:line="276" w:lineRule="auto"/>
        <w:rPr>
          <w:rFonts w:ascii="Arial" w:hAnsi="Arial" w:cs="Arial"/>
          <w:b/>
          <w:sz w:val="22"/>
          <w:szCs w:val="22"/>
        </w:rPr>
      </w:pPr>
      <w:r>
        <w:rPr>
          <w:rFonts w:ascii="Arial" w:hAnsi="Arial" w:cs="Arial"/>
          <w:b/>
          <w:sz w:val="22"/>
          <w:szCs w:val="22"/>
        </w:rPr>
        <w:t xml:space="preserve">Interim Head of </w:t>
      </w:r>
      <w:r w:rsidR="00B40EA9" w:rsidRPr="00B40EA9">
        <w:rPr>
          <w:rFonts w:ascii="Arial" w:hAnsi="Arial" w:cs="Arial"/>
          <w:b/>
          <w:sz w:val="22"/>
          <w:szCs w:val="22"/>
        </w:rPr>
        <w:t>Finance</w:t>
      </w:r>
      <w:r>
        <w:rPr>
          <w:rFonts w:ascii="Arial" w:hAnsi="Arial" w:cs="Arial"/>
          <w:b/>
          <w:sz w:val="22"/>
          <w:szCs w:val="22"/>
        </w:rPr>
        <w:t xml:space="preserve"> and Procurement</w:t>
      </w:r>
    </w:p>
    <w:p w:rsidR="00A86A0C" w:rsidRDefault="00776D15" w:rsidP="00480953">
      <w:pPr>
        <w:spacing w:line="276" w:lineRule="auto"/>
        <w:rPr>
          <w:rFonts w:ascii="Arial" w:hAnsi="Arial" w:cs="Arial"/>
          <w:b/>
          <w:sz w:val="22"/>
          <w:szCs w:val="22"/>
        </w:rPr>
      </w:pPr>
      <w:r>
        <w:rPr>
          <w:rFonts w:ascii="Arial" w:hAnsi="Arial" w:cs="Arial"/>
          <w:b/>
          <w:sz w:val="22"/>
          <w:szCs w:val="22"/>
        </w:rPr>
        <w:t>25 October</w:t>
      </w:r>
      <w:r w:rsidR="0030786C">
        <w:rPr>
          <w:rFonts w:ascii="Arial" w:hAnsi="Arial" w:cs="Arial"/>
          <w:b/>
          <w:sz w:val="22"/>
          <w:szCs w:val="22"/>
        </w:rPr>
        <w:t xml:space="preserve"> 2016</w:t>
      </w: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35681C" w:rsidRDefault="0035681C"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p>
    <w:p w:rsidR="00DF39E7" w:rsidRDefault="00DF39E7" w:rsidP="00480953">
      <w:pPr>
        <w:spacing w:line="276" w:lineRule="auto"/>
        <w:rPr>
          <w:rFonts w:ascii="Arial" w:hAnsi="Arial" w:cs="Arial"/>
          <w:b/>
          <w:sz w:val="22"/>
          <w:szCs w:val="22"/>
        </w:rPr>
      </w:pPr>
    </w:p>
    <w:p w:rsidR="00DF39E7" w:rsidRDefault="00DF39E7" w:rsidP="00480953">
      <w:pPr>
        <w:spacing w:line="276" w:lineRule="auto"/>
        <w:rPr>
          <w:rFonts w:ascii="Arial" w:hAnsi="Arial" w:cs="Arial"/>
          <w:b/>
          <w:sz w:val="22"/>
          <w:szCs w:val="22"/>
        </w:rPr>
      </w:pPr>
      <w:r>
        <w:rPr>
          <w:rFonts w:ascii="Arial" w:hAnsi="Arial" w:cs="Arial"/>
          <w:b/>
          <w:sz w:val="22"/>
          <w:szCs w:val="22"/>
        </w:rPr>
        <w:t>Supplementary Information</w:t>
      </w:r>
    </w:p>
    <w:p w:rsidR="00DF39E7" w:rsidRDefault="00DF39E7" w:rsidP="00480953">
      <w:pPr>
        <w:spacing w:line="276" w:lineRule="auto"/>
        <w:rPr>
          <w:rFonts w:ascii="Arial" w:hAnsi="Arial" w:cs="Arial"/>
          <w:b/>
          <w:sz w:val="22"/>
          <w:szCs w:val="22"/>
        </w:rPr>
      </w:pPr>
    </w:p>
    <w:p w:rsidR="007055AB" w:rsidRDefault="007055AB" w:rsidP="00480953">
      <w:pPr>
        <w:spacing w:line="276" w:lineRule="auto"/>
        <w:rPr>
          <w:rFonts w:ascii="Arial" w:hAnsi="Arial" w:cs="Arial"/>
          <w:b/>
          <w:sz w:val="22"/>
          <w:szCs w:val="22"/>
        </w:rPr>
      </w:pPr>
      <w:r>
        <w:rPr>
          <w:rFonts w:ascii="Arial" w:hAnsi="Arial" w:cs="Arial"/>
          <w:b/>
          <w:sz w:val="22"/>
          <w:szCs w:val="22"/>
        </w:rPr>
        <w:t>The following tables and comments are included to provide additional information:</w:t>
      </w:r>
    </w:p>
    <w:p w:rsidR="007055AB" w:rsidRDefault="007055AB" w:rsidP="00480953">
      <w:pPr>
        <w:spacing w:line="276" w:lineRule="auto"/>
        <w:rPr>
          <w:rFonts w:ascii="Arial" w:hAnsi="Arial" w:cs="Arial"/>
          <w:b/>
          <w:sz w:val="22"/>
          <w:szCs w:val="22"/>
        </w:rPr>
      </w:pPr>
    </w:p>
    <w:p w:rsidR="007055AB" w:rsidRPr="007055AB" w:rsidRDefault="007055AB" w:rsidP="007055AB">
      <w:pPr>
        <w:jc w:val="both"/>
        <w:rPr>
          <w:rFonts w:ascii="Arial" w:hAnsi="Arial" w:cs="Arial"/>
          <w:b/>
          <w:sz w:val="22"/>
          <w:szCs w:val="22"/>
        </w:rPr>
      </w:pPr>
      <w:r w:rsidRPr="007055AB">
        <w:rPr>
          <w:rFonts w:ascii="Arial" w:hAnsi="Arial" w:cs="Arial"/>
          <w:b/>
          <w:sz w:val="22"/>
          <w:szCs w:val="22"/>
        </w:rPr>
        <w:t>Cash releasing Savings</w:t>
      </w:r>
    </w:p>
    <w:p w:rsidR="007055AB" w:rsidRPr="007055AB" w:rsidRDefault="007055AB" w:rsidP="007055AB">
      <w:pPr>
        <w:jc w:val="both"/>
        <w:rPr>
          <w:rFonts w:ascii="Arial" w:hAnsi="Arial" w:cs="Arial"/>
          <w:sz w:val="22"/>
          <w:szCs w:val="22"/>
        </w:rPr>
      </w:pPr>
    </w:p>
    <w:p w:rsidR="007055AB" w:rsidRPr="007055AB" w:rsidRDefault="007055AB" w:rsidP="007055AB">
      <w:pPr>
        <w:jc w:val="both"/>
        <w:rPr>
          <w:rFonts w:ascii="Arial" w:hAnsi="Arial" w:cs="Arial"/>
          <w:sz w:val="22"/>
          <w:szCs w:val="22"/>
        </w:rPr>
      </w:pPr>
      <w:r w:rsidRPr="007055AB">
        <w:rPr>
          <w:rFonts w:ascii="Arial" w:hAnsi="Arial" w:cs="Arial"/>
          <w:sz w:val="22"/>
          <w:szCs w:val="22"/>
        </w:rPr>
        <w:t>The following areas will form the basis of ensuring that the HRA continues to remain within its financial envelope over the term of the spending review:</w:t>
      </w:r>
    </w:p>
    <w:p w:rsidR="007055AB" w:rsidRPr="007055AB" w:rsidRDefault="007055AB" w:rsidP="007055AB">
      <w:pPr>
        <w:jc w:val="both"/>
        <w:rPr>
          <w:rFonts w:ascii="Arial" w:hAnsi="Arial" w:cs="Arial"/>
          <w:sz w:val="22"/>
          <w:szCs w:val="22"/>
        </w:rPr>
      </w:pP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Vacancy factor.</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 xml:space="preserve">Continued savings in estates costs through improved use of footprint.    </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in per head staff travel costs to justify the investment made in digital telephony.  Given the expenditure on travel in 2015/16, this area poses a risk and a challenge and will require concerted management action.</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in introduction of Managed Print Service and roll out of this service as leases expire on current photocopier agreements.</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through the use of the Member Portal.</w:t>
      </w:r>
    </w:p>
    <w:p w:rsidR="007055AB" w:rsidRPr="007055AB" w:rsidRDefault="007055AB" w:rsidP="007055AB">
      <w:pPr>
        <w:numPr>
          <w:ilvl w:val="0"/>
          <w:numId w:val="27"/>
        </w:numPr>
        <w:contextualSpacing/>
        <w:jc w:val="both"/>
        <w:rPr>
          <w:rFonts w:ascii="Arial" w:hAnsi="Arial" w:cs="Arial"/>
          <w:sz w:val="22"/>
          <w:szCs w:val="22"/>
        </w:rPr>
      </w:pPr>
      <w:r w:rsidRPr="007055AB">
        <w:rPr>
          <w:rFonts w:ascii="Arial" w:hAnsi="Arial" w:cs="Arial"/>
          <w:sz w:val="22"/>
          <w:szCs w:val="22"/>
        </w:rPr>
        <w:t>Savings on HRA’s largest information systems contract.</w:t>
      </w:r>
    </w:p>
    <w:p w:rsidR="007055AB" w:rsidRDefault="007055AB" w:rsidP="00480953">
      <w:pPr>
        <w:spacing w:line="276" w:lineRule="auto"/>
        <w:rPr>
          <w:rFonts w:ascii="Arial" w:hAnsi="Arial" w:cs="Arial"/>
          <w:b/>
          <w:sz w:val="22"/>
          <w:szCs w:val="22"/>
        </w:rPr>
      </w:pPr>
    </w:p>
    <w:p w:rsidR="007055AB" w:rsidRPr="00480953" w:rsidRDefault="007055AB" w:rsidP="00480953">
      <w:pPr>
        <w:spacing w:line="276" w:lineRule="auto"/>
        <w:rPr>
          <w:rFonts w:ascii="Arial" w:hAnsi="Arial" w:cs="Arial"/>
          <w:b/>
          <w:sz w:val="22"/>
          <w:szCs w:val="22"/>
        </w:rPr>
        <w:sectPr w:rsidR="007055AB" w:rsidRPr="00480953" w:rsidSect="00467649">
          <w:headerReference w:type="default" r:id="rId11"/>
          <w:pgSz w:w="11906" w:h="16838"/>
          <w:pgMar w:top="992" w:right="1276" w:bottom="568" w:left="1559" w:header="567" w:footer="709" w:gutter="0"/>
          <w:cols w:space="708"/>
          <w:docGrid w:linePitch="360"/>
        </w:sect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w:t>
      </w:r>
      <w:r w:rsidR="007055AB">
        <w:rPr>
          <w:rFonts w:ascii="Arial" w:eastAsia="Calibri" w:hAnsi="Arial"/>
          <w:b/>
          <w:bCs/>
          <w:color w:val="56008C"/>
          <w:szCs w:val="26"/>
          <w:lang w:eastAsia="en-US"/>
        </w:rPr>
        <w:t xml:space="preserve">Breakdown </w:t>
      </w:r>
      <w:r w:rsidR="004F1024">
        <w:rPr>
          <w:rFonts w:ascii="Arial" w:eastAsia="Calibri" w:hAnsi="Arial"/>
          <w:b/>
          <w:bCs/>
          <w:color w:val="56008C"/>
          <w:szCs w:val="26"/>
          <w:lang w:eastAsia="en-US"/>
        </w:rPr>
        <w:t>Year to</w:t>
      </w:r>
      <w:r w:rsidR="00776D15">
        <w:rPr>
          <w:rFonts w:ascii="Arial" w:eastAsia="Calibri" w:hAnsi="Arial"/>
          <w:b/>
          <w:bCs/>
          <w:color w:val="56008C"/>
          <w:szCs w:val="26"/>
          <w:lang w:eastAsia="en-US"/>
        </w:rPr>
        <w:t xml:space="preserve"> end September</w:t>
      </w:r>
      <w:r w:rsidR="00563BB5">
        <w:rPr>
          <w:rFonts w:ascii="Arial" w:eastAsia="Calibri" w:hAnsi="Arial"/>
          <w:b/>
          <w:bCs/>
          <w:color w:val="56008C"/>
          <w:szCs w:val="26"/>
          <w:lang w:eastAsia="en-US"/>
        </w:rPr>
        <w:t xml:space="preserve"> 2016</w:t>
      </w:r>
      <w:r>
        <w:rPr>
          <w:rFonts w:ascii="Arial" w:eastAsia="Calibri" w:hAnsi="Arial"/>
          <w:b/>
          <w:bCs/>
          <w:color w:val="56008C"/>
          <w:szCs w:val="26"/>
          <w:lang w:eastAsia="en-US"/>
        </w:rPr>
        <w:t xml:space="preserve">   </w:t>
      </w:r>
      <w:r w:rsidR="0031502B">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7055AB">
        <w:rPr>
          <w:rFonts w:ascii="Arial" w:eastAsia="Calibri" w:hAnsi="Arial"/>
          <w:b/>
          <w:bCs/>
          <w:color w:val="56008C"/>
          <w:szCs w:val="26"/>
          <w:lang w:eastAsia="en-US"/>
        </w:rPr>
        <w:t xml:space="preserve">                 </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5810CF"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p w:rsidR="005810CF" w:rsidRDefault="00776D15" w:rsidP="00BC0710">
            <w:pPr>
              <w:tabs>
                <w:tab w:val="left" w:pos="2172"/>
              </w:tabs>
              <w:spacing w:after="200" w:line="276" w:lineRule="auto"/>
              <w:rPr>
                <w:rFonts w:ascii="Arial" w:hAnsi="Arial" w:cs="Arial"/>
                <w:sz w:val="22"/>
                <w:szCs w:val="22"/>
              </w:rPr>
            </w:pPr>
            <w:r>
              <w:rPr>
                <w:rFonts w:ascii="Arial" w:hAnsi="Arial" w:cs="Arial"/>
                <w:noProof/>
                <w:sz w:val="22"/>
                <w:szCs w:val="22"/>
              </w:rPr>
              <w:drawing>
                <wp:inline distT="0" distB="0" distL="0" distR="0">
                  <wp:extent cx="7795260" cy="31165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5260" cy="3116580"/>
                          </a:xfrm>
                          <a:prstGeom prst="rect">
                            <a:avLst/>
                          </a:prstGeom>
                          <a:noFill/>
                          <a:ln>
                            <a:noFill/>
                          </a:ln>
                        </pic:spPr>
                      </pic:pic>
                    </a:graphicData>
                  </a:graphic>
                </wp:inline>
              </w:drawing>
            </w:r>
          </w:p>
          <w:p w:rsidR="005810CF" w:rsidRPr="00BC0710" w:rsidRDefault="005810CF" w:rsidP="00BC0710">
            <w:pPr>
              <w:tabs>
                <w:tab w:val="left" w:pos="2172"/>
              </w:tabs>
              <w:spacing w:after="200" w:line="276" w:lineRule="auto"/>
              <w:rPr>
                <w:rFonts w:ascii="Arial" w:hAnsi="Arial" w:cs="Arial"/>
                <w:sz w:val="22"/>
                <w:szCs w:val="22"/>
              </w:rPr>
            </w:pPr>
          </w:p>
          <w:p w:rsidR="00391CF2" w:rsidRDefault="00DD4FE0" w:rsidP="00776D15">
            <w:pPr>
              <w:tabs>
                <w:tab w:val="left" w:pos="2172"/>
              </w:tabs>
              <w:spacing w:after="200" w:line="276" w:lineRule="auto"/>
              <w:rPr>
                <w:rFonts w:ascii="Arial" w:hAnsi="Arial" w:cs="Arial"/>
                <w:sz w:val="16"/>
                <w:szCs w:val="16"/>
              </w:rPr>
            </w:pPr>
            <w:r>
              <w:rPr>
                <w:rFonts w:ascii="Arial" w:hAnsi="Arial" w:cs="Arial"/>
                <w:sz w:val="22"/>
                <w:szCs w:val="22"/>
              </w:rPr>
              <w:t>Note:</w:t>
            </w:r>
            <w:r w:rsidR="00DD6AFF">
              <w:rPr>
                <w:rFonts w:ascii="Arial" w:hAnsi="Arial" w:cs="Arial"/>
                <w:sz w:val="16"/>
                <w:szCs w:val="16"/>
              </w:rPr>
              <w:t xml:space="preserve">  </w:t>
            </w:r>
            <w:r w:rsidR="00127C34">
              <w:rPr>
                <w:rFonts w:ascii="Arial" w:hAnsi="Arial" w:cs="Arial"/>
                <w:sz w:val="16"/>
                <w:szCs w:val="16"/>
              </w:rPr>
              <w:t xml:space="preserve"> The </w:t>
            </w:r>
            <w:proofErr w:type="gramStart"/>
            <w:r w:rsidR="00DD6AFF">
              <w:rPr>
                <w:rFonts w:ascii="Arial" w:hAnsi="Arial" w:cs="Arial"/>
                <w:sz w:val="16"/>
                <w:szCs w:val="16"/>
              </w:rPr>
              <w:t>overs</w:t>
            </w:r>
            <w:r w:rsidR="00127C34">
              <w:rPr>
                <w:rFonts w:ascii="Arial" w:hAnsi="Arial" w:cs="Arial"/>
                <w:sz w:val="16"/>
                <w:szCs w:val="16"/>
              </w:rPr>
              <w:t xml:space="preserve">pend  </w:t>
            </w:r>
            <w:r w:rsidR="00DD6AFF">
              <w:rPr>
                <w:rFonts w:ascii="Arial" w:hAnsi="Arial" w:cs="Arial"/>
                <w:sz w:val="16"/>
                <w:szCs w:val="16"/>
              </w:rPr>
              <w:t>on</w:t>
            </w:r>
            <w:proofErr w:type="gramEnd"/>
            <w:r w:rsidR="00DD6AFF">
              <w:rPr>
                <w:rFonts w:ascii="Arial" w:hAnsi="Arial" w:cs="Arial"/>
                <w:sz w:val="16"/>
                <w:szCs w:val="16"/>
              </w:rPr>
              <w:t xml:space="preserve"> other external contracts largely relates to the over run on the archiving project</w:t>
            </w:r>
            <w:r w:rsidR="0031502B">
              <w:rPr>
                <w:rFonts w:ascii="Arial" w:hAnsi="Arial" w:cs="Arial"/>
                <w:sz w:val="16"/>
                <w:szCs w:val="16"/>
              </w:rPr>
              <w:t>.</w:t>
            </w:r>
            <w:r w:rsidR="009B5B5B">
              <w:rPr>
                <w:rFonts w:ascii="Arial" w:hAnsi="Arial" w:cs="Arial"/>
                <w:sz w:val="16"/>
                <w:szCs w:val="16"/>
              </w:rPr>
              <w:t>. T</w:t>
            </w:r>
            <w:r w:rsidR="005810CF">
              <w:rPr>
                <w:rFonts w:ascii="Arial" w:hAnsi="Arial" w:cs="Arial"/>
                <w:sz w:val="16"/>
                <w:szCs w:val="16"/>
              </w:rPr>
              <w:t>he overspend within th</w:t>
            </w:r>
            <w:r w:rsidR="009B5B5B">
              <w:rPr>
                <w:rFonts w:ascii="Arial" w:hAnsi="Arial" w:cs="Arial"/>
                <w:sz w:val="16"/>
                <w:szCs w:val="16"/>
              </w:rPr>
              <w:t xml:space="preserve">e statutory costs </w:t>
            </w:r>
            <w:proofErr w:type="gramStart"/>
            <w:r w:rsidR="009B5B5B">
              <w:rPr>
                <w:rFonts w:ascii="Arial" w:hAnsi="Arial" w:cs="Arial"/>
                <w:sz w:val="16"/>
                <w:szCs w:val="16"/>
              </w:rPr>
              <w:t xml:space="preserve">relates </w:t>
            </w:r>
            <w:r w:rsidR="005810CF">
              <w:rPr>
                <w:rFonts w:ascii="Arial" w:hAnsi="Arial" w:cs="Arial"/>
                <w:sz w:val="16"/>
                <w:szCs w:val="16"/>
              </w:rPr>
              <w:t xml:space="preserve"> to</w:t>
            </w:r>
            <w:proofErr w:type="gramEnd"/>
            <w:r w:rsidR="005810CF">
              <w:rPr>
                <w:rFonts w:ascii="Arial" w:hAnsi="Arial" w:cs="Arial"/>
                <w:sz w:val="16"/>
                <w:szCs w:val="16"/>
              </w:rPr>
              <w:t xml:space="preserve"> the Asset disposal.</w:t>
            </w:r>
            <w:r w:rsidR="009B5B5B">
              <w:rPr>
                <w:rFonts w:ascii="Arial" w:hAnsi="Arial" w:cs="Arial"/>
                <w:sz w:val="16"/>
                <w:szCs w:val="16"/>
              </w:rPr>
              <w:t xml:space="preserve"> </w:t>
            </w:r>
          </w:p>
          <w:p w:rsidR="00776D15" w:rsidRPr="00BC0710" w:rsidRDefault="00776D15" w:rsidP="00776D15">
            <w:pPr>
              <w:tabs>
                <w:tab w:val="left" w:pos="2172"/>
              </w:tabs>
              <w:spacing w:after="200" w:line="276" w:lineRule="auto"/>
              <w:rPr>
                <w:rFonts w:ascii="Arial" w:hAnsi="Arial" w:cs="Arial"/>
                <w:sz w:val="22"/>
                <w:szCs w:val="22"/>
              </w:rPr>
            </w:pPr>
          </w:p>
        </w:tc>
      </w:tr>
    </w:tbl>
    <w:p w:rsidR="009E4963" w:rsidRDefault="009E4963"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tbl>
      <w:tblPr>
        <w:tblW w:w="15003" w:type="dxa"/>
        <w:tblInd w:w="108" w:type="dxa"/>
        <w:tblLook w:val="04A0" w:firstRow="1" w:lastRow="0" w:firstColumn="1" w:lastColumn="0" w:noHBand="0" w:noVBand="1"/>
      </w:tblPr>
      <w:tblGrid>
        <w:gridCol w:w="15003"/>
      </w:tblGrid>
      <w:tr w:rsidR="00FC6782" w:rsidRPr="00FC6782" w:rsidTr="00FC6782">
        <w:trPr>
          <w:trHeight w:val="293"/>
        </w:trPr>
        <w:tc>
          <w:tcPr>
            <w:tcW w:w="15003" w:type="dxa"/>
            <w:tcBorders>
              <w:top w:val="nil"/>
              <w:left w:val="nil"/>
              <w:bottom w:val="nil"/>
              <w:right w:val="nil"/>
            </w:tcBorders>
            <w:shd w:val="clear" w:color="auto" w:fill="auto"/>
            <w:noWrap/>
            <w:vAlign w:val="bottom"/>
            <w:hideMark/>
          </w:tcPr>
          <w:p w:rsidR="004405C3" w:rsidRDefault="004405C3" w:rsidP="004405C3">
            <w:pPr>
              <w:keepNext/>
              <w:keepLines/>
              <w:pBdr>
                <w:top w:val="single" w:sz="8" w:space="3" w:color="FFFFFF"/>
                <w:left w:val="single" w:sz="8" w:space="6" w:color="FFFFFF"/>
                <w:bottom w:val="single" w:sz="8" w:space="3" w:color="FFFFFF"/>
                <w:right w:val="single" w:sz="8" w:space="4" w:color="FFFFFF"/>
              </w:pBdr>
              <w:shd w:val="clear" w:color="auto" w:fill="D9D9D9"/>
              <w:spacing w:before="240" w:after="120" w:line="276" w:lineRule="auto"/>
              <w:outlineLvl w:val="1"/>
              <w:rPr>
                <w:rFonts w:cs="Arial"/>
                <w:sz w:val="18"/>
                <w:szCs w:val="18"/>
              </w:rPr>
            </w:pPr>
            <w:proofErr w:type="spellStart"/>
            <w:r>
              <w:rPr>
                <w:rFonts w:ascii="Arial" w:eastAsia="Calibri" w:hAnsi="Arial"/>
                <w:b/>
                <w:bCs/>
                <w:color w:val="56008C"/>
                <w:szCs w:val="26"/>
                <w:lang w:eastAsia="en-US"/>
              </w:rPr>
              <w:t>Cashflow</w:t>
            </w:r>
            <w:proofErr w:type="spellEnd"/>
            <w:r>
              <w:rPr>
                <w:rFonts w:ascii="Arial" w:eastAsia="Calibri" w:hAnsi="Arial"/>
                <w:b/>
                <w:bCs/>
                <w:color w:val="56008C"/>
                <w:szCs w:val="26"/>
                <w:lang w:eastAsia="en-US"/>
              </w:rPr>
              <w:t xml:space="preserve"> forecast for period ending </w:t>
            </w:r>
            <w:r w:rsidR="0035681C">
              <w:rPr>
                <w:rFonts w:ascii="Arial" w:eastAsia="Calibri" w:hAnsi="Arial"/>
                <w:b/>
                <w:bCs/>
                <w:color w:val="56008C"/>
                <w:szCs w:val="26"/>
                <w:lang w:eastAsia="en-US"/>
              </w:rPr>
              <w:t>March 2017</w:t>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t xml:space="preserve">  </w:t>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p>
          <w:p w:rsidR="00FC6782" w:rsidRPr="00FC6782" w:rsidRDefault="00FC6782" w:rsidP="0060431A">
            <w:pPr>
              <w:spacing w:after="200" w:line="276" w:lineRule="auto"/>
              <w:rPr>
                <w:rFonts w:ascii="Calibri" w:hAnsi="Calibri" w:cs="Calibri"/>
                <w:color w:val="000000"/>
                <w:sz w:val="22"/>
                <w:szCs w:val="22"/>
              </w:rPr>
            </w:pPr>
          </w:p>
        </w:tc>
      </w:tr>
    </w:tbl>
    <w:p w:rsidR="00FC6782" w:rsidRDefault="008C049E" w:rsidP="007F458D">
      <w:pPr>
        <w:rPr>
          <w:rFonts w:cs="Arial"/>
          <w:sz w:val="18"/>
          <w:szCs w:val="18"/>
        </w:rPr>
      </w:pPr>
      <w:r w:rsidRPr="008C049E">
        <w:rPr>
          <w:noProof/>
        </w:rPr>
        <w:drawing>
          <wp:inline distT="0" distB="0" distL="0" distR="0" wp14:anchorId="09CC0D2A" wp14:editId="7421BEC6">
            <wp:extent cx="9786620" cy="378100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6620" cy="3781009"/>
                    </a:xfrm>
                    <a:prstGeom prst="rect">
                      <a:avLst/>
                    </a:prstGeom>
                    <a:noFill/>
                    <a:ln>
                      <a:noFill/>
                    </a:ln>
                  </pic:spPr>
                </pic:pic>
              </a:graphicData>
            </a:graphic>
          </wp:inline>
        </w:drawing>
      </w:r>
    </w:p>
    <w:p w:rsidR="004405C3" w:rsidRDefault="004405C3" w:rsidP="007F458D">
      <w:pPr>
        <w:rPr>
          <w:rFonts w:cs="Arial"/>
          <w:sz w:val="18"/>
          <w:szCs w:val="18"/>
        </w:rPr>
      </w:pPr>
    </w:p>
    <w:tbl>
      <w:tblPr>
        <w:tblW w:w="15003" w:type="dxa"/>
        <w:tblInd w:w="108" w:type="dxa"/>
        <w:tblLook w:val="04A0" w:firstRow="1" w:lastRow="0" w:firstColumn="1" w:lastColumn="0" w:noHBand="0" w:noVBand="1"/>
      </w:tblPr>
      <w:tblGrid>
        <w:gridCol w:w="15003"/>
      </w:tblGrid>
      <w:tr w:rsidR="004405C3" w:rsidRPr="00FC6782" w:rsidTr="007A1E4C">
        <w:trPr>
          <w:trHeight w:val="293"/>
        </w:trPr>
        <w:tc>
          <w:tcPr>
            <w:tcW w:w="15003" w:type="dxa"/>
            <w:tcBorders>
              <w:top w:val="nil"/>
              <w:left w:val="nil"/>
              <w:bottom w:val="nil"/>
              <w:right w:val="nil"/>
            </w:tcBorders>
            <w:shd w:val="clear" w:color="auto" w:fill="auto"/>
            <w:noWrap/>
            <w:vAlign w:val="bottom"/>
            <w:hideMark/>
          </w:tcPr>
          <w:p w:rsidR="004405C3" w:rsidRPr="00FC6782" w:rsidRDefault="004405C3" w:rsidP="007A1E4C">
            <w:pPr>
              <w:rPr>
                <w:rFonts w:ascii="Calibri" w:hAnsi="Calibri" w:cs="Calibri"/>
                <w:color w:val="000000"/>
                <w:sz w:val="22"/>
                <w:szCs w:val="22"/>
              </w:rPr>
            </w:pPr>
            <w:r>
              <w:rPr>
                <w:rFonts w:ascii="Calibri" w:hAnsi="Calibri" w:cs="Calibri"/>
                <w:color w:val="000000"/>
                <w:sz w:val="22"/>
                <w:szCs w:val="22"/>
              </w:rPr>
              <w:t>(1)  April to September</w:t>
            </w:r>
            <w:r w:rsidRPr="00FC6782">
              <w:rPr>
                <w:rFonts w:ascii="Calibri" w:hAnsi="Calibri" w:cs="Calibri"/>
                <w:color w:val="000000"/>
                <w:sz w:val="22"/>
                <w:szCs w:val="22"/>
              </w:rPr>
              <w:t xml:space="preserve"> are cash actuals</w:t>
            </w:r>
            <w:r>
              <w:rPr>
                <w:rFonts w:ascii="Calibri" w:hAnsi="Calibri" w:cs="Calibri"/>
                <w:color w:val="000000"/>
                <w:sz w:val="22"/>
                <w:szCs w:val="22"/>
              </w:rPr>
              <w:t xml:space="preserve"> – October to March 17 are forecast</w:t>
            </w:r>
          </w:p>
        </w:tc>
      </w:tr>
      <w:tr w:rsidR="004405C3" w:rsidRPr="00FC6782" w:rsidTr="007A1E4C">
        <w:trPr>
          <w:trHeight w:val="293"/>
        </w:trPr>
        <w:tc>
          <w:tcPr>
            <w:tcW w:w="15003" w:type="dxa"/>
            <w:tcBorders>
              <w:top w:val="nil"/>
              <w:left w:val="nil"/>
              <w:bottom w:val="nil"/>
              <w:right w:val="nil"/>
            </w:tcBorders>
            <w:shd w:val="clear" w:color="auto" w:fill="auto"/>
            <w:noWrap/>
            <w:vAlign w:val="bottom"/>
            <w:hideMark/>
          </w:tcPr>
          <w:p w:rsidR="004405C3" w:rsidRPr="00FC6782" w:rsidRDefault="004405C3" w:rsidP="007A1E4C">
            <w:pPr>
              <w:rPr>
                <w:rFonts w:ascii="Calibri" w:hAnsi="Calibri" w:cs="Calibri"/>
                <w:color w:val="000000"/>
                <w:sz w:val="22"/>
                <w:szCs w:val="22"/>
              </w:rPr>
            </w:pPr>
            <w:r>
              <w:rPr>
                <w:rFonts w:ascii="Calibri" w:hAnsi="Calibri" w:cs="Calibri"/>
                <w:color w:val="000000"/>
                <w:sz w:val="22"/>
                <w:szCs w:val="22"/>
              </w:rPr>
              <w:t>(2)  Assumes breakeven at year end</w:t>
            </w:r>
          </w:p>
        </w:tc>
      </w:tr>
      <w:tr w:rsidR="004405C3" w:rsidRPr="00FC6782" w:rsidTr="007A1E4C">
        <w:trPr>
          <w:trHeight w:val="293"/>
        </w:trPr>
        <w:tc>
          <w:tcPr>
            <w:tcW w:w="15003" w:type="dxa"/>
            <w:tcBorders>
              <w:top w:val="nil"/>
              <w:left w:val="nil"/>
              <w:bottom w:val="nil"/>
              <w:right w:val="nil"/>
            </w:tcBorders>
            <w:shd w:val="clear" w:color="auto" w:fill="auto"/>
            <w:noWrap/>
            <w:vAlign w:val="bottom"/>
            <w:hideMark/>
          </w:tcPr>
          <w:p w:rsidR="004405C3" w:rsidRPr="00FC6782" w:rsidRDefault="004405C3" w:rsidP="007A1E4C">
            <w:pPr>
              <w:rPr>
                <w:rFonts w:ascii="Calibri" w:hAnsi="Calibri" w:cs="Calibri"/>
                <w:color w:val="000000"/>
                <w:sz w:val="22"/>
                <w:szCs w:val="22"/>
              </w:rPr>
            </w:pPr>
            <w:r w:rsidRPr="00FC6782">
              <w:rPr>
                <w:rFonts w:ascii="Calibri" w:hAnsi="Calibri" w:cs="Calibri"/>
                <w:color w:val="000000"/>
                <w:sz w:val="22"/>
                <w:szCs w:val="22"/>
              </w:rPr>
              <w:t xml:space="preserve">(3)  Assume that </w:t>
            </w:r>
            <w:r>
              <w:rPr>
                <w:rFonts w:ascii="Calibri" w:hAnsi="Calibri" w:cs="Calibri"/>
                <w:color w:val="000000"/>
                <w:sz w:val="22"/>
                <w:szCs w:val="22"/>
              </w:rPr>
              <w:t>Tax/NI and Pensions for March 17 are paid in March 17</w:t>
            </w:r>
          </w:p>
        </w:tc>
      </w:tr>
      <w:tr w:rsidR="004405C3" w:rsidRPr="00FC6782" w:rsidTr="007A1E4C">
        <w:trPr>
          <w:trHeight w:val="293"/>
        </w:trPr>
        <w:tc>
          <w:tcPr>
            <w:tcW w:w="15003" w:type="dxa"/>
            <w:tcBorders>
              <w:top w:val="nil"/>
              <w:left w:val="nil"/>
              <w:bottom w:val="nil"/>
              <w:right w:val="nil"/>
            </w:tcBorders>
            <w:shd w:val="clear" w:color="auto" w:fill="auto"/>
            <w:noWrap/>
            <w:vAlign w:val="bottom"/>
            <w:hideMark/>
          </w:tcPr>
          <w:p w:rsidR="004405C3" w:rsidRPr="00FC6782" w:rsidRDefault="004405C3" w:rsidP="007A1E4C">
            <w:pPr>
              <w:rPr>
                <w:rFonts w:ascii="Calibri" w:hAnsi="Calibri" w:cs="Calibri"/>
                <w:color w:val="000000"/>
                <w:sz w:val="22"/>
                <w:szCs w:val="22"/>
              </w:rPr>
            </w:pPr>
            <w:r w:rsidRPr="00FC6782">
              <w:rPr>
                <w:rFonts w:ascii="Calibri" w:hAnsi="Calibri" w:cs="Calibri"/>
                <w:color w:val="000000"/>
                <w:sz w:val="22"/>
                <w:szCs w:val="22"/>
              </w:rPr>
              <w:t xml:space="preserve">(4)  Assume that level of creditors at year end will be </w:t>
            </w:r>
            <w:r>
              <w:rPr>
                <w:rFonts w:ascii="Calibri" w:hAnsi="Calibri" w:cs="Calibri"/>
                <w:color w:val="000000"/>
                <w:sz w:val="22"/>
                <w:szCs w:val="22"/>
              </w:rPr>
              <w:t>slightly lower than in prior years</w:t>
            </w:r>
          </w:p>
        </w:tc>
      </w:tr>
      <w:tr w:rsidR="004405C3" w:rsidRPr="00FC6782" w:rsidTr="007A1E4C">
        <w:trPr>
          <w:trHeight w:val="293"/>
        </w:trPr>
        <w:tc>
          <w:tcPr>
            <w:tcW w:w="15003" w:type="dxa"/>
            <w:tcBorders>
              <w:top w:val="nil"/>
              <w:left w:val="nil"/>
              <w:bottom w:val="nil"/>
              <w:right w:val="nil"/>
            </w:tcBorders>
            <w:shd w:val="clear" w:color="auto" w:fill="auto"/>
            <w:noWrap/>
            <w:vAlign w:val="bottom"/>
            <w:hideMark/>
          </w:tcPr>
          <w:p w:rsidR="004405C3" w:rsidRPr="00FC6782" w:rsidRDefault="004405C3" w:rsidP="007A1E4C">
            <w:pPr>
              <w:rPr>
                <w:rFonts w:ascii="Calibri" w:hAnsi="Calibri" w:cs="Calibri"/>
                <w:color w:val="000000"/>
                <w:sz w:val="22"/>
                <w:szCs w:val="22"/>
              </w:rPr>
            </w:pPr>
            <w:r w:rsidRPr="00FC6782">
              <w:rPr>
                <w:rFonts w:ascii="Calibri" w:hAnsi="Calibri" w:cs="Calibri"/>
                <w:color w:val="000000"/>
                <w:sz w:val="22"/>
                <w:szCs w:val="22"/>
              </w:rPr>
              <w:t xml:space="preserve">(5)  Debtors figures relate to VAT refund, offsetting against revenue payments made.  Forecast revenue payments have been increased by the VAT reclaimed to agree back to </w:t>
            </w:r>
            <w:r>
              <w:rPr>
                <w:rFonts w:ascii="Calibri" w:hAnsi="Calibri" w:cs="Calibri"/>
                <w:color w:val="000000"/>
                <w:sz w:val="22"/>
                <w:szCs w:val="22"/>
              </w:rPr>
              <w:t>baseline revenue budgets, as cash payments will be higher than budgets.</w:t>
            </w:r>
          </w:p>
        </w:tc>
      </w:tr>
    </w:tbl>
    <w:p w:rsidR="004405C3" w:rsidRDefault="004405C3" w:rsidP="007F458D">
      <w:pPr>
        <w:rPr>
          <w:rFonts w:cs="Arial"/>
          <w:sz w:val="18"/>
          <w:szCs w:val="18"/>
        </w:rPr>
      </w:pPr>
    </w:p>
    <w:p w:rsidR="004405C3" w:rsidRDefault="004405C3" w:rsidP="004405C3">
      <w:pPr>
        <w:keepNext/>
        <w:keepLines/>
        <w:pBdr>
          <w:top w:val="single" w:sz="8" w:space="3" w:color="FFFFFF"/>
          <w:left w:val="single" w:sz="8" w:space="6" w:color="FFFFFF"/>
          <w:bottom w:val="single" w:sz="8" w:space="3" w:color="FFFFFF"/>
          <w:right w:val="single" w:sz="8" w:space="4" w:color="FFFFFF"/>
        </w:pBdr>
        <w:shd w:val="clear" w:color="auto" w:fill="D9D9D9"/>
        <w:spacing w:before="240" w:after="120" w:line="276" w:lineRule="auto"/>
        <w:outlineLvl w:val="1"/>
        <w:rPr>
          <w:rFonts w:cs="Arial"/>
          <w:sz w:val="18"/>
          <w:szCs w:val="18"/>
        </w:rPr>
      </w:pPr>
      <w:r>
        <w:rPr>
          <w:rFonts w:ascii="Arial" w:eastAsia="Calibri" w:hAnsi="Arial"/>
          <w:b/>
          <w:bCs/>
          <w:color w:val="56008C"/>
          <w:szCs w:val="26"/>
          <w:lang w:eastAsia="en-US"/>
        </w:rPr>
        <w:lastRenderedPageBreak/>
        <w:t>Statement of Financial Position as at 30</w:t>
      </w:r>
      <w:r w:rsidRPr="00CB08D8">
        <w:rPr>
          <w:rFonts w:ascii="Arial" w:eastAsia="Calibri" w:hAnsi="Arial"/>
          <w:b/>
          <w:bCs/>
          <w:color w:val="56008C"/>
          <w:szCs w:val="26"/>
          <w:vertAlign w:val="superscript"/>
          <w:lang w:eastAsia="en-US"/>
        </w:rPr>
        <w:t>th</w:t>
      </w:r>
      <w:r>
        <w:rPr>
          <w:rFonts w:ascii="Arial" w:eastAsia="Calibri" w:hAnsi="Arial"/>
          <w:b/>
          <w:bCs/>
          <w:color w:val="56008C"/>
          <w:szCs w:val="26"/>
          <w:lang w:eastAsia="en-US"/>
        </w:rPr>
        <w:t xml:space="preserve"> Sept</w:t>
      </w:r>
      <w:r w:rsidR="0035681C">
        <w:rPr>
          <w:rFonts w:ascii="Arial" w:eastAsia="Calibri" w:hAnsi="Arial"/>
          <w:b/>
          <w:bCs/>
          <w:color w:val="56008C"/>
          <w:szCs w:val="26"/>
          <w:lang w:eastAsia="en-US"/>
        </w:rPr>
        <w:t>ember 2016</w:t>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t xml:space="preserve">  </w:t>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r w:rsidR="0035681C">
        <w:rPr>
          <w:rFonts w:ascii="Arial" w:eastAsia="Calibri" w:hAnsi="Arial"/>
          <w:b/>
          <w:bCs/>
          <w:color w:val="56008C"/>
          <w:szCs w:val="26"/>
          <w:lang w:eastAsia="en-US"/>
        </w:rPr>
        <w:tab/>
      </w:r>
    </w:p>
    <w:p w:rsidR="004405C3" w:rsidRDefault="004405C3" w:rsidP="007F458D">
      <w:pPr>
        <w:rPr>
          <w:rFonts w:cs="Arial"/>
          <w:sz w:val="18"/>
          <w:szCs w:val="18"/>
        </w:rPr>
      </w:pPr>
    </w:p>
    <w:tbl>
      <w:tblPr>
        <w:tblW w:w="8120" w:type="dxa"/>
        <w:tblInd w:w="93" w:type="dxa"/>
        <w:tblLook w:val="04A0" w:firstRow="1" w:lastRow="0" w:firstColumn="1" w:lastColumn="0" w:noHBand="0" w:noVBand="1"/>
      </w:tblPr>
      <w:tblGrid>
        <w:gridCol w:w="4020"/>
        <w:gridCol w:w="1220"/>
        <w:gridCol w:w="960"/>
        <w:gridCol w:w="960"/>
        <w:gridCol w:w="960"/>
      </w:tblGrid>
      <w:tr w:rsidR="0035681C" w:rsidRPr="004405C3" w:rsidTr="0035681C">
        <w:trPr>
          <w:trHeight w:val="300"/>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single" w:sz="8" w:space="0" w:color="auto"/>
              <w:left w:val="single" w:sz="8" w:space="0" w:color="auto"/>
              <w:bottom w:val="nil"/>
              <w:right w:val="single" w:sz="8" w:space="0" w:color="auto"/>
            </w:tcBorders>
            <w:shd w:val="clear" w:color="000000" w:fill="FFFF00"/>
            <w:noWrap/>
            <w:vAlign w:val="center"/>
            <w:hideMark/>
          </w:tcPr>
          <w:p w:rsidR="0035681C" w:rsidRPr="004405C3" w:rsidRDefault="0035681C" w:rsidP="004405C3">
            <w:pPr>
              <w:jc w:val="center"/>
              <w:rPr>
                <w:rFonts w:ascii="Calibri" w:hAnsi="Calibri" w:cs="Calibri"/>
                <w:b/>
                <w:bCs/>
                <w:color w:val="000000"/>
                <w:sz w:val="22"/>
                <w:szCs w:val="22"/>
              </w:rPr>
            </w:pPr>
            <w:r w:rsidRPr="004405C3">
              <w:rPr>
                <w:rFonts w:ascii="Calibri" w:hAnsi="Calibri" w:cs="Calibri"/>
                <w:b/>
                <w:bCs/>
                <w:color w:val="000000"/>
                <w:sz w:val="22"/>
                <w:szCs w:val="22"/>
              </w:rPr>
              <w:t>Mar-16</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Sep-16</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000000" w:fill="FFFF00"/>
            <w:noWrap/>
            <w:vAlign w:val="center"/>
            <w:hideMark/>
          </w:tcPr>
          <w:p w:rsidR="0035681C" w:rsidRPr="004405C3" w:rsidRDefault="0035681C" w:rsidP="004405C3">
            <w:pPr>
              <w:jc w:val="center"/>
              <w:rPr>
                <w:rFonts w:ascii="Calibri" w:hAnsi="Calibri" w:cs="Calibri"/>
                <w:b/>
                <w:bCs/>
                <w:color w:val="000000"/>
                <w:sz w:val="22"/>
                <w:szCs w:val="22"/>
              </w:rPr>
            </w:pPr>
            <w:r w:rsidRPr="004405C3">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35681C" w:rsidRPr="004405C3" w:rsidRDefault="0035681C" w:rsidP="004405C3">
            <w:pPr>
              <w:jc w:val="center"/>
              <w:rPr>
                <w:rFonts w:ascii="Calibri" w:hAnsi="Calibri" w:cs="Calibri"/>
                <w:b/>
                <w:bCs/>
                <w:color w:val="000000"/>
                <w:sz w:val="22"/>
                <w:szCs w:val="22"/>
              </w:rPr>
            </w:pPr>
            <w:r w:rsidRPr="004405C3">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Calibri" w:hAnsi="Calibri" w:cs="Calibri"/>
                <w:b/>
                <w:bCs/>
                <w:color w:val="000000"/>
                <w:sz w:val="22"/>
                <w:szCs w:val="22"/>
                <w:u w:val="single"/>
              </w:rPr>
            </w:pPr>
            <w:r w:rsidRPr="004405C3">
              <w:rPr>
                <w:rFonts w:ascii="Calibri" w:hAnsi="Calibri" w:cs="Calibri"/>
                <w:b/>
                <w:bCs/>
                <w:color w:val="000000"/>
                <w:sz w:val="22"/>
                <w:szCs w:val="22"/>
                <w:u w:val="single"/>
              </w:rPr>
              <w:t>Fixed assets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 xml:space="preserve">             1,510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1,678</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b/>
                <w:bCs/>
                <w:color w:val="000000"/>
                <w:sz w:val="20"/>
                <w:szCs w:val="20"/>
                <w:u w:val="single"/>
              </w:rPr>
            </w:pPr>
            <w:r w:rsidRPr="004405C3">
              <w:rPr>
                <w:rFonts w:ascii="Arial" w:hAnsi="Arial" w:cs="Arial"/>
                <w:b/>
                <w:bCs/>
                <w:color w:val="000000"/>
                <w:sz w:val="20"/>
                <w:szCs w:val="20"/>
                <w:u w:val="single"/>
              </w:rPr>
              <w:t>Current assets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Trade and other receivables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227</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Cash and cash equivalents</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3,485</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2,727</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3,755</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2,953</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b/>
                <w:bCs/>
                <w:color w:val="000000"/>
                <w:sz w:val="20"/>
                <w:szCs w:val="20"/>
              </w:rPr>
            </w:pPr>
            <w:r w:rsidRPr="004405C3">
              <w:rPr>
                <w:rFonts w:ascii="Arial" w:hAnsi="Arial" w:cs="Arial"/>
                <w:b/>
                <w:bCs/>
                <w:color w:val="000000"/>
                <w:sz w:val="20"/>
                <w:szCs w:val="20"/>
              </w:rPr>
              <w:t>Less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b/>
                <w:bCs/>
                <w:color w:val="000000"/>
                <w:sz w:val="20"/>
                <w:szCs w:val="20"/>
                <w:u w:val="single"/>
              </w:rPr>
            </w:pPr>
            <w:r w:rsidRPr="004405C3">
              <w:rPr>
                <w:rFonts w:ascii="Arial" w:hAnsi="Arial" w:cs="Arial"/>
                <w:b/>
                <w:bCs/>
                <w:color w:val="000000"/>
                <w:sz w:val="20"/>
                <w:szCs w:val="20"/>
                <w:u w:val="single"/>
              </w:rPr>
              <w:t>Current Liabilities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Trade and other payables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1,296</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1,032</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Provisions for liabilities and charges</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Other liabilities</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1,296</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1,032</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rPr>
                <w:rFonts w:ascii="Calibri" w:hAnsi="Calibri" w:cs="Calibri"/>
                <w:b/>
                <w:bCs/>
                <w:color w:val="000000"/>
                <w:sz w:val="22"/>
                <w:szCs w:val="22"/>
              </w:rPr>
            </w:pPr>
            <w:r w:rsidRPr="004405C3">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rPr>
                <w:rFonts w:ascii="Calibri" w:hAnsi="Calibri" w:cs="Calibri"/>
                <w:b/>
                <w:bCs/>
                <w:color w:val="000000"/>
                <w:sz w:val="22"/>
                <w:szCs w:val="22"/>
              </w:rPr>
            </w:pPr>
            <w:r w:rsidRPr="004405C3">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b/>
                <w:bCs/>
                <w:color w:val="000000"/>
                <w:sz w:val="20"/>
                <w:szCs w:val="20"/>
              </w:rPr>
            </w:pPr>
            <w:r w:rsidRPr="004405C3">
              <w:rPr>
                <w:rFonts w:ascii="Arial" w:hAnsi="Arial" w:cs="Arial"/>
                <w:b/>
                <w:bCs/>
                <w:color w:val="000000"/>
                <w:sz w:val="20"/>
                <w:szCs w:val="20"/>
              </w:rPr>
              <w:t>Net Current Assets/(Liabilities)</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2,459</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1,921</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color w:val="000000"/>
                <w:sz w:val="20"/>
                <w:szCs w:val="20"/>
              </w:rPr>
            </w:pP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color w:val="000000"/>
                <w:sz w:val="20"/>
                <w:szCs w:val="20"/>
              </w:rPr>
            </w:pPr>
          </w:p>
        </w:tc>
        <w:tc>
          <w:tcPr>
            <w:tcW w:w="122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3,969</w:t>
            </w:r>
          </w:p>
        </w:tc>
        <w:tc>
          <w:tcPr>
            <w:tcW w:w="960" w:type="dxa"/>
            <w:tcBorders>
              <w:top w:val="nil"/>
              <w:left w:val="nil"/>
              <w:bottom w:val="nil"/>
              <w:right w:val="single" w:sz="8" w:space="0" w:color="auto"/>
            </w:tcBorders>
            <w:shd w:val="clear" w:color="auto" w:fill="auto"/>
            <w:noWrap/>
            <w:vAlign w:val="bottom"/>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DA9694"/>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3,599</w:t>
            </w:r>
          </w:p>
        </w:tc>
        <w:tc>
          <w:tcPr>
            <w:tcW w:w="960" w:type="dxa"/>
            <w:tcBorders>
              <w:top w:val="nil"/>
              <w:left w:val="nil"/>
              <w:bottom w:val="nil"/>
              <w:right w:val="single" w:sz="8" w:space="0" w:color="auto"/>
            </w:tcBorders>
            <w:shd w:val="clear" w:color="auto" w:fill="auto"/>
            <w:noWrap/>
            <w:vAlign w:val="bottom"/>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r>
      <w:tr w:rsidR="0035681C" w:rsidRPr="004405C3" w:rsidTr="0035681C">
        <w:trPr>
          <w:trHeight w:val="315"/>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b/>
                <w:bCs/>
                <w:color w:val="000000"/>
                <w:sz w:val="20"/>
                <w:szCs w:val="20"/>
              </w:rPr>
            </w:pPr>
            <w:r w:rsidRPr="004405C3">
              <w:rPr>
                <w:rFonts w:ascii="Arial" w:hAnsi="Arial" w:cs="Arial"/>
                <w:b/>
                <w:bCs/>
                <w:color w:val="000000"/>
                <w:sz w:val="20"/>
                <w:szCs w:val="20"/>
              </w:rPr>
              <w:t>Net Assets/(Liabilities)</w:t>
            </w:r>
          </w:p>
        </w:tc>
        <w:tc>
          <w:tcPr>
            <w:tcW w:w="1220" w:type="dxa"/>
            <w:vMerge/>
            <w:tcBorders>
              <w:top w:val="nil"/>
              <w:left w:val="single" w:sz="8" w:space="0" w:color="auto"/>
              <w:bottom w:val="single" w:sz="8" w:space="0" w:color="000000"/>
              <w:right w:val="single" w:sz="8" w:space="0" w:color="auto"/>
            </w:tcBorders>
            <w:vAlign w:val="center"/>
            <w:hideMark/>
          </w:tcPr>
          <w:p w:rsidR="0035681C" w:rsidRPr="004405C3" w:rsidRDefault="0035681C" w:rsidP="004405C3">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35681C" w:rsidRPr="004405C3" w:rsidRDefault="0035681C" w:rsidP="004405C3">
            <w:pP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 </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b/>
                <w:bCs/>
                <w:color w:val="000000"/>
                <w:sz w:val="20"/>
                <w:szCs w:val="20"/>
              </w:rPr>
            </w:pPr>
            <w:r w:rsidRPr="004405C3">
              <w:rPr>
                <w:rFonts w:ascii="Arial" w:hAnsi="Arial" w:cs="Arial"/>
                <w:b/>
                <w:bCs/>
                <w:color w:val="000000"/>
                <w:sz w:val="20"/>
                <w:szCs w:val="20"/>
              </w:rPr>
              <w:t xml:space="preserve">Represented by:- </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b/>
                <w:bCs/>
                <w:color w:val="000000"/>
                <w:sz w:val="20"/>
                <w:szCs w:val="20"/>
              </w:rPr>
            </w:pPr>
            <w:r w:rsidRPr="004405C3">
              <w:rPr>
                <w:rFonts w:ascii="Arial" w:hAnsi="Arial" w:cs="Arial"/>
                <w:b/>
                <w:bCs/>
                <w:color w:val="000000"/>
                <w:sz w:val="20"/>
                <w:szCs w:val="20"/>
              </w:rPr>
              <w:t>Tax payers Equity</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00"/>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Department of Health Funding General Fund</w:t>
            </w:r>
          </w:p>
        </w:tc>
        <w:tc>
          <w:tcPr>
            <w:tcW w:w="122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3,969</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35681C" w:rsidRPr="004405C3" w:rsidRDefault="0035681C" w:rsidP="004405C3">
            <w:pPr>
              <w:jc w:val="right"/>
              <w:rPr>
                <w:rFonts w:ascii="Calibri" w:hAnsi="Calibri" w:cs="Calibri"/>
                <w:color w:val="000000"/>
                <w:sz w:val="22"/>
                <w:szCs w:val="22"/>
              </w:rPr>
            </w:pPr>
            <w:r w:rsidRPr="004405C3">
              <w:rPr>
                <w:rFonts w:ascii="Calibri" w:hAnsi="Calibri" w:cs="Calibri"/>
                <w:color w:val="000000"/>
                <w:sz w:val="22"/>
                <w:szCs w:val="22"/>
              </w:rPr>
              <w:t>3,599</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000000" w:fill="FFFFFF"/>
            <w:noWrap/>
            <w:vAlign w:val="center"/>
            <w:hideMark/>
          </w:tcPr>
          <w:p w:rsidR="0035681C" w:rsidRPr="004405C3" w:rsidRDefault="0035681C" w:rsidP="004405C3">
            <w:pPr>
              <w:rPr>
                <w:rFonts w:ascii="Arial" w:hAnsi="Arial" w:cs="Arial"/>
                <w:color w:val="000000"/>
                <w:sz w:val="20"/>
                <w:szCs w:val="20"/>
              </w:rPr>
            </w:pPr>
            <w:r w:rsidRPr="004405C3">
              <w:rPr>
                <w:rFonts w:ascii="Arial" w:hAnsi="Arial" w:cs="Arial"/>
                <w:color w:val="000000"/>
                <w:sz w:val="20"/>
                <w:szCs w:val="20"/>
              </w:rPr>
              <w:t>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5681C" w:rsidRPr="004405C3" w:rsidRDefault="0035681C" w:rsidP="004405C3">
            <w:pPr>
              <w:rPr>
                <w:rFonts w:ascii="Calibri" w:hAnsi="Calibri" w:cs="Calibri"/>
                <w:color w:val="000000"/>
                <w:sz w:val="22"/>
                <w:szCs w:val="22"/>
              </w:rPr>
            </w:pPr>
            <w:r w:rsidRPr="004405C3">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r w:rsidR="0035681C" w:rsidRPr="004405C3" w:rsidTr="0035681C">
        <w:trPr>
          <w:trHeight w:val="315"/>
        </w:trPr>
        <w:tc>
          <w:tcPr>
            <w:tcW w:w="4020" w:type="dxa"/>
            <w:tcBorders>
              <w:top w:val="nil"/>
              <w:left w:val="nil"/>
              <w:bottom w:val="nil"/>
              <w:right w:val="nil"/>
            </w:tcBorders>
            <w:shd w:val="clear" w:color="auto" w:fill="auto"/>
            <w:noWrap/>
            <w:vAlign w:val="center"/>
            <w:hideMark/>
          </w:tcPr>
          <w:p w:rsidR="0035681C" w:rsidRPr="004405C3" w:rsidRDefault="0035681C" w:rsidP="004405C3">
            <w:pPr>
              <w:rPr>
                <w:rFonts w:ascii="Arial" w:hAnsi="Arial" w:cs="Arial"/>
                <w:b/>
                <w:bCs/>
                <w:color w:val="000000"/>
                <w:sz w:val="20"/>
                <w:szCs w:val="20"/>
              </w:rPr>
            </w:pPr>
            <w:r w:rsidRPr="004405C3">
              <w:rPr>
                <w:rFonts w:ascii="Arial" w:hAnsi="Arial" w:cs="Arial"/>
                <w:b/>
                <w:bCs/>
                <w:color w:val="000000"/>
                <w:sz w:val="20"/>
                <w:szCs w:val="20"/>
              </w:rPr>
              <w:t>Total Taxpayers' Equity</w:t>
            </w:r>
          </w:p>
        </w:tc>
        <w:tc>
          <w:tcPr>
            <w:tcW w:w="1220" w:type="dxa"/>
            <w:tcBorders>
              <w:top w:val="nil"/>
              <w:left w:val="single" w:sz="8" w:space="0" w:color="auto"/>
              <w:bottom w:val="single" w:sz="8" w:space="0" w:color="auto"/>
              <w:right w:val="single" w:sz="8" w:space="0" w:color="auto"/>
            </w:tcBorders>
            <w:shd w:val="clear" w:color="000000" w:fill="FFFF00"/>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3,969</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35681C" w:rsidRPr="004405C3" w:rsidRDefault="0035681C" w:rsidP="004405C3">
            <w:pPr>
              <w:jc w:val="right"/>
              <w:rPr>
                <w:rFonts w:ascii="Calibri" w:hAnsi="Calibri" w:cs="Calibri"/>
                <w:b/>
                <w:bCs/>
                <w:color w:val="000000"/>
                <w:sz w:val="22"/>
                <w:szCs w:val="22"/>
              </w:rPr>
            </w:pPr>
            <w:r w:rsidRPr="004405C3">
              <w:rPr>
                <w:rFonts w:ascii="Calibri" w:hAnsi="Calibri" w:cs="Calibri"/>
                <w:b/>
                <w:bCs/>
                <w:color w:val="000000"/>
                <w:sz w:val="22"/>
                <w:szCs w:val="22"/>
              </w:rPr>
              <w:t>3,599</w:t>
            </w:r>
          </w:p>
        </w:tc>
        <w:tc>
          <w:tcPr>
            <w:tcW w:w="960" w:type="dxa"/>
            <w:tcBorders>
              <w:top w:val="nil"/>
              <w:left w:val="nil"/>
              <w:bottom w:val="nil"/>
              <w:right w:val="nil"/>
            </w:tcBorders>
            <w:shd w:val="clear" w:color="auto" w:fill="auto"/>
            <w:noWrap/>
            <w:vAlign w:val="bottom"/>
            <w:hideMark/>
          </w:tcPr>
          <w:p w:rsidR="0035681C" w:rsidRPr="004405C3" w:rsidRDefault="0035681C" w:rsidP="004405C3">
            <w:pPr>
              <w:rPr>
                <w:rFonts w:ascii="Calibri" w:hAnsi="Calibri" w:cs="Calibri"/>
                <w:color w:val="000000"/>
                <w:sz w:val="22"/>
                <w:szCs w:val="22"/>
              </w:rPr>
            </w:pPr>
          </w:p>
        </w:tc>
      </w:tr>
    </w:tbl>
    <w:p w:rsidR="004405C3" w:rsidRDefault="004405C3" w:rsidP="007F458D">
      <w:pPr>
        <w:rPr>
          <w:rFonts w:cs="Arial"/>
          <w:sz w:val="18"/>
          <w:szCs w:val="18"/>
        </w:rPr>
      </w:pPr>
    </w:p>
    <w:p w:rsidR="00745E47" w:rsidRDefault="00745E47" w:rsidP="007F458D">
      <w:pPr>
        <w:rPr>
          <w:rFonts w:cs="Arial"/>
          <w:sz w:val="18"/>
          <w:szCs w:val="18"/>
        </w:rPr>
      </w:pPr>
    </w:p>
    <w:p w:rsidR="00745E47" w:rsidRDefault="00745E47" w:rsidP="007F458D">
      <w:pPr>
        <w:rPr>
          <w:rFonts w:cs="Arial"/>
          <w:sz w:val="18"/>
          <w:szCs w:val="18"/>
        </w:rPr>
      </w:pPr>
    </w:p>
    <w:p w:rsidR="00745E47" w:rsidRPr="007055AB" w:rsidRDefault="00745E47" w:rsidP="007F458D">
      <w:pPr>
        <w:rPr>
          <w:rFonts w:cs="Arial"/>
          <w:b/>
          <w:u w:val="single"/>
        </w:rPr>
      </w:pPr>
      <w:r w:rsidRPr="007055AB">
        <w:rPr>
          <w:rFonts w:cs="Arial"/>
          <w:b/>
          <w:u w:val="single"/>
        </w:rPr>
        <w:t>Directorate Pay – budget, actual, variance and vacancy factor 2016/17</w:t>
      </w:r>
    </w:p>
    <w:p w:rsidR="00745E47" w:rsidRPr="007055AB" w:rsidRDefault="00745E47" w:rsidP="007F458D">
      <w:pPr>
        <w:rPr>
          <w:rFonts w:cs="Arial"/>
        </w:rPr>
      </w:pPr>
    </w:p>
    <w:p w:rsidR="00745E47" w:rsidRDefault="00745E47" w:rsidP="007F458D">
      <w:pPr>
        <w:rPr>
          <w:rFonts w:cs="Arial"/>
          <w:sz w:val="18"/>
          <w:szCs w:val="18"/>
        </w:rPr>
      </w:pPr>
    </w:p>
    <w:p w:rsidR="00745E47" w:rsidRDefault="00745E47" w:rsidP="007F458D">
      <w:pPr>
        <w:rPr>
          <w:rFonts w:cs="Arial"/>
          <w:sz w:val="18"/>
          <w:szCs w:val="18"/>
        </w:rPr>
      </w:pPr>
      <w:r>
        <w:rPr>
          <w:rFonts w:cs="Arial"/>
          <w:noProof/>
          <w:sz w:val="18"/>
          <w:szCs w:val="18"/>
        </w:rPr>
        <w:drawing>
          <wp:inline distT="0" distB="0" distL="0" distR="0" wp14:anchorId="0E47F514">
            <wp:extent cx="5761355" cy="1664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1664335"/>
                    </a:xfrm>
                    <a:prstGeom prst="rect">
                      <a:avLst/>
                    </a:prstGeom>
                    <a:noFill/>
                  </pic:spPr>
                </pic:pic>
              </a:graphicData>
            </a:graphic>
          </wp:inline>
        </w:drawing>
      </w:r>
    </w:p>
    <w:p w:rsidR="00745E47" w:rsidRDefault="00745E47" w:rsidP="007F458D">
      <w:pPr>
        <w:rPr>
          <w:rFonts w:cs="Arial"/>
          <w:sz w:val="18"/>
          <w:szCs w:val="18"/>
        </w:rPr>
      </w:pPr>
    </w:p>
    <w:p w:rsidR="00745E47" w:rsidRDefault="00745E47" w:rsidP="007F458D">
      <w:pPr>
        <w:rPr>
          <w:rFonts w:cs="Arial"/>
          <w:sz w:val="18"/>
          <w:szCs w:val="18"/>
        </w:rPr>
      </w:pPr>
    </w:p>
    <w:p w:rsidR="00745E47" w:rsidRDefault="00745E47" w:rsidP="007F458D">
      <w:pPr>
        <w:rPr>
          <w:rFonts w:cs="Arial"/>
          <w:sz w:val="18"/>
          <w:szCs w:val="18"/>
        </w:rPr>
      </w:pPr>
    </w:p>
    <w:p w:rsidR="00745E47" w:rsidRPr="007055AB" w:rsidRDefault="007055AB" w:rsidP="007F458D">
      <w:pPr>
        <w:rPr>
          <w:rFonts w:cs="Arial"/>
          <w:b/>
          <w:u w:val="single"/>
        </w:rPr>
      </w:pPr>
      <w:r w:rsidRPr="007055AB">
        <w:rPr>
          <w:rFonts w:cs="Arial"/>
          <w:b/>
          <w:u w:val="single"/>
        </w:rPr>
        <w:t>Chart to show actual staffing headcount so far in 2016</w:t>
      </w:r>
    </w:p>
    <w:p w:rsidR="00745E47" w:rsidRDefault="00745E47" w:rsidP="007F458D">
      <w:pPr>
        <w:rPr>
          <w:rFonts w:cs="Arial"/>
          <w:sz w:val="18"/>
          <w:szCs w:val="18"/>
        </w:rPr>
      </w:pPr>
    </w:p>
    <w:p w:rsidR="00745E47" w:rsidRDefault="007055AB" w:rsidP="007F458D">
      <w:pPr>
        <w:rPr>
          <w:rFonts w:cs="Arial"/>
          <w:sz w:val="18"/>
          <w:szCs w:val="18"/>
        </w:rPr>
      </w:pPr>
      <w:r>
        <w:rPr>
          <w:rFonts w:cs="Arial"/>
          <w:noProof/>
          <w:sz w:val="18"/>
          <w:szCs w:val="18"/>
        </w:rPr>
        <w:drawing>
          <wp:inline distT="0" distB="0" distL="0" distR="0" wp14:anchorId="3B524FC2">
            <wp:extent cx="4584700" cy="239585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395855"/>
                    </a:xfrm>
                    <a:prstGeom prst="rect">
                      <a:avLst/>
                    </a:prstGeom>
                    <a:noFill/>
                  </pic:spPr>
                </pic:pic>
              </a:graphicData>
            </a:graphic>
          </wp:inline>
        </w:drawing>
      </w:r>
    </w:p>
    <w:p w:rsidR="00745E47" w:rsidRDefault="00745E47" w:rsidP="007F458D">
      <w:pPr>
        <w:rPr>
          <w:rFonts w:cs="Arial"/>
          <w:sz w:val="18"/>
          <w:szCs w:val="18"/>
        </w:rPr>
      </w:pPr>
    </w:p>
    <w:sectPr w:rsidR="00745E47"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6C" w:rsidRDefault="0043206C" w:rsidP="00412C00">
      <w:r>
        <w:separator/>
      </w:r>
    </w:p>
  </w:endnote>
  <w:endnote w:type="continuationSeparator" w:id="0">
    <w:p w:rsidR="0043206C" w:rsidRDefault="0043206C"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6C" w:rsidRDefault="0043206C" w:rsidP="00412C00">
      <w:r>
        <w:separator/>
      </w:r>
    </w:p>
  </w:footnote>
  <w:footnote w:type="continuationSeparator" w:id="0">
    <w:p w:rsidR="0043206C" w:rsidRDefault="0043206C"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Content>
      <w:p w:rsidR="0043206C" w:rsidRDefault="0043206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2E095C"/>
    <w:multiLevelType w:val="hybridMultilevel"/>
    <w:tmpl w:val="EB048030"/>
    <w:lvl w:ilvl="0" w:tplc="527A7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28"/>
  </w:num>
  <w:num w:numId="5">
    <w:abstractNumId w:val="16"/>
  </w:num>
  <w:num w:numId="6">
    <w:abstractNumId w:val="3"/>
  </w:num>
  <w:num w:numId="7">
    <w:abstractNumId w:val="4"/>
  </w:num>
  <w:num w:numId="8">
    <w:abstractNumId w:val="22"/>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3"/>
  </w:num>
  <w:num w:numId="17">
    <w:abstractNumId w:val="27"/>
  </w:num>
  <w:num w:numId="18">
    <w:abstractNumId w:val="18"/>
  </w:num>
  <w:num w:numId="19">
    <w:abstractNumId w:val="13"/>
  </w:num>
  <w:num w:numId="20">
    <w:abstractNumId w:val="20"/>
  </w:num>
  <w:num w:numId="21">
    <w:abstractNumId w:val="19"/>
  </w:num>
  <w:num w:numId="22">
    <w:abstractNumId w:val="6"/>
  </w:num>
  <w:num w:numId="23">
    <w:abstractNumId w:val="15"/>
  </w:num>
  <w:num w:numId="24">
    <w:abstractNumId w:val="26"/>
  </w:num>
  <w:num w:numId="25">
    <w:abstractNumId w:val="24"/>
  </w:num>
  <w:num w:numId="26">
    <w:abstractNumId w:val="10"/>
  </w:num>
  <w:num w:numId="27">
    <w:abstractNumId w:val="17"/>
  </w:num>
  <w:num w:numId="28">
    <w:abstractNumId w:val="29"/>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646D"/>
    <w:rsid w:val="00016856"/>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2A65"/>
    <w:rsid w:val="0004366E"/>
    <w:rsid w:val="0004442F"/>
    <w:rsid w:val="00044467"/>
    <w:rsid w:val="0004446C"/>
    <w:rsid w:val="00044D07"/>
    <w:rsid w:val="00047960"/>
    <w:rsid w:val="00052048"/>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2A9E"/>
    <w:rsid w:val="000949D1"/>
    <w:rsid w:val="000958EB"/>
    <w:rsid w:val="0009591A"/>
    <w:rsid w:val="00096422"/>
    <w:rsid w:val="0009793E"/>
    <w:rsid w:val="000A0F37"/>
    <w:rsid w:val="000A469D"/>
    <w:rsid w:val="000A5374"/>
    <w:rsid w:val="000B1B00"/>
    <w:rsid w:val="000B2EF8"/>
    <w:rsid w:val="000B79E8"/>
    <w:rsid w:val="000C0ACC"/>
    <w:rsid w:val="000C1D47"/>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43E29"/>
    <w:rsid w:val="001504B0"/>
    <w:rsid w:val="00150CE4"/>
    <w:rsid w:val="001516FA"/>
    <w:rsid w:val="001528FE"/>
    <w:rsid w:val="0015351D"/>
    <w:rsid w:val="00153A62"/>
    <w:rsid w:val="00153E82"/>
    <w:rsid w:val="001540D4"/>
    <w:rsid w:val="00154E36"/>
    <w:rsid w:val="00156315"/>
    <w:rsid w:val="0016044C"/>
    <w:rsid w:val="001609ED"/>
    <w:rsid w:val="00160F9B"/>
    <w:rsid w:val="00161C29"/>
    <w:rsid w:val="00162CB2"/>
    <w:rsid w:val="00163364"/>
    <w:rsid w:val="00163A5A"/>
    <w:rsid w:val="00165567"/>
    <w:rsid w:val="00165D47"/>
    <w:rsid w:val="001679C3"/>
    <w:rsid w:val="00167A33"/>
    <w:rsid w:val="00167B08"/>
    <w:rsid w:val="00171C23"/>
    <w:rsid w:val="001721FC"/>
    <w:rsid w:val="00172DD0"/>
    <w:rsid w:val="00181BB8"/>
    <w:rsid w:val="00182577"/>
    <w:rsid w:val="00182D5E"/>
    <w:rsid w:val="001839DD"/>
    <w:rsid w:val="00185C18"/>
    <w:rsid w:val="0018609F"/>
    <w:rsid w:val="00187F7B"/>
    <w:rsid w:val="0019002F"/>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4F94"/>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372A"/>
    <w:rsid w:val="00225904"/>
    <w:rsid w:val="002260C0"/>
    <w:rsid w:val="002279D6"/>
    <w:rsid w:val="002303C6"/>
    <w:rsid w:val="00232B6B"/>
    <w:rsid w:val="0023394B"/>
    <w:rsid w:val="00234F1A"/>
    <w:rsid w:val="00236B2E"/>
    <w:rsid w:val="00237BF3"/>
    <w:rsid w:val="00237F3F"/>
    <w:rsid w:val="00240999"/>
    <w:rsid w:val="00241A21"/>
    <w:rsid w:val="002436F9"/>
    <w:rsid w:val="002441AD"/>
    <w:rsid w:val="00244AB6"/>
    <w:rsid w:val="002450FB"/>
    <w:rsid w:val="0024691C"/>
    <w:rsid w:val="0024697B"/>
    <w:rsid w:val="002472C7"/>
    <w:rsid w:val="0025092F"/>
    <w:rsid w:val="002510CE"/>
    <w:rsid w:val="00252EDF"/>
    <w:rsid w:val="0025337B"/>
    <w:rsid w:val="0025472D"/>
    <w:rsid w:val="00254D93"/>
    <w:rsid w:val="0025538B"/>
    <w:rsid w:val="002570C1"/>
    <w:rsid w:val="002574E5"/>
    <w:rsid w:val="00257A11"/>
    <w:rsid w:val="00262B57"/>
    <w:rsid w:val="00262D70"/>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3A3E"/>
    <w:rsid w:val="002E488E"/>
    <w:rsid w:val="002E5EDF"/>
    <w:rsid w:val="002E68D4"/>
    <w:rsid w:val="002E7A27"/>
    <w:rsid w:val="002E7DBF"/>
    <w:rsid w:val="002F0239"/>
    <w:rsid w:val="002F0DFF"/>
    <w:rsid w:val="002F2264"/>
    <w:rsid w:val="002F4277"/>
    <w:rsid w:val="002F5E6A"/>
    <w:rsid w:val="002F75F6"/>
    <w:rsid w:val="003001BE"/>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502B"/>
    <w:rsid w:val="0031644E"/>
    <w:rsid w:val="00316BE4"/>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2A2"/>
    <w:rsid w:val="0035681C"/>
    <w:rsid w:val="00357BF3"/>
    <w:rsid w:val="00360238"/>
    <w:rsid w:val="00361367"/>
    <w:rsid w:val="00361479"/>
    <w:rsid w:val="00364482"/>
    <w:rsid w:val="00366C8F"/>
    <w:rsid w:val="00375EE1"/>
    <w:rsid w:val="003764E7"/>
    <w:rsid w:val="003771DA"/>
    <w:rsid w:val="003837D4"/>
    <w:rsid w:val="00386586"/>
    <w:rsid w:val="00386AD1"/>
    <w:rsid w:val="0039070C"/>
    <w:rsid w:val="003914C4"/>
    <w:rsid w:val="0039154E"/>
    <w:rsid w:val="00391CF2"/>
    <w:rsid w:val="00392A4F"/>
    <w:rsid w:val="00392D76"/>
    <w:rsid w:val="003930D4"/>
    <w:rsid w:val="00393BEC"/>
    <w:rsid w:val="00395C0A"/>
    <w:rsid w:val="00395FF4"/>
    <w:rsid w:val="0039756E"/>
    <w:rsid w:val="003A1D2D"/>
    <w:rsid w:val="003A3805"/>
    <w:rsid w:val="003A41AE"/>
    <w:rsid w:val="003A42A7"/>
    <w:rsid w:val="003A4D87"/>
    <w:rsid w:val="003B135C"/>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6E0"/>
    <w:rsid w:val="003E0E56"/>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8A8"/>
    <w:rsid w:val="00430D14"/>
    <w:rsid w:val="00431F96"/>
    <w:rsid w:val="0043206C"/>
    <w:rsid w:val="00435640"/>
    <w:rsid w:val="004365C6"/>
    <w:rsid w:val="0043662D"/>
    <w:rsid w:val="004405C3"/>
    <w:rsid w:val="00440BCB"/>
    <w:rsid w:val="00442D4D"/>
    <w:rsid w:val="004458A7"/>
    <w:rsid w:val="00445C3C"/>
    <w:rsid w:val="0044673F"/>
    <w:rsid w:val="00447C0C"/>
    <w:rsid w:val="00447D56"/>
    <w:rsid w:val="004516BD"/>
    <w:rsid w:val="00453EFB"/>
    <w:rsid w:val="00454254"/>
    <w:rsid w:val="00461A11"/>
    <w:rsid w:val="00461E1B"/>
    <w:rsid w:val="004639EE"/>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249E"/>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4BF4"/>
    <w:rsid w:val="004D5ABD"/>
    <w:rsid w:val="004D61B7"/>
    <w:rsid w:val="004D66B0"/>
    <w:rsid w:val="004E0021"/>
    <w:rsid w:val="004E06FA"/>
    <w:rsid w:val="004E0E9D"/>
    <w:rsid w:val="004E25D4"/>
    <w:rsid w:val="004E2AEC"/>
    <w:rsid w:val="004E3AAD"/>
    <w:rsid w:val="004E73A6"/>
    <w:rsid w:val="004F1024"/>
    <w:rsid w:val="004F1E1A"/>
    <w:rsid w:val="004F3A45"/>
    <w:rsid w:val="004F4030"/>
    <w:rsid w:val="004F646F"/>
    <w:rsid w:val="005001D2"/>
    <w:rsid w:val="005009CA"/>
    <w:rsid w:val="00500E52"/>
    <w:rsid w:val="005064E8"/>
    <w:rsid w:val="00506D7B"/>
    <w:rsid w:val="00511110"/>
    <w:rsid w:val="005113A0"/>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DD6"/>
    <w:rsid w:val="00577406"/>
    <w:rsid w:val="00577CC7"/>
    <w:rsid w:val="005810CF"/>
    <w:rsid w:val="005836C1"/>
    <w:rsid w:val="0058476E"/>
    <w:rsid w:val="00584F18"/>
    <w:rsid w:val="00585FFC"/>
    <w:rsid w:val="00590197"/>
    <w:rsid w:val="0059044A"/>
    <w:rsid w:val="00590D64"/>
    <w:rsid w:val="00592E36"/>
    <w:rsid w:val="00594040"/>
    <w:rsid w:val="00596556"/>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2E6"/>
    <w:rsid w:val="005C269A"/>
    <w:rsid w:val="005C3262"/>
    <w:rsid w:val="005C34A2"/>
    <w:rsid w:val="005C4B0A"/>
    <w:rsid w:val="005C652A"/>
    <w:rsid w:val="005C6E51"/>
    <w:rsid w:val="005C76AA"/>
    <w:rsid w:val="005D3876"/>
    <w:rsid w:val="005D3904"/>
    <w:rsid w:val="005E103E"/>
    <w:rsid w:val="005E10A2"/>
    <w:rsid w:val="005E4465"/>
    <w:rsid w:val="005E5369"/>
    <w:rsid w:val="005E6B5C"/>
    <w:rsid w:val="005E6E81"/>
    <w:rsid w:val="005E715B"/>
    <w:rsid w:val="005F05D0"/>
    <w:rsid w:val="005F2504"/>
    <w:rsid w:val="005F5FBB"/>
    <w:rsid w:val="005F6484"/>
    <w:rsid w:val="006006D4"/>
    <w:rsid w:val="0060330C"/>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141"/>
    <w:rsid w:val="00635B3F"/>
    <w:rsid w:val="00637E98"/>
    <w:rsid w:val="00641123"/>
    <w:rsid w:val="00642455"/>
    <w:rsid w:val="00643128"/>
    <w:rsid w:val="00643927"/>
    <w:rsid w:val="00643FCA"/>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A777C"/>
    <w:rsid w:val="006B165D"/>
    <w:rsid w:val="006B17C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05D4"/>
    <w:rsid w:val="006F15BD"/>
    <w:rsid w:val="006F24A4"/>
    <w:rsid w:val="006F2974"/>
    <w:rsid w:val="006F2E59"/>
    <w:rsid w:val="006F3E2E"/>
    <w:rsid w:val="006F53B9"/>
    <w:rsid w:val="007024E6"/>
    <w:rsid w:val="00703BA7"/>
    <w:rsid w:val="00704323"/>
    <w:rsid w:val="007053F1"/>
    <w:rsid w:val="007055AB"/>
    <w:rsid w:val="00706F89"/>
    <w:rsid w:val="007136E5"/>
    <w:rsid w:val="00714DBE"/>
    <w:rsid w:val="00714E4B"/>
    <w:rsid w:val="007162EA"/>
    <w:rsid w:val="00716AC4"/>
    <w:rsid w:val="007228B1"/>
    <w:rsid w:val="0072331F"/>
    <w:rsid w:val="00725C43"/>
    <w:rsid w:val="00727F62"/>
    <w:rsid w:val="007326AA"/>
    <w:rsid w:val="00732803"/>
    <w:rsid w:val="0073688F"/>
    <w:rsid w:val="00740CAA"/>
    <w:rsid w:val="007414C0"/>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76D15"/>
    <w:rsid w:val="00781179"/>
    <w:rsid w:val="007813E1"/>
    <w:rsid w:val="007817C4"/>
    <w:rsid w:val="00781D5C"/>
    <w:rsid w:val="0078207C"/>
    <w:rsid w:val="00784B55"/>
    <w:rsid w:val="00785D39"/>
    <w:rsid w:val="007913AA"/>
    <w:rsid w:val="00792336"/>
    <w:rsid w:val="00794745"/>
    <w:rsid w:val="007948D4"/>
    <w:rsid w:val="00796309"/>
    <w:rsid w:val="007A03AB"/>
    <w:rsid w:val="007A1E4C"/>
    <w:rsid w:val="007A3B4E"/>
    <w:rsid w:val="007A585B"/>
    <w:rsid w:val="007A5B29"/>
    <w:rsid w:val="007A7AB7"/>
    <w:rsid w:val="007B0DBE"/>
    <w:rsid w:val="007B0F30"/>
    <w:rsid w:val="007B31F5"/>
    <w:rsid w:val="007B5BC7"/>
    <w:rsid w:val="007B7FEB"/>
    <w:rsid w:val="007C1E31"/>
    <w:rsid w:val="007C3356"/>
    <w:rsid w:val="007C4EA5"/>
    <w:rsid w:val="007C5117"/>
    <w:rsid w:val="007C542A"/>
    <w:rsid w:val="007C55A4"/>
    <w:rsid w:val="007C5F95"/>
    <w:rsid w:val="007C66A5"/>
    <w:rsid w:val="007C7418"/>
    <w:rsid w:val="007D0BF0"/>
    <w:rsid w:val="007D0D17"/>
    <w:rsid w:val="007D138D"/>
    <w:rsid w:val="007D5E35"/>
    <w:rsid w:val="007D6292"/>
    <w:rsid w:val="007E017B"/>
    <w:rsid w:val="007E40A4"/>
    <w:rsid w:val="007E7C69"/>
    <w:rsid w:val="007F4552"/>
    <w:rsid w:val="007F458D"/>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35F9"/>
    <w:rsid w:val="00826265"/>
    <w:rsid w:val="00826DA8"/>
    <w:rsid w:val="00826F20"/>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26E"/>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07C2"/>
    <w:rsid w:val="008B46D1"/>
    <w:rsid w:val="008B5028"/>
    <w:rsid w:val="008B70B1"/>
    <w:rsid w:val="008B77EA"/>
    <w:rsid w:val="008C049E"/>
    <w:rsid w:val="008C0981"/>
    <w:rsid w:val="008C1699"/>
    <w:rsid w:val="008C3DB3"/>
    <w:rsid w:val="008C4753"/>
    <w:rsid w:val="008C50D7"/>
    <w:rsid w:val="008C6ADC"/>
    <w:rsid w:val="008D1162"/>
    <w:rsid w:val="008D1704"/>
    <w:rsid w:val="008D2A86"/>
    <w:rsid w:val="008D3436"/>
    <w:rsid w:val="008D3E73"/>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7158"/>
    <w:rsid w:val="008F7981"/>
    <w:rsid w:val="0090472C"/>
    <w:rsid w:val="00905E9B"/>
    <w:rsid w:val="00907BC3"/>
    <w:rsid w:val="00910362"/>
    <w:rsid w:val="009115E5"/>
    <w:rsid w:val="00911928"/>
    <w:rsid w:val="0091291C"/>
    <w:rsid w:val="009139B5"/>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09FD"/>
    <w:rsid w:val="00951DD0"/>
    <w:rsid w:val="00953D5A"/>
    <w:rsid w:val="00953F8E"/>
    <w:rsid w:val="00954A12"/>
    <w:rsid w:val="0095771A"/>
    <w:rsid w:val="00960BE2"/>
    <w:rsid w:val="00960E89"/>
    <w:rsid w:val="00964464"/>
    <w:rsid w:val="00964491"/>
    <w:rsid w:val="009704EF"/>
    <w:rsid w:val="009748F9"/>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C6A"/>
    <w:rsid w:val="009B2F1B"/>
    <w:rsid w:val="009B3468"/>
    <w:rsid w:val="009B4C8D"/>
    <w:rsid w:val="009B5B5B"/>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2B6A"/>
    <w:rsid w:val="009D48D2"/>
    <w:rsid w:val="009D60C8"/>
    <w:rsid w:val="009D724D"/>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5BD4"/>
    <w:rsid w:val="009F5C1B"/>
    <w:rsid w:val="00A0085E"/>
    <w:rsid w:val="00A00A5D"/>
    <w:rsid w:val="00A015C8"/>
    <w:rsid w:val="00A028DA"/>
    <w:rsid w:val="00A0358D"/>
    <w:rsid w:val="00A04714"/>
    <w:rsid w:val="00A05E1F"/>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799B"/>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400C"/>
    <w:rsid w:val="00AD43D2"/>
    <w:rsid w:val="00AD69BC"/>
    <w:rsid w:val="00AD76CF"/>
    <w:rsid w:val="00AD7838"/>
    <w:rsid w:val="00AE0798"/>
    <w:rsid w:val="00AE1B24"/>
    <w:rsid w:val="00AE298D"/>
    <w:rsid w:val="00AE42CA"/>
    <w:rsid w:val="00AE471C"/>
    <w:rsid w:val="00AE63A6"/>
    <w:rsid w:val="00AE78EA"/>
    <w:rsid w:val="00AF00BB"/>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5AE"/>
    <w:rsid w:val="00B4473B"/>
    <w:rsid w:val="00B44CC0"/>
    <w:rsid w:val="00B45307"/>
    <w:rsid w:val="00B45965"/>
    <w:rsid w:val="00B465A2"/>
    <w:rsid w:val="00B51F80"/>
    <w:rsid w:val="00B5494A"/>
    <w:rsid w:val="00B55417"/>
    <w:rsid w:val="00B5541D"/>
    <w:rsid w:val="00B55ECA"/>
    <w:rsid w:val="00B603BD"/>
    <w:rsid w:val="00B61983"/>
    <w:rsid w:val="00B63E39"/>
    <w:rsid w:val="00B65461"/>
    <w:rsid w:val="00B654E3"/>
    <w:rsid w:val="00B7000D"/>
    <w:rsid w:val="00B7154A"/>
    <w:rsid w:val="00B72C94"/>
    <w:rsid w:val="00B734B9"/>
    <w:rsid w:val="00B7584B"/>
    <w:rsid w:val="00B75EB4"/>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2A8B"/>
    <w:rsid w:val="00BA3A5A"/>
    <w:rsid w:val="00BA4988"/>
    <w:rsid w:val="00BA60A6"/>
    <w:rsid w:val="00BA72BF"/>
    <w:rsid w:val="00BB25EF"/>
    <w:rsid w:val="00BB2B8A"/>
    <w:rsid w:val="00BB2F36"/>
    <w:rsid w:val="00BB4161"/>
    <w:rsid w:val="00BB55C4"/>
    <w:rsid w:val="00BB6714"/>
    <w:rsid w:val="00BB6BFD"/>
    <w:rsid w:val="00BB7F83"/>
    <w:rsid w:val="00BC027A"/>
    <w:rsid w:val="00BC0710"/>
    <w:rsid w:val="00BC0D6A"/>
    <w:rsid w:val="00BC4C58"/>
    <w:rsid w:val="00BC7822"/>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1DC"/>
    <w:rsid w:val="00C3142C"/>
    <w:rsid w:val="00C31944"/>
    <w:rsid w:val="00C369E4"/>
    <w:rsid w:val="00C409A5"/>
    <w:rsid w:val="00C40EA7"/>
    <w:rsid w:val="00C40FC4"/>
    <w:rsid w:val="00C42136"/>
    <w:rsid w:val="00C42404"/>
    <w:rsid w:val="00C45ED2"/>
    <w:rsid w:val="00C4745A"/>
    <w:rsid w:val="00C4787B"/>
    <w:rsid w:val="00C51E87"/>
    <w:rsid w:val="00C52506"/>
    <w:rsid w:val="00C53CE3"/>
    <w:rsid w:val="00C550A2"/>
    <w:rsid w:val="00C56469"/>
    <w:rsid w:val="00C60C6D"/>
    <w:rsid w:val="00C62877"/>
    <w:rsid w:val="00C62D4B"/>
    <w:rsid w:val="00C62E72"/>
    <w:rsid w:val="00C64441"/>
    <w:rsid w:val="00C64C09"/>
    <w:rsid w:val="00C67B11"/>
    <w:rsid w:val="00C70F53"/>
    <w:rsid w:val="00C71064"/>
    <w:rsid w:val="00C722B6"/>
    <w:rsid w:val="00C755B1"/>
    <w:rsid w:val="00C75C3C"/>
    <w:rsid w:val="00C76FF6"/>
    <w:rsid w:val="00C8038E"/>
    <w:rsid w:val="00C82BA9"/>
    <w:rsid w:val="00C91DE9"/>
    <w:rsid w:val="00C91F12"/>
    <w:rsid w:val="00C9206F"/>
    <w:rsid w:val="00C92EC3"/>
    <w:rsid w:val="00C931C3"/>
    <w:rsid w:val="00C95A63"/>
    <w:rsid w:val="00CA11B0"/>
    <w:rsid w:val="00CA15E0"/>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15F"/>
    <w:rsid w:val="00D0058C"/>
    <w:rsid w:val="00D01165"/>
    <w:rsid w:val="00D070F4"/>
    <w:rsid w:val="00D076C3"/>
    <w:rsid w:val="00D11734"/>
    <w:rsid w:val="00D1288F"/>
    <w:rsid w:val="00D144B8"/>
    <w:rsid w:val="00D15B33"/>
    <w:rsid w:val="00D15B88"/>
    <w:rsid w:val="00D15F0D"/>
    <w:rsid w:val="00D17E9C"/>
    <w:rsid w:val="00D2020A"/>
    <w:rsid w:val="00D205DE"/>
    <w:rsid w:val="00D211BF"/>
    <w:rsid w:val="00D23AF7"/>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62F91"/>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31839"/>
    <w:rsid w:val="00E31CA4"/>
    <w:rsid w:val="00E32CA3"/>
    <w:rsid w:val="00E32EB6"/>
    <w:rsid w:val="00E34821"/>
    <w:rsid w:val="00E350FE"/>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4294"/>
    <w:rsid w:val="00E655FF"/>
    <w:rsid w:val="00E67747"/>
    <w:rsid w:val="00E70FE6"/>
    <w:rsid w:val="00E71109"/>
    <w:rsid w:val="00E713F5"/>
    <w:rsid w:val="00E72B98"/>
    <w:rsid w:val="00E73495"/>
    <w:rsid w:val="00E74373"/>
    <w:rsid w:val="00E75225"/>
    <w:rsid w:val="00E75517"/>
    <w:rsid w:val="00E825C5"/>
    <w:rsid w:val="00E82962"/>
    <w:rsid w:val="00E82F54"/>
    <w:rsid w:val="00E83993"/>
    <w:rsid w:val="00E8417B"/>
    <w:rsid w:val="00E85298"/>
    <w:rsid w:val="00E87571"/>
    <w:rsid w:val="00E9014E"/>
    <w:rsid w:val="00E904C3"/>
    <w:rsid w:val="00E93E08"/>
    <w:rsid w:val="00E977B4"/>
    <w:rsid w:val="00E97EB3"/>
    <w:rsid w:val="00EA0507"/>
    <w:rsid w:val="00EA10AB"/>
    <w:rsid w:val="00EA20B2"/>
    <w:rsid w:val="00EA4491"/>
    <w:rsid w:val="00EA5177"/>
    <w:rsid w:val="00EA580D"/>
    <w:rsid w:val="00EA77E1"/>
    <w:rsid w:val="00EB048A"/>
    <w:rsid w:val="00EB148B"/>
    <w:rsid w:val="00EB22E9"/>
    <w:rsid w:val="00EB3C17"/>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2709"/>
    <w:rsid w:val="00F03CDB"/>
    <w:rsid w:val="00F0408B"/>
    <w:rsid w:val="00F04163"/>
    <w:rsid w:val="00F041C9"/>
    <w:rsid w:val="00F053C9"/>
    <w:rsid w:val="00F06479"/>
    <w:rsid w:val="00F1414F"/>
    <w:rsid w:val="00F14D16"/>
    <w:rsid w:val="00F15412"/>
    <w:rsid w:val="00F16278"/>
    <w:rsid w:val="00F16FCE"/>
    <w:rsid w:val="00F17BDD"/>
    <w:rsid w:val="00F22918"/>
    <w:rsid w:val="00F24686"/>
    <w:rsid w:val="00F273CB"/>
    <w:rsid w:val="00F317A0"/>
    <w:rsid w:val="00F31B10"/>
    <w:rsid w:val="00F3391E"/>
    <w:rsid w:val="00F408D6"/>
    <w:rsid w:val="00F415A3"/>
    <w:rsid w:val="00F42033"/>
    <w:rsid w:val="00F433DF"/>
    <w:rsid w:val="00F44362"/>
    <w:rsid w:val="00F44579"/>
    <w:rsid w:val="00F473D7"/>
    <w:rsid w:val="00F5045F"/>
    <w:rsid w:val="00F51731"/>
    <w:rsid w:val="00F52687"/>
    <w:rsid w:val="00F5434A"/>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4480"/>
    <w:rsid w:val="00FB56CC"/>
    <w:rsid w:val="00FB71AF"/>
    <w:rsid w:val="00FC4C3F"/>
    <w:rsid w:val="00FC6782"/>
    <w:rsid w:val="00FC6EBF"/>
    <w:rsid w:val="00FD0AE5"/>
    <w:rsid w:val="00FD22AD"/>
    <w:rsid w:val="00FD451A"/>
    <w:rsid w:val="00FD47B4"/>
    <w:rsid w:val="00FE11E3"/>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7144-058A-4FD4-B979-B0C01F8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3</cp:revision>
  <cp:lastPrinted>2015-04-24T15:52:00Z</cp:lastPrinted>
  <dcterms:created xsi:type="dcterms:W3CDTF">2016-11-09T14:03:00Z</dcterms:created>
  <dcterms:modified xsi:type="dcterms:W3CDTF">2016-11-09T14:36:00Z</dcterms:modified>
</cp:coreProperties>
</file>