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Key summary points from the Audit and Risk Committ</w:t>
      </w:r>
      <w:r w:rsidR="00382649">
        <w:rPr>
          <w:rFonts w:cs="Arial"/>
          <w:b/>
          <w:sz w:val="28"/>
          <w:szCs w:val="28"/>
        </w:rPr>
        <w:t>ee meeting held on</w:t>
      </w:r>
      <w:r w:rsidR="001334A0">
        <w:rPr>
          <w:rFonts w:cs="Arial"/>
          <w:b/>
          <w:sz w:val="28"/>
          <w:szCs w:val="28"/>
        </w:rPr>
        <w:t xml:space="preserve"> 02 May </w:t>
      </w:r>
      <w:r w:rsidR="00524AC0">
        <w:rPr>
          <w:rFonts w:cs="Arial"/>
          <w:b/>
          <w:sz w:val="28"/>
          <w:szCs w:val="28"/>
        </w:rPr>
        <w:t>2018</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589"/>
        <w:gridCol w:w="8335"/>
      </w:tblGrid>
      <w:tr w:rsidR="00917849" w:rsidTr="00096C62">
        <w:tc>
          <w:tcPr>
            <w:tcW w:w="1589"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335" w:type="dxa"/>
          </w:tcPr>
          <w:p w:rsidR="000E5951" w:rsidRPr="000E5951" w:rsidRDefault="001334A0" w:rsidP="009C098E">
            <w:pPr>
              <w:shd w:val="clear" w:color="auto" w:fill="FBD4B4" w:themeFill="accent6" w:themeFillTint="66"/>
              <w:ind w:right="-46"/>
              <w:rPr>
                <w:rFonts w:cs="Arial"/>
                <w:b/>
                <w:szCs w:val="28"/>
              </w:rPr>
            </w:pPr>
            <w:r>
              <w:rPr>
                <w:rFonts w:cs="Arial"/>
                <w:b/>
                <w:szCs w:val="28"/>
              </w:rPr>
              <w:t>02 May 2015</w:t>
            </w:r>
            <w:r w:rsidR="000E5951" w:rsidRPr="000E5951">
              <w:rPr>
                <w:rFonts w:cs="Arial"/>
                <w:b/>
                <w:szCs w:val="28"/>
              </w:rPr>
              <w:t>, HRA 1, Skipton House</w:t>
            </w:r>
          </w:p>
          <w:p w:rsidR="000E5951" w:rsidRDefault="000E5951" w:rsidP="00917849">
            <w:pPr>
              <w:ind w:right="-46"/>
              <w:rPr>
                <w:rFonts w:cs="Arial"/>
                <w:szCs w:val="28"/>
              </w:rPr>
            </w:pPr>
          </w:p>
          <w:p w:rsidR="00AB4AAE" w:rsidRPr="009C098E" w:rsidRDefault="001334A0" w:rsidP="009C098E">
            <w:pPr>
              <w:pStyle w:val="ListParagraph"/>
              <w:numPr>
                <w:ilvl w:val="0"/>
                <w:numId w:val="4"/>
              </w:numPr>
              <w:ind w:right="-46"/>
              <w:rPr>
                <w:rFonts w:cs="Arial"/>
                <w:szCs w:val="28"/>
              </w:rPr>
            </w:pPr>
            <w:r>
              <w:rPr>
                <w:rFonts w:cs="Arial"/>
                <w:szCs w:val="28"/>
              </w:rPr>
              <w:t>Quorate</w:t>
            </w:r>
          </w:p>
          <w:p w:rsidR="00524AC0" w:rsidRPr="00524AC0" w:rsidRDefault="00917849" w:rsidP="00524AC0">
            <w:pPr>
              <w:pStyle w:val="ListParagraph"/>
              <w:numPr>
                <w:ilvl w:val="0"/>
                <w:numId w:val="4"/>
              </w:numPr>
              <w:ind w:right="-46"/>
              <w:rPr>
                <w:rFonts w:cs="Arial"/>
                <w:szCs w:val="28"/>
              </w:rPr>
            </w:pPr>
            <w:r w:rsidRPr="009C098E">
              <w:rPr>
                <w:rFonts w:cs="Arial"/>
                <w:szCs w:val="28"/>
              </w:rPr>
              <w:t xml:space="preserve">Attendance (membership) – </w:t>
            </w:r>
            <w:r w:rsidR="001334A0">
              <w:rPr>
                <w:rFonts w:cs="Arial"/>
                <w:szCs w:val="28"/>
              </w:rPr>
              <w:t>4</w:t>
            </w:r>
            <w:r w:rsidRPr="009C098E">
              <w:rPr>
                <w:rFonts w:cs="Arial"/>
                <w:szCs w:val="28"/>
              </w:rPr>
              <w:t>/4</w:t>
            </w:r>
          </w:p>
          <w:p w:rsidR="000E5951" w:rsidRDefault="000E5951" w:rsidP="00AB4AAE">
            <w:pPr>
              <w:ind w:right="-46"/>
              <w:rPr>
                <w:rFonts w:cs="Arial"/>
                <w:szCs w:val="28"/>
              </w:rPr>
            </w:pPr>
          </w:p>
        </w:tc>
      </w:tr>
      <w:tr w:rsidR="00096C62" w:rsidTr="00096C62">
        <w:trPr>
          <w:trHeight w:val="699"/>
        </w:trPr>
        <w:tc>
          <w:tcPr>
            <w:tcW w:w="1589" w:type="dxa"/>
            <w:vMerge w:val="restart"/>
            <w:shd w:val="clear" w:color="auto" w:fill="FBD4B4" w:themeFill="accent6" w:themeFillTint="66"/>
          </w:tcPr>
          <w:p w:rsidR="001334A0" w:rsidRDefault="001334A0" w:rsidP="001334A0">
            <w:pPr>
              <w:shd w:val="clear" w:color="auto" w:fill="FBD4B4" w:themeFill="accent6" w:themeFillTint="66"/>
              <w:ind w:right="-46"/>
              <w:rPr>
                <w:rFonts w:cs="Arial"/>
                <w:b/>
                <w:szCs w:val="28"/>
              </w:rPr>
            </w:pPr>
            <w:r>
              <w:rPr>
                <w:rFonts w:cs="Arial"/>
                <w:b/>
                <w:szCs w:val="28"/>
              </w:rPr>
              <w:t>KEY BUSINESS CONDUCTED</w:t>
            </w:r>
          </w:p>
          <w:p w:rsidR="00096C62" w:rsidRDefault="00096C62" w:rsidP="00AB4AAE">
            <w:pPr>
              <w:ind w:right="-46"/>
              <w:rPr>
                <w:rFonts w:cs="Arial"/>
                <w:szCs w:val="28"/>
              </w:rPr>
            </w:pPr>
          </w:p>
        </w:tc>
        <w:tc>
          <w:tcPr>
            <w:tcW w:w="8335" w:type="dxa"/>
          </w:tcPr>
          <w:p w:rsidR="00096C62" w:rsidRDefault="00096C62" w:rsidP="009C098E">
            <w:pPr>
              <w:shd w:val="clear" w:color="auto" w:fill="FBD4B4" w:themeFill="accent6" w:themeFillTint="66"/>
              <w:rPr>
                <w:b/>
              </w:rPr>
            </w:pPr>
            <w:r>
              <w:rPr>
                <w:b/>
              </w:rPr>
              <w:t>HGIAS Assurance reports and delivery of audit plan</w:t>
            </w:r>
          </w:p>
          <w:p w:rsidR="00096C62" w:rsidRDefault="00096C62" w:rsidP="00FD791B">
            <w:pPr>
              <w:jc w:val="both"/>
            </w:pPr>
          </w:p>
          <w:tbl>
            <w:tblPr>
              <w:tblStyle w:val="TableGrid"/>
              <w:tblW w:w="8109" w:type="dxa"/>
              <w:tblLook w:val="04A0" w:firstRow="1" w:lastRow="0" w:firstColumn="1" w:lastColumn="0" w:noHBand="0" w:noVBand="1"/>
            </w:tblPr>
            <w:tblGrid>
              <w:gridCol w:w="1809"/>
              <w:gridCol w:w="1472"/>
              <w:gridCol w:w="520"/>
              <w:gridCol w:w="533"/>
              <w:gridCol w:w="514"/>
              <w:gridCol w:w="3261"/>
            </w:tblGrid>
            <w:tr w:rsidR="00F96497" w:rsidTr="006D5E36">
              <w:tc>
                <w:tcPr>
                  <w:tcW w:w="1439" w:type="dxa"/>
                  <w:vMerge w:val="restart"/>
                </w:tcPr>
                <w:p w:rsidR="00096C62" w:rsidRDefault="00096C62" w:rsidP="00520A87">
                  <w:pPr>
                    <w:rPr>
                      <w:b/>
                    </w:rPr>
                  </w:pPr>
                  <w:r>
                    <w:rPr>
                      <w:b/>
                    </w:rPr>
                    <w:t>Review</w:t>
                  </w:r>
                </w:p>
              </w:tc>
              <w:tc>
                <w:tcPr>
                  <w:tcW w:w="1282" w:type="dxa"/>
                  <w:vMerge w:val="restart"/>
                </w:tcPr>
                <w:p w:rsidR="00096C62" w:rsidRDefault="00096C62" w:rsidP="00E621F0">
                  <w:pPr>
                    <w:jc w:val="center"/>
                    <w:rPr>
                      <w:b/>
                    </w:rPr>
                  </w:pPr>
                  <w:r>
                    <w:rPr>
                      <w:b/>
                    </w:rPr>
                    <w:t>Assurance level</w:t>
                  </w:r>
                </w:p>
              </w:tc>
              <w:tc>
                <w:tcPr>
                  <w:tcW w:w="1713" w:type="dxa"/>
                  <w:gridSpan w:val="3"/>
                </w:tcPr>
                <w:p w:rsidR="00096C62" w:rsidRDefault="00096C62" w:rsidP="00E621F0">
                  <w:pPr>
                    <w:jc w:val="center"/>
                    <w:rPr>
                      <w:b/>
                    </w:rPr>
                  </w:pPr>
                  <w:r>
                    <w:rPr>
                      <w:b/>
                    </w:rPr>
                    <w:t>Findings</w:t>
                  </w:r>
                </w:p>
              </w:tc>
              <w:tc>
                <w:tcPr>
                  <w:tcW w:w="3675" w:type="dxa"/>
                  <w:vMerge w:val="restart"/>
                </w:tcPr>
                <w:p w:rsidR="00096C62" w:rsidRDefault="00096C62" w:rsidP="00520A87">
                  <w:pPr>
                    <w:rPr>
                      <w:b/>
                    </w:rPr>
                  </w:pPr>
                  <w:r>
                    <w:rPr>
                      <w:b/>
                    </w:rPr>
                    <w:t>Comments</w:t>
                  </w:r>
                </w:p>
              </w:tc>
            </w:tr>
            <w:tr w:rsidR="001334A0" w:rsidTr="006D5E36">
              <w:tc>
                <w:tcPr>
                  <w:tcW w:w="1439" w:type="dxa"/>
                  <w:vMerge/>
                </w:tcPr>
                <w:p w:rsidR="00096C62" w:rsidRDefault="00096C62" w:rsidP="00520A87">
                  <w:pPr>
                    <w:rPr>
                      <w:b/>
                    </w:rPr>
                  </w:pPr>
                </w:p>
              </w:tc>
              <w:tc>
                <w:tcPr>
                  <w:tcW w:w="1282" w:type="dxa"/>
                  <w:vMerge/>
                  <w:tcBorders>
                    <w:bottom w:val="single" w:sz="4" w:space="0" w:color="auto"/>
                  </w:tcBorders>
                </w:tcPr>
                <w:p w:rsidR="00096C62" w:rsidRDefault="00096C62" w:rsidP="00E621F0">
                  <w:pPr>
                    <w:jc w:val="center"/>
                    <w:rPr>
                      <w:b/>
                    </w:rPr>
                  </w:pPr>
                </w:p>
              </w:tc>
              <w:tc>
                <w:tcPr>
                  <w:tcW w:w="571" w:type="dxa"/>
                </w:tcPr>
                <w:p w:rsidR="00096C62" w:rsidRDefault="00096C62" w:rsidP="00E621F0">
                  <w:pPr>
                    <w:jc w:val="center"/>
                    <w:rPr>
                      <w:b/>
                    </w:rPr>
                  </w:pPr>
                  <w:r>
                    <w:rPr>
                      <w:b/>
                    </w:rPr>
                    <w:t>H</w:t>
                  </w:r>
                </w:p>
              </w:tc>
              <w:tc>
                <w:tcPr>
                  <w:tcW w:w="571" w:type="dxa"/>
                </w:tcPr>
                <w:p w:rsidR="00096C62" w:rsidRDefault="00096C62" w:rsidP="00E621F0">
                  <w:pPr>
                    <w:jc w:val="center"/>
                    <w:rPr>
                      <w:b/>
                    </w:rPr>
                  </w:pPr>
                  <w:r>
                    <w:rPr>
                      <w:b/>
                    </w:rPr>
                    <w:t>M</w:t>
                  </w:r>
                </w:p>
              </w:tc>
              <w:tc>
                <w:tcPr>
                  <w:tcW w:w="571" w:type="dxa"/>
                </w:tcPr>
                <w:p w:rsidR="00096C62" w:rsidRDefault="00096C62" w:rsidP="00E621F0">
                  <w:pPr>
                    <w:jc w:val="center"/>
                    <w:rPr>
                      <w:b/>
                    </w:rPr>
                  </w:pPr>
                  <w:r>
                    <w:rPr>
                      <w:b/>
                    </w:rPr>
                    <w:t>L</w:t>
                  </w:r>
                </w:p>
              </w:tc>
              <w:tc>
                <w:tcPr>
                  <w:tcW w:w="3675" w:type="dxa"/>
                  <w:vMerge/>
                </w:tcPr>
                <w:p w:rsidR="00096C62" w:rsidRDefault="00096C62" w:rsidP="00520A87">
                  <w:pPr>
                    <w:rPr>
                      <w:b/>
                    </w:rPr>
                  </w:pPr>
                </w:p>
              </w:tc>
            </w:tr>
            <w:tr w:rsidR="001334A0" w:rsidTr="001334A0">
              <w:tc>
                <w:tcPr>
                  <w:tcW w:w="1439" w:type="dxa"/>
                </w:tcPr>
                <w:p w:rsidR="001334A0" w:rsidRDefault="001334A0" w:rsidP="001334A0">
                  <w:r>
                    <w:t>Development and implementation of externally facing HRA policies and guidance</w:t>
                  </w:r>
                </w:p>
                <w:p w:rsidR="00096C62" w:rsidRPr="0097136F" w:rsidRDefault="00096C62" w:rsidP="006D5E36">
                  <w:pPr>
                    <w:rPr>
                      <w:b/>
                    </w:rPr>
                  </w:pPr>
                </w:p>
              </w:tc>
              <w:tc>
                <w:tcPr>
                  <w:tcW w:w="1282" w:type="dxa"/>
                  <w:tcBorders>
                    <w:bottom w:val="single" w:sz="4" w:space="0" w:color="auto"/>
                  </w:tcBorders>
                  <w:shd w:val="clear" w:color="auto" w:fill="92D050"/>
                </w:tcPr>
                <w:p w:rsidR="00096C62" w:rsidRDefault="00096C62" w:rsidP="00E621F0">
                  <w:pPr>
                    <w:jc w:val="center"/>
                    <w:rPr>
                      <w:b/>
                    </w:rPr>
                  </w:pPr>
                  <w:r>
                    <w:rPr>
                      <w:b/>
                    </w:rPr>
                    <w:t>MODERATE</w:t>
                  </w:r>
                </w:p>
              </w:tc>
              <w:tc>
                <w:tcPr>
                  <w:tcW w:w="571" w:type="dxa"/>
                </w:tcPr>
                <w:p w:rsidR="00096C62" w:rsidRPr="00AB4AAE" w:rsidRDefault="00096C62" w:rsidP="00E621F0">
                  <w:pPr>
                    <w:jc w:val="center"/>
                  </w:pPr>
                  <w:r>
                    <w:t>0</w:t>
                  </w:r>
                </w:p>
              </w:tc>
              <w:tc>
                <w:tcPr>
                  <w:tcW w:w="571" w:type="dxa"/>
                </w:tcPr>
                <w:p w:rsidR="00096C62" w:rsidRPr="00AB4AAE" w:rsidRDefault="001334A0" w:rsidP="00E621F0">
                  <w:pPr>
                    <w:jc w:val="center"/>
                  </w:pPr>
                  <w:r>
                    <w:t>3</w:t>
                  </w:r>
                </w:p>
              </w:tc>
              <w:tc>
                <w:tcPr>
                  <w:tcW w:w="571" w:type="dxa"/>
                </w:tcPr>
                <w:p w:rsidR="00096C62" w:rsidRPr="00AB4AAE" w:rsidRDefault="001334A0" w:rsidP="006D5E36">
                  <w:pPr>
                    <w:jc w:val="center"/>
                  </w:pPr>
                  <w:r>
                    <w:t>4</w:t>
                  </w:r>
                </w:p>
              </w:tc>
              <w:tc>
                <w:tcPr>
                  <w:tcW w:w="3675" w:type="dxa"/>
                </w:tcPr>
                <w:p w:rsidR="00096C62" w:rsidRPr="00AB4AAE" w:rsidRDefault="001334A0" w:rsidP="001334A0">
                  <w:r>
                    <w:t xml:space="preserve">Recommendations related to definition of roles and responsibilities, development of a process documentation to promote consistency for external guidance and development of a process to document and provide audit trail of stakeholder analysis. </w:t>
                  </w:r>
                </w:p>
              </w:tc>
            </w:tr>
            <w:tr w:rsidR="001334A0" w:rsidTr="001334A0">
              <w:tc>
                <w:tcPr>
                  <w:tcW w:w="1439" w:type="dxa"/>
                </w:tcPr>
                <w:p w:rsidR="001334A0" w:rsidRDefault="001334A0" w:rsidP="001334A0">
                  <w:r>
                    <w:t>Key financial controls</w:t>
                  </w:r>
                </w:p>
                <w:p w:rsidR="001334A0" w:rsidRDefault="001334A0" w:rsidP="001334A0"/>
              </w:tc>
              <w:tc>
                <w:tcPr>
                  <w:tcW w:w="1282" w:type="dxa"/>
                  <w:shd w:val="clear" w:color="auto" w:fill="00B050"/>
                </w:tcPr>
                <w:p w:rsidR="001334A0" w:rsidRDefault="001334A0" w:rsidP="00E621F0">
                  <w:pPr>
                    <w:jc w:val="center"/>
                    <w:rPr>
                      <w:b/>
                    </w:rPr>
                  </w:pPr>
                  <w:r>
                    <w:rPr>
                      <w:b/>
                    </w:rPr>
                    <w:t>SUBSTANTIAL</w:t>
                  </w:r>
                </w:p>
              </w:tc>
              <w:tc>
                <w:tcPr>
                  <w:tcW w:w="571" w:type="dxa"/>
                </w:tcPr>
                <w:p w:rsidR="001334A0" w:rsidRDefault="001334A0" w:rsidP="00E621F0">
                  <w:pPr>
                    <w:jc w:val="center"/>
                  </w:pPr>
                  <w:r>
                    <w:t>0</w:t>
                  </w:r>
                </w:p>
              </w:tc>
              <w:tc>
                <w:tcPr>
                  <w:tcW w:w="571" w:type="dxa"/>
                </w:tcPr>
                <w:p w:rsidR="001334A0" w:rsidRPr="00AB4AAE" w:rsidRDefault="001334A0" w:rsidP="00E621F0">
                  <w:pPr>
                    <w:jc w:val="center"/>
                  </w:pPr>
                  <w:r>
                    <w:t>0</w:t>
                  </w:r>
                </w:p>
              </w:tc>
              <w:tc>
                <w:tcPr>
                  <w:tcW w:w="571" w:type="dxa"/>
                </w:tcPr>
                <w:p w:rsidR="001334A0" w:rsidRPr="00AB4AAE" w:rsidRDefault="001334A0" w:rsidP="006D5E36">
                  <w:pPr>
                    <w:jc w:val="center"/>
                  </w:pPr>
                  <w:r>
                    <w:t>0</w:t>
                  </w:r>
                </w:p>
              </w:tc>
              <w:tc>
                <w:tcPr>
                  <w:tcW w:w="3675" w:type="dxa"/>
                </w:tcPr>
                <w:p w:rsidR="001334A0" w:rsidRPr="00AB4AAE" w:rsidRDefault="001334A0" w:rsidP="000E22AB">
                  <w:r>
                    <w:t>Zero recommendations. The Committee congratulated the finance team for an excellent audit.</w:t>
                  </w:r>
                </w:p>
              </w:tc>
            </w:tr>
            <w:tr w:rsidR="001334A0" w:rsidTr="001334A0">
              <w:tc>
                <w:tcPr>
                  <w:tcW w:w="1439" w:type="dxa"/>
                </w:tcPr>
                <w:p w:rsidR="001334A0" w:rsidRDefault="001334A0" w:rsidP="001334A0">
                  <w:r>
                    <w:t>Programme &amp; Project Management review – SIP</w:t>
                  </w:r>
                </w:p>
                <w:p w:rsidR="001334A0" w:rsidRDefault="001334A0" w:rsidP="001334A0"/>
              </w:tc>
              <w:tc>
                <w:tcPr>
                  <w:tcW w:w="1282" w:type="dxa"/>
                  <w:shd w:val="clear" w:color="auto" w:fill="92D050"/>
                </w:tcPr>
                <w:p w:rsidR="001334A0" w:rsidRDefault="00F96497" w:rsidP="00E621F0">
                  <w:pPr>
                    <w:jc w:val="center"/>
                    <w:rPr>
                      <w:b/>
                    </w:rPr>
                  </w:pPr>
                  <w:r>
                    <w:rPr>
                      <w:b/>
                    </w:rPr>
                    <w:t>MODERATE</w:t>
                  </w:r>
                </w:p>
              </w:tc>
              <w:tc>
                <w:tcPr>
                  <w:tcW w:w="571" w:type="dxa"/>
                </w:tcPr>
                <w:p w:rsidR="001334A0" w:rsidRDefault="00F96497" w:rsidP="00E621F0">
                  <w:pPr>
                    <w:jc w:val="center"/>
                  </w:pPr>
                  <w:r>
                    <w:t>0</w:t>
                  </w:r>
                </w:p>
              </w:tc>
              <w:tc>
                <w:tcPr>
                  <w:tcW w:w="571" w:type="dxa"/>
                </w:tcPr>
                <w:p w:rsidR="001334A0" w:rsidRPr="00AB4AAE" w:rsidRDefault="00F96497" w:rsidP="00E621F0">
                  <w:pPr>
                    <w:jc w:val="center"/>
                  </w:pPr>
                  <w:r>
                    <w:t>4</w:t>
                  </w:r>
                </w:p>
              </w:tc>
              <w:tc>
                <w:tcPr>
                  <w:tcW w:w="571" w:type="dxa"/>
                </w:tcPr>
                <w:p w:rsidR="001334A0" w:rsidRPr="00AB4AAE" w:rsidRDefault="00F96497" w:rsidP="006D5E36">
                  <w:pPr>
                    <w:jc w:val="center"/>
                  </w:pPr>
                  <w:r>
                    <w:t>0</w:t>
                  </w:r>
                </w:p>
              </w:tc>
              <w:tc>
                <w:tcPr>
                  <w:tcW w:w="3675" w:type="dxa"/>
                </w:tcPr>
                <w:p w:rsidR="001334A0" w:rsidRPr="00AB4AAE" w:rsidRDefault="00F96497" w:rsidP="00F96497">
                  <w:r>
                    <w:t>Recommendations related to setting out governance arrangements and the requirement for benefits to have baseline data and be tracked after transition to BAU.</w:t>
                  </w:r>
                </w:p>
              </w:tc>
            </w:tr>
            <w:tr w:rsidR="001334A0" w:rsidTr="00F96497">
              <w:tc>
                <w:tcPr>
                  <w:tcW w:w="1439" w:type="dxa"/>
                </w:tcPr>
                <w:p w:rsidR="001334A0" w:rsidRDefault="001334A0" w:rsidP="001334A0">
                  <w:r>
                    <w:t>Effectiveness of the Confidentiality Advisory Group function</w:t>
                  </w:r>
                </w:p>
                <w:p w:rsidR="001334A0" w:rsidRDefault="001334A0" w:rsidP="001334A0"/>
              </w:tc>
              <w:tc>
                <w:tcPr>
                  <w:tcW w:w="1282" w:type="dxa"/>
                  <w:tcBorders>
                    <w:bottom w:val="single" w:sz="4" w:space="0" w:color="auto"/>
                  </w:tcBorders>
                  <w:shd w:val="clear" w:color="auto" w:fill="92D050"/>
                </w:tcPr>
                <w:p w:rsidR="001334A0" w:rsidRDefault="00F96497" w:rsidP="00E621F0">
                  <w:pPr>
                    <w:jc w:val="center"/>
                    <w:rPr>
                      <w:b/>
                    </w:rPr>
                  </w:pPr>
                  <w:r>
                    <w:rPr>
                      <w:b/>
                    </w:rPr>
                    <w:t>MODERATE</w:t>
                  </w:r>
                </w:p>
              </w:tc>
              <w:tc>
                <w:tcPr>
                  <w:tcW w:w="571" w:type="dxa"/>
                </w:tcPr>
                <w:p w:rsidR="001334A0" w:rsidRDefault="00F96497" w:rsidP="00E621F0">
                  <w:pPr>
                    <w:jc w:val="center"/>
                  </w:pPr>
                  <w:r>
                    <w:t>0</w:t>
                  </w:r>
                </w:p>
              </w:tc>
              <w:tc>
                <w:tcPr>
                  <w:tcW w:w="571" w:type="dxa"/>
                </w:tcPr>
                <w:p w:rsidR="001334A0" w:rsidRPr="00AB4AAE" w:rsidRDefault="00F96497" w:rsidP="00E621F0">
                  <w:pPr>
                    <w:jc w:val="center"/>
                  </w:pPr>
                  <w:r>
                    <w:t>2</w:t>
                  </w:r>
                </w:p>
              </w:tc>
              <w:tc>
                <w:tcPr>
                  <w:tcW w:w="571" w:type="dxa"/>
                </w:tcPr>
                <w:p w:rsidR="001334A0" w:rsidRPr="00AB4AAE" w:rsidRDefault="00F96497" w:rsidP="006D5E36">
                  <w:pPr>
                    <w:jc w:val="center"/>
                  </w:pPr>
                  <w:r>
                    <w:t>1</w:t>
                  </w:r>
                </w:p>
              </w:tc>
              <w:tc>
                <w:tcPr>
                  <w:tcW w:w="3675" w:type="dxa"/>
                </w:tcPr>
                <w:p w:rsidR="001334A0" w:rsidRPr="00AB4AAE" w:rsidRDefault="00F96497" w:rsidP="000E22AB">
                  <w:r>
                    <w:t>Recommendations related to clarifying obligations and formalising the framework in relation to CAG providing advice to NHS Digital and establishing a mechanism for CAG to self-evaluate own effectiveness.</w:t>
                  </w:r>
                </w:p>
              </w:tc>
            </w:tr>
            <w:tr w:rsidR="001334A0" w:rsidTr="00F96497">
              <w:tc>
                <w:tcPr>
                  <w:tcW w:w="1439" w:type="dxa"/>
                </w:tcPr>
                <w:p w:rsidR="001334A0" w:rsidRDefault="001334A0" w:rsidP="00D07DBF">
                  <w:r>
                    <w:t>Recommendation Follow-up</w:t>
                  </w:r>
                </w:p>
              </w:tc>
              <w:tc>
                <w:tcPr>
                  <w:tcW w:w="1282" w:type="dxa"/>
                  <w:tcBorders>
                    <w:bottom w:val="single" w:sz="4" w:space="0" w:color="auto"/>
                  </w:tcBorders>
                  <w:shd w:val="clear" w:color="auto" w:fill="D9D9D9" w:themeFill="background1" w:themeFillShade="D9"/>
                </w:tcPr>
                <w:p w:rsidR="001334A0" w:rsidRDefault="00F96497" w:rsidP="00E621F0">
                  <w:pPr>
                    <w:jc w:val="center"/>
                    <w:rPr>
                      <w:b/>
                    </w:rPr>
                  </w:pPr>
                  <w:r>
                    <w:rPr>
                      <w:b/>
                    </w:rPr>
                    <w:t>ADVISORY</w:t>
                  </w:r>
                </w:p>
              </w:tc>
              <w:tc>
                <w:tcPr>
                  <w:tcW w:w="571" w:type="dxa"/>
                </w:tcPr>
                <w:p w:rsidR="001334A0" w:rsidRDefault="00F96497" w:rsidP="00E621F0">
                  <w:pPr>
                    <w:jc w:val="center"/>
                  </w:pPr>
                  <w:r>
                    <w:t>-</w:t>
                  </w:r>
                </w:p>
              </w:tc>
              <w:tc>
                <w:tcPr>
                  <w:tcW w:w="571" w:type="dxa"/>
                </w:tcPr>
                <w:p w:rsidR="001334A0" w:rsidRPr="00AB4AAE" w:rsidRDefault="00F96497" w:rsidP="00E621F0">
                  <w:pPr>
                    <w:jc w:val="center"/>
                  </w:pPr>
                  <w:r>
                    <w:t>-</w:t>
                  </w:r>
                </w:p>
              </w:tc>
              <w:tc>
                <w:tcPr>
                  <w:tcW w:w="571" w:type="dxa"/>
                </w:tcPr>
                <w:p w:rsidR="001334A0" w:rsidRPr="00AB4AAE" w:rsidRDefault="00F96497" w:rsidP="006D5E36">
                  <w:pPr>
                    <w:jc w:val="center"/>
                  </w:pPr>
                  <w:r>
                    <w:t>-</w:t>
                  </w:r>
                </w:p>
              </w:tc>
              <w:tc>
                <w:tcPr>
                  <w:tcW w:w="3675" w:type="dxa"/>
                </w:tcPr>
                <w:p w:rsidR="001334A0" w:rsidRPr="00AB4AAE" w:rsidRDefault="00F96497" w:rsidP="00D07DBF">
                  <w:r>
                    <w:t>Recommendations from previous audits adequately implemented.</w:t>
                  </w:r>
                </w:p>
              </w:tc>
            </w:tr>
          </w:tbl>
          <w:p w:rsidR="00096C62" w:rsidRPr="00FD791B" w:rsidRDefault="00096C62" w:rsidP="00416A35">
            <w:pPr>
              <w:rPr>
                <w:i/>
                <w:sz w:val="18"/>
              </w:rPr>
            </w:pPr>
            <w:r>
              <w:rPr>
                <w:i/>
                <w:sz w:val="18"/>
              </w:rPr>
              <w:t>S</w:t>
            </w:r>
            <w:r w:rsidRPr="00FD791B">
              <w:rPr>
                <w:i/>
                <w:sz w:val="18"/>
              </w:rPr>
              <w:t xml:space="preserve">ubstantial </w:t>
            </w:r>
            <w:r>
              <w:rPr>
                <w:i/>
                <w:sz w:val="18"/>
              </w:rPr>
              <w:t>–</w:t>
            </w:r>
            <w:r w:rsidRPr="00FD791B">
              <w:rPr>
                <w:i/>
                <w:sz w:val="18"/>
              </w:rPr>
              <w:t xml:space="preserve"> </w:t>
            </w:r>
            <w:r>
              <w:rPr>
                <w:i/>
                <w:sz w:val="18"/>
              </w:rPr>
              <w:t xml:space="preserve">the </w:t>
            </w:r>
            <w:r w:rsidRPr="00FD791B">
              <w:rPr>
                <w:i/>
                <w:sz w:val="18"/>
              </w:rPr>
              <w:t>framework of governance, risk management and co</w:t>
            </w:r>
            <w:r>
              <w:rPr>
                <w:i/>
                <w:sz w:val="18"/>
              </w:rPr>
              <w:t xml:space="preserve">ntrol </w:t>
            </w:r>
            <w:r w:rsidRPr="00FD791B">
              <w:rPr>
                <w:i/>
                <w:sz w:val="18"/>
              </w:rPr>
              <w:t xml:space="preserve">is adequate </w:t>
            </w:r>
            <w:r>
              <w:rPr>
                <w:i/>
                <w:sz w:val="18"/>
              </w:rPr>
              <w:t>&amp; effective</w:t>
            </w:r>
          </w:p>
          <w:p w:rsidR="00096C62" w:rsidRPr="00FD791B" w:rsidRDefault="00096C62" w:rsidP="00416A35">
            <w:pPr>
              <w:rPr>
                <w:i/>
                <w:sz w:val="18"/>
              </w:rPr>
            </w:pPr>
            <w:r w:rsidRPr="00FD791B">
              <w:rPr>
                <w:i/>
                <w:sz w:val="18"/>
              </w:rPr>
              <w:t>Moderate - some improvements are required to enhance the adequacy and</w:t>
            </w:r>
            <w:r>
              <w:rPr>
                <w:i/>
                <w:sz w:val="18"/>
              </w:rPr>
              <w:t xml:space="preserve"> effectiveness of the framework</w:t>
            </w:r>
          </w:p>
          <w:p w:rsidR="00096C62" w:rsidRPr="00FD791B" w:rsidRDefault="00096C62" w:rsidP="00416A35">
            <w:pPr>
              <w:rPr>
                <w:i/>
                <w:sz w:val="18"/>
              </w:rPr>
            </w:pPr>
            <w:r w:rsidRPr="00FD791B">
              <w:rPr>
                <w:i/>
                <w:sz w:val="18"/>
              </w:rPr>
              <w:t xml:space="preserve">Limited - significant weaknesses in the framework </w:t>
            </w:r>
            <w:r>
              <w:rPr>
                <w:i/>
                <w:sz w:val="18"/>
              </w:rPr>
              <w:t xml:space="preserve">- it could be / </w:t>
            </w:r>
            <w:r w:rsidRPr="00FD791B">
              <w:rPr>
                <w:i/>
                <w:sz w:val="18"/>
              </w:rPr>
              <w:t>could become inadequate and ineffective</w:t>
            </w:r>
          </w:p>
          <w:p w:rsidR="00096C62" w:rsidRDefault="00096C62" w:rsidP="002A59FC">
            <w:pPr>
              <w:rPr>
                <w:i/>
                <w:sz w:val="18"/>
              </w:rPr>
            </w:pPr>
            <w:r w:rsidRPr="00FD791B">
              <w:rPr>
                <w:i/>
                <w:sz w:val="18"/>
              </w:rPr>
              <w:t xml:space="preserve">Unsatisfactory - fundamental weaknesses in the framework </w:t>
            </w:r>
            <w:r>
              <w:rPr>
                <w:i/>
                <w:sz w:val="18"/>
              </w:rPr>
              <w:t xml:space="preserve">- </w:t>
            </w:r>
            <w:r w:rsidRPr="00FD791B">
              <w:rPr>
                <w:i/>
                <w:sz w:val="18"/>
              </w:rPr>
              <w:t>it is inadequate and ineffective or is likely to fail</w:t>
            </w:r>
          </w:p>
          <w:p w:rsidR="00096C62" w:rsidRDefault="00096C62" w:rsidP="002A59FC">
            <w:pPr>
              <w:rPr>
                <w:i/>
                <w:sz w:val="18"/>
              </w:rPr>
            </w:pPr>
          </w:p>
          <w:p w:rsidR="00096C62" w:rsidRPr="00DA67AA" w:rsidRDefault="00442B16" w:rsidP="002A59FC">
            <w:r>
              <w:t>A mo</w:t>
            </w:r>
            <w:r w:rsidR="00F96497">
              <w:t>derate assurance was provided by the HGIAS HRA’s Head of Internal Audit for 2017/18 which will be included in the HRA Annual Report and Accounts.</w:t>
            </w:r>
          </w:p>
          <w:p w:rsidR="00096C62" w:rsidRPr="00DA67AA" w:rsidRDefault="00096C62" w:rsidP="002A59FC">
            <w:pPr>
              <w:rPr>
                <w:sz w:val="18"/>
              </w:rPr>
            </w:pPr>
          </w:p>
        </w:tc>
      </w:tr>
      <w:tr w:rsidR="00F96497" w:rsidTr="00096C62">
        <w:trPr>
          <w:trHeight w:val="699"/>
        </w:trPr>
        <w:tc>
          <w:tcPr>
            <w:tcW w:w="1589" w:type="dxa"/>
            <w:vMerge/>
            <w:shd w:val="clear" w:color="auto" w:fill="FBD4B4" w:themeFill="accent6" w:themeFillTint="66"/>
          </w:tcPr>
          <w:p w:rsidR="00F96497" w:rsidRDefault="00F96497" w:rsidP="001334A0">
            <w:pPr>
              <w:shd w:val="clear" w:color="auto" w:fill="FBD4B4" w:themeFill="accent6" w:themeFillTint="66"/>
              <w:ind w:right="-46"/>
              <w:rPr>
                <w:rFonts w:cs="Arial"/>
                <w:b/>
                <w:szCs w:val="28"/>
              </w:rPr>
            </w:pPr>
          </w:p>
        </w:tc>
        <w:tc>
          <w:tcPr>
            <w:tcW w:w="8335" w:type="dxa"/>
          </w:tcPr>
          <w:p w:rsidR="00F96497" w:rsidRDefault="000B5773" w:rsidP="00F96497">
            <w:pPr>
              <w:shd w:val="clear" w:color="auto" w:fill="FBD4B4" w:themeFill="accent6" w:themeFillTint="66"/>
              <w:rPr>
                <w:b/>
              </w:rPr>
            </w:pPr>
            <w:r>
              <w:rPr>
                <w:b/>
              </w:rPr>
              <w:t>Emergency incident scenario</w:t>
            </w:r>
          </w:p>
          <w:p w:rsidR="00F96497" w:rsidRDefault="00F96497" w:rsidP="00F96497"/>
          <w:p w:rsidR="00F96497" w:rsidRDefault="00F96497" w:rsidP="000B5773">
            <w:pPr>
              <w:rPr>
                <w:shd w:val="clear" w:color="auto" w:fill="FFFFFF" w:themeFill="background1"/>
              </w:rPr>
            </w:pPr>
            <w:r w:rsidRPr="00F96497">
              <w:rPr>
                <w:shd w:val="clear" w:color="auto" w:fill="FFFFFF" w:themeFill="background1"/>
              </w:rPr>
              <w:t xml:space="preserve">The </w:t>
            </w:r>
            <w:r w:rsidR="000B5773">
              <w:rPr>
                <w:shd w:val="clear" w:color="auto" w:fill="FFFFFF" w:themeFill="background1"/>
              </w:rPr>
              <w:t xml:space="preserve">Committee received a verbal update regarding the test incident which had related to a Ransomware demand affecting the IRAS and HARP research systems. The Committee noted those involved had responded well to the scenario with a full report to be considered at a future meeting. </w:t>
            </w:r>
          </w:p>
          <w:p w:rsidR="000B5773" w:rsidRDefault="000B5773" w:rsidP="000B5773">
            <w:pPr>
              <w:rPr>
                <w:b/>
              </w:rPr>
            </w:pPr>
          </w:p>
        </w:tc>
      </w:tr>
      <w:tr w:rsidR="00096C62" w:rsidTr="00096C62">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F96497" w:rsidP="009C098E">
            <w:pPr>
              <w:shd w:val="clear" w:color="auto" w:fill="FBD4B4" w:themeFill="accent6" w:themeFillTint="66"/>
              <w:rPr>
                <w:b/>
              </w:rPr>
            </w:pPr>
            <w:r>
              <w:rPr>
                <w:rFonts w:cs="Arial"/>
                <w:b/>
              </w:rPr>
              <w:t>Draft HRA Internal Audit Plan 2018/</w:t>
            </w:r>
            <w:r>
              <w:rPr>
                <w:rFonts w:cs="Arial"/>
                <w:b/>
              </w:rPr>
              <w:t>19</w:t>
            </w:r>
          </w:p>
          <w:p w:rsidR="00096C62" w:rsidRDefault="00096C62" w:rsidP="00F96497"/>
          <w:p w:rsidR="00F96497" w:rsidRDefault="00F96497" w:rsidP="00252481">
            <w:r>
              <w:t xml:space="preserve">The Committee reviewed and approved the proposed </w:t>
            </w:r>
            <w:r w:rsidR="00252481">
              <w:t xml:space="preserve">Internal Audit Plan for 2018/19. The Committee recommended the key financial controls audit be reduced in time or removed from the plan following the substantial rating received recently. Instead, the Committee recommended resource is assigned to consider the HRA’s preparedness for Brexit above and beyond the work in relation to the preparedness for the Clinical Trials Regulations which already has an audit planned for Q3. </w:t>
            </w:r>
          </w:p>
          <w:p w:rsidR="00252481" w:rsidRPr="00A36BD7" w:rsidRDefault="00252481" w:rsidP="00252481"/>
        </w:tc>
      </w:tr>
      <w:tr w:rsidR="00096C62" w:rsidTr="00096C62">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252481" w:rsidRDefault="00252481" w:rsidP="00252481">
            <w:pPr>
              <w:shd w:val="clear" w:color="auto" w:fill="FBD4B4" w:themeFill="accent6" w:themeFillTint="66"/>
              <w:rPr>
                <w:b/>
              </w:rPr>
            </w:pPr>
            <w:r>
              <w:rPr>
                <w:b/>
              </w:rPr>
              <w:t>Assurance Mapping Framework</w:t>
            </w:r>
          </w:p>
          <w:p w:rsidR="00252481" w:rsidRDefault="00252481" w:rsidP="00252481">
            <w:pPr>
              <w:autoSpaceDE w:val="0"/>
              <w:autoSpaceDN w:val="0"/>
              <w:adjustRightInd w:val="0"/>
            </w:pPr>
          </w:p>
          <w:p w:rsidR="00096C62" w:rsidRDefault="00252481" w:rsidP="0001360C">
            <w:pPr>
              <w:autoSpaceDE w:val="0"/>
              <w:autoSpaceDN w:val="0"/>
              <w:adjustRightInd w:val="0"/>
            </w:pPr>
            <w:r>
              <w:t>The Committee reviewed and approved the proposed assurance mapping framework which sets out how future reviews would be undertaken. These would follow a three pronged approach depending on the level of risk and strategic importance to the organisation with a self-assessment, a corporate review audit conducted by HRA QA team or an audit by HGIAS or other</w:t>
            </w:r>
            <w:r w:rsidR="00D07DBF">
              <w:t xml:space="preserve"> external providers</w:t>
            </w:r>
            <w:r>
              <w:t xml:space="preserve"> being undertaken. </w:t>
            </w:r>
          </w:p>
          <w:p w:rsidR="0001360C" w:rsidRPr="00A36BD7" w:rsidRDefault="0001360C" w:rsidP="0001360C">
            <w:pPr>
              <w:autoSpaceDE w:val="0"/>
              <w:autoSpaceDN w:val="0"/>
              <w:adjustRightInd w:val="0"/>
            </w:pPr>
          </w:p>
        </w:tc>
      </w:tr>
      <w:tr w:rsidR="00096C62" w:rsidTr="00096C62">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01360C" w:rsidP="0097136F">
            <w:pPr>
              <w:shd w:val="clear" w:color="auto" w:fill="FBD4B4" w:themeFill="accent6" w:themeFillTint="66"/>
              <w:rPr>
                <w:b/>
              </w:rPr>
            </w:pPr>
            <w:r>
              <w:rPr>
                <w:b/>
              </w:rPr>
              <w:t>Annual Accounts 2017/18</w:t>
            </w:r>
          </w:p>
          <w:p w:rsidR="00096C62" w:rsidRDefault="00096C62" w:rsidP="00520A87">
            <w:pPr>
              <w:rPr>
                <w:b/>
              </w:rPr>
            </w:pPr>
          </w:p>
          <w:p w:rsidR="0001360C" w:rsidRPr="0001360C" w:rsidRDefault="0001360C" w:rsidP="00520A87">
            <w:r w:rsidRPr="0001360C">
              <w:t>The Committee reviewed the draft accoun</w:t>
            </w:r>
            <w:r w:rsidR="00D07DBF">
              <w:t>ts noting the external audit is currently</w:t>
            </w:r>
            <w:r w:rsidRPr="0001360C">
              <w:t xml:space="preserve"> in progress. The full annual report and accounts would be reviewed and approved at the subsequent meeting.</w:t>
            </w:r>
          </w:p>
          <w:p w:rsidR="00096C62" w:rsidRPr="00520A87" w:rsidRDefault="00096C62" w:rsidP="00F96497"/>
        </w:tc>
      </w:tr>
      <w:tr w:rsidR="00096C62" w:rsidTr="00652054">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1360C" w:rsidRDefault="0001360C" w:rsidP="0001360C">
            <w:pPr>
              <w:shd w:val="clear" w:color="auto" w:fill="FBD4B4" w:themeFill="accent6" w:themeFillTint="66"/>
              <w:rPr>
                <w:b/>
              </w:rPr>
            </w:pPr>
            <w:r>
              <w:rPr>
                <w:b/>
              </w:rPr>
              <w:t>HRA Corporate Risk Register Quarter 4 2017/18</w:t>
            </w:r>
          </w:p>
          <w:p w:rsidR="0001360C" w:rsidRDefault="0001360C" w:rsidP="0001360C">
            <w:pPr>
              <w:shd w:val="clear" w:color="auto" w:fill="FFFFFF" w:themeFill="background1"/>
              <w:rPr>
                <w:b/>
              </w:rPr>
            </w:pPr>
          </w:p>
          <w:p w:rsidR="00096C62" w:rsidRDefault="0001360C" w:rsidP="0001360C">
            <w:pPr>
              <w:shd w:val="clear" w:color="auto" w:fill="FFFFFF" w:themeFill="background1"/>
              <w:rPr>
                <w:b/>
              </w:rPr>
            </w:pPr>
            <w:r>
              <w:t>The Committee reviewed and approved the latest risk register noting the movement in risks with more focus on research systems and GDPR preparedness.</w:t>
            </w:r>
          </w:p>
          <w:p w:rsidR="00252481" w:rsidRPr="00DA67AA" w:rsidRDefault="00252481" w:rsidP="0001360C">
            <w:pPr>
              <w:autoSpaceDE w:val="0"/>
              <w:autoSpaceDN w:val="0"/>
              <w:adjustRightInd w:val="0"/>
            </w:pPr>
          </w:p>
        </w:tc>
      </w:tr>
      <w:tr w:rsidR="00096C62" w:rsidTr="00096C62">
        <w:tc>
          <w:tcPr>
            <w:tcW w:w="1589" w:type="dxa"/>
            <w:vMerge/>
            <w:tcBorders>
              <w:bottom w:val="single" w:sz="4" w:space="0" w:color="auto"/>
            </w:tcBorders>
            <w:shd w:val="clear" w:color="auto" w:fill="FBD4B4" w:themeFill="accent6" w:themeFillTint="66"/>
          </w:tcPr>
          <w:p w:rsidR="00096C62" w:rsidRDefault="00096C62" w:rsidP="00AB4AAE">
            <w:pPr>
              <w:ind w:right="-46"/>
              <w:rPr>
                <w:rFonts w:cs="Arial"/>
                <w:szCs w:val="28"/>
              </w:rPr>
            </w:pPr>
          </w:p>
        </w:tc>
        <w:tc>
          <w:tcPr>
            <w:tcW w:w="8335" w:type="dxa"/>
          </w:tcPr>
          <w:p w:rsidR="00096C62" w:rsidRDefault="0001360C" w:rsidP="008C6063">
            <w:pPr>
              <w:shd w:val="clear" w:color="auto" w:fill="FBD4B4" w:themeFill="accent6" w:themeFillTint="66"/>
              <w:rPr>
                <w:b/>
              </w:rPr>
            </w:pPr>
            <w:r>
              <w:rPr>
                <w:b/>
              </w:rPr>
              <w:t>Deep Dive into data and consent</w:t>
            </w:r>
          </w:p>
          <w:p w:rsidR="00096C62" w:rsidRDefault="00096C62" w:rsidP="008C6063">
            <w:pPr>
              <w:rPr>
                <w:b/>
              </w:rPr>
            </w:pPr>
          </w:p>
          <w:p w:rsidR="00096C62" w:rsidRDefault="0001360C" w:rsidP="000B5773">
            <w:r>
              <w:t xml:space="preserve">A discussion was held regarding the HRA’s internal preparedness for GDPR and also the HRA’s role in developing guidance for researchers and others. The Committee noted much of the work to </w:t>
            </w:r>
            <w:r w:rsidR="000B5773">
              <w:t>develop and provide</w:t>
            </w:r>
            <w:r>
              <w:t xml:space="preserve"> guidance to the research sector was complete however </w:t>
            </w:r>
            <w:r w:rsidR="00D07DBF">
              <w:t>one</w:t>
            </w:r>
            <w:r>
              <w:t xml:space="preserve"> issue, outside of the HRA’s control, </w:t>
            </w:r>
            <w:r w:rsidR="00D07DBF">
              <w:t>related to</w:t>
            </w:r>
            <w:r>
              <w:t xml:space="preserve"> how aware </w:t>
            </w:r>
            <w:r w:rsidR="000B5773">
              <w:t xml:space="preserve">and ready </w:t>
            </w:r>
            <w:r>
              <w:t xml:space="preserve">other organisations </w:t>
            </w:r>
            <w:r w:rsidR="000B5773">
              <w:t>are.</w:t>
            </w:r>
          </w:p>
          <w:p w:rsidR="000B5773" w:rsidRPr="00DA67AA" w:rsidRDefault="000B5773" w:rsidP="000B5773"/>
        </w:tc>
      </w:tr>
      <w:tr w:rsidR="00096C62" w:rsidTr="00096C62">
        <w:tc>
          <w:tcPr>
            <w:tcW w:w="1589" w:type="dxa"/>
            <w:shd w:val="clear" w:color="auto" w:fill="FBD4B4" w:themeFill="accent6" w:themeFillTint="66"/>
          </w:tcPr>
          <w:p w:rsidR="00096C62" w:rsidRPr="00A36BD7" w:rsidRDefault="00096C62" w:rsidP="00AB4AAE">
            <w:pPr>
              <w:ind w:right="-46"/>
              <w:rPr>
                <w:rFonts w:cs="Arial"/>
                <w:b/>
                <w:szCs w:val="28"/>
              </w:rPr>
            </w:pPr>
            <w:r>
              <w:rPr>
                <w:rFonts w:cs="Arial"/>
                <w:b/>
                <w:szCs w:val="28"/>
              </w:rPr>
              <w:t>UPCOMING MEETING TOPICS</w:t>
            </w:r>
          </w:p>
          <w:p w:rsidR="00096C62" w:rsidRDefault="00096C62" w:rsidP="00AB4AAE">
            <w:pPr>
              <w:ind w:right="-46"/>
              <w:rPr>
                <w:rFonts w:cs="Arial"/>
                <w:szCs w:val="28"/>
              </w:rPr>
            </w:pPr>
          </w:p>
        </w:tc>
        <w:tc>
          <w:tcPr>
            <w:tcW w:w="8335" w:type="dxa"/>
          </w:tcPr>
          <w:p w:rsidR="00096C62" w:rsidRDefault="00096C62" w:rsidP="00374B9B">
            <w:pPr>
              <w:pStyle w:val="ListParagraph"/>
              <w:rPr>
                <w:rFonts w:cs="Arial"/>
                <w:szCs w:val="28"/>
              </w:rPr>
            </w:pPr>
            <w:bookmarkStart w:id="0" w:name="_GoBack"/>
            <w:bookmarkEnd w:id="0"/>
          </w:p>
          <w:p w:rsidR="00096C62" w:rsidRDefault="000B5773" w:rsidP="000B5773">
            <w:pPr>
              <w:pStyle w:val="ListParagraph"/>
              <w:numPr>
                <w:ilvl w:val="0"/>
                <w:numId w:val="2"/>
              </w:numPr>
              <w:rPr>
                <w:rFonts w:cs="Arial"/>
                <w:szCs w:val="28"/>
              </w:rPr>
            </w:pPr>
            <w:r>
              <w:rPr>
                <w:rFonts w:cs="Arial"/>
                <w:szCs w:val="28"/>
              </w:rPr>
              <w:t>Review and approve annual report and accounts</w:t>
            </w:r>
          </w:p>
          <w:p w:rsidR="000B5773" w:rsidRPr="00FB4A6E" w:rsidRDefault="000B5773" w:rsidP="000B5773">
            <w:pPr>
              <w:pStyle w:val="ListParagraph"/>
              <w:numPr>
                <w:ilvl w:val="0"/>
                <w:numId w:val="2"/>
              </w:numPr>
              <w:rPr>
                <w:rFonts w:cs="Arial"/>
                <w:szCs w:val="28"/>
              </w:rPr>
            </w:pPr>
            <w:r>
              <w:rPr>
                <w:rFonts w:cs="Arial"/>
                <w:szCs w:val="28"/>
              </w:rPr>
              <w:t>Deep dive into research systems procurement</w:t>
            </w: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0E22AB">
      <w:footerReference w:type="default" r:id="rId8"/>
      <w:headerReference w:type="first" r:id="rId9"/>
      <w:foot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9B" w:rsidRPr="00382649" w:rsidRDefault="006D5E36" w:rsidP="00374B9B">
    <w:pPr>
      <w:pStyle w:val="Footer"/>
      <w:rPr>
        <w:sz w:val="18"/>
      </w:rPr>
    </w:pPr>
    <w:r>
      <w:rPr>
        <w:sz w:val="18"/>
      </w:rPr>
      <w:t>2018.0</w:t>
    </w:r>
    <w:r w:rsidR="000B5773">
      <w:rPr>
        <w:sz w:val="18"/>
      </w:rPr>
      <w:t>5</w:t>
    </w:r>
    <w:r>
      <w:rPr>
        <w:sz w:val="18"/>
      </w:rPr>
      <w:t>.</w:t>
    </w:r>
    <w:r w:rsidR="000B5773">
      <w:rPr>
        <w:sz w:val="18"/>
      </w:rPr>
      <w:t>02</w:t>
    </w:r>
    <w:r w:rsidR="00374B9B">
      <w:rPr>
        <w:sz w:val="18"/>
      </w:rPr>
      <w:t xml:space="preserve"> Audit and Risk Committee meeting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Pr="00382649" w:rsidRDefault="000B5773" w:rsidP="00382649">
    <w:pPr>
      <w:pStyle w:val="Footer"/>
      <w:rPr>
        <w:sz w:val="18"/>
      </w:rPr>
    </w:pPr>
    <w:r>
      <w:rPr>
        <w:sz w:val="18"/>
      </w:rPr>
      <w:t>2018.05</w:t>
    </w:r>
    <w:r w:rsidR="006D5E36">
      <w:rPr>
        <w:sz w:val="18"/>
      </w:rPr>
      <w:t>.</w:t>
    </w:r>
    <w:r>
      <w:rPr>
        <w:sz w:val="18"/>
      </w:rPr>
      <w:t>02</w:t>
    </w:r>
    <w:r w:rsidR="00382649">
      <w:rPr>
        <w:sz w:val="18"/>
      </w:rPr>
      <w:t xml:space="preserve"> Audit and Risk Committee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14:anchorId="3FBE8649" wp14:editId="0B3275D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1360C"/>
    <w:rsid w:val="00096C62"/>
    <w:rsid w:val="000B5773"/>
    <w:rsid w:val="000E22AB"/>
    <w:rsid w:val="000E5951"/>
    <w:rsid w:val="001228DF"/>
    <w:rsid w:val="001334A0"/>
    <w:rsid w:val="00215CFE"/>
    <w:rsid w:val="00245072"/>
    <w:rsid w:val="00252481"/>
    <w:rsid w:val="002A59FC"/>
    <w:rsid w:val="00352AE4"/>
    <w:rsid w:val="00367375"/>
    <w:rsid w:val="00374B9B"/>
    <w:rsid w:val="00382649"/>
    <w:rsid w:val="00416A35"/>
    <w:rsid w:val="00442B16"/>
    <w:rsid w:val="00520A87"/>
    <w:rsid w:val="00524AC0"/>
    <w:rsid w:val="006B5B32"/>
    <w:rsid w:val="006D5E36"/>
    <w:rsid w:val="006E043F"/>
    <w:rsid w:val="00917849"/>
    <w:rsid w:val="0097136F"/>
    <w:rsid w:val="009C098E"/>
    <w:rsid w:val="009C0D4B"/>
    <w:rsid w:val="00A05A3D"/>
    <w:rsid w:val="00A36BD7"/>
    <w:rsid w:val="00AB4AAE"/>
    <w:rsid w:val="00C05EAF"/>
    <w:rsid w:val="00D07DBF"/>
    <w:rsid w:val="00D3109F"/>
    <w:rsid w:val="00D66EBF"/>
    <w:rsid w:val="00DA67AA"/>
    <w:rsid w:val="00E20B18"/>
    <w:rsid w:val="00E621F0"/>
    <w:rsid w:val="00EB35E3"/>
    <w:rsid w:val="00F14976"/>
    <w:rsid w:val="00F96497"/>
    <w:rsid w:val="00FB4A6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15</cp:revision>
  <dcterms:created xsi:type="dcterms:W3CDTF">2017-07-11T12:26:00Z</dcterms:created>
  <dcterms:modified xsi:type="dcterms:W3CDTF">2018-05-10T11:15:00Z</dcterms:modified>
</cp:coreProperties>
</file>