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49" w:rsidRDefault="00917849" w:rsidP="00917849">
      <w:pPr>
        <w:spacing w:after="0" w:line="240" w:lineRule="auto"/>
        <w:ind w:right="-46"/>
        <w:jc w:val="center"/>
        <w:rPr>
          <w:rFonts w:cs="Arial"/>
          <w:b/>
          <w:sz w:val="28"/>
          <w:szCs w:val="28"/>
        </w:rPr>
      </w:pPr>
      <w:r w:rsidRPr="009374C1">
        <w:rPr>
          <w:rFonts w:cs="Arial"/>
          <w:b/>
          <w:sz w:val="28"/>
          <w:szCs w:val="28"/>
        </w:rPr>
        <w:t>AUDIT AND RISK COMMITTEE MEETING</w:t>
      </w:r>
      <w:r>
        <w:rPr>
          <w:rFonts w:cs="Arial"/>
          <w:b/>
          <w:sz w:val="28"/>
          <w:szCs w:val="28"/>
        </w:rPr>
        <w:t xml:space="preserve"> SUMMARY </w:t>
      </w:r>
    </w:p>
    <w:p w:rsidR="00917849" w:rsidRPr="00AB4AAE" w:rsidRDefault="00917849" w:rsidP="00917849">
      <w:pPr>
        <w:spacing w:after="0" w:line="240" w:lineRule="auto"/>
        <w:ind w:right="-46"/>
        <w:jc w:val="center"/>
        <w:rPr>
          <w:rFonts w:cs="Arial"/>
          <w:b/>
          <w:szCs w:val="28"/>
        </w:rPr>
      </w:pPr>
    </w:p>
    <w:p w:rsidR="00917849" w:rsidRDefault="00917849" w:rsidP="00917849">
      <w:pPr>
        <w:spacing w:after="0" w:line="240" w:lineRule="auto"/>
        <w:ind w:right="-46"/>
        <w:jc w:val="center"/>
        <w:rPr>
          <w:rFonts w:cs="Arial"/>
          <w:b/>
          <w:sz w:val="28"/>
          <w:szCs w:val="28"/>
        </w:rPr>
      </w:pPr>
      <w:r>
        <w:rPr>
          <w:rFonts w:cs="Arial"/>
          <w:b/>
          <w:sz w:val="28"/>
          <w:szCs w:val="28"/>
        </w:rPr>
        <w:t>Key summary points from the Audit and Risk Committ</w:t>
      </w:r>
      <w:r w:rsidR="00382649">
        <w:rPr>
          <w:rFonts w:cs="Arial"/>
          <w:b/>
          <w:sz w:val="28"/>
          <w:szCs w:val="28"/>
        </w:rPr>
        <w:t xml:space="preserve">ee meeting held on </w:t>
      </w:r>
      <w:r w:rsidR="00524AC0">
        <w:rPr>
          <w:rFonts w:cs="Arial"/>
          <w:b/>
          <w:sz w:val="28"/>
          <w:szCs w:val="28"/>
        </w:rPr>
        <w:t>14 February 2018</w:t>
      </w:r>
    </w:p>
    <w:p w:rsidR="00917849" w:rsidRDefault="00917849" w:rsidP="00917849">
      <w:pPr>
        <w:spacing w:after="0" w:line="240" w:lineRule="auto"/>
        <w:ind w:right="-46"/>
        <w:jc w:val="center"/>
        <w:rPr>
          <w:rFonts w:cs="Arial"/>
          <w:b/>
          <w:sz w:val="28"/>
          <w:szCs w:val="28"/>
        </w:rPr>
      </w:pPr>
    </w:p>
    <w:tbl>
      <w:tblPr>
        <w:tblStyle w:val="TableGrid"/>
        <w:tblW w:w="9924" w:type="dxa"/>
        <w:tblInd w:w="-318" w:type="dxa"/>
        <w:tblLook w:val="04A0" w:firstRow="1" w:lastRow="0" w:firstColumn="1" w:lastColumn="0" w:noHBand="0" w:noVBand="1"/>
      </w:tblPr>
      <w:tblGrid>
        <w:gridCol w:w="1589"/>
        <w:gridCol w:w="8335"/>
      </w:tblGrid>
      <w:tr w:rsidR="00917849" w:rsidTr="00096C62">
        <w:tc>
          <w:tcPr>
            <w:tcW w:w="1589" w:type="dxa"/>
            <w:tcBorders>
              <w:bottom w:val="single" w:sz="4" w:space="0" w:color="auto"/>
            </w:tcBorders>
            <w:shd w:val="clear" w:color="auto" w:fill="FBD4B4" w:themeFill="accent6" w:themeFillTint="66"/>
          </w:tcPr>
          <w:p w:rsidR="00A36BD7" w:rsidRDefault="009C098E" w:rsidP="000E5951">
            <w:pPr>
              <w:ind w:right="-46"/>
              <w:rPr>
                <w:rFonts w:cs="Arial"/>
                <w:b/>
                <w:szCs w:val="28"/>
              </w:rPr>
            </w:pPr>
            <w:r>
              <w:rPr>
                <w:rFonts w:cs="Arial"/>
                <w:b/>
                <w:szCs w:val="28"/>
              </w:rPr>
              <w:t>COMMITTEE GOVERNANCE</w:t>
            </w:r>
          </w:p>
          <w:p w:rsidR="00A36BD7" w:rsidRPr="00AB4AAE" w:rsidRDefault="00A36BD7" w:rsidP="000E5951">
            <w:pPr>
              <w:ind w:right="-46"/>
              <w:rPr>
                <w:rFonts w:cs="Arial"/>
                <w:b/>
                <w:szCs w:val="28"/>
              </w:rPr>
            </w:pPr>
          </w:p>
        </w:tc>
        <w:tc>
          <w:tcPr>
            <w:tcW w:w="8335" w:type="dxa"/>
          </w:tcPr>
          <w:p w:rsidR="000E5951" w:rsidRPr="000E5951" w:rsidRDefault="0097136F" w:rsidP="009C098E">
            <w:pPr>
              <w:shd w:val="clear" w:color="auto" w:fill="FBD4B4" w:themeFill="accent6" w:themeFillTint="66"/>
              <w:ind w:right="-46"/>
              <w:rPr>
                <w:rFonts w:cs="Arial"/>
                <w:b/>
                <w:szCs w:val="28"/>
              </w:rPr>
            </w:pPr>
            <w:r>
              <w:rPr>
                <w:rFonts w:cs="Arial"/>
                <w:b/>
                <w:szCs w:val="28"/>
              </w:rPr>
              <w:t>01 November</w:t>
            </w:r>
            <w:r w:rsidR="00382649">
              <w:rPr>
                <w:rFonts w:cs="Arial"/>
                <w:b/>
                <w:szCs w:val="28"/>
              </w:rPr>
              <w:t xml:space="preserve"> </w:t>
            </w:r>
            <w:r w:rsidR="000E5951" w:rsidRPr="000E5951">
              <w:rPr>
                <w:rFonts w:cs="Arial"/>
                <w:b/>
                <w:szCs w:val="28"/>
              </w:rPr>
              <w:t>2017, HRA 1, Skipton House</w:t>
            </w:r>
          </w:p>
          <w:p w:rsidR="000E5951" w:rsidRDefault="000E5951" w:rsidP="00917849">
            <w:pPr>
              <w:ind w:right="-46"/>
              <w:rPr>
                <w:rFonts w:cs="Arial"/>
                <w:szCs w:val="28"/>
              </w:rPr>
            </w:pPr>
          </w:p>
          <w:p w:rsidR="00AB4AAE" w:rsidRPr="009C098E" w:rsidRDefault="00524AC0" w:rsidP="009C098E">
            <w:pPr>
              <w:pStyle w:val="ListParagraph"/>
              <w:numPr>
                <w:ilvl w:val="0"/>
                <w:numId w:val="4"/>
              </w:numPr>
              <w:ind w:right="-46"/>
              <w:rPr>
                <w:rFonts w:cs="Arial"/>
                <w:szCs w:val="28"/>
              </w:rPr>
            </w:pPr>
            <w:r>
              <w:rPr>
                <w:rFonts w:cs="Arial"/>
                <w:szCs w:val="28"/>
              </w:rPr>
              <w:t>Inq</w:t>
            </w:r>
            <w:r w:rsidR="00917849" w:rsidRPr="009C098E">
              <w:rPr>
                <w:rFonts w:cs="Arial"/>
                <w:szCs w:val="28"/>
              </w:rPr>
              <w:t>uorate</w:t>
            </w:r>
            <w:r>
              <w:rPr>
                <w:rFonts w:cs="Arial"/>
                <w:szCs w:val="28"/>
              </w:rPr>
              <w:t xml:space="preserve"> – no decisions were able to be taken at the meeting. A further meeting involving the Chair</w:t>
            </w:r>
            <w:r w:rsidR="00D66EBF">
              <w:rPr>
                <w:rFonts w:cs="Arial"/>
                <w:szCs w:val="28"/>
              </w:rPr>
              <w:t xml:space="preserve"> of the HRA</w:t>
            </w:r>
            <w:r>
              <w:rPr>
                <w:rFonts w:cs="Arial"/>
                <w:szCs w:val="28"/>
              </w:rPr>
              <w:t xml:space="preserve"> was held to ratify one decision.</w:t>
            </w:r>
          </w:p>
          <w:p w:rsidR="00524AC0" w:rsidRPr="00524AC0" w:rsidRDefault="00917849" w:rsidP="00524AC0">
            <w:pPr>
              <w:pStyle w:val="ListParagraph"/>
              <w:numPr>
                <w:ilvl w:val="0"/>
                <w:numId w:val="4"/>
              </w:numPr>
              <w:ind w:right="-46"/>
              <w:rPr>
                <w:rFonts w:cs="Arial"/>
                <w:szCs w:val="28"/>
              </w:rPr>
            </w:pPr>
            <w:r w:rsidRPr="009C098E">
              <w:rPr>
                <w:rFonts w:cs="Arial"/>
                <w:szCs w:val="28"/>
              </w:rPr>
              <w:t xml:space="preserve">Attendance (membership) – </w:t>
            </w:r>
            <w:r w:rsidR="00524AC0">
              <w:rPr>
                <w:rFonts w:cs="Arial"/>
                <w:szCs w:val="28"/>
              </w:rPr>
              <w:t>2</w:t>
            </w:r>
            <w:r w:rsidRPr="009C098E">
              <w:rPr>
                <w:rFonts w:cs="Arial"/>
                <w:szCs w:val="28"/>
              </w:rPr>
              <w:t>/4</w:t>
            </w:r>
          </w:p>
          <w:p w:rsidR="000E5951" w:rsidRDefault="000E5951" w:rsidP="00AB4AAE">
            <w:pPr>
              <w:ind w:right="-46"/>
              <w:rPr>
                <w:rFonts w:cs="Arial"/>
                <w:szCs w:val="28"/>
              </w:rPr>
            </w:pPr>
          </w:p>
        </w:tc>
      </w:tr>
      <w:tr w:rsidR="00096C62" w:rsidTr="00096C62">
        <w:tc>
          <w:tcPr>
            <w:tcW w:w="1589" w:type="dxa"/>
            <w:vMerge w:val="restart"/>
            <w:shd w:val="clear" w:color="auto" w:fill="FBD4B4" w:themeFill="accent6" w:themeFillTint="66"/>
          </w:tcPr>
          <w:p w:rsidR="00096C62" w:rsidRDefault="00096C62" w:rsidP="00215CFE">
            <w:pPr>
              <w:shd w:val="clear" w:color="auto" w:fill="FBD4B4" w:themeFill="accent6" w:themeFillTint="66"/>
              <w:ind w:right="-46"/>
              <w:rPr>
                <w:rFonts w:cs="Arial"/>
                <w:b/>
                <w:szCs w:val="28"/>
              </w:rPr>
            </w:pPr>
            <w:r>
              <w:rPr>
                <w:rFonts w:cs="Arial"/>
                <w:b/>
                <w:szCs w:val="28"/>
              </w:rPr>
              <w:t>KEY BUSINESS CONDUCTED</w:t>
            </w: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Default="00096C62" w:rsidP="00215CFE">
            <w:pPr>
              <w:shd w:val="clear" w:color="auto" w:fill="FBD4B4" w:themeFill="accent6" w:themeFillTint="66"/>
              <w:ind w:right="-46"/>
              <w:rPr>
                <w:rFonts w:cs="Arial"/>
                <w:b/>
                <w:szCs w:val="28"/>
              </w:rPr>
            </w:pPr>
          </w:p>
          <w:p w:rsidR="00096C62" w:rsidRPr="00AB4AAE" w:rsidRDefault="00096C62" w:rsidP="00215CFE">
            <w:pPr>
              <w:shd w:val="clear" w:color="auto" w:fill="FBD4B4" w:themeFill="accent6" w:themeFillTint="66"/>
              <w:ind w:right="-46"/>
              <w:rPr>
                <w:rFonts w:cs="Arial"/>
                <w:b/>
                <w:szCs w:val="28"/>
              </w:rPr>
            </w:pPr>
          </w:p>
        </w:tc>
        <w:tc>
          <w:tcPr>
            <w:tcW w:w="8335" w:type="dxa"/>
          </w:tcPr>
          <w:p w:rsidR="00096C62" w:rsidRDefault="00096C62" w:rsidP="009C098E">
            <w:pPr>
              <w:shd w:val="clear" w:color="auto" w:fill="FBD4B4" w:themeFill="accent6" w:themeFillTint="66"/>
              <w:ind w:right="-46"/>
              <w:rPr>
                <w:rFonts w:cs="Arial"/>
                <w:b/>
                <w:szCs w:val="28"/>
              </w:rPr>
            </w:pPr>
            <w:r>
              <w:rPr>
                <w:rFonts w:cs="Arial"/>
                <w:b/>
                <w:szCs w:val="28"/>
              </w:rPr>
              <w:lastRenderedPageBreak/>
              <w:t>GDPR compliance</w:t>
            </w:r>
          </w:p>
          <w:p w:rsidR="00096C62" w:rsidRDefault="00096C62" w:rsidP="006B5B32">
            <w:pPr>
              <w:ind w:right="-46"/>
              <w:rPr>
                <w:rFonts w:cs="Arial"/>
                <w:b/>
                <w:szCs w:val="28"/>
              </w:rPr>
            </w:pPr>
          </w:p>
          <w:p w:rsidR="00096C62" w:rsidRPr="00215CFE" w:rsidRDefault="00096C62" w:rsidP="00215CFE">
            <w:pPr>
              <w:ind w:right="-46"/>
              <w:rPr>
                <w:rFonts w:cs="Arial"/>
                <w:szCs w:val="28"/>
              </w:rPr>
            </w:pPr>
            <w:r>
              <w:rPr>
                <w:rFonts w:cs="Arial"/>
                <w:szCs w:val="28"/>
              </w:rPr>
              <w:t>A discussion was held regarding the HRA’s approach to the requirements of GDPR internally for the HRA</w:t>
            </w:r>
            <w:r w:rsidR="00D66EBF">
              <w:rPr>
                <w:rFonts w:cs="Arial"/>
                <w:szCs w:val="28"/>
              </w:rPr>
              <w:t>,</w:t>
            </w:r>
            <w:r>
              <w:rPr>
                <w:rFonts w:cs="Arial"/>
                <w:szCs w:val="28"/>
              </w:rPr>
              <w:t xml:space="preserve"> as opposed to its external role. The Committee noted a GDPR compliance audit is planned in the 2018/19 Health Group Internal Audit Service Audit plan. The Information Governance Steering Group is responsible for ensuring the HRA is prepared for the new regulations with updates to be brought to the Leadership Team in due course.</w:t>
            </w:r>
          </w:p>
          <w:p w:rsidR="00096C62" w:rsidRDefault="00096C62" w:rsidP="00382649">
            <w:pPr>
              <w:ind w:right="-46"/>
              <w:rPr>
                <w:rFonts w:cs="Arial"/>
                <w:szCs w:val="28"/>
              </w:rPr>
            </w:pPr>
          </w:p>
        </w:tc>
      </w:tr>
      <w:tr w:rsidR="00096C62" w:rsidTr="00096C62">
        <w:trPr>
          <w:trHeight w:val="699"/>
        </w:trPr>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9C098E">
            <w:pPr>
              <w:shd w:val="clear" w:color="auto" w:fill="FBD4B4" w:themeFill="accent6" w:themeFillTint="66"/>
              <w:rPr>
                <w:b/>
              </w:rPr>
            </w:pPr>
            <w:r>
              <w:rPr>
                <w:b/>
              </w:rPr>
              <w:t>HGIAS Assurance reports and delivery of audit plan</w:t>
            </w:r>
          </w:p>
          <w:p w:rsidR="00096C62" w:rsidRDefault="00096C62" w:rsidP="00FD791B">
            <w:pPr>
              <w:jc w:val="both"/>
            </w:pPr>
          </w:p>
          <w:tbl>
            <w:tblPr>
              <w:tblStyle w:val="TableGrid"/>
              <w:tblW w:w="8109" w:type="dxa"/>
              <w:tblLook w:val="04A0" w:firstRow="1" w:lastRow="0" w:firstColumn="1" w:lastColumn="0" w:noHBand="0" w:noVBand="1"/>
            </w:tblPr>
            <w:tblGrid>
              <w:gridCol w:w="1439"/>
              <w:gridCol w:w="1282"/>
              <w:gridCol w:w="571"/>
              <w:gridCol w:w="571"/>
              <w:gridCol w:w="571"/>
              <w:gridCol w:w="3675"/>
            </w:tblGrid>
            <w:tr w:rsidR="00096C62" w:rsidTr="006D5E36">
              <w:tc>
                <w:tcPr>
                  <w:tcW w:w="1439" w:type="dxa"/>
                  <w:vMerge w:val="restart"/>
                </w:tcPr>
                <w:p w:rsidR="00096C62" w:rsidRDefault="00096C62" w:rsidP="00520A87">
                  <w:pPr>
                    <w:rPr>
                      <w:b/>
                    </w:rPr>
                  </w:pPr>
                  <w:r>
                    <w:rPr>
                      <w:b/>
                    </w:rPr>
                    <w:t>Review</w:t>
                  </w:r>
                </w:p>
              </w:tc>
              <w:tc>
                <w:tcPr>
                  <w:tcW w:w="1282" w:type="dxa"/>
                  <w:vMerge w:val="restart"/>
                </w:tcPr>
                <w:p w:rsidR="00096C62" w:rsidRDefault="00096C62" w:rsidP="00E621F0">
                  <w:pPr>
                    <w:jc w:val="center"/>
                    <w:rPr>
                      <w:b/>
                    </w:rPr>
                  </w:pPr>
                  <w:r>
                    <w:rPr>
                      <w:b/>
                    </w:rPr>
                    <w:t>Assurance level</w:t>
                  </w:r>
                </w:p>
              </w:tc>
              <w:tc>
                <w:tcPr>
                  <w:tcW w:w="1713" w:type="dxa"/>
                  <w:gridSpan w:val="3"/>
                </w:tcPr>
                <w:p w:rsidR="00096C62" w:rsidRDefault="00096C62" w:rsidP="00E621F0">
                  <w:pPr>
                    <w:jc w:val="center"/>
                    <w:rPr>
                      <w:b/>
                    </w:rPr>
                  </w:pPr>
                  <w:r>
                    <w:rPr>
                      <w:b/>
                    </w:rPr>
                    <w:t>Findings</w:t>
                  </w:r>
                </w:p>
              </w:tc>
              <w:tc>
                <w:tcPr>
                  <w:tcW w:w="3675" w:type="dxa"/>
                  <w:vMerge w:val="restart"/>
                </w:tcPr>
                <w:p w:rsidR="00096C62" w:rsidRDefault="00096C62" w:rsidP="00520A87">
                  <w:pPr>
                    <w:rPr>
                      <w:b/>
                    </w:rPr>
                  </w:pPr>
                  <w:r>
                    <w:rPr>
                      <w:b/>
                    </w:rPr>
                    <w:t>Comments</w:t>
                  </w:r>
                </w:p>
              </w:tc>
            </w:tr>
            <w:tr w:rsidR="00096C62" w:rsidTr="006D5E36">
              <w:tc>
                <w:tcPr>
                  <w:tcW w:w="1439" w:type="dxa"/>
                  <w:vMerge/>
                </w:tcPr>
                <w:p w:rsidR="00096C62" w:rsidRDefault="00096C62" w:rsidP="00520A87">
                  <w:pPr>
                    <w:rPr>
                      <w:b/>
                    </w:rPr>
                  </w:pPr>
                </w:p>
              </w:tc>
              <w:tc>
                <w:tcPr>
                  <w:tcW w:w="1282" w:type="dxa"/>
                  <w:vMerge/>
                  <w:tcBorders>
                    <w:bottom w:val="single" w:sz="4" w:space="0" w:color="auto"/>
                  </w:tcBorders>
                </w:tcPr>
                <w:p w:rsidR="00096C62" w:rsidRDefault="00096C62" w:rsidP="00E621F0">
                  <w:pPr>
                    <w:jc w:val="center"/>
                    <w:rPr>
                      <w:b/>
                    </w:rPr>
                  </w:pPr>
                </w:p>
              </w:tc>
              <w:tc>
                <w:tcPr>
                  <w:tcW w:w="571" w:type="dxa"/>
                </w:tcPr>
                <w:p w:rsidR="00096C62" w:rsidRDefault="00096C62" w:rsidP="00E621F0">
                  <w:pPr>
                    <w:jc w:val="center"/>
                    <w:rPr>
                      <w:b/>
                    </w:rPr>
                  </w:pPr>
                  <w:r>
                    <w:rPr>
                      <w:b/>
                    </w:rPr>
                    <w:t>H</w:t>
                  </w:r>
                </w:p>
              </w:tc>
              <w:tc>
                <w:tcPr>
                  <w:tcW w:w="571" w:type="dxa"/>
                </w:tcPr>
                <w:p w:rsidR="00096C62" w:rsidRDefault="00096C62" w:rsidP="00E621F0">
                  <w:pPr>
                    <w:jc w:val="center"/>
                    <w:rPr>
                      <w:b/>
                    </w:rPr>
                  </w:pPr>
                  <w:r>
                    <w:rPr>
                      <w:b/>
                    </w:rPr>
                    <w:t>M</w:t>
                  </w:r>
                </w:p>
              </w:tc>
              <w:tc>
                <w:tcPr>
                  <w:tcW w:w="571" w:type="dxa"/>
                </w:tcPr>
                <w:p w:rsidR="00096C62" w:rsidRDefault="00096C62" w:rsidP="00E621F0">
                  <w:pPr>
                    <w:jc w:val="center"/>
                    <w:rPr>
                      <w:b/>
                    </w:rPr>
                  </w:pPr>
                  <w:r>
                    <w:rPr>
                      <w:b/>
                    </w:rPr>
                    <w:t>L</w:t>
                  </w:r>
                </w:p>
              </w:tc>
              <w:tc>
                <w:tcPr>
                  <w:tcW w:w="3675" w:type="dxa"/>
                  <w:vMerge/>
                </w:tcPr>
                <w:p w:rsidR="00096C62" w:rsidRDefault="00096C62" w:rsidP="00520A87">
                  <w:pPr>
                    <w:rPr>
                      <w:b/>
                    </w:rPr>
                  </w:pPr>
                </w:p>
              </w:tc>
            </w:tr>
            <w:tr w:rsidR="00096C62" w:rsidTr="006D5E36">
              <w:tc>
                <w:tcPr>
                  <w:tcW w:w="1439" w:type="dxa"/>
                </w:tcPr>
                <w:p w:rsidR="00096C62" w:rsidRPr="0097136F" w:rsidRDefault="00096C62" w:rsidP="006D5E36">
                  <w:pPr>
                    <w:rPr>
                      <w:b/>
                    </w:rPr>
                  </w:pPr>
                  <w:r w:rsidRPr="0097136F">
                    <w:rPr>
                      <w:rFonts w:cstheme="minorHAnsi"/>
                      <w:szCs w:val="24"/>
                    </w:rPr>
                    <w:t xml:space="preserve">HRA </w:t>
                  </w:r>
                  <w:r>
                    <w:rPr>
                      <w:rFonts w:cstheme="minorHAnsi"/>
                      <w:szCs w:val="24"/>
                    </w:rPr>
                    <w:t>Staff Learning &amp; Development</w:t>
                  </w:r>
                </w:p>
              </w:tc>
              <w:tc>
                <w:tcPr>
                  <w:tcW w:w="1282" w:type="dxa"/>
                  <w:tcBorders>
                    <w:bottom w:val="single" w:sz="4" w:space="0" w:color="auto"/>
                  </w:tcBorders>
                  <w:shd w:val="clear" w:color="auto" w:fill="92D050"/>
                </w:tcPr>
                <w:p w:rsidR="00096C62" w:rsidRDefault="00096C62" w:rsidP="00E621F0">
                  <w:pPr>
                    <w:jc w:val="center"/>
                    <w:rPr>
                      <w:b/>
                    </w:rPr>
                  </w:pPr>
                  <w:r>
                    <w:rPr>
                      <w:b/>
                    </w:rPr>
                    <w:t>MODERATE</w:t>
                  </w:r>
                </w:p>
              </w:tc>
              <w:tc>
                <w:tcPr>
                  <w:tcW w:w="571" w:type="dxa"/>
                </w:tcPr>
                <w:p w:rsidR="00096C62" w:rsidRPr="00AB4AAE" w:rsidRDefault="00096C62" w:rsidP="00E621F0">
                  <w:pPr>
                    <w:jc w:val="center"/>
                  </w:pPr>
                  <w:r>
                    <w:t>0</w:t>
                  </w:r>
                </w:p>
              </w:tc>
              <w:tc>
                <w:tcPr>
                  <w:tcW w:w="571" w:type="dxa"/>
                </w:tcPr>
                <w:p w:rsidR="00096C62" w:rsidRPr="00AB4AAE" w:rsidRDefault="00096C62" w:rsidP="00E621F0">
                  <w:pPr>
                    <w:jc w:val="center"/>
                  </w:pPr>
                  <w:r>
                    <w:t>1</w:t>
                  </w:r>
                </w:p>
              </w:tc>
              <w:tc>
                <w:tcPr>
                  <w:tcW w:w="571" w:type="dxa"/>
                </w:tcPr>
                <w:p w:rsidR="00096C62" w:rsidRPr="00AB4AAE" w:rsidRDefault="00096C62" w:rsidP="006D5E36">
                  <w:pPr>
                    <w:jc w:val="center"/>
                  </w:pPr>
                  <w:r>
                    <w:t>1</w:t>
                  </w:r>
                </w:p>
              </w:tc>
              <w:tc>
                <w:tcPr>
                  <w:tcW w:w="3675" w:type="dxa"/>
                </w:tcPr>
                <w:p w:rsidR="00096C62" w:rsidRPr="00AB4AAE" w:rsidRDefault="00096C62" w:rsidP="000E22AB">
                  <w:r>
                    <w:rPr>
                      <w:rFonts w:ascii="Calibri" w:hAnsi="Calibri" w:cs="Calibri"/>
                    </w:rPr>
                    <w:t>The Com</w:t>
                  </w:r>
                  <w:r>
                    <w:rPr>
                      <w:rFonts w:ascii="Calibri" w:hAnsi="Calibri" w:cs="Calibri"/>
                    </w:rPr>
                    <w:t xml:space="preserve">mittee noted </w:t>
                  </w:r>
                  <w:r>
                    <w:rPr>
                      <w:rFonts w:ascii="Calibri" w:hAnsi="Calibri" w:cs="Calibri"/>
                    </w:rPr>
                    <w:t>good progress had been made on the Learning &amp; Development Programme since its inception</w:t>
                  </w:r>
                  <w:r>
                    <w:t xml:space="preserve">. The medium recommendation related to whether </w:t>
                  </w:r>
                  <w:proofErr w:type="gramStart"/>
                  <w:r>
                    <w:t>a high learning needs</w:t>
                  </w:r>
                  <w:proofErr w:type="gramEnd"/>
                  <w:r>
                    <w:t xml:space="preserve"> analysis should be conducted however the Committee accepted, due to the transformational changes taking place, the timing was not appropriate however one would </w:t>
                  </w:r>
                  <w:r w:rsidR="00D66EBF">
                    <w:t>b</w:t>
                  </w:r>
                  <w:r>
                    <w:t>e conducted in due course.</w:t>
                  </w:r>
                </w:p>
              </w:tc>
            </w:tr>
          </w:tbl>
          <w:p w:rsidR="00096C62" w:rsidRPr="00FD791B" w:rsidRDefault="00096C62" w:rsidP="00416A35">
            <w:pPr>
              <w:rPr>
                <w:i/>
                <w:sz w:val="18"/>
              </w:rPr>
            </w:pPr>
            <w:r>
              <w:rPr>
                <w:i/>
                <w:sz w:val="18"/>
              </w:rPr>
              <w:t>S</w:t>
            </w:r>
            <w:r w:rsidRPr="00FD791B">
              <w:rPr>
                <w:i/>
                <w:sz w:val="18"/>
              </w:rPr>
              <w:t xml:space="preserve">ubstantial </w:t>
            </w:r>
            <w:r>
              <w:rPr>
                <w:i/>
                <w:sz w:val="18"/>
              </w:rPr>
              <w:t>–</w:t>
            </w:r>
            <w:r w:rsidRPr="00FD791B">
              <w:rPr>
                <w:i/>
                <w:sz w:val="18"/>
              </w:rPr>
              <w:t xml:space="preserve"> </w:t>
            </w:r>
            <w:r>
              <w:rPr>
                <w:i/>
                <w:sz w:val="18"/>
              </w:rPr>
              <w:t xml:space="preserve">the </w:t>
            </w:r>
            <w:r w:rsidRPr="00FD791B">
              <w:rPr>
                <w:i/>
                <w:sz w:val="18"/>
              </w:rPr>
              <w:t>framework of governance, risk management and co</w:t>
            </w:r>
            <w:r>
              <w:rPr>
                <w:i/>
                <w:sz w:val="18"/>
              </w:rPr>
              <w:t xml:space="preserve">ntrol </w:t>
            </w:r>
            <w:r w:rsidRPr="00FD791B">
              <w:rPr>
                <w:i/>
                <w:sz w:val="18"/>
              </w:rPr>
              <w:t xml:space="preserve">is adequate </w:t>
            </w:r>
            <w:r>
              <w:rPr>
                <w:i/>
                <w:sz w:val="18"/>
              </w:rPr>
              <w:t>&amp; effective</w:t>
            </w:r>
          </w:p>
          <w:p w:rsidR="00096C62" w:rsidRPr="00FD791B" w:rsidRDefault="00096C62" w:rsidP="00416A35">
            <w:pPr>
              <w:rPr>
                <w:i/>
                <w:sz w:val="18"/>
              </w:rPr>
            </w:pPr>
            <w:r w:rsidRPr="00FD791B">
              <w:rPr>
                <w:i/>
                <w:sz w:val="18"/>
              </w:rPr>
              <w:t>Moderate - some improvements are required to enhance the adequacy and</w:t>
            </w:r>
            <w:r>
              <w:rPr>
                <w:i/>
                <w:sz w:val="18"/>
              </w:rPr>
              <w:t xml:space="preserve"> effectiveness of the framework</w:t>
            </w:r>
          </w:p>
          <w:p w:rsidR="00096C62" w:rsidRPr="00FD791B" w:rsidRDefault="00096C62" w:rsidP="00416A35">
            <w:pPr>
              <w:rPr>
                <w:i/>
                <w:sz w:val="18"/>
              </w:rPr>
            </w:pPr>
            <w:r w:rsidRPr="00FD791B">
              <w:rPr>
                <w:i/>
                <w:sz w:val="18"/>
              </w:rPr>
              <w:t xml:space="preserve">Limited - significant weaknesses in the framework </w:t>
            </w:r>
            <w:r>
              <w:rPr>
                <w:i/>
                <w:sz w:val="18"/>
              </w:rPr>
              <w:t xml:space="preserve">- it could be / </w:t>
            </w:r>
            <w:r w:rsidRPr="00FD791B">
              <w:rPr>
                <w:i/>
                <w:sz w:val="18"/>
              </w:rPr>
              <w:t>could become inadequate and ineffective</w:t>
            </w:r>
          </w:p>
          <w:p w:rsidR="00096C62" w:rsidRDefault="00096C62" w:rsidP="002A59FC">
            <w:pPr>
              <w:rPr>
                <w:i/>
                <w:sz w:val="18"/>
              </w:rPr>
            </w:pPr>
            <w:r w:rsidRPr="00FD791B">
              <w:rPr>
                <w:i/>
                <w:sz w:val="18"/>
              </w:rPr>
              <w:t xml:space="preserve">Unsatisfactory - fundamental weaknesses in the framework </w:t>
            </w:r>
            <w:r>
              <w:rPr>
                <w:i/>
                <w:sz w:val="18"/>
              </w:rPr>
              <w:t xml:space="preserve">- </w:t>
            </w:r>
            <w:r w:rsidRPr="00FD791B">
              <w:rPr>
                <w:i/>
                <w:sz w:val="18"/>
              </w:rPr>
              <w:t>it is inadequate and ineffective or is likely to fail</w:t>
            </w:r>
          </w:p>
          <w:p w:rsidR="00096C62" w:rsidRDefault="00096C62" w:rsidP="002A59FC">
            <w:pPr>
              <w:rPr>
                <w:i/>
                <w:sz w:val="18"/>
              </w:rPr>
            </w:pPr>
          </w:p>
          <w:p w:rsidR="00096C62" w:rsidRPr="00DA67AA" w:rsidRDefault="00096C62" w:rsidP="002A59FC">
            <w:r w:rsidRPr="00DA67AA">
              <w:t xml:space="preserve">The Committee was assured the delivery of the HRA Audit plan was on track for 2017/18 </w:t>
            </w:r>
            <w:r>
              <w:t>with the final remaining audits underway. The Audit plan for 2018/19 is in the processes of being finalised and would be shared in the near future.</w:t>
            </w:r>
          </w:p>
          <w:p w:rsidR="00096C62" w:rsidRPr="00DA67AA" w:rsidRDefault="00096C62" w:rsidP="002A59FC">
            <w:pPr>
              <w:rPr>
                <w:sz w:val="18"/>
              </w:rPr>
            </w:pPr>
          </w:p>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9C098E">
            <w:pPr>
              <w:shd w:val="clear" w:color="auto" w:fill="FBD4B4" w:themeFill="accent6" w:themeFillTint="66"/>
              <w:rPr>
                <w:b/>
              </w:rPr>
            </w:pPr>
            <w:r>
              <w:rPr>
                <w:b/>
              </w:rPr>
              <w:t>Business Continuity Plan (BCP) HGIAS Audit recommendations</w:t>
            </w:r>
          </w:p>
          <w:p w:rsidR="00096C62" w:rsidRDefault="00096C62" w:rsidP="00382649"/>
          <w:p w:rsidR="00096C62" w:rsidRDefault="00096C62" w:rsidP="00382649">
            <w:r>
              <w:t>The Committee noted a practice incident was recommended as part of the findings from the recent BCP audit. The Committee noted a test has been scheduled for 14 March for senior staff in the HRA with observers also attending from NHS Blood and Transplant. An update will be brought to a subsequent Committee meeting.</w:t>
            </w:r>
          </w:p>
          <w:p w:rsidR="00096C62" w:rsidRPr="00A36BD7" w:rsidRDefault="00096C62" w:rsidP="00382649"/>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9C098E">
            <w:pPr>
              <w:shd w:val="clear" w:color="auto" w:fill="FBD4B4" w:themeFill="accent6" w:themeFillTint="66"/>
              <w:rPr>
                <w:b/>
              </w:rPr>
            </w:pPr>
            <w:r>
              <w:rPr>
                <w:b/>
              </w:rPr>
              <w:t>Research Systems Business Case</w:t>
            </w:r>
          </w:p>
          <w:p w:rsidR="00096C62" w:rsidRDefault="00096C62" w:rsidP="00520A87"/>
          <w:p w:rsidR="00096C62" w:rsidRDefault="00096C62" w:rsidP="00D3109F">
            <w:pPr>
              <w:autoSpaceDE w:val="0"/>
              <w:autoSpaceDN w:val="0"/>
              <w:adjustRightInd w:val="0"/>
              <w:rPr>
                <w:rFonts w:ascii="Calibri" w:hAnsi="Calibri" w:cs="Calibri"/>
              </w:rPr>
            </w:pPr>
            <w:r>
              <w:t xml:space="preserve">The Committee </w:t>
            </w:r>
            <w:r>
              <w:rPr>
                <w:rFonts w:ascii="Calibri" w:hAnsi="Calibri" w:cs="Calibri"/>
              </w:rPr>
              <w:t>noted the business case had already been approved by the Board with ministerial approval now received</w:t>
            </w:r>
            <w:r>
              <w:rPr>
                <w:rFonts w:ascii="Calibri" w:hAnsi="Calibri" w:cs="Calibri"/>
              </w:rPr>
              <w:t xml:space="preserve">. The Committee noted PWC had been appointed as the procurement partner with an options appraisal being developed to support the supplier procurement phase. The Committee noted the tight time scales however recommended sufficient time </w:t>
            </w:r>
            <w:r>
              <w:rPr>
                <w:rFonts w:ascii="Calibri" w:hAnsi="Calibri" w:cs="Calibri"/>
              </w:rPr>
              <w:t>be given for the second procurement phase and agreed a prior information notice (PIN) should be made.</w:t>
            </w:r>
          </w:p>
          <w:p w:rsidR="00096C62" w:rsidRPr="00A36BD7" w:rsidRDefault="00096C62" w:rsidP="009C0D4B"/>
        </w:tc>
      </w:tr>
      <w:tr w:rsidR="00096C62" w:rsidTr="00096C62">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97136F">
            <w:pPr>
              <w:shd w:val="clear" w:color="auto" w:fill="FBD4B4" w:themeFill="accent6" w:themeFillTint="66"/>
              <w:rPr>
                <w:b/>
              </w:rPr>
            </w:pPr>
            <w:r>
              <w:rPr>
                <w:b/>
              </w:rPr>
              <w:t>Options Appraisal for IMS3 replacement</w:t>
            </w:r>
          </w:p>
          <w:p w:rsidR="00096C62" w:rsidRDefault="00096C62" w:rsidP="00520A87">
            <w:pPr>
              <w:rPr>
                <w:b/>
              </w:rPr>
            </w:pPr>
          </w:p>
          <w:p w:rsidR="00096C62" w:rsidRPr="00D3109F" w:rsidRDefault="00096C62" w:rsidP="00520A87">
            <w:r>
              <w:t>The Committee supported the recommendation to proceed with the Future Services Programme. This was subsequently approved via delegated authority from the Board by Chair’s action after the meeting.</w:t>
            </w:r>
          </w:p>
          <w:p w:rsidR="00096C62" w:rsidRPr="00520A87" w:rsidRDefault="00096C62" w:rsidP="009C0D4B"/>
        </w:tc>
      </w:tr>
      <w:tr w:rsidR="00096C62" w:rsidTr="00652054">
        <w:tc>
          <w:tcPr>
            <w:tcW w:w="1589" w:type="dxa"/>
            <w:vMerge/>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DA67AA">
            <w:pPr>
              <w:shd w:val="clear" w:color="auto" w:fill="FBD4B4" w:themeFill="accent6" w:themeFillTint="66"/>
              <w:rPr>
                <w:b/>
              </w:rPr>
            </w:pPr>
            <w:r>
              <w:rPr>
                <w:b/>
              </w:rPr>
              <w:t>Assurance Mapping Framework</w:t>
            </w:r>
          </w:p>
          <w:p w:rsidR="00096C62" w:rsidRDefault="00096C62" w:rsidP="00DA67AA">
            <w:pPr>
              <w:rPr>
                <w:b/>
              </w:rPr>
            </w:pPr>
          </w:p>
          <w:p w:rsidR="00096C62" w:rsidRDefault="00096C62" w:rsidP="00096C62">
            <w:pPr>
              <w:autoSpaceDE w:val="0"/>
              <w:autoSpaceDN w:val="0"/>
              <w:adjustRightInd w:val="0"/>
            </w:pPr>
            <w:r>
              <w:t>A more</w:t>
            </w:r>
            <w:r>
              <w:t xml:space="preserve"> substantive item would be brought to the May Audit Committee to consider the completed assurance map and review the framework strategy including how the </w:t>
            </w:r>
            <w:r>
              <w:t>HRA</w:t>
            </w:r>
            <w:r>
              <w:t xml:space="preserve"> can utilise the map most effectively.</w:t>
            </w:r>
          </w:p>
          <w:p w:rsidR="00096C62" w:rsidRPr="00DA67AA" w:rsidRDefault="00096C62" w:rsidP="00096C62"/>
        </w:tc>
      </w:tr>
      <w:tr w:rsidR="00096C62" w:rsidTr="00096C62">
        <w:tc>
          <w:tcPr>
            <w:tcW w:w="1589" w:type="dxa"/>
            <w:vMerge/>
            <w:tcBorders>
              <w:bottom w:val="single" w:sz="4" w:space="0" w:color="auto"/>
            </w:tcBorders>
            <w:shd w:val="clear" w:color="auto" w:fill="FBD4B4" w:themeFill="accent6" w:themeFillTint="66"/>
          </w:tcPr>
          <w:p w:rsidR="00096C62" w:rsidRDefault="00096C62" w:rsidP="00AB4AAE">
            <w:pPr>
              <w:ind w:right="-46"/>
              <w:rPr>
                <w:rFonts w:cs="Arial"/>
                <w:szCs w:val="28"/>
              </w:rPr>
            </w:pPr>
          </w:p>
        </w:tc>
        <w:tc>
          <w:tcPr>
            <w:tcW w:w="8335" w:type="dxa"/>
          </w:tcPr>
          <w:p w:rsidR="00096C62" w:rsidRDefault="00096C62" w:rsidP="008C6063">
            <w:pPr>
              <w:shd w:val="clear" w:color="auto" w:fill="FBD4B4" w:themeFill="accent6" w:themeFillTint="66"/>
              <w:rPr>
                <w:b/>
              </w:rPr>
            </w:pPr>
            <w:r>
              <w:rPr>
                <w:b/>
              </w:rPr>
              <w:t>HRA Corporate Risk Register Quarter 3 2017/18</w:t>
            </w:r>
          </w:p>
          <w:p w:rsidR="00096C62" w:rsidRDefault="00096C62" w:rsidP="008C6063">
            <w:pPr>
              <w:rPr>
                <w:b/>
              </w:rPr>
            </w:pPr>
          </w:p>
          <w:p w:rsidR="00096C62" w:rsidRDefault="00096C62" w:rsidP="00096C62">
            <w:r>
              <w:t xml:space="preserve">The Committee noted the risk register for Q3 2017/18. The Committee noted the systems risks had been </w:t>
            </w:r>
            <w:r w:rsidR="00D66EBF">
              <w:t xml:space="preserve">closed or deescalated </w:t>
            </w:r>
            <w:r>
              <w:t>from the Corporate risk register however th</w:t>
            </w:r>
            <w:r w:rsidR="00D66EBF">
              <w:t>ere was a comprehensive risk register held at the directorate level</w:t>
            </w:r>
            <w:bookmarkStart w:id="0" w:name="_GoBack"/>
            <w:bookmarkEnd w:id="0"/>
            <w:r>
              <w:t>. The Committee recommended the appropriateness of the escalation of certain systems risks to the corporate register be considered in Q4.</w:t>
            </w:r>
          </w:p>
          <w:p w:rsidR="00096C62" w:rsidRPr="00DA67AA" w:rsidRDefault="00096C62" w:rsidP="00096C62"/>
        </w:tc>
      </w:tr>
      <w:tr w:rsidR="00096C62" w:rsidTr="00096C62">
        <w:tc>
          <w:tcPr>
            <w:tcW w:w="1589" w:type="dxa"/>
            <w:shd w:val="clear" w:color="auto" w:fill="FBD4B4" w:themeFill="accent6" w:themeFillTint="66"/>
          </w:tcPr>
          <w:p w:rsidR="00096C62" w:rsidRPr="00A36BD7" w:rsidRDefault="00096C62" w:rsidP="00AB4AAE">
            <w:pPr>
              <w:ind w:right="-46"/>
              <w:rPr>
                <w:rFonts w:cs="Arial"/>
                <w:b/>
                <w:szCs w:val="28"/>
              </w:rPr>
            </w:pPr>
            <w:r>
              <w:rPr>
                <w:rFonts w:cs="Arial"/>
                <w:b/>
                <w:szCs w:val="28"/>
              </w:rPr>
              <w:t>UPCOMING MEETING TOPICS</w:t>
            </w:r>
          </w:p>
          <w:p w:rsidR="00096C62" w:rsidRDefault="00096C62" w:rsidP="00AB4AAE">
            <w:pPr>
              <w:ind w:right="-46"/>
              <w:rPr>
                <w:rFonts w:cs="Arial"/>
                <w:szCs w:val="28"/>
              </w:rPr>
            </w:pPr>
          </w:p>
        </w:tc>
        <w:tc>
          <w:tcPr>
            <w:tcW w:w="8335" w:type="dxa"/>
          </w:tcPr>
          <w:p w:rsidR="00096C62" w:rsidRDefault="00096C62" w:rsidP="00374B9B">
            <w:pPr>
              <w:pStyle w:val="ListParagraph"/>
              <w:rPr>
                <w:rFonts w:cs="Arial"/>
                <w:szCs w:val="28"/>
              </w:rPr>
            </w:pPr>
          </w:p>
          <w:p w:rsidR="00096C62" w:rsidRDefault="00096C62" w:rsidP="00FB4A6E">
            <w:pPr>
              <w:pStyle w:val="ListParagraph"/>
              <w:numPr>
                <w:ilvl w:val="0"/>
                <w:numId w:val="2"/>
              </w:numPr>
              <w:rPr>
                <w:rFonts w:cs="Arial"/>
                <w:szCs w:val="28"/>
              </w:rPr>
            </w:pPr>
            <w:r>
              <w:rPr>
                <w:rFonts w:cs="Arial"/>
                <w:szCs w:val="28"/>
              </w:rPr>
              <w:t>Approve HGIAS Audit Plan 2018/19</w:t>
            </w:r>
          </w:p>
          <w:p w:rsidR="00096C62" w:rsidRDefault="00096C62" w:rsidP="00FB4A6E">
            <w:pPr>
              <w:pStyle w:val="ListParagraph"/>
              <w:numPr>
                <w:ilvl w:val="0"/>
                <w:numId w:val="2"/>
              </w:numPr>
              <w:rPr>
                <w:rFonts w:cs="Arial"/>
                <w:szCs w:val="28"/>
              </w:rPr>
            </w:pPr>
            <w:r>
              <w:rPr>
                <w:rFonts w:cs="Arial"/>
                <w:szCs w:val="28"/>
              </w:rPr>
              <w:t xml:space="preserve">Review Audit Committee </w:t>
            </w:r>
            <w:proofErr w:type="spellStart"/>
            <w:r>
              <w:rPr>
                <w:rFonts w:cs="Arial"/>
                <w:szCs w:val="28"/>
              </w:rPr>
              <w:t>ToR</w:t>
            </w:r>
            <w:proofErr w:type="spellEnd"/>
            <w:r>
              <w:rPr>
                <w:rFonts w:cs="Arial"/>
                <w:szCs w:val="28"/>
              </w:rPr>
              <w:t xml:space="preserve"> and Manual</w:t>
            </w:r>
          </w:p>
          <w:p w:rsidR="00096C62" w:rsidRDefault="00096C62" w:rsidP="00FB4A6E">
            <w:pPr>
              <w:pStyle w:val="ListParagraph"/>
              <w:numPr>
                <w:ilvl w:val="0"/>
                <w:numId w:val="2"/>
              </w:numPr>
              <w:rPr>
                <w:rFonts w:cs="Arial"/>
                <w:szCs w:val="28"/>
              </w:rPr>
            </w:pPr>
            <w:r>
              <w:rPr>
                <w:rFonts w:cs="Arial"/>
                <w:szCs w:val="28"/>
              </w:rPr>
              <w:t>Review Assurance map and framework</w:t>
            </w:r>
          </w:p>
          <w:p w:rsidR="00096C62" w:rsidRPr="00FB4A6E" w:rsidRDefault="00096C62" w:rsidP="00FB4A6E">
            <w:pPr>
              <w:ind w:left="360"/>
              <w:rPr>
                <w:rFonts w:cs="Arial"/>
                <w:szCs w:val="28"/>
              </w:rPr>
            </w:pPr>
          </w:p>
        </w:tc>
      </w:tr>
    </w:tbl>
    <w:p w:rsidR="00917849" w:rsidRPr="00917849" w:rsidRDefault="00917849" w:rsidP="00917849">
      <w:pPr>
        <w:spacing w:after="0" w:line="240" w:lineRule="auto"/>
        <w:ind w:right="-46"/>
        <w:jc w:val="center"/>
        <w:rPr>
          <w:rFonts w:cs="Arial"/>
          <w:szCs w:val="28"/>
        </w:rPr>
      </w:pPr>
    </w:p>
    <w:p w:rsidR="00917849" w:rsidRDefault="00917849" w:rsidP="00917849">
      <w:pPr>
        <w:jc w:val="center"/>
      </w:pPr>
    </w:p>
    <w:sectPr w:rsidR="00917849" w:rsidSect="000E22AB">
      <w:footerReference w:type="default" r:id="rId8"/>
      <w:headerReference w:type="first" r:id="rId9"/>
      <w:footerReference w:type="first" r:id="rId10"/>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49" w:rsidRDefault="00917849" w:rsidP="00917849">
      <w:pPr>
        <w:spacing w:after="0" w:line="240" w:lineRule="auto"/>
      </w:pPr>
      <w:r>
        <w:separator/>
      </w:r>
    </w:p>
  </w:endnote>
  <w:endnote w:type="continuationSeparator" w:id="0">
    <w:p w:rsidR="00917849" w:rsidRDefault="00917849" w:rsidP="0091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9B" w:rsidRPr="00382649" w:rsidRDefault="006D5E36" w:rsidP="00374B9B">
    <w:pPr>
      <w:pStyle w:val="Footer"/>
      <w:rPr>
        <w:sz w:val="18"/>
      </w:rPr>
    </w:pPr>
    <w:r>
      <w:rPr>
        <w:sz w:val="18"/>
      </w:rPr>
      <w:t>2018.02.14</w:t>
    </w:r>
    <w:r w:rsidR="00374B9B">
      <w:rPr>
        <w:sz w:val="18"/>
      </w:rPr>
      <w:t xml:space="preserve"> Audit and Risk Committee meeting summary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49" w:rsidRPr="00382649" w:rsidRDefault="006D5E36" w:rsidP="00382649">
    <w:pPr>
      <w:pStyle w:val="Footer"/>
      <w:rPr>
        <w:sz w:val="18"/>
      </w:rPr>
    </w:pPr>
    <w:r>
      <w:rPr>
        <w:sz w:val="18"/>
      </w:rPr>
      <w:t>2018.02.14</w:t>
    </w:r>
    <w:r w:rsidR="00382649">
      <w:rPr>
        <w:sz w:val="18"/>
      </w:rPr>
      <w:t xml:space="preserve"> Audit and Risk Committee meeting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49" w:rsidRDefault="00917849" w:rsidP="00917849">
      <w:pPr>
        <w:spacing w:after="0" w:line="240" w:lineRule="auto"/>
      </w:pPr>
      <w:r>
        <w:separator/>
      </w:r>
    </w:p>
  </w:footnote>
  <w:footnote w:type="continuationSeparator" w:id="0">
    <w:p w:rsidR="00917849" w:rsidRDefault="00917849" w:rsidP="0091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49" w:rsidRDefault="00917849">
    <w:pPr>
      <w:pStyle w:val="Header"/>
    </w:pPr>
    <w:r>
      <w:rPr>
        <w:noProof/>
        <w:lang w:eastAsia="en-GB"/>
      </w:rPr>
      <w:drawing>
        <wp:anchor distT="0" distB="0" distL="114300" distR="114300" simplePos="0" relativeHeight="251658240" behindDoc="0" locked="0" layoutInCell="1" allowOverlap="1" wp14:anchorId="3FBE8649" wp14:editId="0B3275D1">
          <wp:simplePos x="0" y="0"/>
          <wp:positionH relativeFrom="column">
            <wp:posOffset>4800600</wp:posOffset>
          </wp:positionH>
          <wp:positionV relativeFrom="paragraph">
            <wp:posOffset>-1905</wp:posOffset>
          </wp:positionV>
          <wp:extent cx="1238250" cy="6515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2624"/>
    <w:multiLevelType w:val="hybridMultilevel"/>
    <w:tmpl w:val="9A763E3C"/>
    <w:lvl w:ilvl="0" w:tplc="E960915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D4F90"/>
    <w:multiLevelType w:val="hybridMultilevel"/>
    <w:tmpl w:val="238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BE7F24"/>
    <w:multiLevelType w:val="hybridMultilevel"/>
    <w:tmpl w:val="BF0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CF6F9B"/>
    <w:multiLevelType w:val="hybridMultilevel"/>
    <w:tmpl w:val="C8D8840C"/>
    <w:lvl w:ilvl="0" w:tplc="634270E6">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3E6645"/>
    <w:multiLevelType w:val="hybridMultilevel"/>
    <w:tmpl w:val="618A4748"/>
    <w:lvl w:ilvl="0" w:tplc="4ACA79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49"/>
    <w:rsid w:val="00096C62"/>
    <w:rsid w:val="000E22AB"/>
    <w:rsid w:val="000E5951"/>
    <w:rsid w:val="001228DF"/>
    <w:rsid w:val="00215CFE"/>
    <w:rsid w:val="00245072"/>
    <w:rsid w:val="002A59FC"/>
    <w:rsid w:val="00352AE4"/>
    <w:rsid w:val="00367375"/>
    <w:rsid w:val="00374B9B"/>
    <w:rsid w:val="00382649"/>
    <w:rsid w:val="00416A35"/>
    <w:rsid w:val="00520A87"/>
    <w:rsid w:val="00524AC0"/>
    <w:rsid w:val="006B5B32"/>
    <w:rsid w:val="006D5E36"/>
    <w:rsid w:val="006E043F"/>
    <w:rsid w:val="00917849"/>
    <w:rsid w:val="0097136F"/>
    <w:rsid w:val="009C098E"/>
    <w:rsid w:val="009C0D4B"/>
    <w:rsid w:val="00A05A3D"/>
    <w:rsid w:val="00A36BD7"/>
    <w:rsid w:val="00AB4AAE"/>
    <w:rsid w:val="00C05EAF"/>
    <w:rsid w:val="00D3109F"/>
    <w:rsid w:val="00D66EBF"/>
    <w:rsid w:val="00DA67AA"/>
    <w:rsid w:val="00E20B18"/>
    <w:rsid w:val="00E621F0"/>
    <w:rsid w:val="00EB35E3"/>
    <w:rsid w:val="00F14976"/>
    <w:rsid w:val="00FB4A6E"/>
    <w:rsid w:val="00FD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49"/>
    <w:rPr>
      <w:rFonts w:ascii="Tahoma" w:hAnsi="Tahoma" w:cs="Tahoma"/>
      <w:sz w:val="16"/>
      <w:szCs w:val="16"/>
    </w:rPr>
  </w:style>
  <w:style w:type="paragraph" w:styleId="Header">
    <w:name w:val="header"/>
    <w:basedOn w:val="Normal"/>
    <w:link w:val="HeaderChar"/>
    <w:uiPriority w:val="99"/>
    <w:unhideWhenUsed/>
    <w:rsid w:val="00917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849"/>
  </w:style>
  <w:style w:type="paragraph" w:styleId="Footer">
    <w:name w:val="footer"/>
    <w:basedOn w:val="Normal"/>
    <w:link w:val="FooterChar"/>
    <w:uiPriority w:val="99"/>
    <w:unhideWhenUsed/>
    <w:rsid w:val="0091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849"/>
  </w:style>
  <w:style w:type="table" w:styleId="TableGrid">
    <w:name w:val="Table Grid"/>
    <w:basedOn w:val="TableNormal"/>
    <w:uiPriority w:val="59"/>
    <w:rsid w:val="0091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A87"/>
    <w:pPr>
      <w:ind w:left="720"/>
      <w:contextualSpacing/>
    </w:pPr>
  </w:style>
  <w:style w:type="paragraph" w:customStyle="1" w:styleId="Default">
    <w:name w:val="Default"/>
    <w:rsid w:val="00F149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11</cp:revision>
  <dcterms:created xsi:type="dcterms:W3CDTF">2017-07-11T12:26:00Z</dcterms:created>
  <dcterms:modified xsi:type="dcterms:W3CDTF">2018-03-15T16:16:00Z</dcterms:modified>
</cp:coreProperties>
</file>