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47EA4DD9" wp14:editId="02B9653D">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E30222"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10</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E30222"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AD4685">
        <w:rPr>
          <w:rFonts w:asciiTheme="minorHAnsi" w:eastAsiaTheme="minorHAnsi" w:hAnsiTheme="minorHAnsi" w:cstheme="minorHAnsi"/>
          <w:b/>
          <w:sz w:val="44"/>
          <w:szCs w:val="44"/>
          <w:lang w:eastAsia="en-US"/>
        </w:rPr>
        <w:t>BOARD</w:t>
      </w:r>
      <w:r w:rsidR="00E93BF0">
        <w:rPr>
          <w:rFonts w:asciiTheme="minorHAnsi" w:eastAsiaTheme="minorHAnsi" w:hAnsiTheme="minorHAnsi" w:cstheme="minorHAnsi"/>
          <w:b/>
          <w:sz w:val="44"/>
          <w:szCs w:val="44"/>
          <w:lang w:eastAsia="en-US"/>
        </w:rPr>
        <w:t xml:space="preserve"> &amp; LT</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442477" w:rsidRDefault="00442477" w:rsidP="0018720D">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Leadership team</w:t>
            </w:r>
            <w:r w:rsidRPr="00DE53D0">
              <w:rPr>
                <w:rFonts w:asciiTheme="minorHAnsi" w:eastAsiaTheme="minorHAnsi" w:hAnsiTheme="minorHAnsi" w:cstheme="minorHAnsi"/>
                <w:lang w:eastAsia="en-US"/>
              </w:rPr>
              <w:t xml:space="preserve">: </w:t>
            </w:r>
            <w:r w:rsidR="00A72FE8" w:rsidRPr="00DE53D0">
              <w:rPr>
                <w:rFonts w:asciiTheme="minorHAnsi" w:eastAsiaTheme="minorHAnsi" w:hAnsiTheme="minorHAnsi" w:cstheme="minorHAnsi"/>
                <w:lang w:eastAsia="en-US"/>
              </w:rPr>
              <w:t>14</w:t>
            </w:r>
            <w:r w:rsidRPr="00DE53D0">
              <w:rPr>
                <w:rFonts w:asciiTheme="minorHAnsi" w:eastAsiaTheme="minorHAnsi" w:hAnsiTheme="minorHAnsi" w:cstheme="minorHAnsi"/>
                <w:vertAlign w:val="superscript"/>
                <w:lang w:eastAsia="en-US"/>
              </w:rPr>
              <w:t>th</w:t>
            </w:r>
            <w:r w:rsidRPr="00DE53D0">
              <w:rPr>
                <w:rFonts w:asciiTheme="minorHAnsi" w:eastAsiaTheme="minorHAnsi" w:hAnsiTheme="minorHAnsi" w:cstheme="minorHAnsi"/>
                <w:lang w:eastAsia="en-US"/>
              </w:rPr>
              <w:t xml:space="preserve"> </w:t>
            </w:r>
            <w:r w:rsidR="00A72FE8" w:rsidRPr="00DE53D0">
              <w:rPr>
                <w:rFonts w:asciiTheme="minorHAnsi" w:eastAsiaTheme="minorHAnsi" w:hAnsiTheme="minorHAnsi" w:cstheme="minorHAnsi"/>
                <w:lang w:eastAsia="en-US"/>
              </w:rPr>
              <w:t>March</w:t>
            </w:r>
            <w:r>
              <w:rPr>
                <w:rFonts w:asciiTheme="minorHAnsi" w:eastAsiaTheme="minorHAnsi" w:hAnsiTheme="minorHAnsi" w:cstheme="minorHAnsi"/>
                <w:lang w:eastAsia="en-US"/>
              </w:rPr>
              <w:t xml:space="preserve"> 2018</w:t>
            </w:r>
          </w:p>
          <w:p w:rsidR="00E93BF0" w:rsidRPr="00A5757C" w:rsidRDefault="00E872B3" w:rsidP="00360068">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Board</w:t>
            </w:r>
            <w:r w:rsidRPr="00DE53D0">
              <w:rPr>
                <w:rFonts w:asciiTheme="minorHAnsi" w:eastAsiaTheme="minorHAnsi" w:hAnsiTheme="minorHAnsi" w:cstheme="minorHAnsi"/>
                <w:lang w:eastAsia="en-US"/>
              </w:rPr>
              <w:t>:</w:t>
            </w:r>
            <w:r w:rsidR="00461F18" w:rsidRPr="00DE53D0">
              <w:rPr>
                <w:rFonts w:asciiTheme="minorHAnsi" w:eastAsiaTheme="minorHAnsi" w:hAnsiTheme="minorHAnsi" w:cstheme="minorHAnsi"/>
                <w:lang w:eastAsia="en-US"/>
              </w:rPr>
              <w:t xml:space="preserve"> </w:t>
            </w:r>
            <w:r w:rsidR="00360068" w:rsidRPr="00DE53D0">
              <w:rPr>
                <w:rFonts w:asciiTheme="minorHAnsi" w:eastAsiaTheme="minorHAnsi" w:hAnsiTheme="minorHAnsi" w:cstheme="minorHAnsi"/>
                <w:lang w:eastAsia="en-US"/>
              </w:rPr>
              <w:t>21</w:t>
            </w:r>
            <w:r w:rsidR="00360068" w:rsidRPr="00DE53D0">
              <w:rPr>
                <w:rFonts w:asciiTheme="minorHAnsi" w:eastAsiaTheme="minorHAnsi" w:hAnsiTheme="minorHAnsi" w:cstheme="minorHAnsi"/>
                <w:vertAlign w:val="superscript"/>
                <w:lang w:eastAsia="en-US"/>
              </w:rPr>
              <w:t>st</w:t>
            </w:r>
            <w:r w:rsidR="00360068" w:rsidRPr="00DE53D0">
              <w:rPr>
                <w:rFonts w:asciiTheme="minorHAnsi" w:eastAsiaTheme="minorHAnsi" w:hAnsiTheme="minorHAnsi" w:cstheme="minorHAnsi"/>
                <w:lang w:eastAsia="en-US"/>
              </w:rPr>
              <w:t xml:space="preserve"> March</w:t>
            </w:r>
            <w:r w:rsidR="00442477" w:rsidRPr="00DE53D0">
              <w:rPr>
                <w:rFonts w:asciiTheme="minorHAnsi" w:eastAsiaTheme="minorHAnsi" w:hAnsiTheme="minorHAnsi" w:cstheme="minorHAnsi"/>
                <w:lang w:eastAsia="en-US"/>
              </w:rPr>
              <w:t xml:space="preserve"> 2018</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360068">
            <w:pPr>
              <w:spacing w:after="200" w:line="276" w:lineRule="auto"/>
              <w:rPr>
                <w:rFonts w:asciiTheme="minorHAnsi" w:hAnsiTheme="minorHAnsi" w:cstheme="minorHAnsi"/>
              </w:rPr>
            </w:pPr>
            <w:r w:rsidRPr="00DF3EE3">
              <w:rPr>
                <w:rFonts w:asciiTheme="minorHAnsi" w:hAnsiTheme="minorHAnsi" w:cstheme="minorHAnsi"/>
              </w:rPr>
              <w:t>Financ</w:t>
            </w:r>
            <w:r w:rsidR="00E93BF0">
              <w:rPr>
                <w:rFonts w:asciiTheme="minorHAnsi" w:hAnsiTheme="minorHAnsi" w:cstheme="minorHAnsi"/>
              </w:rPr>
              <w:t>e</w:t>
            </w:r>
            <w:r w:rsidRPr="00DF3EE3">
              <w:rPr>
                <w:rFonts w:asciiTheme="minorHAnsi" w:hAnsiTheme="minorHAnsi" w:cstheme="minorHAnsi"/>
              </w:rPr>
              <w:t xml:space="preserve"> </w:t>
            </w:r>
            <w:r w:rsidR="00AD76CF">
              <w:rPr>
                <w:rFonts w:asciiTheme="minorHAnsi" w:hAnsiTheme="minorHAnsi" w:cstheme="minorHAnsi"/>
              </w:rPr>
              <w:t xml:space="preserve">report </w:t>
            </w:r>
            <w:r w:rsidR="008D3436">
              <w:rPr>
                <w:rFonts w:asciiTheme="minorHAnsi" w:hAnsiTheme="minorHAnsi" w:cstheme="minorHAnsi"/>
              </w:rPr>
              <w:t xml:space="preserve"> - </w:t>
            </w:r>
            <w:r w:rsidR="00A76C3F">
              <w:rPr>
                <w:rFonts w:asciiTheme="minorHAnsi" w:hAnsiTheme="minorHAnsi" w:cstheme="minorHAnsi"/>
              </w:rPr>
              <w:t xml:space="preserve">for the </w:t>
            </w:r>
            <w:r w:rsidR="00307BC8">
              <w:rPr>
                <w:rFonts w:asciiTheme="minorHAnsi" w:hAnsiTheme="minorHAnsi" w:cstheme="minorHAnsi"/>
              </w:rPr>
              <w:t>10</w:t>
            </w:r>
            <w:r w:rsidR="00442477">
              <w:rPr>
                <w:rFonts w:asciiTheme="minorHAnsi" w:hAnsiTheme="minorHAnsi" w:cstheme="minorHAnsi"/>
              </w:rPr>
              <w:t xml:space="preserve"> </w:t>
            </w:r>
            <w:r w:rsidR="00E872B3">
              <w:rPr>
                <w:rFonts w:asciiTheme="minorHAnsi" w:hAnsiTheme="minorHAnsi" w:cstheme="minorHAnsi"/>
              </w:rPr>
              <w:t>months</w:t>
            </w:r>
            <w:r w:rsidR="00E93BF0">
              <w:rPr>
                <w:rFonts w:asciiTheme="minorHAnsi" w:hAnsiTheme="minorHAnsi" w:cstheme="minorHAnsi"/>
              </w:rPr>
              <w:t xml:space="preserve"> </w:t>
            </w:r>
            <w:r w:rsidR="00A76C3F">
              <w:rPr>
                <w:rFonts w:asciiTheme="minorHAnsi" w:hAnsiTheme="minorHAnsi" w:cstheme="minorHAnsi"/>
              </w:rPr>
              <w:t>ended 3</w:t>
            </w:r>
            <w:r w:rsidR="00360068">
              <w:rPr>
                <w:rFonts w:asciiTheme="minorHAnsi" w:hAnsiTheme="minorHAnsi" w:cstheme="minorHAnsi"/>
              </w:rPr>
              <w:t>1</w:t>
            </w:r>
            <w:r w:rsidR="005D686A">
              <w:rPr>
                <w:rFonts w:asciiTheme="minorHAnsi" w:hAnsiTheme="minorHAnsi" w:cstheme="minorHAnsi"/>
              </w:rPr>
              <w:t xml:space="preserve"> </w:t>
            </w:r>
            <w:r w:rsidR="00307BC8">
              <w:rPr>
                <w:rFonts w:asciiTheme="minorHAnsi" w:hAnsiTheme="minorHAnsi" w:cstheme="minorHAnsi"/>
              </w:rPr>
              <w:t>January</w:t>
            </w:r>
            <w:r w:rsidR="00FA0CFC">
              <w:rPr>
                <w:rFonts w:asciiTheme="minorHAnsi" w:hAnsiTheme="minorHAnsi" w:cstheme="minorHAnsi"/>
              </w:rPr>
              <w:t xml:space="preserve"> 201</w:t>
            </w:r>
            <w:r w:rsidR="00360068">
              <w:rPr>
                <w:rFonts w:asciiTheme="minorHAnsi" w:hAnsiTheme="minorHAnsi" w:cstheme="minorHAnsi"/>
              </w:rPr>
              <w:t>8</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5F1D45" w:rsidRDefault="009F5C1B"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5F1D45">
              <w:rPr>
                <w:rFonts w:asciiTheme="minorHAnsi" w:eastAsiaTheme="minorHAnsi" w:hAnsiTheme="minorHAnsi" w:cstheme="minorHAnsi"/>
                <w:lang w:eastAsia="en-US"/>
              </w:rPr>
              <w:t xml:space="preserve">enable </w:t>
            </w:r>
            <w:r w:rsidR="000F7175">
              <w:rPr>
                <w:rFonts w:asciiTheme="minorHAnsi" w:eastAsiaTheme="minorHAnsi" w:hAnsiTheme="minorHAnsi" w:cstheme="minorHAnsi"/>
                <w:lang w:eastAsia="en-US"/>
              </w:rPr>
              <w:t xml:space="preserve">an </w:t>
            </w:r>
            <w:r w:rsidR="005F1D45" w:rsidRPr="005F1D45">
              <w:rPr>
                <w:rFonts w:asciiTheme="minorHAnsi" w:eastAsiaTheme="minorHAnsi" w:hAnsiTheme="minorHAnsi" w:cstheme="minorHAnsi"/>
                <w:lang w:eastAsia="en-US"/>
              </w:rPr>
              <w:t xml:space="preserve">informed understanding of </w:t>
            </w:r>
            <w:r w:rsidR="007B77AD">
              <w:rPr>
                <w:rFonts w:asciiTheme="minorHAnsi" w:eastAsiaTheme="minorHAnsi" w:hAnsiTheme="minorHAnsi" w:cstheme="minorHAnsi"/>
                <w:lang w:eastAsia="en-US"/>
              </w:rPr>
              <w:t>the HRA’s</w:t>
            </w:r>
            <w:r w:rsidR="005F1D45" w:rsidRPr="005F1D45">
              <w:rPr>
                <w:rFonts w:asciiTheme="minorHAnsi" w:eastAsiaTheme="minorHAnsi" w:hAnsiTheme="minorHAnsi" w:cstheme="minorHAnsi"/>
                <w:lang w:eastAsia="en-US"/>
              </w:rPr>
              <w:t xml:space="preserve"> financial </w:t>
            </w:r>
            <w:r w:rsidR="00B07207" w:rsidRPr="005F1D45">
              <w:rPr>
                <w:rFonts w:asciiTheme="minorHAnsi" w:eastAsiaTheme="minorHAnsi" w:hAnsiTheme="minorHAnsi" w:cstheme="minorHAnsi"/>
                <w:lang w:eastAsia="en-US"/>
              </w:rPr>
              <w:t>performance</w:t>
            </w:r>
            <w:r w:rsidR="00DF3EE3" w:rsidRPr="005F1D45">
              <w:rPr>
                <w:rFonts w:asciiTheme="minorHAnsi" w:eastAsiaTheme="minorHAnsi" w:hAnsiTheme="minorHAnsi" w:cstheme="minorHAnsi"/>
                <w:lang w:eastAsia="en-US"/>
              </w:rPr>
              <w:t xml:space="preserve"> </w:t>
            </w:r>
            <w:r w:rsidR="00A76C3F" w:rsidRPr="005F1D45">
              <w:rPr>
                <w:rFonts w:asciiTheme="minorHAnsi" w:eastAsiaTheme="minorHAnsi" w:hAnsiTheme="minorHAnsi" w:cstheme="minorHAnsi"/>
                <w:lang w:eastAsia="en-US"/>
              </w:rPr>
              <w:t xml:space="preserve">for the </w:t>
            </w:r>
            <w:r w:rsidR="00307BC8">
              <w:rPr>
                <w:rFonts w:asciiTheme="minorHAnsi" w:eastAsiaTheme="minorHAnsi" w:hAnsiTheme="minorHAnsi" w:cstheme="minorHAnsi"/>
                <w:lang w:eastAsia="en-US"/>
              </w:rPr>
              <w:t>10</w:t>
            </w:r>
            <w:r w:rsidR="00E93BF0">
              <w:rPr>
                <w:rFonts w:asciiTheme="minorHAnsi" w:eastAsiaTheme="minorHAnsi" w:hAnsiTheme="minorHAnsi" w:cstheme="minorHAnsi"/>
                <w:lang w:eastAsia="en-US"/>
              </w:rPr>
              <w:t xml:space="preserve"> months</w:t>
            </w:r>
            <w:r w:rsidR="00882077">
              <w:rPr>
                <w:rFonts w:asciiTheme="minorHAnsi" w:eastAsiaTheme="minorHAnsi" w:hAnsiTheme="minorHAnsi" w:cstheme="minorHAnsi"/>
                <w:lang w:eastAsia="en-US"/>
              </w:rPr>
              <w:t xml:space="preserve"> to</w:t>
            </w:r>
            <w:r w:rsidR="00A76C3F" w:rsidRPr="005F1D45">
              <w:rPr>
                <w:rFonts w:asciiTheme="minorHAnsi" w:eastAsiaTheme="minorHAnsi" w:hAnsiTheme="minorHAnsi" w:cstheme="minorHAnsi"/>
                <w:lang w:eastAsia="en-US"/>
              </w:rPr>
              <w:t xml:space="preserve"> </w:t>
            </w:r>
            <w:r w:rsidR="005F1D45" w:rsidRPr="005F1D45">
              <w:rPr>
                <w:rFonts w:asciiTheme="minorHAnsi" w:eastAsiaTheme="minorHAnsi" w:hAnsiTheme="minorHAnsi" w:cstheme="minorHAnsi"/>
                <w:lang w:eastAsia="en-US"/>
              </w:rPr>
              <w:t>3</w:t>
            </w:r>
            <w:r w:rsidR="00360068">
              <w:rPr>
                <w:rFonts w:asciiTheme="minorHAnsi" w:eastAsiaTheme="minorHAnsi" w:hAnsiTheme="minorHAnsi" w:cstheme="minorHAnsi"/>
                <w:lang w:eastAsia="en-US"/>
              </w:rPr>
              <w:t>1</w:t>
            </w:r>
            <w:r w:rsidR="005D686A">
              <w:rPr>
                <w:rFonts w:asciiTheme="minorHAnsi" w:eastAsiaTheme="minorHAnsi" w:hAnsiTheme="minorHAnsi" w:cstheme="minorHAnsi"/>
                <w:lang w:eastAsia="en-US"/>
              </w:rPr>
              <w:t xml:space="preserve"> </w:t>
            </w:r>
            <w:r w:rsidR="00307BC8">
              <w:rPr>
                <w:rFonts w:asciiTheme="minorHAnsi" w:eastAsiaTheme="minorHAnsi" w:hAnsiTheme="minorHAnsi" w:cstheme="minorHAnsi"/>
                <w:lang w:eastAsia="en-US"/>
              </w:rPr>
              <w:t>January</w:t>
            </w:r>
            <w:r w:rsidR="005F1D45" w:rsidRPr="005F1D45">
              <w:rPr>
                <w:rFonts w:asciiTheme="minorHAnsi" w:eastAsiaTheme="minorHAnsi" w:hAnsiTheme="minorHAnsi" w:cstheme="minorHAnsi"/>
                <w:lang w:eastAsia="en-US"/>
              </w:rPr>
              <w:t xml:space="preserve"> 201</w:t>
            </w:r>
            <w:r w:rsidR="00360068">
              <w:rPr>
                <w:rFonts w:asciiTheme="minorHAnsi" w:eastAsiaTheme="minorHAnsi" w:hAnsiTheme="minorHAnsi" w:cstheme="minorHAnsi"/>
                <w:lang w:eastAsia="en-US"/>
              </w:rPr>
              <w:t>8</w:t>
            </w:r>
            <w:r w:rsidR="00DE53D0">
              <w:rPr>
                <w:rFonts w:asciiTheme="minorHAnsi" w:eastAsiaTheme="minorHAnsi" w:hAnsiTheme="minorHAnsi" w:cstheme="minorHAnsi"/>
                <w:lang w:eastAsia="en-US"/>
              </w:rPr>
              <w:t>,</w:t>
            </w:r>
            <w:r w:rsidR="007C48EC">
              <w:rPr>
                <w:rFonts w:asciiTheme="minorHAnsi" w:eastAsiaTheme="minorHAnsi" w:hAnsiTheme="minorHAnsi" w:cstheme="minorHAnsi"/>
                <w:lang w:eastAsia="en-US"/>
              </w:rPr>
              <w:t xml:space="preserve"> forecast position for the </w:t>
            </w:r>
            <w:r w:rsidR="009E3BBB">
              <w:rPr>
                <w:rFonts w:asciiTheme="minorHAnsi" w:eastAsiaTheme="minorHAnsi" w:hAnsiTheme="minorHAnsi" w:cstheme="minorHAnsi"/>
                <w:lang w:eastAsia="en-US"/>
              </w:rPr>
              <w:t>y</w:t>
            </w:r>
            <w:r w:rsidR="007C48EC">
              <w:rPr>
                <w:rFonts w:asciiTheme="minorHAnsi" w:eastAsiaTheme="minorHAnsi" w:hAnsiTheme="minorHAnsi" w:cstheme="minorHAnsi"/>
                <w:lang w:eastAsia="en-US"/>
              </w:rPr>
              <w:t>ear</w:t>
            </w:r>
            <w:r w:rsidR="009E3BBB">
              <w:rPr>
                <w:rFonts w:asciiTheme="minorHAnsi" w:eastAsiaTheme="minorHAnsi" w:hAnsiTheme="minorHAnsi" w:cstheme="minorHAnsi"/>
                <w:lang w:eastAsia="en-US"/>
              </w:rPr>
              <w:t>-ended 31 March 2018</w:t>
            </w:r>
            <w:r w:rsidR="00360068">
              <w:rPr>
                <w:rFonts w:asciiTheme="minorHAnsi" w:eastAsiaTheme="minorHAnsi" w:hAnsiTheme="minorHAnsi" w:cstheme="minorHAnsi"/>
                <w:lang w:eastAsia="en-US"/>
              </w:rPr>
              <w:t xml:space="preserve">, </w:t>
            </w:r>
            <w:r w:rsidR="00DE53D0">
              <w:rPr>
                <w:rFonts w:asciiTheme="minorHAnsi" w:eastAsiaTheme="minorHAnsi" w:hAnsiTheme="minorHAnsi" w:cstheme="minorHAnsi"/>
                <w:lang w:eastAsia="en-US"/>
              </w:rPr>
              <w:t>and proposed financial plan for 2018/19.</w:t>
            </w:r>
          </w:p>
          <w:p w:rsidR="007C48EC" w:rsidRDefault="007C48EC" w:rsidP="005F1D4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share the steps being taken to ensure our resources are being utilized to best effect to achieve our strategic goals. </w:t>
            </w:r>
          </w:p>
          <w:p w:rsidR="00E93BF0" w:rsidRPr="005F1D45" w:rsidRDefault="005F1D45" w:rsidP="00DE53D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improve decision making by increasing financial literacy particularly in relation to </w:t>
            </w:r>
            <w:r w:rsidRPr="005F1D45">
              <w:rPr>
                <w:rFonts w:asciiTheme="minorHAnsi" w:eastAsiaTheme="minorHAnsi" w:hAnsiTheme="minorHAnsi" w:cstheme="minorHAnsi"/>
                <w:lang w:eastAsia="en-US"/>
              </w:rPr>
              <w:t xml:space="preserve">our 2017/18 financial </w:t>
            </w:r>
            <w:r w:rsidR="00DE53D0">
              <w:rPr>
                <w:rFonts w:asciiTheme="minorHAnsi" w:eastAsiaTheme="minorHAnsi" w:hAnsiTheme="minorHAnsi" w:cstheme="minorHAnsi"/>
                <w:lang w:eastAsia="en-US"/>
              </w:rPr>
              <w:t xml:space="preserve">performance, 2018/19 financial </w:t>
            </w:r>
            <w:r>
              <w:rPr>
                <w:rFonts w:asciiTheme="minorHAnsi" w:eastAsiaTheme="minorHAnsi" w:hAnsiTheme="minorHAnsi" w:cstheme="minorHAnsi"/>
                <w:lang w:eastAsia="en-US"/>
              </w:rPr>
              <w:t>plan</w:t>
            </w:r>
            <w:r w:rsidR="00DE53D0">
              <w:rPr>
                <w:rFonts w:asciiTheme="minorHAnsi" w:eastAsiaTheme="minorHAnsi" w:hAnsiTheme="minorHAnsi" w:cstheme="minorHAnsi"/>
                <w:lang w:eastAsia="en-US"/>
              </w:rPr>
              <w:t xml:space="preserve"> and</w:t>
            </w:r>
            <w:r w:rsidRPr="005F1D45">
              <w:rPr>
                <w:rFonts w:asciiTheme="minorHAnsi" w:eastAsiaTheme="minorHAnsi" w:hAnsiTheme="minorHAnsi" w:cstheme="minorHAnsi"/>
                <w:lang w:eastAsia="en-US"/>
              </w:rPr>
              <w:t xml:space="preserve"> future </w:t>
            </w:r>
            <w:r w:rsidR="00DE53D0">
              <w:rPr>
                <w:rFonts w:asciiTheme="minorHAnsi" w:eastAsiaTheme="minorHAnsi" w:hAnsiTheme="minorHAnsi" w:cstheme="minorHAnsi"/>
                <w:lang w:eastAsia="en-US"/>
              </w:rPr>
              <w:t>target operating model (TOM).</w:t>
            </w:r>
            <w:r w:rsidRPr="005F1D45">
              <w:rPr>
                <w:rFonts w:asciiTheme="minorHAnsi" w:eastAsiaTheme="minorHAnsi" w:hAnsiTheme="minorHAnsi" w:cstheme="minorHAnsi"/>
                <w:lang w:eastAsia="en-US"/>
              </w:rPr>
              <w:t xml:space="preserve"> </w:t>
            </w:r>
          </w:p>
        </w:tc>
      </w:tr>
      <w:tr w:rsidR="00DF3EE3" w:rsidRPr="00DF3EE3" w:rsidTr="00EA6CFB">
        <w:trPr>
          <w:trHeight w:val="1660"/>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0F7175" w:rsidRDefault="005F1D45"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Board</w:t>
            </w:r>
            <w:r w:rsidR="000F7175">
              <w:rPr>
                <w:rFonts w:asciiTheme="minorHAnsi" w:eastAsiaTheme="minorHAnsi" w:hAnsiTheme="minorHAnsi" w:cstheme="minorHAnsi"/>
                <w:lang w:eastAsia="en-US"/>
              </w:rPr>
              <w:t>, Accounting Officer</w:t>
            </w:r>
            <w:r>
              <w:rPr>
                <w:rFonts w:asciiTheme="minorHAnsi" w:eastAsiaTheme="minorHAnsi" w:hAnsiTheme="minorHAnsi" w:cstheme="minorHAnsi"/>
                <w:lang w:eastAsia="en-US"/>
              </w:rPr>
              <w:t xml:space="preserve"> and </w:t>
            </w:r>
            <w:r w:rsidR="00A76C3F">
              <w:rPr>
                <w:rFonts w:asciiTheme="minorHAnsi" w:eastAsiaTheme="minorHAnsi" w:hAnsiTheme="minorHAnsi" w:cstheme="minorHAnsi"/>
                <w:lang w:eastAsia="en-US"/>
              </w:rPr>
              <w:t xml:space="preserve">Leadership Team </w:t>
            </w:r>
            <w:r>
              <w:rPr>
                <w:rFonts w:asciiTheme="minorHAnsi" w:eastAsiaTheme="minorHAnsi" w:hAnsiTheme="minorHAnsi" w:cstheme="minorHAnsi"/>
                <w:lang w:eastAsia="en-US"/>
              </w:rPr>
              <w:t xml:space="preserve">have a key governance role </w:t>
            </w:r>
            <w:r w:rsidR="000F7175">
              <w:rPr>
                <w:rFonts w:asciiTheme="minorHAnsi" w:eastAsiaTheme="minorHAnsi" w:hAnsiTheme="minorHAnsi" w:cstheme="minorHAnsi"/>
                <w:lang w:eastAsia="en-US"/>
              </w:rPr>
              <w:t>in</w:t>
            </w:r>
            <w:r w:rsidR="00A76C3F">
              <w:rPr>
                <w:rFonts w:asciiTheme="minorHAnsi" w:eastAsiaTheme="minorHAnsi" w:hAnsiTheme="minorHAnsi" w:cstheme="minorHAnsi"/>
                <w:lang w:eastAsia="en-US"/>
              </w:rPr>
              <w:t xml:space="preserve"> the</w:t>
            </w:r>
            <w:r w:rsidR="004A176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financial stewardship of the HRA. </w:t>
            </w:r>
          </w:p>
          <w:p w:rsidR="00FA0CFC" w:rsidRPr="00731002" w:rsidRDefault="005F1D45" w:rsidP="00E93BF0">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report </w:t>
            </w:r>
            <w:r w:rsidR="000F7175">
              <w:rPr>
                <w:rFonts w:asciiTheme="minorHAnsi" w:eastAsiaTheme="minorHAnsi" w:hAnsiTheme="minorHAnsi" w:cstheme="minorHAnsi"/>
                <w:lang w:eastAsia="en-US"/>
              </w:rPr>
              <w:t>supports this</w:t>
            </w:r>
            <w:r w:rsidR="00731002">
              <w:rPr>
                <w:rFonts w:asciiTheme="minorHAnsi" w:eastAsiaTheme="minorHAnsi" w:hAnsiTheme="minorHAnsi" w:cstheme="minorHAnsi"/>
                <w:lang w:eastAsia="en-US"/>
              </w:rPr>
              <w:t xml:space="preserve"> </w:t>
            </w:r>
            <w:r w:rsidR="00E93BF0">
              <w:rPr>
                <w:rFonts w:asciiTheme="minorHAnsi" w:eastAsiaTheme="minorHAnsi" w:hAnsiTheme="minorHAnsi" w:cstheme="minorHAnsi"/>
                <w:lang w:eastAsia="en-US"/>
              </w:rPr>
              <w:t>aspect</w:t>
            </w:r>
            <w:r w:rsidR="00731002">
              <w:rPr>
                <w:rFonts w:asciiTheme="minorHAnsi" w:eastAsiaTheme="minorHAnsi" w:hAnsiTheme="minorHAnsi" w:cstheme="minorHAnsi"/>
                <w:lang w:eastAsia="en-US"/>
              </w:rPr>
              <w:t xml:space="preserve"> </w:t>
            </w:r>
            <w:r w:rsidR="000F7175">
              <w:rPr>
                <w:rFonts w:asciiTheme="minorHAnsi" w:eastAsiaTheme="minorHAnsi" w:hAnsiTheme="minorHAnsi" w:cstheme="minorHAnsi"/>
                <w:lang w:eastAsia="en-US"/>
              </w:rPr>
              <w:t>of the</w:t>
            </w:r>
            <w:r w:rsidR="00731002">
              <w:rPr>
                <w:rFonts w:asciiTheme="minorHAnsi" w:eastAsiaTheme="minorHAnsi" w:hAnsiTheme="minorHAnsi" w:cstheme="minorHAnsi"/>
                <w:lang w:eastAsia="en-US"/>
              </w:rPr>
              <w:t xml:space="preserve"> governance framework, providing the Board</w:t>
            </w:r>
            <w:r w:rsidR="000F7175">
              <w:rPr>
                <w:rFonts w:asciiTheme="minorHAnsi" w:eastAsiaTheme="minorHAnsi" w:hAnsiTheme="minorHAnsi" w:cstheme="minorHAnsi"/>
                <w:lang w:eastAsia="en-US"/>
              </w:rPr>
              <w:t>, Accounting Officer</w:t>
            </w:r>
            <w:r w:rsidR="00731002">
              <w:rPr>
                <w:rFonts w:asciiTheme="minorHAnsi" w:eastAsiaTheme="minorHAnsi" w:hAnsiTheme="minorHAnsi" w:cstheme="minorHAnsi"/>
                <w:lang w:eastAsia="en-US"/>
              </w:rPr>
              <w:t xml:space="preserve"> and senior management with essential financial information to inform strategy</w:t>
            </w:r>
            <w:r w:rsidR="000F7175">
              <w:rPr>
                <w:rFonts w:asciiTheme="minorHAnsi" w:eastAsiaTheme="minorHAnsi" w:hAnsiTheme="minorHAnsi" w:cstheme="minorHAnsi"/>
                <w:lang w:eastAsia="en-US"/>
              </w:rPr>
              <w:t>, inform</w:t>
            </w:r>
            <w:r w:rsidR="00731002">
              <w:rPr>
                <w:rFonts w:asciiTheme="minorHAnsi" w:eastAsiaTheme="minorHAnsi" w:hAnsiTheme="minorHAnsi" w:cstheme="minorHAnsi"/>
                <w:lang w:eastAsia="en-US"/>
              </w:rPr>
              <w:t xml:space="preserve"> decision making</w:t>
            </w:r>
            <w:r w:rsidR="000F7175">
              <w:rPr>
                <w:rFonts w:asciiTheme="minorHAnsi" w:eastAsiaTheme="minorHAnsi" w:hAnsiTheme="minorHAnsi" w:cstheme="minorHAnsi"/>
                <w:lang w:eastAsia="en-US"/>
              </w:rPr>
              <w:t xml:space="preserve"> and ensure </w:t>
            </w:r>
            <w:r w:rsidR="00D07ECB">
              <w:rPr>
                <w:rFonts w:asciiTheme="minorHAnsi" w:eastAsiaTheme="minorHAnsi" w:hAnsiTheme="minorHAnsi" w:cstheme="minorHAnsi"/>
                <w:lang w:eastAsia="en-US"/>
              </w:rPr>
              <w:t>robust financial management</w:t>
            </w:r>
            <w:r w:rsidR="00731002">
              <w:rPr>
                <w:rFonts w:asciiTheme="minorHAnsi" w:eastAsiaTheme="minorHAnsi" w:hAnsiTheme="minorHAnsi" w:cstheme="minorHAnsi"/>
                <w:lang w:eastAsia="en-US"/>
              </w:rPr>
              <w:t xml:space="preserve">. </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774E04" w:rsidP="001677C5">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Steve Tebbutt</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361853" w:rsidRDefault="00FA0CFC"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w:t>
            </w:r>
            <w:r w:rsidR="00181165">
              <w:rPr>
                <w:rFonts w:asciiTheme="minorHAnsi" w:eastAsiaTheme="minorHAnsi" w:hAnsiTheme="minorHAnsi" w:cstheme="minorHAnsi"/>
                <w:lang w:eastAsia="en-US"/>
              </w:rPr>
              <w:t xml:space="preserve"> financial performance </w:t>
            </w:r>
            <w:r w:rsidR="00950174">
              <w:rPr>
                <w:rFonts w:asciiTheme="minorHAnsi" w:eastAsiaTheme="minorHAnsi" w:hAnsiTheme="minorHAnsi" w:cstheme="minorHAnsi"/>
                <w:lang w:eastAsia="en-US"/>
              </w:rPr>
              <w:t>reports a</w:t>
            </w:r>
            <w:r w:rsidR="003F09C0">
              <w:rPr>
                <w:rFonts w:asciiTheme="minorHAnsi" w:eastAsiaTheme="minorHAnsi" w:hAnsiTheme="minorHAnsi" w:cstheme="minorHAnsi"/>
                <w:lang w:eastAsia="en-US"/>
              </w:rPr>
              <w:t>n</w:t>
            </w:r>
            <w:r>
              <w:rPr>
                <w:rFonts w:asciiTheme="minorHAnsi" w:eastAsiaTheme="minorHAnsi" w:hAnsiTheme="minorHAnsi" w:cstheme="minorHAnsi"/>
                <w:lang w:eastAsia="en-US"/>
              </w:rPr>
              <w:t xml:space="preserve"> </w:t>
            </w:r>
            <w:r w:rsidR="007B77AD">
              <w:rPr>
                <w:rFonts w:asciiTheme="minorHAnsi" w:eastAsiaTheme="minorHAnsi" w:hAnsiTheme="minorHAnsi" w:cstheme="minorHAnsi"/>
                <w:b/>
                <w:lang w:eastAsia="en-US"/>
              </w:rPr>
              <w:t>u</w:t>
            </w:r>
            <w:r w:rsidR="001677C5" w:rsidRPr="0059723D">
              <w:rPr>
                <w:rFonts w:asciiTheme="minorHAnsi" w:eastAsiaTheme="minorHAnsi" w:hAnsiTheme="minorHAnsi" w:cstheme="minorHAnsi"/>
                <w:b/>
                <w:lang w:eastAsia="en-US"/>
              </w:rPr>
              <w:t>nder</w:t>
            </w:r>
            <w:r w:rsidR="00181165" w:rsidRPr="0059723D">
              <w:rPr>
                <w:rFonts w:asciiTheme="minorHAnsi" w:eastAsiaTheme="minorHAnsi" w:hAnsiTheme="minorHAnsi" w:cstheme="minorHAnsi"/>
                <w:b/>
                <w:lang w:eastAsia="en-US"/>
              </w:rPr>
              <w:t>spend</w:t>
            </w:r>
            <w:r w:rsidR="00181165">
              <w:rPr>
                <w:rFonts w:asciiTheme="minorHAnsi" w:eastAsiaTheme="minorHAnsi" w:hAnsiTheme="minorHAnsi" w:cstheme="minorHAnsi"/>
                <w:lang w:eastAsia="en-US"/>
              </w:rPr>
              <w:t xml:space="preserve"> position</w:t>
            </w:r>
            <w:r>
              <w:rPr>
                <w:rFonts w:asciiTheme="minorHAnsi" w:eastAsiaTheme="minorHAnsi" w:hAnsiTheme="minorHAnsi" w:cstheme="minorHAnsi"/>
                <w:lang w:eastAsia="en-US"/>
              </w:rPr>
              <w:t xml:space="preserve"> of </w:t>
            </w:r>
            <w:r w:rsidR="00181165" w:rsidRPr="0059723D">
              <w:rPr>
                <w:rFonts w:asciiTheme="minorHAnsi" w:eastAsiaTheme="minorHAnsi" w:hAnsiTheme="minorHAnsi" w:cstheme="minorHAnsi"/>
                <w:b/>
                <w:lang w:eastAsia="en-US"/>
              </w:rPr>
              <w:t>£</w:t>
            </w:r>
            <w:r w:rsidR="00307BC8">
              <w:rPr>
                <w:rFonts w:asciiTheme="minorHAnsi" w:eastAsiaTheme="minorHAnsi" w:hAnsiTheme="minorHAnsi" w:cstheme="minorHAnsi"/>
                <w:b/>
                <w:lang w:eastAsia="en-US"/>
              </w:rPr>
              <w:t>61</w:t>
            </w:r>
            <w:r w:rsidR="00181165" w:rsidRPr="0059723D">
              <w:rPr>
                <w:rFonts w:asciiTheme="minorHAnsi" w:eastAsiaTheme="minorHAnsi" w:hAnsiTheme="minorHAnsi" w:cstheme="minorHAnsi"/>
                <w:b/>
                <w:lang w:eastAsia="en-US"/>
              </w:rPr>
              <w:t>k (</w:t>
            </w:r>
            <w:r w:rsidR="00C74503">
              <w:rPr>
                <w:rFonts w:asciiTheme="minorHAnsi" w:eastAsiaTheme="minorHAnsi" w:hAnsiTheme="minorHAnsi" w:cstheme="minorHAnsi"/>
                <w:b/>
                <w:lang w:eastAsia="en-US"/>
              </w:rPr>
              <w:t>0.</w:t>
            </w:r>
            <w:r w:rsidR="00FB55BF">
              <w:rPr>
                <w:rFonts w:asciiTheme="minorHAnsi" w:eastAsiaTheme="minorHAnsi" w:hAnsiTheme="minorHAnsi" w:cstheme="minorHAnsi"/>
                <w:b/>
                <w:lang w:eastAsia="en-US"/>
              </w:rPr>
              <w:t>6</w:t>
            </w:r>
            <w:r w:rsidR="00181165" w:rsidRPr="0059723D">
              <w:rPr>
                <w:rFonts w:asciiTheme="minorHAnsi" w:eastAsiaTheme="minorHAnsi" w:hAnsiTheme="minorHAnsi" w:cstheme="minorHAnsi"/>
                <w:b/>
                <w:lang w:eastAsia="en-US"/>
              </w:rPr>
              <w:t>%)</w:t>
            </w:r>
            <w:r>
              <w:rPr>
                <w:rFonts w:asciiTheme="minorHAnsi" w:eastAsiaTheme="minorHAnsi" w:hAnsiTheme="minorHAnsi" w:cstheme="minorHAnsi"/>
                <w:lang w:eastAsia="en-US"/>
              </w:rPr>
              <w:t xml:space="preserve"> on re</w:t>
            </w:r>
            <w:r w:rsidR="00181165">
              <w:rPr>
                <w:rFonts w:asciiTheme="minorHAnsi" w:eastAsiaTheme="minorHAnsi" w:hAnsiTheme="minorHAnsi" w:cstheme="minorHAnsi"/>
                <w:lang w:eastAsia="en-US"/>
              </w:rPr>
              <w:t xml:space="preserve">venue expenditure </w:t>
            </w:r>
            <w:r w:rsidRPr="00C14AE7">
              <w:rPr>
                <w:rFonts w:asciiTheme="minorHAnsi" w:eastAsiaTheme="minorHAnsi" w:hAnsiTheme="minorHAnsi" w:cstheme="minorHAnsi"/>
                <w:lang w:eastAsia="en-US"/>
              </w:rPr>
              <w:t>a</w:t>
            </w:r>
            <w:r w:rsidR="00181165" w:rsidRPr="00C14AE7">
              <w:rPr>
                <w:rFonts w:asciiTheme="minorHAnsi" w:eastAsiaTheme="minorHAnsi" w:hAnsiTheme="minorHAnsi" w:cstheme="minorHAnsi"/>
                <w:lang w:eastAsia="en-US"/>
              </w:rPr>
              <w:t xml:space="preserve">nd </w:t>
            </w:r>
            <w:r w:rsidR="00181165" w:rsidRPr="00C14AE7">
              <w:rPr>
                <w:rFonts w:asciiTheme="minorHAnsi" w:eastAsiaTheme="minorHAnsi" w:hAnsiTheme="minorHAnsi" w:cstheme="minorHAnsi"/>
                <w:b/>
                <w:lang w:eastAsia="en-US"/>
              </w:rPr>
              <w:t>£</w:t>
            </w:r>
            <w:r w:rsidR="00337FC2" w:rsidRPr="00C14AE7">
              <w:rPr>
                <w:rFonts w:asciiTheme="minorHAnsi" w:eastAsiaTheme="minorHAnsi" w:hAnsiTheme="minorHAnsi" w:cstheme="minorHAnsi"/>
                <w:b/>
                <w:lang w:eastAsia="en-US"/>
              </w:rPr>
              <w:t>110</w:t>
            </w:r>
            <w:r w:rsidR="00181165" w:rsidRPr="00C14AE7">
              <w:rPr>
                <w:rFonts w:asciiTheme="minorHAnsi" w:eastAsiaTheme="minorHAnsi" w:hAnsiTheme="minorHAnsi" w:cstheme="minorHAnsi"/>
                <w:b/>
                <w:lang w:eastAsia="en-US"/>
              </w:rPr>
              <w:t>k (</w:t>
            </w:r>
            <w:r w:rsidR="00C14AE7" w:rsidRPr="00C14AE7">
              <w:rPr>
                <w:rFonts w:asciiTheme="minorHAnsi" w:eastAsiaTheme="minorHAnsi" w:hAnsiTheme="minorHAnsi" w:cstheme="minorHAnsi"/>
                <w:b/>
                <w:lang w:eastAsia="en-US"/>
              </w:rPr>
              <w:t>16.0</w:t>
            </w:r>
            <w:r w:rsidR="00181165" w:rsidRPr="00C14AE7">
              <w:rPr>
                <w:rFonts w:asciiTheme="minorHAnsi" w:eastAsiaTheme="minorHAnsi" w:hAnsiTheme="minorHAnsi" w:cstheme="minorHAnsi"/>
                <w:b/>
                <w:lang w:eastAsia="en-US"/>
              </w:rPr>
              <w:t>%)</w:t>
            </w:r>
            <w:r w:rsidR="00181165">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 xml:space="preserve">underspend </w:t>
            </w:r>
            <w:r>
              <w:rPr>
                <w:rFonts w:asciiTheme="minorHAnsi" w:eastAsiaTheme="minorHAnsi" w:hAnsiTheme="minorHAnsi" w:cstheme="minorHAnsi"/>
                <w:lang w:eastAsia="en-US"/>
              </w:rPr>
              <w:t>o</w:t>
            </w:r>
            <w:r w:rsidR="00181165">
              <w:rPr>
                <w:rFonts w:asciiTheme="minorHAnsi" w:eastAsiaTheme="minorHAnsi" w:hAnsiTheme="minorHAnsi" w:cstheme="minorHAnsi"/>
                <w:lang w:eastAsia="en-US"/>
              </w:rPr>
              <w:t>n capital expenditure</w:t>
            </w:r>
            <w:r w:rsidR="00361853">
              <w:rPr>
                <w:rFonts w:asciiTheme="minorHAnsi" w:eastAsiaTheme="minorHAnsi" w:hAnsiTheme="minorHAnsi" w:cstheme="minorHAnsi"/>
                <w:lang w:eastAsia="en-US"/>
              </w:rPr>
              <w:t xml:space="preserve">. </w:t>
            </w:r>
          </w:p>
          <w:p w:rsidR="001C79DA" w:rsidRDefault="00361853"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Our </w:t>
            </w:r>
            <w:r w:rsidRPr="00361853">
              <w:rPr>
                <w:rFonts w:asciiTheme="minorHAnsi" w:eastAsiaTheme="minorHAnsi" w:hAnsiTheme="minorHAnsi" w:cstheme="minorHAnsi"/>
                <w:b/>
                <w:lang w:eastAsia="en-US"/>
              </w:rPr>
              <w:t>forecast</w:t>
            </w:r>
            <w:r w:rsidR="007B77AD">
              <w:rPr>
                <w:rFonts w:asciiTheme="minorHAnsi" w:eastAsiaTheme="minorHAnsi" w:hAnsiTheme="minorHAnsi" w:cstheme="minorHAnsi"/>
                <w:b/>
                <w:lang w:eastAsia="en-US"/>
              </w:rPr>
              <w:t xml:space="preserve"> </w:t>
            </w:r>
            <w:r w:rsidR="00F127E2">
              <w:rPr>
                <w:rFonts w:asciiTheme="minorHAnsi" w:eastAsiaTheme="minorHAnsi" w:hAnsiTheme="minorHAnsi" w:cstheme="minorHAnsi"/>
                <w:lang w:eastAsia="en-US"/>
              </w:rPr>
              <w:t>for the year</w:t>
            </w:r>
            <w:r>
              <w:rPr>
                <w:rFonts w:asciiTheme="minorHAnsi" w:eastAsiaTheme="minorHAnsi" w:hAnsiTheme="minorHAnsi" w:cstheme="minorHAnsi"/>
                <w:lang w:eastAsia="en-US"/>
              </w:rPr>
              <w:t xml:space="preserve"> </w:t>
            </w:r>
            <w:r w:rsidR="00731411">
              <w:rPr>
                <w:rFonts w:asciiTheme="minorHAnsi" w:eastAsiaTheme="minorHAnsi" w:hAnsiTheme="minorHAnsi" w:cstheme="minorHAnsi"/>
                <w:lang w:eastAsia="en-US"/>
              </w:rPr>
              <w:t xml:space="preserve">remains a breakeven position although there is </w:t>
            </w:r>
            <w:r w:rsidR="00844254">
              <w:rPr>
                <w:rFonts w:asciiTheme="minorHAnsi" w:eastAsiaTheme="minorHAnsi" w:hAnsiTheme="minorHAnsi" w:cstheme="minorHAnsi"/>
                <w:lang w:eastAsia="en-US"/>
              </w:rPr>
              <w:t>increased</w:t>
            </w:r>
            <w:r w:rsidR="00731411">
              <w:rPr>
                <w:rFonts w:asciiTheme="minorHAnsi" w:eastAsiaTheme="minorHAnsi" w:hAnsiTheme="minorHAnsi" w:cstheme="minorHAnsi"/>
                <w:lang w:eastAsia="en-US"/>
              </w:rPr>
              <w:t xml:space="preserve"> risk, due to the delay in gaining approval for the RS business case</w:t>
            </w:r>
            <w:r w:rsidR="00844254">
              <w:rPr>
                <w:rFonts w:asciiTheme="minorHAnsi" w:eastAsiaTheme="minorHAnsi" w:hAnsiTheme="minorHAnsi" w:cstheme="minorHAnsi"/>
                <w:lang w:eastAsia="en-US"/>
              </w:rPr>
              <w:t xml:space="preserve">, of </w:t>
            </w:r>
            <w:r w:rsidR="006B17B0">
              <w:rPr>
                <w:rFonts w:asciiTheme="minorHAnsi" w:eastAsiaTheme="minorHAnsi" w:hAnsiTheme="minorHAnsi" w:cstheme="minorHAnsi"/>
                <w:lang w:eastAsia="en-US"/>
              </w:rPr>
              <w:t>up to 1% underspend (up to £130k)</w:t>
            </w:r>
            <w:r w:rsidR="00844254">
              <w:rPr>
                <w:rFonts w:asciiTheme="minorHAnsi" w:eastAsiaTheme="minorHAnsi" w:hAnsiTheme="minorHAnsi" w:cstheme="minorHAnsi"/>
                <w:lang w:eastAsia="en-US"/>
              </w:rPr>
              <w:t xml:space="preserve"> </w:t>
            </w:r>
            <w:r w:rsidR="00B770BC">
              <w:rPr>
                <w:rFonts w:asciiTheme="minorHAnsi" w:eastAsiaTheme="minorHAnsi" w:hAnsiTheme="minorHAnsi" w:cstheme="minorHAnsi"/>
                <w:lang w:eastAsia="en-US"/>
              </w:rPr>
              <w:t xml:space="preserve"> </w:t>
            </w:r>
          </w:p>
          <w:p w:rsidR="00844254" w:rsidRDefault="00844254"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2018/19 </w:t>
            </w:r>
            <w:r w:rsidR="00C85C34">
              <w:rPr>
                <w:rFonts w:asciiTheme="minorHAnsi" w:eastAsiaTheme="minorHAnsi" w:hAnsiTheme="minorHAnsi" w:cstheme="minorHAnsi"/>
                <w:lang w:eastAsia="en-US"/>
              </w:rPr>
              <w:t>financial plan is presented for approval by leadership team</w:t>
            </w:r>
            <w:r>
              <w:rPr>
                <w:rFonts w:asciiTheme="minorHAnsi" w:eastAsiaTheme="minorHAnsi" w:hAnsiTheme="minorHAnsi" w:cstheme="minorHAnsi"/>
                <w:lang w:eastAsia="en-US"/>
              </w:rPr>
              <w:t>. Financial plan includes £</w:t>
            </w:r>
            <w:r w:rsidR="006B17B0">
              <w:rPr>
                <w:rFonts w:asciiTheme="minorHAnsi" w:eastAsiaTheme="minorHAnsi" w:hAnsiTheme="minorHAnsi" w:cstheme="minorHAnsi"/>
                <w:lang w:eastAsia="en-US"/>
              </w:rPr>
              <w:t>150</w:t>
            </w:r>
            <w:r>
              <w:rPr>
                <w:rFonts w:asciiTheme="minorHAnsi" w:eastAsiaTheme="minorHAnsi" w:hAnsiTheme="minorHAnsi" w:cstheme="minorHAnsi"/>
                <w:lang w:eastAsia="en-US"/>
              </w:rPr>
              <w:t>k savings target. It is believed this is achievable based on past performance and with tight controls in place over expenditure</w:t>
            </w:r>
            <w:r w:rsidR="00C31DCD">
              <w:rPr>
                <w:rFonts w:asciiTheme="minorHAnsi" w:eastAsiaTheme="minorHAnsi" w:hAnsiTheme="minorHAnsi" w:cstheme="minorHAnsi"/>
                <w:lang w:eastAsia="en-US"/>
              </w:rPr>
              <w:t>, however it does mean that there is more ‘overspend’ risk in the financial plan than in previous years</w:t>
            </w:r>
            <w:r>
              <w:rPr>
                <w:rFonts w:asciiTheme="minorHAnsi" w:eastAsiaTheme="minorHAnsi" w:hAnsiTheme="minorHAnsi" w:cstheme="minorHAnsi"/>
                <w:lang w:eastAsia="en-US"/>
              </w:rPr>
              <w:t xml:space="preserve">. </w:t>
            </w:r>
          </w:p>
          <w:p w:rsidR="002C0638" w:rsidRPr="000B483A" w:rsidRDefault="00181165" w:rsidP="00950174">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w:t>
            </w:r>
            <w:r w:rsidR="00950174">
              <w:rPr>
                <w:rFonts w:asciiTheme="minorHAnsi" w:eastAsiaTheme="minorHAnsi" w:hAnsiTheme="minorHAnsi" w:cstheme="minorHAnsi"/>
                <w:lang w:eastAsia="en-US"/>
              </w:rPr>
              <w:t>s</w:t>
            </w:r>
            <w:r>
              <w:rPr>
                <w:rFonts w:asciiTheme="minorHAnsi" w:eastAsiaTheme="minorHAnsi" w:hAnsiTheme="minorHAnsi" w:cstheme="minorHAnsi"/>
                <w:lang w:eastAsia="en-US"/>
              </w:rPr>
              <w:t xml:space="preserve"> to meet its regulatory requirements in paying invoices</w:t>
            </w:r>
            <w:r w:rsidR="00826FF2" w:rsidRPr="0064012C">
              <w:rPr>
                <w:rFonts w:asciiTheme="minorHAnsi" w:eastAsiaTheme="minorHAnsi" w:hAnsiTheme="minorHAnsi" w:cstheme="minorHAnsi"/>
                <w:lang w:eastAsia="en-US"/>
              </w:rPr>
              <w:t xml:space="preserve"> </w:t>
            </w:r>
            <w:r w:rsidR="00950174">
              <w:rPr>
                <w:rFonts w:asciiTheme="minorHAnsi" w:eastAsiaTheme="minorHAnsi" w:hAnsiTheme="minorHAnsi" w:cstheme="minorHAnsi"/>
                <w:lang w:eastAsia="en-US"/>
              </w:rPr>
              <w:t>quickly</w:t>
            </w:r>
            <w:r w:rsidR="007117A0">
              <w:rPr>
                <w:rFonts w:asciiTheme="minorHAnsi" w:eastAsiaTheme="minorHAnsi" w:hAnsiTheme="minorHAnsi" w:cstheme="minorHAnsi"/>
                <w:lang w:eastAsia="en-US"/>
              </w:rPr>
              <w:t xml:space="preserve"> and </w:t>
            </w:r>
            <w:r w:rsidR="00361853">
              <w:rPr>
                <w:rFonts w:asciiTheme="minorHAnsi" w:eastAsiaTheme="minorHAnsi" w:hAnsiTheme="minorHAnsi" w:cstheme="minorHAnsi"/>
                <w:lang w:eastAsia="en-US"/>
              </w:rPr>
              <w:t>meeting key finance</w:t>
            </w:r>
            <w:r w:rsidR="007117A0">
              <w:rPr>
                <w:rFonts w:asciiTheme="minorHAnsi" w:eastAsiaTheme="minorHAnsi" w:hAnsiTheme="minorHAnsi" w:cstheme="minorHAnsi"/>
                <w:lang w:eastAsia="en-US"/>
              </w:rPr>
              <w:t xml:space="preserve"> dea</w:t>
            </w:r>
            <w:r w:rsidR="00361853">
              <w:rPr>
                <w:rFonts w:asciiTheme="minorHAnsi" w:eastAsiaTheme="minorHAnsi" w:hAnsiTheme="minorHAnsi" w:cstheme="minorHAnsi"/>
                <w:lang w:eastAsia="en-US"/>
              </w:rPr>
              <w:t>dlines</w:t>
            </w:r>
            <w:r w:rsidR="00950174">
              <w:rPr>
                <w:rFonts w:asciiTheme="minorHAnsi" w:eastAsiaTheme="minorHAnsi" w:hAnsiTheme="minorHAnsi" w:cstheme="minorHAnsi"/>
                <w:lang w:eastAsia="en-US"/>
              </w:rPr>
              <w:t>.</w:t>
            </w:r>
            <w:r w:rsidR="00FF2551">
              <w:rPr>
                <w:rFonts w:asciiTheme="minorHAnsi" w:eastAsiaTheme="minorHAnsi" w:hAnsiTheme="minorHAnsi" w:cstheme="minorHAnsi"/>
                <w:lang w:eastAsia="en-US"/>
              </w:rPr>
              <w:t xml:space="preserve">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F072CC" w:rsidP="00F072CC">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C85C34" w:rsidP="00F127E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Sylvia Hazard and </w:t>
            </w:r>
            <w:r w:rsidR="004159BE">
              <w:rPr>
                <w:rFonts w:asciiTheme="minorHAnsi" w:eastAsiaTheme="minorHAnsi" w:hAnsiTheme="minorHAnsi" w:cstheme="minorHAnsi"/>
                <w:lang w:eastAsia="en-US"/>
              </w:rPr>
              <w:t>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C85C34" w:rsidP="00BA069C">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Deputy Director of Finance and </w:t>
            </w:r>
            <w:r w:rsidR="00826FF2">
              <w:rPr>
                <w:rFonts w:asciiTheme="minorHAnsi" w:eastAsiaTheme="minorHAnsi" w:hAnsiTheme="minorHAnsi" w:cstheme="minorHAnsi"/>
                <w:lang w:eastAsia="en-US"/>
              </w:rPr>
              <w:t>Director of Finance</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C85C34" w:rsidP="007035A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w:t>
            </w:r>
            <w:r w:rsidR="007035A7">
              <w:rPr>
                <w:rFonts w:asciiTheme="minorHAnsi" w:eastAsiaTheme="minorHAnsi" w:hAnsiTheme="minorHAnsi" w:cstheme="minorHAnsi"/>
                <w:lang w:eastAsia="en-US"/>
              </w:rPr>
              <w:t>6th</w:t>
            </w:r>
            <w:r w:rsidR="00307BC8">
              <w:rPr>
                <w:rFonts w:asciiTheme="minorHAnsi" w:eastAsiaTheme="minorHAnsi" w:hAnsiTheme="minorHAnsi" w:cstheme="minorHAnsi"/>
                <w:lang w:eastAsia="en-US"/>
              </w:rPr>
              <w:t xml:space="preserve"> </w:t>
            </w:r>
            <w:r w:rsidR="00A72FE8">
              <w:rPr>
                <w:rFonts w:asciiTheme="minorHAnsi" w:eastAsiaTheme="minorHAnsi" w:hAnsiTheme="minorHAnsi" w:cstheme="minorHAnsi"/>
                <w:lang w:eastAsia="en-US"/>
              </w:rPr>
              <w:t xml:space="preserve"> February</w:t>
            </w:r>
            <w:r w:rsidR="00B770BC">
              <w:rPr>
                <w:rFonts w:asciiTheme="minorHAnsi" w:eastAsiaTheme="minorHAnsi" w:hAnsiTheme="minorHAnsi" w:cstheme="minorHAnsi"/>
                <w:lang w:eastAsia="en-US"/>
              </w:rPr>
              <w:t xml:space="preserve"> 2018</w:t>
            </w:r>
          </w:p>
        </w:tc>
      </w:tr>
    </w:tbl>
    <w:p w:rsidR="00150CE4" w:rsidRDefault="00150CE4" w:rsidP="00AD76CF">
      <w:pPr>
        <w:rPr>
          <w:rFonts w:ascii="Arial" w:hAnsi="Arial" w:cs="Arial"/>
          <w:b/>
          <w:sz w:val="22"/>
          <w:szCs w:val="22"/>
        </w:rPr>
      </w:pPr>
    </w:p>
    <w:p w:rsidR="001677C5" w:rsidRDefault="001677C5">
      <w:pPr>
        <w:spacing w:after="200" w:line="276" w:lineRule="auto"/>
        <w:rPr>
          <w:rFonts w:ascii="Arial" w:hAnsi="Arial" w:cs="Arial"/>
          <w:b/>
          <w:sz w:val="22"/>
          <w:szCs w:val="22"/>
        </w:rPr>
      </w:pPr>
      <w:r>
        <w:rPr>
          <w:rFonts w:ascii="Arial" w:hAnsi="Arial" w:cs="Arial"/>
          <w:b/>
          <w:sz w:val="22"/>
          <w:szCs w:val="22"/>
        </w:rPr>
        <w:br w:type="page"/>
      </w:r>
    </w:p>
    <w:p w:rsidR="006C7396" w:rsidRDefault="006C7396" w:rsidP="006C7396">
      <w:pPr>
        <w:rPr>
          <w:rFonts w:ascii="Arial" w:hAnsi="Arial" w:cs="Arial"/>
          <w:b/>
          <w:sz w:val="22"/>
          <w:szCs w:val="22"/>
        </w:rPr>
      </w:pPr>
      <w:r w:rsidRPr="0044673F">
        <w:rPr>
          <w:rFonts w:ascii="Arial" w:hAnsi="Arial" w:cs="Arial"/>
          <w:b/>
          <w:sz w:val="22"/>
          <w:szCs w:val="22"/>
        </w:rPr>
        <w:lastRenderedPageBreak/>
        <w:t xml:space="preserve">Finance Report - Financial Year </w:t>
      </w:r>
      <w:r w:rsidR="008D718A">
        <w:rPr>
          <w:rFonts w:ascii="Arial" w:hAnsi="Arial" w:cs="Arial"/>
          <w:b/>
          <w:sz w:val="22"/>
          <w:szCs w:val="22"/>
        </w:rPr>
        <w:t>2017/18</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sidR="00E872B3">
        <w:rPr>
          <w:rFonts w:ascii="Arial" w:hAnsi="Arial" w:cs="Arial"/>
          <w:b/>
          <w:sz w:val="22"/>
          <w:szCs w:val="22"/>
        </w:rPr>
        <w:t>3</w:t>
      </w:r>
      <w:r w:rsidR="00C31DCD">
        <w:rPr>
          <w:rFonts w:ascii="Arial" w:hAnsi="Arial" w:cs="Arial"/>
          <w:b/>
          <w:sz w:val="22"/>
          <w:szCs w:val="22"/>
        </w:rPr>
        <w:t>1</w:t>
      </w:r>
      <w:r w:rsidR="00041ABD">
        <w:rPr>
          <w:rFonts w:ascii="Arial" w:hAnsi="Arial" w:cs="Arial"/>
          <w:b/>
          <w:sz w:val="22"/>
          <w:szCs w:val="22"/>
        </w:rPr>
        <w:t xml:space="preserve"> </w:t>
      </w:r>
      <w:r w:rsidR="00307BC8">
        <w:rPr>
          <w:rFonts w:ascii="Arial" w:hAnsi="Arial" w:cs="Arial"/>
          <w:b/>
          <w:sz w:val="22"/>
          <w:szCs w:val="22"/>
        </w:rPr>
        <w:t>January 2018</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2951E3" w:rsidRDefault="002951E3" w:rsidP="00092A9E">
      <w:pPr>
        <w:rPr>
          <w:rFonts w:ascii="Arial" w:hAnsi="Arial" w:cs="Arial"/>
          <w:b/>
          <w:sz w:val="22"/>
          <w:szCs w:val="22"/>
        </w:rPr>
      </w:pPr>
    </w:p>
    <w:p w:rsidR="007D4817" w:rsidRDefault="006C7396" w:rsidP="007B2710">
      <w:pPr>
        <w:pStyle w:val="ListParagraph"/>
        <w:numPr>
          <w:ilvl w:val="0"/>
          <w:numId w:val="2"/>
        </w:numPr>
        <w:spacing w:after="200" w:line="276" w:lineRule="auto"/>
        <w:rPr>
          <w:rFonts w:ascii="Arial" w:eastAsiaTheme="minorHAnsi" w:hAnsi="Arial" w:cs="Arial"/>
          <w:sz w:val="22"/>
          <w:szCs w:val="22"/>
          <w:lang w:eastAsia="en-US"/>
        </w:rPr>
      </w:pPr>
      <w:r w:rsidRPr="00E64DC1">
        <w:rPr>
          <w:rFonts w:ascii="Arial" w:eastAsiaTheme="minorHAnsi" w:hAnsi="Arial" w:cs="Arial"/>
          <w:sz w:val="22"/>
          <w:szCs w:val="22"/>
          <w:lang w:eastAsia="en-US"/>
        </w:rPr>
        <w:t>The HRA</w:t>
      </w:r>
      <w:r w:rsidR="00D07ECB" w:rsidRPr="00E64DC1">
        <w:rPr>
          <w:rFonts w:ascii="Arial" w:eastAsiaTheme="minorHAnsi" w:hAnsi="Arial" w:cs="Arial"/>
          <w:sz w:val="22"/>
          <w:szCs w:val="22"/>
          <w:lang w:eastAsia="en-US"/>
        </w:rPr>
        <w:t xml:space="preserve"> </w:t>
      </w:r>
      <w:r w:rsidR="00950174" w:rsidRPr="00E64DC1">
        <w:rPr>
          <w:rFonts w:ascii="Arial" w:eastAsiaTheme="minorHAnsi" w:hAnsi="Arial" w:cs="Arial"/>
          <w:sz w:val="22"/>
          <w:szCs w:val="22"/>
          <w:lang w:eastAsia="en-US"/>
        </w:rPr>
        <w:t>2017</w:t>
      </w:r>
      <w:r w:rsidR="008D718A" w:rsidRPr="00E64DC1">
        <w:rPr>
          <w:rFonts w:ascii="Arial" w:eastAsiaTheme="minorHAnsi" w:hAnsi="Arial" w:cs="Arial"/>
          <w:sz w:val="22"/>
          <w:szCs w:val="22"/>
          <w:lang w:eastAsia="en-US"/>
        </w:rPr>
        <w:t>/18</w:t>
      </w:r>
      <w:r w:rsidR="00950174" w:rsidRPr="00E64DC1">
        <w:rPr>
          <w:rFonts w:ascii="Arial" w:eastAsiaTheme="minorHAnsi" w:hAnsi="Arial" w:cs="Arial"/>
          <w:sz w:val="22"/>
          <w:szCs w:val="22"/>
          <w:lang w:eastAsia="en-US"/>
        </w:rPr>
        <w:t xml:space="preserve"> </w:t>
      </w:r>
      <w:r w:rsidR="00D07ECB" w:rsidRPr="00E64DC1">
        <w:rPr>
          <w:rFonts w:ascii="Arial" w:eastAsiaTheme="minorHAnsi" w:hAnsi="Arial" w:cs="Arial"/>
          <w:sz w:val="22"/>
          <w:szCs w:val="22"/>
          <w:lang w:eastAsia="en-US"/>
        </w:rPr>
        <w:t xml:space="preserve">outturn </w:t>
      </w:r>
      <w:r w:rsidR="008D718A" w:rsidRPr="00E64DC1">
        <w:rPr>
          <w:rFonts w:ascii="Arial" w:eastAsiaTheme="minorHAnsi" w:hAnsi="Arial" w:cs="Arial"/>
          <w:sz w:val="22"/>
          <w:szCs w:val="22"/>
          <w:lang w:eastAsia="en-US"/>
        </w:rPr>
        <w:t xml:space="preserve">for the first </w:t>
      </w:r>
      <w:r w:rsidR="00307BC8">
        <w:rPr>
          <w:rFonts w:ascii="Arial" w:eastAsiaTheme="minorHAnsi" w:hAnsi="Arial" w:cs="Arial"/>
          <w:sz w:val="22"/>
          <w:szCs w:val="22"/>
          <w:lang w:eastAsia="en-US"/>
        </w:rPr>
        <w:t>10</w:t>
      </w:r>
      <w:r w:rsidR="003E736A" w:rsidRPr="00E64DC1">
        <w:rPr>
          <w:rFonts w:ascii="Arial" w:eastAsiaTheme="minorHAnsi" w:hAnsi="Arial" w:cs="Arial"/>
          <w:sz w:val="22"/>
          <w:szCs w:val="22"/>
          <w:lang w:eastAsia="en-US"/>
        </w:rPr>
        <w:t xml:space="preserve"> </w:t>
      </w:r>
      <w:r w:rsidR="008D718A" w:rsidRPr="00E64DC1">
        <w:rPr>
          <w:rFonts w:ascii="Arial" w:eastAsiaTheme="minorHAnsi" w:hAnsi="Arial" w:cs="Arial"/>
          <w:sz w:val="22"/>
          <w:szCs w:val="22"/>
          <w:lang w:eastAsia="en-US"/>
        </w:rPr>
        <w:t xml:space="preserve">months of the year </w:t>
      </w:r>
      <w:r w:rsidR="00D07ECB" w:rsidRPr="00E64DC1">
        <w:rPr>
          <w:rFonts w:ascii="Arial" w:eastAsiaTheme="minorHAnsi" w:hAnsi="Arial" w:cs="Arial"/>
          <w:sz w:val="22"/>
          <w:szCs w:val="22"/>
          <w:lang w:eastAsia="en-US"/>
        </w:rPr>
        <w:t>was £</w:t>
      </w:r>
      <w:r w:rsidR="00307BC8">
        <w:rPr>
          <w:rFonts w:ascii="Arial" w:eastAsiaTheme="minorHAnsi" w:hAnsi="Arial" w:cs="Arial"/>
          <w:sz w:val="22"/>
          <w:szCs w:val="22"/>
          <w:lang w:eastAsia="en-US"/>
        </w:rPr>
        <w:t>10,366</w:t>
      </w:r>
      <w:r w:rsidR="001D4F68"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xml:space="preserve"> (201</w:t>
      </w:r>
      <w:r w:rsidR="008D718A" w:rsidRPr="00E64DC1">
        <w:rPr>
          <w:rFonts w:ascii="Arial" w:eastAsiaTheme="minorHAnsi" w:hAnsi="Arial" w:cs="Arial"/>
          <w:sz w:val="22"/>
          <w:szCs w:val="22"/>
          <w:lang w:eastAsia="en-US"/>
        </w:rPr>
        <w:t>6/17</w:t>
      </w:r>
      <w:r w:rsidR="00D07ECB" w:rsidRPr="00E64DC1">
        <w:rPr>
          <w:rFonts w:ascii="Arial" w:eastAsiaTheme="minorHAnsi" w:hAnsi="Arial" w:cs="Arial"/>
          <w:sz w:val="22"/>
          <w:szCs w:val="22"/>
          <w:lang w:eastAsia="en-US"/>
        </w:rPr>
        <w:t>: £</w:t>
      </w:r>
      <w:r w:rsidR="00307BC8">
        <w:rPr>
          <w:rFonts w:ascii="Arial" w:eastAsiaTheme="minorHAnsi" w:hAnsi="Arial" w:cs="Arial"/>
          <w:sz w:val="22"/>
          <w:szCs w:val="22"/>
          <w:lang w:eastAsia="en-US"/>
        </w:rPr>
        <w:t>10,236</w:t>
      </w:r>
      <w:r w:rsidR="0015575A" w:rsidRPr="00E64DC1">
        <w:rPr>
          <w:rFonts w:ascii="Arial" w:eastAsiaTheme="minorHAnsi" w:hAnsi="Arial" w:cs="Arial"/>
          <w:sz w:val="22"/>
          <w:szCs w:val="22"/>
          <w:lang w:eastAsia="en-US"/>
        </w:rPr>
        <w:t>k</w:t>
      </w:r>
      <w:r w:rsidR="00D07ECB" w:rsidRPr="00E64DC1">
        <w:rPr>
          <w:rFonts w:ascii="Arial" w:eastAsiaTheme="minorHAnsi" w:hAnsi="Arial" w:cs="Arial"/>
          <w:sz w:val="22"/>
          <w:szCs w:val="22"/>
          <w:lang w:eastAsia="en-US"/>
        </w:rPr>
        <w:t xml:space="preserve">) and </w:t>
      </w:r>
      <w:r w:rsidR="00D07ECB" w:rsidRPr="00C14AE7">
        <w:rPr>
          <w:rFonts w:ascii="Arial" w:eastAsiaTheme="minorHAnsi" w:hAnsi="Arial" w:cs="Arial"/>
          <w:sz w:val="22"/>
          <w:szCs w:val="22"/>
          <w:lang w:eastAsia="en-US"/>
        </w:rPr>
        <w:t>£</w:t>
      </w:r>
      <w:r w:rsidR="00C14AE7" w:rsidRPr="00C14AE7">
        <w:rPr>
          <w:rFonts w:ascii="Arial" w:eastAsiaTheme="minorHAnsi" w:hAnsi="Arial" w:cs="Arial"/>
          <w:sz w:val="22"/>
          <w:szCs w:val="22"/>
          <w:lang w:eastAsia="en-US"/>
        </w:rPr>
        <w:t>57</w:t>
      </w:r>
      <w:r w:rsidR="00A72FE8" w:rsidRPr="00C14AE7">
        <w:rPr>
          <w:rFonts w:ascii="Arial" w:eastAsiaTheme="minorHAnsi" w:hAnsi="Arial" w:cs="Arial"/>
          <w:sz w:val="22"/>
          <w:szCs w:val="22"/>
          <w:lang w:eastAsia="en-US"/>
        </w:rPr>
        <w:t>5</w:t>
      </w:r>
      <w:r w:rsidR="008D718A" w:rsidRPr="00C14AE7">
        <w:rPr>
          <w:rFonts w:ascii="Arial" w:eastAsiaTheme="minorHAnsi" w:hAnsi="Arial" w:cs="Arial"/>
          <w:sz w:val="22"/>
          <w:szCs w:val="22"/>
          <w:lang w:eastAsia="en-US"/>
        </w:rPr>
        <w:t xml:space="preserve">k </w:t>
      </w:r>
      <w:r w:rsidR="00D07ECB" w:rsidRPr="00C14AE7">
        <w:rPr>
          <w:rFonts w:ascii="Arial" w:eastAsiaTheme="minorHAnsi" w:hAnsi="Arial" w:cs="Arial"/>
          <w:sz w:val="22"/>
          <w:szCs w:val="22"/>
          <w:lang w:eastAsia="en-US"/>
        </w:rPr>
        <w:t>(2016</w:t>
      </w:r>
      <w:r w:rsidR="008D718A" w:rsidRPr="00C14AE7">
        <w:rPr>
          <w:rFonts w:ascii="Arial" w:eastAsiaTheme="minorHAnsi" w:hAnsi="Arial" w:cs="Arial"/>
          <w:sz w:val="22"/>
          <w:szCs w:val="22"/>
          <w:lang w:eastAsia="en-US"/>
        </w:rPr>
        <w:t>/17</w:t>
      </w:r>
      <w:r w:rsidR="00D07ECB" w:rsidRPr="00C14AE7">
        <w:rPr>
          <w:rFonts w:ascii="Arial" w:eastAsiaTheme="minorHAnsi" w:hAnsi="Arial" w:cs="Arial"/>
          <w:sz w:val="22"/>
          <w:szCs w:val="22"/>
          <w:lang w:eastAsia="en-US"/>
        </w:rPr>
        <w:t xml:space="preserve"> £</w:t>
      </w:r>
      <w:r w:rsidR="00C14AE7" w:rsidRPr="00C14AE7">
        <w:rPr>
          <w:rFonts w:ascii="Arial" w:eastAsiaTheme="minorHAnsi" w:hAnsi="Arial" w:cs="Arial"/>
          <w:sz w:val="22"/>
          <w:szCs w:val="22"/>
          <w:lang w:eastAsia="en-US"/>
        </w:rPr>
        <w:t>596</w:t>
      </w:r>
      <w:r w:rsidR="003015EB" w:rsidRPr="00C14AE7">
        <w:rPr>
          <w:rFonts w:ascii="Arial" w:eastAsiaTheme="minorHAnsi" w:hAnsi="Arial" w:cs="Arial"/>
          <w:sz w:val="22"/>
          <w:szCs w:val="22"/>
          <w:lang w:eastAsia="en-US"/>
        </w:rPr>
        <w:t>k</w:t>
      </w:r>
      <w:r w:rsidR="00D07ECB" w:rsidRPr="00C14AE7">
        <w:rPr>
          <w:rFonts w:ascii="Arial" w:eastAsiaTheme="minorHAnsi" w:hAnsi="Arial" w:cs="Arial"/>
          <w:sz w:val="22"/>
          <w:szCs w:val="22"/>
          <w:lang w:eastAsia="en-US"/>
        </w:rPr>
        <w:t>) capital</w:t>
      </w:r>
      <w:r w:rsidR="00D07ECB" w:rsidRPr="00E64DC1">
        <w:rPr>
          <w:rFonts w:ascii="Arial" w:eastAsiaTheme="minorHAnsi" w:hAnsi="Arial" w:cs="Arial"/>
          <w:sz w:val="22"/>
          <w:szCs w:val="22"/>
          <w:lang w:eastAsia="en-US"/>
        </w:rPr>
        <w:t>. On revenue expenditure</w:t>
      </w:r>
      <w:r w:rsidR="004C1D2E" w:rsidRPr="00E64DC1">
        <w:rPr>
          <w:rFonts w:ascii="Arial" w:eastAsiaTheme="minorHAnsi" w:hAnsi="Arial" w:cs="Arial"/>
          <w:sz w:val="22"/>
          <w:szCs w:val="22"/>
          <w:lang w:eastAsia="en-US"/>
        </w:rPr>
        <w:t xml:space="preserve"> th</w:t>
      </w:r>
      <w:r w:rsidR="00D07ECB" w:rsidRPr="00E64DC1">
        <w:rPr>
          <w:rFonts w:ascii="Arial" w:eastAsiaTheme="minorHAnsi" w:hAnsi="Arial" w:cs="Arial"/>
          <w:sz w:val="22"/>
          <w:szCs w:val="22"/>
          <w:lang w:eastAsia="en-US"/>
        </w:rPr>
        <w:t>is represented a £</w:t>
      </w:r>
      <w:r w:rsidR="00307BC8">
        <w:rPr>
          <w:rFonts w:ascii="Arial" w:eastAsiaTheme="minorHAnsi" w:hAnsi="Arial" w:cs="Arial"/>
          <w:sz w:val="22"/>
          <w:szCs w:val="22"/>
          <w:lang w:eastAsia="en-US"/>
        </w:rPr>
        <w:t>61</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w:t>
      </w:r>
      <w:r w:rsidR="007C4AB8" w:rsidRPr="00E64DC1">
        <w:rPr>
          <w:rFonts w:ascii="Arial" w:eastAsiaTheme="minorHAnsi" w:hAnsi="Arial" w:cs="Arial"/>
          <w:sz w:val="22"/>
          <w:szCs w:val="22"/>
          <w:lang w:eastAsia="en-US"/>
        </w:rPr>
        <w:t xml:space="preserve"> </w:t>
      </w:r>
      <w:r w:rsidR="00C74503">
        <w:rPr>
          <w:rFonts w:ascii="Arial" w:eastAsiaTheme="minorHAnsi" w:hAnsi="Arial" w:cs="Arial"/>
          <w:sz w:val="22"/>
          <w:szCs w:val="22"/>
          <w:lang w:eastAsia="en-US"/>
        </w:rPr>
        <w:t>0.</w:t>
      </w:r>
      <w:r w:rsidR="00FB55BF">
        <w:rPr>
          <w:rFonts w:ascii="Arial" w:eastAsiaTheme="minorHAnsi" w:hAnsi="Arial" w:cs="Arial"/>
          <w:sz w:val="22"/>
          <w:szCs w:val="22"/>
          <w:lang w:eastAsia="en-US"/>
        </w:rPr>
        <w:t>6</w:t>
      </w:r>
      <w:r w:rsidR="004C1D2E" w:rsidRPr="00E64DC1">
        <w:rPr>
          <w:rFonts w:ascii="Arial" w:eastAsiaTheme="minorHAnsi" w:hAnsi="Arial" w:cs="Arial"/>
          <w:sz w:val="22"/>
          <w:szCs w:val="22"/>
          <w:lang w:eastAsia="en-US"/>
        </w:rPr>
        <w:t>%</w:t>
      </w:r>
      <w:r w:rsidR="00D07ECB" w:rsidRPr="00E64DC1">
        <w:rPr>
          <w:rFonts w:ascii="Arial" w:eastAsiaTheme="minorHAnsi" w:hAnsi="Arial" w:cs="Arial"/>
          <w:sz w:val="22"/>
          <w:szCs w:val="22"/>
          <w:lang w:eastAsia="en-US"/>
        </w:rPr>
        <w:t xml:space="preserve"> </w:t>
      </w:r>
      <w:r w:rsidR="0015575A" w:rsidRPr="00E64DC1">
        <w:rPr>
          <w:rFonts w:ascii="Arial" w:eastAsiaTheme="minorHAnsi" w:hAnsi="Arial" w:cs="Arial"/>
          <w:sz w:val="22"/>
          <w:szCs w:val="22"/>
          <w:lang w:eastAsia="en-US"/>
        </w:rPr>
        <w:t xml:space="preserve">underspend </w:t>
      </w:r>
      <w:r w:rsidR="00D07ECB" w:rsidRPr="00E64DC1">
        <w:rPr>
          <w:rFonts w:ascii="Arial" w:eastAsiaTheme="minorHAnsi" w:hAnsi="Arial" w:cs="Arial"/>
          <w:sz w:val="22"/>
          <w:szCs w:val="22"/>
          <w:lang w:eastAsia="en-US"/>
        </w:rPr>
        <w:t>(2016</w:t>
      </w:r>
      <w:r w:rsidR="008D718A" w:rsidRPr="00E64DC1">
        <w:rPr>
          <w:rFonts w:ascii="Arial" w:eastAsiaTheme="minorHAnsi" w:hAnsi="Arial" w:cs="Arial"/>
          <w:sz w:val="22"/>
          <w:szCs w:val="22"/>
          <w:lang w:eastAsia="en-US"/>
        </w:rPr>
        <w:t>/17</w:t>
      </w:r>
      <w:r w:rsidR="00D07ECB" w:rsidRPr="00E64DC1">
        <w:rPr>
          <w:rFonts w:ascii="Arial" w:eastAsiaTheme="minorHAnsi" w:hAnsi="Arial" w:cs="Arial"/>
          <w:sz w:val="22"/>
          <w:szCs w:val="22"/>
          <w:lang w:eastAsia="en-US"/>
        </w:rPr>
        <w:t xml:space="preserve"> £</w:t>
      </w:r>
      <w:r w:rsidR="00307BC8">
        <w:rPr>
          <w:rFonts w:ascii="Arial" w:eastAsiaTheme="minorHAnsi" w:hAnsi="Arial" w:cs="Arial"/>
          <w:sz w:val="22"/>
          <w:szCs w:val="22"/>
          <w:lang w:eastAsia="en-US"/>
        </w:rPr>
        <w:t>109</w:t>
      </w:r>
      <w:r w:rsidR="00D07ECB" w:rsidRPr="00E64DC1">
        <w:rPr>
          <w:rFonts w:ascii="Arial" w:eastAsiaTheme="minorHAnsi" w:hAnsi="Arial" w:cs="Arial"/>
          <w:sz w:val="22"/>
          <w:szCs w:val="22"/>
          <w:lang w:eastAsia="en-US"/>
        </w:rPr>
        <w:t>k</w:t>
      </w:r>
      <w:r w:rsidR="004C1D2E" w:rsidRPr="00E64DC1">
        <w:rPr>
          <w:rFonts w:ascii="Arial" w:eastAsiaTheme="minorHAnsi" w:hAnsi="Arial" w:cs="Arial"/>
          <w:sz w:val="22"/>
          <w:szCs w:val="22"/>
          <w:lang w:eastAsia="en-US"/>
        </w:rPr>
        <w:t xml:space="preserve">, </w:t>
      </w:r>
      <w:r w:rsidR="00307BC8">
        <w:rPr>
          <w:rFonts w:ascii="Arial" w:eastAsiaTheme="minorHAnsi" w:hAnsi="Arial" w:cs="Arial"/>
          <w:sz w:val="22"/>
          <w:szCs w:val="22"/>
          <w:lang w:eastAsia="en-US"/>
        </w:rPr>
        <w:t>1.</w:t>
      </w:r>
      <w:r w:rsidR="00FB55BF">
        <w:rPr>
          <w:rFonts w:ascii="Arial" w:eastAsiaTheme="minorHAnsi" w:hAnsi="Arial" w:cs="Arial"/>
          <w:sz w:val="22"/>
          <w:szCs w:val="22"/>
          <w:lang w:eastAsia="en-US"/>
        </w:rPr>
        <w:t>1</w:t>
      </w:r>
      <w:r w:rsidR="004C1D2E" w:rsidRPr="00E64DC1">
        <w:rPr>
          <w:rFonts w:ascii="Arial" w:eastAsiaTheme="minorHAnsi" w:hAnsi="Arial" w:cs="Arial"/>
          <w:sz w:val="22"/>
          <w:szCs w:val="22"/>
          <w:lang w:eastAsia="en-US"/>
        </w:rPr>
        <w:t>%</w:t>
      </w:r>
      <w:r w:rsidR="0015575A" w:rsidRPr="00E64DC1">
        <w:rPr>
          <w:rFonts w:ascii="Arial" w:eastAsiaTheme="minorHAnsi" w:hAnsi="Arial" w:cs="Arial"/>
          <w:sz w:val="22"/>
          <w:szCs w:val="22"/>
          <w:lang w:eastAsia="en-US"/>
        </w:rPr>
        <w:t xml:space="preserve"> </w:t>
      </w:r>
      <w:r w:rsidR="00C31DCD">
        <w:rPr>
          <w:rFonts w:ascii="Arial" w:eastAsiaTheme="minorHAnsi" w:hAnsi="Arial" w:cs="Arial"/>
          <w:sz w:val="22"/>
          <w:szCs w:val="22"/>
          <w:lang w:eastAsia="en-US"/>
        </w:rPr>
        <w:t>under</w:t>
      </w:r>
      <w:r w:rsidR="0015575A" w:rsidRPr="00E64DC1">
        <w:rPr>
          <w:rFonts w:ascii="Arial" w:eastAsiaTheme="minorHAnsi" w:hAnsi="Arial" w:cs="Arial"/>
          <w:sz w:val="22"/>
          <w:szCs w:val="22"/>
          <w:lang w:eastAsia="en-US"/>
        </w:rPr>
        <w:t>spend</w:t>
      </w:r>
      <w:r w:rsidR="00D07ECB" w:rsidRPr="00E64DC1">
        <w:rPr>
          <w:rFonts w:ascii="Arial" w:eastAsiaTheme="minorHAnsi" w:hAnsi="Arial" w:cs="Arial"/>
          <w:sz w:val="22"/>
          <w:szCs w:val="22"/>
          <w:lang w:eastAsia="en-US"/>
        </w:rPr>
        <w:t>)</w:t>
      </w:r>
      <w:r w:rsidR="004C1D2E" w:rsidRPr="00E64DC1">
        <w:rPr>
          <w:rFonts w:ascii="Arial" w:eastAsiaTheme="minorHAnsi" w:hAnsi="Arial" w:cs="Arial"/>
          <w:sz w:val="22"/>
          <w:szCs w:val="22"/>
          <w:lang w:eastAsia="en-US"/>
        </w:rPr>
        <w:t xml:space="preserve"> and </w:t>
      </w:r>
      <w:r w:rsidR="004C1D2E" w:rsidRPr="00C14AE7">
        <w:rPr>
          <w:rFonts w:ascii="Arial" w:eastAsiaTheme="minorHAnsi" w:hAnsi="Arial" w:cs="Arial"/>
          <w:sz w:val="22"/>
          <w:szCs w:val="22"/>
          <w:lang w:eastAsia="en-US"/>
        </w:rPr>
        <w:t>on capital expenditure a £</w:t>
      </w:r>
      <w:r w:rsidR="00C14AE7" w:rsidRPr="00C14AE7">
        <w:rPr>
          <w:rFonts w:ascii="Arial" w:eastAsiaTheme="minorHAnsi" w:hAnsi="Arial" w:cs="Arial"/>
          <w:sz w:val="22"/>
          <w:szCs w:val="22"/>
          <w:lang w:eastAsia="en-US"/>
        </w:rPr>
        <w:t>110</w:t>
      </w:r>
      <w:r w:rsidR="009E3BBB" w:rsidRPr="00C14AE7">
        <w:rPr>
          <w:rFonts w:ascii="Arial" w:eastAsiaTheme="minorHAnsi" w:hAnsi="Arial" w:cs="Arial"/>
          <w:sz w:val="22"/>
          <w:szCs w:val="22"/>
          <w:lang w:eastAsia="en-US"/>
        </w:rPr>
        <w:t xml:space="preserve">k, </w:t>
      </w:r>
      <w:r w:rsidR="00C14AE7" w:rsidRPr="00C14AE7">
        <w:rPr>
          <w:rFonts w:ascii="Arial" w:eastAsiaTheme="minorHAnsi" w:hAnsi="Arial" w:cs="Arial"/>
          <w:sz w:val="22"/>
          <w:szCs w:val="22"/>
          <w:lang w:eastAsia="en-US"/>
        </w:rPr>
        <w:t>16</w:t>
      </w:r>
      <w:r w:rsidR="00FB55BF">
        <w:rPr>
          <w:rFonts w:ascii="Arial" w:eastAsiaTheme="minorHAnsi" w:hAnsi="Arial" w:cs="Arial"/>
          <w:sz w:val="22"/>
          <w:szCs w:val="22"/>
          <w:lang w:eastAsia="en-US"/>
        </w:rPr>
        <w:t>.0</w:t>
      </w:r>
      <w:r w:rsidR="004C1D2E" w:rsidRPr="00C14AE7">
        <w:rPr>
          <w:rFonts w:ascii="Arial" w:eastAsiaTheme="minorHAnsi" w:hAnsi="Arial" w:cs="Arial"/>
          <w:sz w:val="22"/>
          <w:szCs w:val="22"/>
          <w:lang w:eastAsia="en-US"/>
        </w:rPr>
        <w:t>% underspend (2016</w:t>
      </w:r>
      <w:r w:rsidR="008D718A" w:rsidRPr="00C14AE7">
        <w:rPr>
          <w:rFonts w:ascii="Arial" w:eastAsiaTheme="minorHAnsi" w:hAnsi="Arial" w:cs="Arial"/>
          <w:sz w:val="22"/>
          <w:szCs w:val="22"/>
          <w:lang w:eastAsia="en-US"/>
        </w:rPr>
        <w:t>/17</w:t>
      </w:r>
      <w:r w:rsidR="004C1D2E" w:rsidRPr="00C14AE7">
        <w:rPr>
          <w:rFonts w:ascii="Arial" w:eastAsiaTheme="minorHAnsi" w:hAnsi="Arial" w:cs="Arial"/>
          <w:sz w:val="22"/>
          <w:szCs w:val="22"/>
          <w:lang w:eastAsia="en-US"/>
        </w:rPr>
        <w:t xml:space="preserve"> £</w:t>
      </w:r>
      <w:r w:rsidR="00C14AE7" w:rsidRPr="00C14AE7">
        <w:rPr>
          <w:rFonts w:ascii="Arial" w:eastAsiaTheme="minorHAnsi" w:hAnsi="Arial" w:cs="Arial"/>
          <w:sz w:val="22"/>
          <w:szCs w:val="22"/>
          <w:lang w:eastAsia="en-US"/>
        </w:rPr>
        <w:t>35</w:t>
      </w:r>
      <w:r w:rsidR="004C1D2E" w:rsidRPr="00C14AE7">
        <w:rPr>
          <w:rFonts w:ascii="Arial" w:eastAsiaTheme="minorHAnsi" w:hAnsi="Arial" w:cs="Arial"/>
          <w:sz w:val="22"/>
          <w:szCs w:val="22"/>
          <w:lang w:eastAsia="en-US"/>
        </w:rPr>
        <w:t xml:space="preserve">k, </w:t>
      </w:r>
      <w:r w:rsidR="00C14AE7" w:rsidRPr="00C14AE7">
        <w:rPr>
          <w:rFonts w:ascii="Arial" w:eastAsiaTheme="minorHAnsi" w:hAnsi="Arial" w:cs="Arial"/>
          <w:sz w:val="22"/>
          <w:szCs w:val="22"/>
          <w:lang w:eastAsia="en-US"/>
        </w:rPr>
        <w:t>5.5</w:t>
      </w:r>
      <w:r w:rsidR="004C1D2E" w:rsidRPr="00C14AE7">
        <w:rPr>
          <w:rFonts w:ascii="Arial" w:eastAsiaTheme="minorHAnsi" w:hAnsi="Arial" w:cs="Arial"/>
          <w:sz w:val="22"/>
          <w:szCs w:val="22"/>
          <w:lang w:eastAsia="en-US"/>
        </w:rPr>
        <w:t>%).</w:t>
      </w:r>
      <w:r w:rsidR="004C1D2E" w:rsidRPr="00E64DC1">
        <w:rPr>
          <w:rFonts w:ascii="Arial" w:eastAsiaTheme="minorHAnsi" w:hAnsi="Arial" w:cs="Arial"/>
          <w:sz w:val="22"/>
          <w:szCs w:val="22"/>
          <w:lang w:eastAsia="en-US"/>
        </w:rPr>
        <w:t xml:space="preserve"> </w:t>
      </w:r>
      <w:r w:rsidR="00FA0CFC" w:rsidRPr="00E64DC1">
        <w:rPr>
          <w:rFonts w:ascii="Arial" w:eastAsiaTheme="minorHAnsi" w:hAnsi="Arial" w:cs="Arial"/>
          <w:sz w:val="22"/>
          <w:szCs w:val="22"/>
          <w:lang w:eastAsia="en-US"/>
        </w:rPr>
        <w:t xml:space="preserve"> </w:t>
      </w:r>
      <w:r w:rsidR="009E3BBB">
        <w:rPr>
          <w:rFonts w:ascii="Arial" w:eastAsiaTheme="minorHAnsi" w:hAnsi="Arial" w:cs="Arial"/>
          <w:sz w:val="22"/>
          <w:szCs w:val="22"/>
          <w:lang w:eastAsia="en-US"/>
        </w:rPr>
        <w:t>Our forecast position remains on track to achieve budget</w:t>
      </w:r>
      <w:r w:rsidR="002062BE">
        <w:rPr>
          <w:rFonts w:ascii="Arial" w:eastAsiaTheme="minorHAnsi" w:hAnsi="Arial" w:cs="Arial"/>
          <w:sz w:val="22"/>
          <w:szCs w:val="22"/>
          <w:lang w:eastAsia="en-US"/>
        </w:rPr>
        <w:t xml:space="preserve"> within 1% variance. </w:t>
      </w:r>
    </w:p>
    <w:p w:rsidR="00C10CE0" w:rsidRDefault="00C10CE0" w:rsidP="00C6052E">
      <w:pPr>
        <w:pStyle w:val="ListParagraph"/>
        <w:numPr>
          <w:ilvl w:val="0"/>
          <w:numId w:val="2"/>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w:t>
      </w:r>
      <w:r w:rsidR="00A72FE8">
        <w:rPr>
          <w:rFonts w:ascii="Arial" w:eastAsiaTheme="minorHAnsi" w:hAnsi="Arial" w:cs="Arial"/>
          <w:sz w:val="22"/>
          <w:szCs w:val="22"/>
          <w:lang w:eastAsia="en-US"/>
        </w:rPr>
        <w:t>ll the necessary approvals (Ministerial, GDS, DH Digital, DH Procurement, FAP and Finance</w:t>
      </w:r>
      <w:r w:rsidR="002062BE">
        <w:rPr>
          <w:rFonts w:ascii="Arial" w:eastAsiaTheme="minorHAnsi" w:hAnsi="Arial" w:cs="Arial"/>
          <w:sz w:val="22"/>
          <w:szCs w:val="22"/>
          <w:lang w:eastAsia="en-US"/>
        </w:rPr>
        <w:t>) to proceed with our RS transformation programme</w:t>
      </w:r>
      <w:r>
        <w:rPr>
          <w:rFonts w:ascii="Arial" w:eastAsiaTheme="minorHAnsi" w:hAnsi="Arial" w:cs="Arial"/>
          <w:sz w:val="22"/>
          <w:szCs w:val="22"/>
          <w:lang w:eastAsia="en-US"/>
        </w:rPr>
        <w:t xml:space="preserve"> have been obtained together with confirmation of DH funding for this year (£261k). </w:t>
      </w:r>
      <w:r w:rsidR="002062BE">
        <w:rPr>
          <w:rFonts w:ascii="Arial" w:eastAsiaTheme="minorHAnsi" w:hAnsi="Arial" w:cs="Arial"/>
          <w:sz w:val="22"/>
          <w:szCs w:val="22"/>
          <w:lang w:eastAsia="en-US"/>
        </w:rPr>
        <w:t xml:space="preserve">DH </w:t>
      </w:r>
      <w:proofErr w:type="gramStart"/>
      <w:r w:rsidR="002062BE">
        <w:rPr>
          <w:rFonts w:ascii="Arial" w:eastAsiaTheme="minorHAnsi" w:hAnsi="Arial" w:cs="Arial"/>
          <w:sz w:val="22"/>
          <w:szCs w:val="22"/>
          <w:lang w:eastAsia="en-US"/>
        </w:rPr>
        <w:t>have</w:t>
      </w:r>
      <w:proofErr w:type="gramEnd"/>
      <w:r w:rsidR="002062BE">
        <w:rPr>
          <w:rFonts w:ascii="Arial" w:eastAsiaTheme="minorHAnsi" w:hAnsi="Arial" w:cs="Arial"/>
          <w:sz w:val="22"/>
          <w:szCs w:val="22"/>
          <w:lang w:eastAsia="en-US"/>
        </w:rPr>
        <w:t xml:space="preserve"> agreed to move </w:t>
      </w:r>
      <w:r>
        <w:rPr>
          <w:rFonts w:ascii="Arial" w:eastAsiaTheme="minorHAnsi" w:hAnsi="Arial" w:cs="Arial"/>
          <w:sz w:val="22"/>
          <w:szCs w:val="22"/>
          <w:lang w:eastAsia="en-US"/>
        </w:rPr>
        <w:t xml:space="preserve">£261k additional funds </w:t>
      </w:r>
      <w:r w:rsidR="002062BE">
        <w:rPr>
          <w:rFonts w:ascii="Arial" w:eastAsiaTheme="minorHAnsi" w:hAnsi="Arial" w:cs="Arial"/>
          <w:sz w:val="22"/>
          <w:szCs w:val="22"/>
          <w:lang w:eastAsia="en-US"/>
        </w:rPr>
        <w:t xml:space="preserve">to HRA as part of the Qtr4 consolidation return in support of this development. </w:t>
      </w:r>
    </w:p>
    <w:p w:rsidR="00C10CE0" w:rsidRPr="00C10CE0" w:rsidRDefault="002062BE" w:rsidP="00C10CE0">
      <w:pPr>
        <w:pStyle w:val="ListParagraph"/>
        <w:numPr>
          <w:ilvl w:val="0"/>
          <w:numId w:val="2"/>
        </w:numPr>
        <w:spacing w:after="200" w:line="276" w:lineRule="auto"/>
        <w:rPr>
          <w:rFonts w:ascii="Arial" w:eastAsiaTheme="minorHAnsi" w:hAnsi="Arial" w:cs="Arial"/>
          <w:sz w:val="22"/>
          <w:szCs w:val="22"/>
          <w:lang w:eastAsia="en-US"/>
        </w:rPr>
      </w:pPr>
      <w:r w:rsidRPr="00C10CE0">
        <w:rPr>
          <w:rFonts w:ascii="Arial" w:eastAsiaTheme="minorHAnsi" w:hAnsi="Arial" w:cs="Arial"/>
          <w:sz w:val="22"/>
          <w:szCs w:val="22"/>
          <w:lang w:eastAsia="en-US"/>
        </w:rPr>
        <w:t>Following a robust procurement process, PWC have been cho</w:t>
      </w:r>
      <w:r w:rsidR="007035A7" w:rsidRPr="00C10CE0">
        <w:rPr>
          <w:rFonts w:ascii="Arial" w:eastAsiaTheme="minorHAnsi" w:hAnsi="Arial" w:cs="Arial"/>
          <w:sz w:val="22"/>
          <w:szCs w:val="22"/>
          <w:lang w:eastAsia="en-US"/>
        </w:rPr>
        <w:t xml:space="preserve">sen as our </w:t>
      </w:r>
      <w:r w:rsidR="00C10CE0" w:rsidRPr="00C10CE0">
        <w:rPr>
          <w:rFonts w:ascii="Arial" w:eastAsiaTheme="minorHAnsi" w:hAnsi="Arial" w:cs="Arial"/>
          <w:sz w:val="22"/>
          <w:szCs w:val="22"/>
          <w:lang w:eastAsia="en-US"/>
        </w:rPr>
        <w:t xml:space="preserve">RS </w:t>
      </w:r>
      <w:r w:rsidR="007035A7" w:rsidRPr="00C10CE0">
        <w:rPr>
          <w:rFonts w:ascii="Arial" w:eastAsiaTheme="minorHAnsi" w:hAnsi="Arial" w:cs="Arial"/>
          <w:sz w:val="22"/>
          <w:szCs w:val="22"/>
          <w:lang w:eastAsia="en-US"/>
        </w:rPr>
        <w:t xml:space="preserve">procurement partner </w:t>
      </w:r>
      <w:r w:rsidR="00C10CE0" w:rsidRPr="00C10CE0">
        <w:rPr>
          <w:rFonts w:ascii="Arial" w:eastAsiaTheme="minorHAnsi" w:hAnsi="Arial" w:cs="Arial"/>
          <w:sz w:val="22"/>
          <w:szCs w:val="22"/>
          <w:lang w:eastAsia="en-US"/>
        </w:rPr>
        <w:t>including performing</w:t>
      </w:r>
      <w:r w:rsidR="007035A7" w:rsidRPr="00C10CE0">
        <w:rPr>
          <w:rFonts w:ascii="Arial" w:eastAsiaTheme="minorHAnsi" w:hAnsi="Arial" w:cs="Arial"/>
          <w:sz w:val="22"/>
          <w:szCs w:val="22"/>
          <w:lang w:eastAsia="en-US"/>
        </w:rPr>
        <w:t xml:space="preserve"> a market appraisal and</w:t>
      </w:r>
      <w:r w:rsidRPr="00C10CE0">
        <w:rPr>
          <w:rFonts w:ascii="Arial" w:eastAsiaTheme="minorHAnsi" w:hAnsi="Arial" w:cs="Arial"/>
          <w:sz w:val="22"/>
          <w:szCs w:val="22"/>
          <w:lang w:eastAsia="en-US"/>
        </w:rPr>
        <w:t xml:space="preserve"> supporting us in the selection of a supplier to provide the new systems. Contract sum </w:t>
      </w:r>
      <w:r w:rsidR="00FB55BF">
        <w:rPr>
          <w:rFonts w:ascii="Arial" w:eastAsiaTheme="minorHAnsi" w:hAnsi="Arial" w:cs="Arial"/>
          <w:sz w:val="22"/>
          <w:szCs w:val="22"/>
          <w:lang w:eastAsia="en-US"/>
        </w:rPr>
        <w:t xml:space="preserve">for this element, </w:t>
      </w:r>
      <w:r w:rsidRPr="00C10CE0">
        <w:rPr>
          <w:rFonts w:ascii="Arial" w:eastAsiaTheme="minorHAnsi" w:hAnsi="Arial" w:cs="Arial"/>
          <w:sz w:val="22"/>
          <w:szCs w:val="22"/>
          <w:lang w:eastAsia="en-US"/>
        </w:rPr>
        <w:t>£145k plus VAT</w:t>
      </w:r>
      <w:r w:rsidR="00FB55BF">
        <w:rPr>
          <w:rFonts w:ascii="Arial" w:eastAsiaTheme="minorHAnsi" w:hAnsi="Arial" w:cs="Arial"/>
          <w:sz w:val="22"/>
          <w:szCs w:val="22"/>
          <w:lang w:eastAsia="en-US"/>
        </w:rPr>
        <w:t xml:space="preserve"> and contract procurement has been reviewed by ARC in accordance with our SFI. </w:t>
      </w:r>
      <w:r w:rsidRPr="00C10CE0">
        <w:rPr>
          <w:rFonts w:ascii="Arial" w:eastAsiaTheme="minorHAnsi" w:hAnsi="Arial" w:cs="Arial"/>
          <w:sz w:val="22"/>
          <w:szCs w:val="22"/>
          <w:lang w:eastAsia="en-US"/>
        </w:rPr>
        <w:t xml:space="preserve">. </w:t>
      </w:r>
      <w:r w:rsidR="00C31DCD" w:rsidRPr="00C10CE0">
        <w:rPr>
          <w:rFonts w:ascii="Arial" w:eastAsiaTheme="minorHAnsi" w:hAnsi="Arial" w:cs="Arial"/>
          <w:sz w:val="22"/>
          <w:szCs w:val="22"/>
          <w:lang w:eastAsia="en-US"/>
        </w:rPr>
        <w:t xml:space="preserve"> </w:t>
      </w:r>
    </w:p>
    <w:p w:rsidR="00423AEF" w:rsidRDefault="00386ED9" w:rsidP="00386ED9">
      <w:pPr>
        <w:pStyle w:val="ListParagraph"/>
        <w:numPr>
          <w:ilvl w:val="0"/>
          <w:numId w:val="24"/>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The HRA</w:t>
      </w:r>
      <w:r w:rsidRPr="00386ED9">
        <w:rPr>
          <w:rFonts w:ascii="Arial" w:eastAsiaTheme="minorHAnsi" w:hAnsi="Arial" w:cs="Arial"/>
          <w:sz w:val="22"/>
          <w:szCs w:val="22"/>
          <w:lang w:eastAsia="en-US"/>
        </w:rPr>
        <w:t xml:space="preserve"> </w:t>
      </w:r>
      <w:r w:rsidRPr="006C7396">
        <w:rPr>
          <w:rFonts w:ascii="Arial" w:eastAsiaTheme="minorHAnsi" w:hAnsi="Arial" w:cs="Arial"/>
          <w:sz w:val="22"/>
          <w:szCs w:val="22"/>
          <w:lang w:eastAsia="en-US"/>
        </w:rPr>
        <w:t>continued to meet its regulatory requirements in paying invoices</w:t>
      </w:r>
      <w:r w:rsidR="001B0417">
        <w:rPr>
          <w:rFonts w:ascii="Arial" w:eastAsiaTheme="minorHAnsi" w:hAnsi="Arial" w:cs="Arial"/>
          <w:sz w:val="22"/>
          <w:szCs w:val="22"/>
          <w:lang w:eastAsia="en-US"/>
        </w:rPr>
        <w:t xml:space="preserve"> quickly</w:t>
      </w:r>
      <w:r w:rsidR="00C6052E">
        <w:rPr>
          <w:rFonts w:ascii="Arial" w:eastAsiaTheme="minorHAnsi" w:hAnsi="Arial" w:cs="Arial"/>
          <w:sz w:val="22"/>
          <w:szCs w:val="22"/>
          <w:lang w:eastAsia="en-US"/>
        </w:rPr>
        <w:t xml:space="preserve"> and key finance deadlines. </w:t>
      </w:r>
    </w:p>
    <w:p w:rsidR="00561998" w:rsidRDefault="00B325BB" w:rsidP="00B62D6B">
      <w:pPr>
        <w:jc w:val="both"/>
        <w:rPr>
          <w:rFonts w:ascii="Arial" w:hAnsi="Arial" w:cs="Arial"/>
          <w:b/>
          <w:sz w:val="22"/>
          <w:szCs w:val="22"/>
        </w:rPr>
      </w:pPr>
      <w:r>
        <w:rPr>
          <w:rFonts w:ascii="Arial" w:hAnsi="Arial" w:cs="Arial"/>
          <w:b/>
          <w:sz w:val="22"/>
          <w:szCs w:val="22"/>
        </w:rPr>
        <w:t>Revenue f</w:t>
      </w:r>
      <w:r w:rsidR="00B62D6B">
        <w:rPr>
          <w:rFonts w:ascii="Arial" w:hAnsi="Arial" w:cs="Arial"/>
          <w:b/>
          <w:sz w:val="22"/>
          <w:szCs w:val="22"/>
        </w:rPr>
        <w:t xml:space="preserve">inancial performance </w:t>
      </w:r>
      <w:r w:rsidR="000D2F24">
        <w:rPr>
          <w:rFonts w:ascii="Arial" w:hAnsi="Arial" w:cs="Arial"/>
          <w:b/>
          <w:sz w:val="22"/>
          <w:szCs w:val="22"/>
        </w:rPr>
        <w:t>for</w:t>
      </w:r>
      <w:r w:rsidR="00B62D6B">
        <w:rPr>
          <w:rFonts w:ascii="Arial" w:hAnsi="Arial" w:cs="Arial"/>
          <w:b/>
          <w:sz w:val="22"/>
          <w:szCs w:val="22"/>
        </w:rPr>
        <w:t xml:space="preserve"> </w:t>
      </w:r>
      <w:r w:rsidR="000D2F24">
        <w:rPr>
          <w:rFonts w:ascii="Arial" w:hAnsi="Arial" w:cs="Arial"/>
          <w:b/>
          <w:sz w:val="22"/>
          <w:szCs w:val="22"/>
        </w:rPr>
        <w:t xml:space="preserve">the </w:t>
      </w:r>
      <w:r w:rsidR="00307BC8">
        <w:rPr>
          <w:rFonts w:ascii="Arial" w:hAnsi="Arial" w:cs="Arial"/>
          <w:b/>
          <w:sz w:val="22"/>
          <w:szCs w:val="22"/>
        </w:rPr>
        <w:t>10</w:t>
      </w:r>
      <w:r w:rsidR="00A4139A">
        <w:rPr>
          <w:rFonts w:ascii="Arial" w:hAnsi="Arial" w:cs="Arial"/>
          <w:b/>
          <w:sz w:val="22"/>
          <w:szCs w:val="22"/>
        </w:rPr>
        <w:t xml:space="preserve"> m</w:t>
      </w:r>
      <w:r w:rsidR="002951E3">
        <w:rPr>
          <w:rFonts w:ascii="Arial" w:hAnsi="Arial" w:cs="Arial"/>
          <w:b/>
          <w:sz w:val="22"/>
          <w:szCs w:val="22"/>
        </w:rPr>
        <w:t>on</w:t>
      </w:r>
      <w:r w:rsidR="00A4139A">
        <w:rPr>
          <w:rFonts w:ascii="Arial" w:hAnsi="Arial" w:cs="Arial"/>
          <w:b/>
          <w:sz w:val="22"/>
          <w:szCs w:val="22"/>
        </w:rPr>
        <w:t>ths</w:t>
      </w:r>
      <w:r w:rsidR="000D2F24">
        <w:rPr>
          <w:rFonts w:ascii="Arial" w:hAnsi="Arial" w:cs="Arial"/>
          <w:b/>
          <w:sz w:val="22"/>
          <w:szCs w:val="22"/>
        </w:rPr>
        <w:t xml:space="preserve">-ended </w:t>
      </w:r>
      <w:r w:rsidR="00307BC8">
        <w:rPr>
          <w:rFonts w:ascii="Arial" w:hAnsi="Arial" w:cs="Arial"/>
          <w:b/>
          <w:sz w:val="22"/>
          <w:szCs w:val="22"/>
        </w:rPr>
        <w:t>31 January 2018</w:t>
      </w:r>
    </w:p>
    <w:p w:rsidR="00C10CE0" w:rsidRDefault="00C10CE0" w:rsidP="00B62D6B">
      <w:pPr>
        <w:jc w:val="both"/>
        <w:rPr>
          <w:rFonts w:ascii="Arial" w:hAnsi="Arial" w:cs="Arial"/>
          <w:b/>
          <w:sz w:val="22"/>
          <w:szCs w:val="22"/>
        </w:rPr>
      </w:pPr>
    </w:p>
    <w:tbl>
      <w:tblPr>
        <w:tblW w:w="9938" w:type="dxa"/>
        <w:tblInd w:w="93" w:type="dxa"/>
        <w:tblLook w:val="04A0" w:firstRow="1" w:lastRow="0" w:firstColumn="1" w:lastColumn="0" w:noHBand="0" w:noVBand="1"/>
      </w:tblPr>
      <w:tblGrid>
        <w:gridCol w:w="4268"/>
        <w:gridCol w:w="1134"/>
        <w:gridCol w:w="1134"/>
        <w:gridCol w:w="992"/>
        <w:gridCol w:w="1134"/>
        <w:gridCol w:w="1276"/>
      </w:tblGrid>
      <w:tr w:rsidR="007035A7" w:rsidRPr="005C5248" w:rsidTr="007035A7">
        <w:trPr>
          <w:trHeight w:val="426"/>
        </w:trPr>
        <w:tc>
          <w:tcPr>
            <w:tcW w:w="4268" w:type="dxa"/>
            <w:tcBorders>
              <w:top w:val="nil"/>
              <w:left w:val="nil"/>
              <w:bottom w:val="single" w:sz="8" w:space="0" w:color="CCCCCC"/>
              <w:right w:val="single" w:sz="8" w:space="0" w:color="CCCCCC"/>
            </w:tcBorders>
            <w:shd w:val="clear" w:color="000000" w:fill="95B3D7"/>
            <w:vAlign w:val="center"/>
          </w:tcPr>
          <w:p w:rsidR="007035A7" w:rsidRPr="005C5248" w:rsidRDefault="007035A7" w:rsidP="005C5248">
            <w:pPr>
              <w:jc w:val="center"/>
              <w:rPr>
                <w:rFonts w:ascii="Arial" w:hAnsi="Arial" w:cs="Arial"/>
                <w:b/>
                <w:bCs/>
                <w:color w:val="FFFFFF"/>
                <w:sz w:val="20"/>
                <w:szCs w:val="20"/>
              </w:rPr>
            </w:pPr>
          </w:p>
        </w:tc>
        <w:tc>
          <w:tcPr>
            <w:tcW w:w="1134" w:type="dxa"/>
            <w:tcBorders>
              <w:top w:val="nil"/>
              <w:left w:val="nil"/>
              <w:bottom w:val="nil"/>
              <w:right w:val="single" w:sz="8" w:space="0" w:color="55ACD3"/>
            </w:tcBorders>
            <w:shd w:val="clear" w:color="000000" w:fill="95B3D7"/>
            <w:vAlign w:val="center"/>
          </w:tcPr>
          <w:p w:rsidR="007035A7" w:rsidRPr="005C5248" w:rsidRDefault="007035A7" w:rsidP="007035A7">
            <w:pPr>
              <w:jc w:val="right"/>
              <w:rPr>
                <w:rFonts w:ascii="Arial" w:hAnsi="Arial" w:cs="Arial"/>
                <w:b/>
                <w:bCs/>
                <w:color w:val="FFFFFF"/>
                <w:sz w:val="20"/>
                <w:szCs w:val="20"/>
              </w:rPr>
            </w:pPr>
            <w:r>
              <w:rPr>
                <w:rFonts w:ascii="Arial" w:hAnsi="Arial" w:cs="Arial"/>
                <w:b/>
                <w:bCs/>
                <w:color w:val="FFFFFF"/>
                <w:sz w:val="20"/>
                <w:szCs w:val="20"/>
              </w:rPr>
              <w:t>Full year</w:t>
            </w:r>
          </w:p>
        </w:tc>
        <w:tc>
          <w:tcPr>
            <w:tcW w:w="1134" w:type="dxa"/>
            <w:tcBorders>
              <w:top w:val="nil"/>
              <w:left w:val="nil"/>
              <w:bottom w:val="nil"/>
              <w:right w:val="single" w:sz="8" w:space="0" w:color="55ACD3"/>
            </w:tcBorders>
            <w:shd w:val="clear" w:color="000000" w:fill="95B3D7"/>
            <w:vAlign w:val="center"/>
          </w:tcPr>
          <w:p w:rsidR="007035A7" w:rsidRPr="005C5248" w:rsidRDefault="007035A7" w:rsidP="007035A7">
            <w:pPr>
              <w:jc w:val="right"/>
              <w:rPr>
                <w:rFonts w:ascii="Arial" w:hAnsi="Arial" w:cs="Arial"/>
                <w:b/>
                <w:bCs/>
                <w:color w:val="FFFFFF"/>
                <w:sz w:val="20"/>
                <w:szCs w:val="20"/>
              </w:rPr>
            </w:pPr>
            <w:proofErr w:type="spellStart"/>
            <w:r>
              <w:rPr>
                <w:rFonts w:ascii="Arial" w:hAnsi="Arial" w:cs="Arial"/>
                <w:b/>
                <w:bCs/>
                <w:color w:val="FFFFFF"/>
                <w:sz w:val="20"/>
                <w:szCs w:val="20"/>
              </w:rPr>
              <w:t>ytd</w:t>
            </w:r>
            <w:proofErr w:type="spellEnd"/>
          </w:p>
        </w:tc>
        <w:tc>
          <w:tcPr>
            <w:tcW w:w="992" w:type="dxa"/>
            <w:tcBorders>
              <w:top w:val="nil"/>
              <w:left w:val="nil"/>
              <w:bottom w:val="nil"/>
              <w:right w:val="single" w:sz="8" w:space="0" w:color="55ACD3"/>
            </w:tcBorders>
            <w:shd w:val="clear" w:color="000000" w:fill="95B3D7"/>
            <w:vAlign w:val="center"/>
          </w:tcPr>
          <w:p w:rsidR="007035A7" w:rsidRPr="005C5248" w:rsidRDefault="007035A7" w:rsidP="007035A7">
            <w:pPr>
              <w:jc w:val="right"/>
              <w:rPr>
                <w:rFonts w:ascii="Arial" w:hAnsi="Arial" w:cs="Arial"/>
                <w:b/>
                <w:bCs/>
                <w:color w:val="FFFFFF"/>
                <w:sz w:val="20"/>
                <w:szCs w:val="20"/>
              </w:rPr>
            </w:pPr>
            <w:proofErr w:type="spellStart"/>
            <w:r>
              <w:rPr>
                <w:rFonts w:ascii="Arial" w:hAnsi="Arial" w:cs="Arial"/>
                <w:b/>
                <w:bCs/>
                <w:color w:val="FFFFFF"/>
                <w:sz w:val="20"/>
                <w:szCs w:val="20"/>
              </w:rPr>
              <w:t>ytd</w:t>
            </w:r>
            <w:proofErr w:type="spellEnd"/>
          </w:p>
        </w:tc>
        <w:tc>
          <w:tcPr>
            <w:tcW w:w="1134" w:type="dxa"/>
            <w:tcBorders>
              <w:top w:val="nil"/>
              <w:left w:val="nil"/>
              <w:bottom w:val="nil"/>
              <w:right w:val="nil"/>
            </w:tcBorders>
            <w:shd w:val="clear" w:color="000000" w:fill="95B3D7"/>
            <w:vAlign w:val="center"/>
          </w:tcPr>
          <w:p w:rsidR="007035A7" w:rsidRPr="005C5248" w:rsidRDefault="007035A7" w:rsidP="007035A7">
            <w:pPr>
              <w:jc w:val="right"/>
              <w:rPr>
                <w:rFonts w:ascii="Arial" w:hAnsi="Arial" w:cs="Arial"/>
                <w:b/>
                <w:bCs/>
                <w:color w:val="FFFFFF"/>
                <w:sz w:val="20"/>
                <w:szCs w:val="20"/>
              </w:rPr>
            </w:pPr>
          </w:p>
        </w:tc>
        <w:tc>
          <w:tcPr>
            <w:tcW w:w="1276" w:type="dxa"/>
            <w:tcBorders>
              <w:top w:val="nil"/>
              <w:left w:val="nil"/>
              <w:bottom w:val="nil"/>
              <w:right w:val="nil"/>
            </w:tcBorders>
            <w:shd w:val="clear" w:color="000000" w:fill="95B3D7"/>
            <w:vAlign w:val="center"/>
          </w:tcPr>
          <w:p w:rsidR="007035A7" w:rsidRPr="005C5248" w:rsidRDefault="007035A7" w:rsidP="007035A7">
            <w:pPr>
              <w:jc w:val="right"/>
              <w:rPr>
                <w:rFonts w:ascii="Arial" w:hAnsi="Arial" w:cs="Arial"/>
                <w:b/>
                <w:bCs/>
                <w:color w:val="FFFFFF"/>
                <w:sz w:val="20"/>
                <w:szCs w:val="20"/>
              </w:rPr>
            </w:pPr>
          </w:p>
        </w:tc>
      </w:tr>
      <w:tr w:rsidR="007035A7" w:rsidRPr="005C5248" w:rsidTr="007035A7">
        <w:trPr>
          <w:trHeight w:val="412"/>
        </w:trPr>
        <w:tc>
          <w:tcPr>
            <w:tcW w:w="4268" w:type="dxa"/>
            <w:tcBorders>
              <w:top w:val="nil"/>
              <w:left w:val="nil"/>
              <w:bottom w:val="single" w:sz="8" w:space="0" w:color="CCCCCC"/>
              <w:right w:val="single" w:sz="8" w:space="0" w:color="CCCCCC"/>
            </w:tcBorders>
            <w:shd w:val="clear" w:color="000000" w:fill="95B3D7"/>
            <w:vAlign w:val="center"/>
            <w:hideMark/>
          </w:tcPr>
          <w:p w:rsidR="007035A7" w:rsidRPr="005C5248" w:rsidRDefault="007035A7" w:rsidP="005C5248">
            <w:pPr>
              <w:jc w:val="center"/>
              <w:rPr>
                <w:rFonts w:ascii="Arial" w:hAnsi="Arial" w:cs="Arial"/>
                <w:b/>
                <w:bCs/>
                <w:color w:val="FFFFFF"/>
                <w:sz w:val="20"/>
                <w:szCs w:val="20"/>
              </w:rPr>
            </w:pPr>
            <w:r w:rsidRPr="005C5248">
              <w:rPr>
                <w:rFonts w:ascii="Arial" w:hAnsi="Arial" w:cs="Arial"/>
                <w:b/>
                <w:bCs/>
                <w:color w:val="FFFFFF"/>
                <w:sz w:val="20"/>
                <w:szCs w:val="20"/>
              </w:rPr>
              <w:t>Income</w:t>
            </w:r>
          </w:p>
        </w:tc>
        <w:tc>
          <w:tcPr>
            <w:tcW w:w="1134" w:type="dxa"/>
            <w:tcBorders>
              <w:top w:val="nil"/>
              <w:left w:val="nil"/>
              <w:bottom w:val="nil"/>
              <w:right w:val="single" w:sz="8" w:space="0" w:color="55ACD3"/>
            </w:tcBorders>
            <w:shd w:val="clear" w:color="000000" w:fill="95B3D7"/>
            <w:vAlign w:val="center"/>
            <w:hideMark/>
          </w:tcPr>
          <w:p w:rsidR="007035A7" w:rsidRDefault="007035A7" w:rsidP="007035A7">
            <w:pPr>
              <w:jc w:val="right"/>
              <w:rPr>
                <w:rFonts w:ascii="Arial" w:hAnsi="Arial" w:cs="Arial"/>
                <w:b/>
                <w:bCs/>
                <w:color w:val="FFFFFF"/>
                <w:sz w:val="20"/>
                <w:szCs w:val="20"/>
              </w:rPr>
            </w:pPr>
            <w:r w:rsidRPr="005C5248">
              <w:rPr>
                <w:rFonts w:ascii="Arial" w:hAnsi="Arial" w:cs="Arial"/>
                <w:b/>
                <w:bCs/>
                <w:color w:val="FFFFFF"/>
                <w:sz w:val="20"/>
                <w:szCs w:val="20"/>
              </w:rPr>
              <w:t>Budget</w:t>
            </w:r>
          </w:p>
          <w:p w:rsidR="007035A7" w:rsidRPr="005C5248" w:rsidRDefault="007035A7" w:rsidP="007035A7">
            <w:pPr>
              <w:jc w:val="right"/>
              <w:rPr>
                <w:rFonts w:ascii="Arial" w:hAnsi="Arial" w:cs="Arial"/>
                <w:b/>
                <w:bCs/>
                <w:color w:val="FFFFFF"/>
                <w:sz w:val="20"/>
                <w:szCs w:val="20"/>
              </w:rPr>
            </w:pPr>
            <w:r>
              <w:rPr>
                <w:rFonts w:ascii="Arial" w:hAnsi="Arial" w:cs="Arial"/>
                <w:b/>
                <w:bCs/>
                <w:color w:val="FFFFFF"/>
                <w:sz w:val="20"/>
                <w:szCs w:val="20"/>
              </w:rPr>
              <w:t>£000</w:t>
            </w:r>
          </w:p>
        </w:tc>
        <w:tc>
          <w:tcPr>
            <w:tcW w:w="1134" w:type="dxa"/>
            <w:tcBorders>
              <w:top w:val="nil"/>
              <w:left w:val="nil"/>
              <w:bottom w:val="nil"/>
              <w:right w:val="single" w:sz="8" w:space="0" w:color="55ACD3"/>
            </w:tcBorders>
            <w:shd w:val="clear" w:color="000000" w:fill="95B3D7"/>
            <w:vAlign w:val="center"/>
            <w:hideMark/>
          </w:tcPr>
          <w:p w:rsidR="007035A7" w:rsidRDefault="007035A7" w:rsidP="007035A7">
            <w:pPr>
              <w:jc w:val="right"/>
              <w:rPr>
                <w:rFonts w:ascii="Arial" w:hAnsi="Arial" w:cs="Arial"/>
                <w:b/>
                <w:bCs/>
                <w:color w:val="FFFFFF"/>
                <w:sz w:val="20"/>
                <w:szCs w:val="20"/>
              </w:rPr>
            </w:pPr>
            <w:r w:rsidRPr="005C5248">
              <w:rPr>
                <w:rFonts w:ascii="Arial" w:hAnsi="Arial" w:cs="Arial"/>
                <w:b/>
                <w:bCs/>
                <w:color w:val="FFFFFF"/>
                <w:sz w:val="20"/>
                <w:szCs w:val="20"/>
              </w:rPr>
              <w:t>Budget</w:t>
            </w:r>
          </w:p>
          <w:p w:rsidR="007035A7" w:rsidRPr="005C5248" w:rsidRDefault="007035A7" w:rsidP="007035A7">
            <w:pPr>
              <w:jc w:val="right"/>
              <w:rPr>
                <w:rFonts w:ascii="Arial" w:hAnsi="Arial" w:cs="Arial"/>
                <w:b/>
                <w:bCs/>
                <w:color w:val="FFFFFF"/>
                <w:sz w:val="20"/>
                <w:szCs w:val="20"/>
              </w:rPr>
            </w:pPr>
            <w:r>
              <w:rPr>
                <w:rFonts w:ascii="Arial" w:hAnsi="Arial" w:cs="Arial"/>
                <w:b/>
                <w:bCs/>
                <w:color w:val="FFFFFF"/>
                <w:sz w:val="20"/>
                <w:szCs w:val="20"/>
              </w:rPr>
              <w:t>£000</w:t>
            </w:r>
          </w:p>
        </w:tc>
        <w:tc>
          <w:tcPr>
            <w:tcW w:w="992" w:type="dxa"/>
            <w:tcBorders>
              <w:top w:val="nil"/>
              <w:left w:val="nil"/>
              <w:bottom w:val="nil"/>
              <w:right w:val="single" w:sz="8" w:space="0" w:color="55ACD3"/>
            </w:tcBorders>
            <w:shd w:val="clear" w:color="000000" w:fill="95B3D7"/>
            <w:vAlign w:val="center"/>
            <w:hideMark/>
          </w:tcPr>
          <w:p w:rsidR="007035A7" w:rsidRDefault="007035A7" w:rsidP="007035A7">
            <w:pPr>
              <w:jc w:val="right"/>
              <w:rPr>
                <w:rFonts w:ascii="Arial" w:hAnsi="Arial" w:cs="Arial"/>
                <w:b/>
                <w:bCs/>
                <w:color w:val="FFFFFF"/>
                <w:sz w:val="20"/>
                <w:szCs w:val="20"/>
              </w:rPr>
            </w:pPr>
            <w:r w:rsidRPr="005C5248">
              <w:rPr>
                <w:rFonts w:ascii="Arial" w:hAnsi="Arial" w:cs="Arial"/>
                <w:b/>
                <w:bCs/>
                <w:color w:val="FFFFFF"/>
                <w:sz w:val="20"/>
                <w:szCs w:val="20"/>
              </w:rPr>
              <w:t>Actual</w:t>
            </w:r>
          </w:p>
          <w:p w:rsidR="007035A7" w:rsidRPr="005C5248" w:rsidRDefault="007035A7" w:rsidP="007035A7">
            <w:pPr>
              <w:jc w:val="right"/>
              <w:rPr>
                <w:rFonts w:ascii="Arial" w:hAnsi="Arial" w:cs="Arial"/>
                <w:b/>
                <w:bCs/>
                <w:color w:val="FFFFFF"/>
                <w:sz w:val="20"/>
                <w:szCs w:val="20"/>
              </w:rPr>
            </w:pPr>
            <w:r>
              <w:rPr>
                <w:rFonts w:ascii="Arial" w:hAnsi="Arial" w:cs="Arial"/>
                <w:b/>
                <w:bCs/>
                <w:color w:val="FFFFFF"/>
                <w:sz w:val="20"/>
                <w:szCs w:val="20"/>
              </w:rPr>
              <w:t>£000</w:t>
            </w:r>
          </w:p>
        </w:tc>
        <w:tc>
          <w:tcPr>
            <w:tcW w:w="1134" w:type="dxa"/>
            <w:tcBorders>
              <w:top w:val="nil"/>
              <w:left w:val="nil"/>
              <w:bottom w:val="nil"/>
              <w:right w:val="nil"/>
            </w:tcBorders>
            <w:shd w:val="clear" w:color="000000" w:fill="95B3D7"/>
            <w:vAlign w:val="center"/>
            <w:hideMark/>
          </w:tcPr>
          <w:p w:rsidR="007035A7" w:rsidRDefault="007035A7" w:rsidP="007035A7">
            <w:pPr>
              <w:jc w:val="right"/>
              <w:rPr>
                <w:rFonts w:ascii="Arial" w:hAnsi="Arial" w:cs="Arial"/>
                <w:b/>
                <w:bCs/>
                <w:color w:val="FFFFFF"/>
                <w:sz w:val="20"/>
                <w:szCs w:val="20"/>
              </w:rPr>
            </w:pPr>
            <w:r w:rsidRPr="005C5248">
              <w:rPr>
                <w:rFonts w:ascii="Arial" w:hAnsi="Arial" w:cs="Arial"/>
                <w:b/>
                <w:bCs/>
                <w:color w:val="FFFFFF"/>
                <w:sz w:val="20"/>
                <w:szCs w:val="20"/>
              </w:rPr>
              <w:t>Variance</w:t>
            </w:r>
          </w:p>
          <w:p w:rsidR="007035A7" w:rsidRPr="005C5248" w:rsidRDefault="007035A7" w:rsidP="007035A7">
            <w:pPr>
              <w:jc w:val="right"/>
              <w:rPr>
                <w:rFonts w:ascii="Arial" w:hAnsi="Arial" w:cs="Arial"/>
                <w:b/>
                <w:bCs/>
                <w:color w:val="FFFFFF"/>
                <w:sz w:val="20"/>
                <w:szCs w:val="20"/>
              </w:rPr>
            </w:pPr>
            <w:r>
              <w:rPr>
                <w:rFonts w:ascii="Arial" w:hAnsi="Arial" w:cs="Arial"/>
                <w:b/>
                <w:bCs/>
                <w:color w:val="FFFFFF"/>
                <w:sz w:val="20"/>
                <w:szCs w:val="20"/>
              </w:rPr>
              <w:t>£000</w:t>
            </w:r>
          </w:p>
        </w:tc>
        <w:tc>
          <w:tcPr>
            <w:tcW w:w="1276" w:type="dxa"/>
            <w:tcBorders>
              <w:top w:val="nil"/>
              <w:left w:val="nil"/>
              <w:bottom w:val="nil"/>
              <w:right w:val="nil"/>
            </w:tcBorders>
            <w:shd w:val="clear" w:color="000000" w:fill="95B3D7"/>
            <w:vAlign w:val="center"/>
            <w:hideMark/>
          </w:tcPr>
          <w:p w:rsidR="007035A7" w:rsidRDefault="007035A7" w:rsidP="007035A7">
            <w:pPr>
              <w:jc w:val="right"/>
              <w:rPr>
                <w:rFonts w:ascii="Arial" w:hAnsi="Arial" w:cs="Arial"/>
                <w:b/>
                <w:bCs/>
                <w:color w:val="FFFFFF"/>
                <w:sz w:val="20"/>
                <w:szCs w:val="20"/>
              </w:rPr>
            </w:pPr>
            <w:r w:rsidRPr="005C5248">
              <w:rPr>
                <w:rFonts w:ascii="Arial" w:hAnsi="Arial" w:cs="Arial"/>
                <w:b/>
                <w:bCs/>
                <w:color w:val="FFFFFF"/>
                <w:sz w:val="20"/>
                <w:szCs w:val="20"/>
              </w:rPr>
              <w:t>Variance</w:t>
            </w:r>
          </w:p>
          <w:p w:rsidR="007035A7" w:rsidRPr="005C5248" w:rsidRDefault="007035A7" w:rsidP="007035A7">
            <w:pPr>
              <w:jc w:val="right"/>
              <w:rPr>
                <w:rFonts w:ascii="Arial" w:hAnsi="Arial" w:cs="Arial"/>
                <w:b/>
                <w:bCs/>
                <w:color w:val="FFFFFF"/>
                <w:sz w:val="20"/>
                <w:szCs w:val="20"/>
              </w:rPr>
            </w:pPr>
            <w:r w:rsidRPr="005C5248">
              <w:rPr>
                <w:rFonts w:ascii="Arial" w:hAnsi="Arial" w:cs="Arial"/>
                <w:b/>
                <w:bCs/>
                <w:color w:val="FFFFFF"/>
                <w:sz w:val="20"/>
                <w:szCs w:val="20"/>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Grant in Aid confirmed</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12,469</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9,915</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9,827</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-88</w:t>
            </w:r>
          </w:p>
        </w:tc>
        <w:tc>
          <w:tcPr>
            <w:tcW w:w="1276" w:type="dxa"/>
            <w:tcBorders>
              <w:top w:val="nil"/>
              <w:left w:val="nil"/>
              <w:bottom w:val="nil"/>
              <w:right w:val="nil"/>
            </w:tcBorders>
            <w:shd w:val="clear" w:color="auto" w:fill="auto"/>
            <w:noWrap/>
            <w:vAlign w:val="bottom"/>
            <w:hideMark/>
          </w:tcPr>
          <w:p w:rsidR="007035A7" w:rsidRPr="005C5248" w:rsidRDefault="007035A7" w:rsidP="00C62F88">
            <w:pPr>
              <w:jc w:val="right"/>
              <w:rPr>
                <w:rFonts w:ascii="Calibri" w:hAnsi="Calibri"/>
                <w:color w:val="000000"/>
                <w:sz w:val="22"/>
                <w:szCs w:val="22"/>
              </w:rPr>
            </w:pPr>
            <w:r w:rsidRPr="005C5248">
              <w:rPr>
                <w:rFonts w:ascii="Calibri" w:hAnsi="Calibri"/>
                <w:color w:val="000000"/>
                <w:sz w:val="22"/>
                <w:szCs w:val="22"/>
              </w:rPr>
              <w:t>-0.9%</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HRA income</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205</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113</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140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27</w:t>
            </w:r>
          </w:p>
        </w:tc>
        <w:tc>
          <w:tcPr>
            <w:tcW w:w="1276" w:type="dxa"/>
            <w:tcBorders>
              <w:top w:val="nil"/>
              <w:left w:val="nil"/>
              <w:bottom w:val="nil"/>
              <w:right w:val="nil"/>
            </w:tcBorders>
            <w:shd w:val="clear" w:color="auto" w:fill="auto"/>
            <w:noWrap/>
            <w:vAlign w:val="bottom"/>
            <w:hideMark/>
          </w:tcPr>
          <w:p w:rsidR="007035A7" w:rsidRPr="005C5248" w:rsidRDefault="00C62F88" w:rsidP="00C62F88">
            <w:pPr>
              <w:jc w:val="right"/>
              <w:rPr>
                <w:rFonts w:ascii="Calibri" w:hAnsi="Calibri"/>
                <w:color w:val="000000"/>
                <w:sz w:val="22"/>
                <w:szCs w:val="22"/>
              </w:rPr>
            </w:pPr>
            <w:r>
              <w:rPr>
                <w:rFonts w:ascii="Calibri" w:hAnsi="Calibri"/>
                <w:color w:val="000000"/>
                <w:sz w:val="22"/>
                <w:szCs w:val="22"/>
              </w:rPr>
              <w:t>-44.3</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Non cash revenue resource limit</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570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400</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400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0</w:t>
            </w:r>
          </w:p>
        </w:tc>
        <w:tc>
          <w:tcPr>
            <w:tcW w:w="1276" w:type="dxa"/>
            <w:tcBorders>
              <w:top w:val="nil"/>
              <w:left w:val="nil"/>
              <w:bottom w:val="nil"/>
              <w:right w:val="nil"/>
            </w:tcBorders>
            <w:shd w:val="clear" w:color="auto" w:fill="auto"/>
            <w:noWrap/>
            <w:vAlign w:val="bottom"/>
            <w:hideMark/>
          </w:tcPr>
          <w:p w:rsidR="007035A7" w:rsidRPr="005C5248" w:rsidRDefault="007035A7" w:rsidP="00C62F88">
            <w:pPr>
              <w:jc w:val="right"/>
              <w:rPr>
                <w:rFonts w:ascii="Calibri" w:hAnsi="Calibri"/>
                <w:color w:val="000000"/>
                <w:sz w:val="22"/>
                <w:szCs w:val="22"/>
              </w:rPr>
            </w:pPr>
            <w:r w:rsidRPr="005C5248">
              <w:rPr>
                <w:rFonts w:ascii="Calibri" w:hAnsi="Calibri"/>
                <w:color w:val="000000"/>
                <w:sz w:val="22"/>
                <w:szCs w:val="22"/>
              </w:rPr>
              <w:t>0.0%</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000000" w:fill="365F91"/>
            <w:vAlign w:val="bottom"/>
            <w:hideMark/>
          </w:tcPr>
          <w:p w:rsidR="007035A7" w:rsidRPr="005C5248" w:rsidRDefault="007035A7" w:rsidP="005C5248">
            <w:pPr>
              <w:rPr>
                <w:rFonts w:ascii="Arial" w:hAnsi="Arial" w:cs="Arial"/>
                <w:b/>
                <w:bCs/>
                <w:color w:val="FFFFFF"/>
                <w:sz w:val="18"/>
                <w:szCs w:val="18"/>
              </w:rPr>
            </w:pPr>
            <w:r w:rsidRPr="005C5248">
              <w:rPr>
                <w:rFonts w:ascii="Arial" w:hAnsi="Arial" w:cs="Arial"/>
                <w:b/>
                <w:bCs/>
                <w:color w:val="FFFFFF"/>
                <w:sz w:val="18"/>
                <w:szCs w:val="18"/>
              </w:rPr>
              <w:t xml:space="preserve"> Total Income</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13,244</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10,428</w:t>
            </w:r>
          </w:p>
        </w:tc>
        <w:tc>
          <w:tcPr>
            <w:tcW w:w="992"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10,367</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-61</w:t>
            </w:r>
          </w:p>
        </w:tc>
        <w:tc>
          <w:tcPr>
            <w:tcW w:w="1276" w:type="dxa"/>
            <w:tcBorders>
              <w:top w:val="nil"/>
              <w:left w:val="nil"/>
              <w:bottom w:val="nil"/>
              <w:right w:val="single" w:sz="8" w:space="0" w:color="FFFFFF"/>
            </w:tcBorders>
            <w:shd w:val="clear" w:color="000000" w:fill="365F91"/>
            <w:vAlign w:val="bottom"/>
            <w:hideMark/>
          </w:tcPr>
          <w:p w:rsidR="007035A7" w:rsidRPr="005C5248" w:rsidRDefault="007035A7" w:rsidP="00C62F88">
            <w:pPr>
              <w:jc w:val="right"/>
              <w:rPr>
                <w:rFonts w:ascii="Arial" w:hAnsi="Arial" w:cs="Arial"/>
                <w:b/>
                <w:bCs/>
                <w:color w:val="FFFFFF"/>
                <w:sz w:val="18"/>
                <w:szCs w:val="18"/>
              </w:rPr>
            </w:pPr>
            <w:r w:rsidRPr="005C5248">
              <w:rPr>
                <w:rFonts w:ascii="Arial" w:hAnsi="Arial" w:cs="Arial"/>
                <w:b/>
                <w:bCs/>
                <w:color w:val="FFFFFF"/>
                <w:sz w:val="18"/>
                <w:szCs w:val="18"/>
              </w:rPr>
              <w:t>-0.</w:t>
            </w:r>
            <w:r w:rsidR="00C62F88">
              <w:rPr>
                <w:rFonts w:ascii="Arial" w:hAnsi="Arial" w:cs="Arial"/>
                <w:b/>
                <w:bCs/>
                <w:color w:val="FFFFFF"/>
                <w:sz w:val="18"/>
                <w:szCs w:val="18"/>
              </w:rPr>
              <w:t>6</w:t>
            </w:r>
            <w:r w:rsidRPr="005C5248">
              <w:rPr>
                <w:rFonts w:ascii="Arial" w:hAnsi="Arial" w:cs="Arial"/>
                <w:b/>
                <w:bCs/>
                <w:color w:val="FFFFFF"/>
                <w:sz w:val="18"/>
                <w:szCs w:val="18"/>
              </w:rPr>
              <w:t>%</w:t>
            </w:r>
          </w:p>
        </w:tc>
      </w:tr>
      <w:tr w:rsidR="007035A7" w:rsidRPr="005C5248" w:rsidTr="00C10CE0">
        <w:trPr>
          <w:trHeight w:val="386"/>
        </w:trPr>
        <w:tc>
          <w:tcPr>
            <w:tcW w:w="4268" w:type="dxa"/>
            <w:tcBorders>
              <w:top w:val="nil"/>
              <w:left w:val="nil"/>
              <w:bottom w:val="single" w:sz="8" w:space="0" w:color="CCCCCC"/>
              <w:right w:val="single" w:sz="8" w:space="0" w:color="CCCCCC"/>
            </w:tcBorders>
            <w:shd w:val="clear" w:color="000000" w:fill="95B3D7"/>
            <w:vAlign w:val="center"/>
            <w:hideMark/>
          </w:tcPr>
          <w:p w:rsidR="007035A7" w:rsidRPr="005C5248" w:rsidRDefault="007035A7" w:rsidP="005C5248">
            <w:pPr>
              <w:jc w:val="center"/>
              <w:rPr>
                <w:rFonts w:ascii="Arial" w:hAnsi="Arial" w:cs="Arial"/>
                <w:b/>
                <w:bCs/>
                <w:color w:val="FFFFFF"/>
                <w:sz w:val="20"/>
                <w:szCs w:val="20"/>
              </w:rPr>
            </w:pPr>
            <w:r w:rsidRPr="005C5248">
              <w:rPr>
                <w:rFonts w:ascii="Arial" w:hAnsi="Arial" w:cs="Arial"/>
                <w:b/>
                <w:bCs/>
                <w:color w:val="FFFFFF"/>
                <w:sz w:val="20"/>
                <w:szCs w:val="20"/>
              </w:rPr>
              <w:t>Expenditure</w:t>
            </w:r>
          </w:p>
        </w:tc>
        <w:tc>
          <w:tcPr>
            <w:tcW w:w="1134" w:type="dxa"/>
            <w:tcBorders>
              <w:top w:val="nil"/>
              <w:left w:val="nil"/>
              <w:bottom w:val="nil"/>
              <w:right w:val="single" w:sz="8" w:space="0" w:color="55ACD3"/>
            </w:tcBorders>
            <w:shd w:val="clear" w:color="000000" w:fill="95B3D7"/>
            <w:vAlign w:val="center"/>
          </w:tcPr>
          <w:p w:rsidR="007035A7" w:rsidRPr="005C5248" w:rsidRDefault="007035A7" w:rsidP="005C5248">
            <w:pPr>
              <w:rPr>
                <w:rFonts w:ascii="Arial" w:hAnsi="Arial" w:cs="Arial"/>
                <w:b/>
                <w:bCs/>
                <w:color w:val="FFFFFF"/>
                <w:sz w:val="20"/>
                <w:szCs w:val="20"/>
              </w:rPr>
            </w:pPr>
          </w:p>
        </w:tc>
        <w:tc>
          <w:tcPr>
            <w:tcW w:w="1134" w:type="dxa"/>
            <w:tcBorders>
              <w:top w:val="nil"/>
              <w:left w:val="nil"/>
              <w:bottom w:val="nil"/>
              <w:right w:val="single" w:sz="8" w:space="0" w:color="55ACD3"/>
            </w:tcBorders>
            <w:shd w:val="clear" w:color="000000" w:fill="95B3D7"/>
            <w:vAlign w:val="center"/>
          </w:tcPr>
          <w:p w:rsidR="007035A7" w:rsidRPr="005C5248" w:rsidRDefault="007035A7" w:rsidP="005C5248">
            <w:pPr>
              <w:rPr>
                <w:rFonts w:ascii="Arial" w:hAnsi="Arial" w:cs="Arial"/>
                <w:b/>
                <w:bCs/>
                <w:color w:val="FFFFFF"/>
                <w:sz w:val="20"/>
                <w:szCs w:val="20"/>
              </w:rPr>
            </w:pPr>
          </w:p>
        </w:tc>
        <w:tc>
          <w:tcPr>
            <w:tcW w:w="992" w:type="dxa"/>
            <w:tcBorders>
              <w:top w:val="nil"/>
              <w:left w:val="nil"/>
              <w:bottom w:val="nil"/>
              <w:right w:val="single" w:sz="8" w:space="0" w:color="55ACD3"/>
            </w:tcBorders>
            <w:shd w:val="clear" w:color="000000" w:fill="95B3D7"/>
            <w:vAlign w:val="center"/>
          </w:tcPr>
          <w:p w:rsidR="007035A7" w:rsidRPr="005C5248" w:rsidRDefault="007035A7" w:rsidP="005C5248">
            <w:pPr>
              <w:rPr>
                <w:rFonts w:ascii="Arial" w:hAnsi="Arial" w:cs="Arial"/>
                <w:b/>
                <w:bCs/>
                <w:color w:val="FFFFFF"/>
                <w:sz w:val="20"/>
                <w:szCs w:val="20"/>
              </w:rPr>
            </w:pPr>
          </w:p>
        </w:tc>
        <w:tc>
          <w:tcPr>
            <w:tcW w:w="1134" w:type="dxa"/>
            <w:tcBorders>
              <w:top w:val="nil"/>
              <w:left w:val="nil"/>
              <w:bottom w:val="nil"/>
              <w:right w:val="nil"/>
            </w:tcBorders>
            <w:shd w:val="clear" w:color="000000" w:fill="95B3D7"/>
            <w:vAlign w:val="center"/>
          </w:tcPr>
          <w:p w:rsidR="007035A7" w:rsidRPr="005C5248" w:rsidRDefault="007035A7" w:rsidP="005C5248">
            <w:pPr>
              <w:rPr>
                <w:rFonts w:ascii="Arial" w:hAnsi="Arial" w:cs="Arial"/>
                <w:b/>
                <w:bCs/>
                <w:color w:val="FFFFFF"/>
                <w:sz w:val="20"/>
                <w:szCs w:val="20"/>
              </w:rPr>
            </w:pPr>
          </w:p>
        </w:tc>
        <w:tc>
          <w:tcPr>
            <w:tcW w:w="1276" w:type="dxa"/>
            <w:tcBorders>
              <w:top w:val="nil"/>
              <w:left w:val="nil"/>
              <w:bottom w:val="nil"/>
              <w:right w:val="nil"/>
            </w:tcBorders>
            <w:shd w:val="clear" w:color="000000" w:fill="95B3D7"/>
            <w:vAlign w:val="center"/>
          </w:tcPr>
          <w:p w:rsidR="007035A7" w:rsidRPr="005C5248" w:rsidRDefault="007035A7" w:rsidP="005C5248">
            <w:pPr>
              <w:rPr>
                <w:rFonts w:ascii="Arial" w:hAnsi="Arial" w:cs="Arial"/>
                <w:b/>
                <w:bCs/>
                <w:color w:val="FFFFFF"/>
                <w:sz w:val="20"/>
                <w:szCs w:val="20"/>
              </w:rPr>
            </w:pP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 xml:space="preserve">HRA Approval </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2,823</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2,320</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2,327</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7</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0.2</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Research ethics service</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3,722</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3,129</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3,117</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-12</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-0.4</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Research systems</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1,365</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1,106</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1,098</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-9</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-0.8</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Confidentiality Advisory Service</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280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222</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195</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-28</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-12.4</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000000" w:fill="365F91"/>
            <w:vAlign w:val="bottom"/>
            <w:hideMark/>
          </w:tcPr>
          <w:p w:rsidR="007035A7" w:rsidRPr="005C5248" w:rsidRDefault="007035A7" w:rsidP="005C5248">
            <w:pPr>
              <w:rPr>
                <w:rFonts w:ascii="Arial" w:hAnsi="Arial" w:cs="Arial"/>
                <w:color w:val="FFFFFF"/>
                <w:sz w:val="18"/>
                <w:szCs w:val="18"/>
              </w:rPr>
            </w:pPr>
            <w:r w:rsidRPr="005C5248">
              <w:rPr>
                <w:rFonts w:ascii="Arial" w:hAnsi="Arial" w:cs="Arial"/>
                <w:color w:val="FFFFFF"/>
                <w:sz w:val="18"/>
                <w:szCs w:val="18"/>
              </w:rPr>
              <w:t>Total Services Expenditure</w:t>
            </w:r>
          </w:p>
        </w:tc>
        <w:tc>
          <w:tcPr>
            <w:tcW w:w="1134" w:type="dxa"/>
            <w:tcBorders>
              <w:top w:val="nil"/>
              <w:left w:val="nil"/>
              <w:bottom w:val="nil"/>
              <w:right w:val="nil"/>
            </w:tcBorders>
            <w:shd w:val="clear" w:color="000000" w:fill="365F91"/>
            <w:noWrap/>
            <w:vAlign w:val="bottom"/>
            <w:hideMark/>
          </w:tcPr>
          <w:p w:rsidR="007035A7" w:rsidRPr="005C5248" w:rsidRDefault="007035A7" w:rsidP="005C5248">
            <w:pPr>
              <w:jc w:val="right"/>
              <w:rPr>
                <w:rFonts w:ascii="Calibri" w:hAnsi="Calibri"/>
                <w:color w:val="FFFFFF"/>
                <w:sz w:val="22"/>
                <w:szCs w:val="22"/>
              </w:rPr>
            </w:pPr>
            <w:r w:rsidRPr="005C5248">
              <w:rPr>
                <w:rFonts w:ascii="Calibri" w:hAnsi="Calibri"/>
                <w:color w:val="FFFFFF"/>
                <w:sz w:val="22"/>
                <w:szCs w:val="22"/>
              </w:rPr>
              <w:t>8,191</w:t>
            </w:r>
          </w:p>
        </w:tc>
        <w:tc>
          <w:tcPr>
            <w:tcW w:w="1134" w:type="dxa"/>
            <w:tcBorders>
              <w:top w:val="nil"/>
              <w:left w:val="nil"/>
              <w:bottom w:val="nil"/>
              <w:right w:val="nil"/>
            </w:tcBorders>
            <w:shd w:val="clear" w:color="000000" w:fill="365F91"/>
            <w:noWrap/>
            <w:vAlign w:val="bottom"/>
            <w:hideMark/>
          </w:tcPr>
          <w:p w:rsidR="007035A7" w:rsidRPr="005C5248" w:rsidRDefault="007035A7" w:rsidP="005C5248">
            <w:pPr>
              <w:jc w:val="right"/>
              <w:rPr>
                <w:rFonts w:ascii="Calibri" w:hAnsi="Calibri"/>
                <w:color w:val="FFFFFF"/>
                <w:sz w:val="22"/>
                <w:szCs w:val="22"/>
              </w:rPr>
            </w:pPr>
            <w:r w:rsidRPr="005C5248">
              <w:rPr>
                <w:rFonts w:ascii="Calibri" w:hAnsi="Calibri"/>
                <w:color w:val="FFFFFF"/>
                <w:sz w:val="22"/>
                <w:szCs w:val="22"/>
              </w:rPr>
              <w:t>6,778</w:t>
            </w:r>
          </w:p>
        </w:tc>
        <w:tc>
          <w:tcPr>
            <w:tcW w:w="992" w:type="dxa"/>
            <w:tcBorders>
              <w:top w:val="nil"/>
              <w:left w:val="nil"/>
              <w:bottom w:val="nil"/>
              <w:right w:val="nil"/>
            </w:tcBorders>
            <w:shd w:val="clear" w:color="000000" w:fill="365F91"/>
            <w:noWrap/>
            <w:vAlign w:val="bottom"/>
            <w:hideMark/>
          </w:tcPr>
          <w:p w:rsidR="007035A7" w:rsidRPr="005C5248" w:rsidRDefault="007035A7" w:rsidP="005C5248">
            <w:pPr>
              <w:jc w:val="right"/>
              <w:rPr>
                <w:rFonts w:ascii="Calibri" w:hAnsi="Calibri"/>
                <w:color w:val="FFFFFF"/>
                <w:sz w:val="22"/>
                <w:szCs w:val="22"/>
              </w:rPr>
            </w:pPr>
            <w:r w:rsidRPr="005C5248">
              <w:rPr>
                <w:rFonts w:ascii="Calibri" w:hAnsi="Calibri"/>
                <w:color w:val="FFFFFF"/>
                <w:sz w:val="22"/>
                <w:szCs w:val="22"/>
              </w:rPr>
              <w:t>6,736</w:t>
            </w:r>
          </w:p>
        </w:tc>
        <w:tc>
          <w:tcPr>
            <w:tcW w:w="1134" w:type="dxa"/>
            <w:tcBorders>
              <w:top w:val="nil"/>
              <w:left w:val="nil"/>
              <w:bottom w:val="nil"/>
              <w:right w:val="nil"/>
            </w:tcBorders>
            <w:shd w:val="clear" w:color="000000" w:fill="365F91"/>
            <w:noWrap/>
            <w:vAlign w:val="bottom"/>
            <w:hideMark/>
          </w:tcPr>
          <w:p w:rsidR="007035A7" w:rsidRPr="005C5248" w:rsidRDefault="007035A7" w:rsidP="005C5248">
            <w:pPr>
              <w:jc w:val="right"/>
              <w:rPr>
                <w:rFonts w:ascii="Calibri" w:hAnsi="Calibri"/>
                <w:color w:val="FFFFFF"/>
                <w:sz w:val="22"/>
                <w:szCs w:val="22"/>
              </w:rPr>
            </w:pPr>
            <w:r w:rsidRPr="005C5248">
              <w:rPr>
                <w:rFonts w:ascii="Calibri" w:hAnsi="Calibri"/>
                <w:color w:val="FFFFFF"/>
                <w:sz w:val="22"/>
                <w:szCs w:val="22"/>
              </w:rPr>
              <w:t>-42</w:t>
            </w:r>
          </w:p>
        </w:tc>
        <w:tc>
          <w:tcPr>
            <w:tcW w:w="1276" w:type="dxa"/>
            <w:tcBorders>
              <w:top w:val="nil"/>
              <w:left w:val="nil"/>
              <w:bottom w:val="nil"/>
              <w:right w:val="nil"/>
            </w:tcBorders>
            <w:shd w:val="clear" w:color="000000" w:fill="365F91"/>
            <w:noWrap/>
            <w:vAlign w:val="bottom"/>
            <w:hideMark/>
          </w:tcPr>
          <w:p w:rsidR="007035A7" w:rsidRPr="005C5248" w:rsidRDefault="00C62F88" w:rsidP="005C5248">
            <w:pPr>
              <w:jc w:val="right"/>
              <w:rPr>
                <w:rFonts w:ascii="Calibri" w:hAnsi="Calibri"/>
                <w:color w:val="FFFFFF"/>
                <w:sz w:val="22"/>
                <w:szCs w:val="22"/>
              </w:rPr>
            </w:pPr>
            <w:r>
              <w:rPr>
                <w:rFonts w:ascii="Calibri" w:hAnsi="Calibri"/>
                <w:color w:val="FFFFFF"/>
                <w:sz w:val="22"/>
                <w:szCs w:val="22"/>
              </w:rPr>
              <w:t>-0.6</w:t>
            </w:r>
            <w:r w:rsidR="007035A7" w:rsidRPr="005C5248">
              <w:rPr>
                <w:rFonts w:ascii="Calibri" w:hAnsi="Calibri"/>
                <w:color w:val="FFFFFF"/>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 xml:space="preserve">Chief Exec </w:t>
            </w:r>
            <w:proofErr w:type="spellStart"/>
            <w:r w:rsidRPr="005C5248">
              <w:rPr>
                <w:rFonts w:ascii="Arial" w:hAnsi="Arial" w:cs="Arial"/>
                <w:color w:val="000000"/>
                <w:sz w:val="18"/>
                <w:szCs w:val="18"/>
              </w:rPr>
              <w:t>inc.</w:t>
            </w:r>
            <w:proofErr w:type="spellEnd"/>
            <w:r w:rsidRPr="005C5248">
              <w:rPr>
                <w:rFonts w:ascii="Arial" w:hAnsi="Arial" w:cs="Arial"/>
                <w:color w:val="000000"/>
                <w:sz w:val="18"/>
                <w:szCs w:val="18"/>
              </w:rPr>
              <w:t xml:space="preserve"> Governance.</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842</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685</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672</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-12</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-1.8</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Policy</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295</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231</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230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-0.3</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Training</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419</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324</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322</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-0.5</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single" w:sz="8" w:space="0" w:color="FFFFFF"/>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Corporate Services</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1,062</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866</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875</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8</w:t>
            </w:r>
          </w:p>
        </w:tc>
        <w:tc>
          <w:tcPr>
            <w:tcW w:w="1276" w:type="dxa"/>
            <w:tcBorders>
              <w:top w:val="nil"/>
              <w:left w:val="nil"/>
              <w:bottom w:val="nil"/>
              <w:right w:val="nil"/>
            </w:tcBorders>
            <w:shd w:val="clear" w:color="auto" w:fill="auto"/>
            <w:noWrap/>
            <w:vAlign w:val="bottom"/>
            <w:hideMark/>
          </w:tcPr>
          <w:p w:rsidR="007035A7" w:rsidRPr="005C5248" w:rsidRDefault="00C62F88" w:rsidP="00C62F88">
            <w:pPr>
              <w:jc w:val="right"/>
              <w:rPr>
                <w:rFonts w:ascii="Calibri" w:hAnsi="Calibri"/>
                <w:color w:val="000000"/>
                <w:sz w:val="22"/>
                <w:szCs w:val="22"/>
              </w:rPr>
            </w:pPr>
            <w:r>
              <w:rPr>
                <w:rFonts w:ascii="Calibri" w:hAnsi="Calibri"/>
                <w:color w:val="000000"/>
                <w:sz w:val="22"/>
                <w:szCs w:val="22"/>
              </w:rPr>
              <w:t>1.</w:t>
            </w:r>
            <w:r w:rsidR="007035A7" w:rsidRPr="005C5248">
              <w:rPr>
                <w:rFonts w:ascii="Calibri" w:hAnsi="Calibri"/>
                <w:color w:val="000000"/>
                <w:sz w:val="22"/>
                <w:szCs w:val="22"/>
              </w:rPr>
              <w:t>0%</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 xml:space="preserve">Finance, Procurement &amp; Estates </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1,636</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1,144</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1,132</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-13</w:t>
            </w:r>
          </w:p>
        </w:tc>
        <w:tc>
          <w:tcPr>
            <w:tcW w:w="1276" w:type="dxa"/>
            <w:tcBorders>
              <w:top w:val="nil"/>
              <w:left w:val="nil"/>
              <w:bottom w:val="nil"/>
              <w:right w:val="nil"/>
            </w:tcBorders>
            <w:shd w:val="clear" w:color="auto" w:fill="auto"/>
            <w:noWrap/>
            <w:vAlign w:val="bottom"/>
            <w:hideMark/>
          </w:tcPr>
          <w:p w:rsidR="007035A7" w:rsidRPr="005C5248" w:rsidRDefault="007035A7" w:rsidP="00C62F88">
            <w:pPr>
              <w:jc w:val="right"/>
              <w:rPr>
                <w:rFonts w:ascii="Calibri" w:hAnsi="Calibri"/>
                <w:color w:val="000000"/>
                <w:sz w:val="22"/>
                <w:szCs w:val="22"/>
              </w:rPr>
            </w:pPr>
            <w:r w:rsidRPr="005C5248">
              <w:rPr>
                <w:rFonts w:ascii="Calibri" w:hAnsi="Calibri"/>
                <w:color w:val="000000"/>
                <w:sz w:val="22"/>
                <w:szCs w:val="22"/>
              </w:rPr>
              <w:t>-1.1%</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Reserves</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228</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0</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0</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0.0</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auto" w:fill="auto"/>
            <w:vAlign w:val="bottom"/>
            <w:hideMark/>
          </w:tcPr>
          <w:p w:rsidR="007035A7" w:rsidRPr="005C5248" w:rsidRDefault="007035A7" w:rsidP="005C5248">
            <w:pPr>
              <w:rPr>
                <w:rFonts w:ascii="Arial" w:hAnsi="Arial" w:cs="Arial"/>
                <w:color w:val="000000"/>
                <w:sz w:val="18"/>
                <w:szCs w:val="18"/>
              </w:rPr>
            </w:pPr>
            <w:r w:rsidRPr="005C5248">
              <w:rPr>
                <w:rFonts w:ascii="Arial" w:hAnsi="Arial" w:cs="Arial"/>
                <w:color w:val="000000"/>
                <w:sz w:val="18"/>
                <w:szCs w:val="18"/>
              </w:rPr>
              <w:t>Depreciation</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570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400</w:t>
            </w:r>
          </w:p>
        </w:tc>
        <w:tc>
          <w:tcPr>
            <w:tcW w:w="992"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400</w:t>
            </w:r>
          </w:p>
        </w:tc>
        <w:tc>
          <w:tcPr>
            <w:tcW w:w="1134" w:type="dxa"/>
            <w:tcBorders>
              <w:top w:val="nil"/>
              <w:left w:val="nil"/>
              <w:bottom w:val="nil"/>
              <w:right w:val="nil"/>
            </w:tcBorders>
            <w:shd w:val="clear" w:color="auto" w:fill="auto"/>
            <w:noWrap/>
            <w:vAlign w:val="bottom"/>
            <w:hideMark/>
          </w:tcPr>
          <w:p w:rsidR="007035A7" w:rsidRPr="005C5248" w:rsidRDefault="007035A7" w:rsidP="005C5248">
            <w:pPr>
              <w:jc w:val="right"/>
              <w:rPr>
                <w:rFonts w:ascii="Calibri" w:hAnsi="Calibri"/>
                <w:color w:val="000000"/>
                <w:sz w:val="22"/>
                <w:szCs w:val="22"/>
              </w:rPr>
            </w:pPr>
            <w:r w:rsidRPr="005C5248">
              <w:rPr>
                <w:rFonts w:ascii="Calibri" w:hAnsi="Calibri"/>
                <w:color w:val="000000"/>
                <w:sz w:val="22"/>
                <w:szCs w:val="22"/>
              </w:rPr>
              <w:t>0</w:t>
            </w:r>
          </w:p>
        </w:tc>
        <w:tc>
          <w:tcPr>
            <w:tcW w:w="1276" w:type="dxa"/>
            <w:tcBorders>
              <w:top w:val="nil"/>
              <w:left w:val="nil"/>
              <w:bottom w:val="nil"/>
              <w:right w:val="nil"/>
            </w:tcBorders>
            <w:shd w:val="clear" w:color="auto" w:fill="auto"/>
            <w:noWrap/>
            <w:vAlign w:val="bottom"/>
            <w:hideMark/>
          </w:tcPr>
          <w:p w:rsidR="007035A7" w:rsidRPr="005C5248" w:rsidRDefault="00C62F88" w:rsidP="005C5248">
            <w:pPr>
              <w:jc w:val="right"/>
              <w:rPr>
                <w:rFonts w:ascii="Calibri" w:hAnsi="Calibri"/>
                <w:color w:val="000000"/>
                <w:sz w:val="22"/>
                <w:szCs w:val="22"/>
              </w:rPr>
            </w:pPr>
            <w:r>
              <w:rPr>
                <w:rFonts w:ascii="Calibri" w:hAnsi="Calibri"/>
                <w:color w:val="000000"/>
                <w:sz w:val="22"/>
                <w:szCs w:val="22"/>
              </w:rPr>
              <w:t>0.0</w:t>
            </w:r>
            <w:r w:rsidR="007035A7" w:rsidRPr="005C5248">
              <w:rPr>
                <w:rFonts w:ascii="Calibri" w:hAnsi="Calibri"/>
                <w:color w:val="000000"/>
                <w:sz w:val="22"/>
                <w:szCs w:val="22"/>
              </w:rPr>
              <w:t>%</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000000" w:fill="365F91"/>
            <w:vAlign w:val="bottom"/>
            <w:hideMark/>
          </w:tcPr>
          <w:p w:rsidR="007035A7" w:rsidRPr="005C5248" w:rsidRDefault="007035A7" w:rsidP="005C5248">
            <w:pPr>
              <w:rPr>
                <w:rFonts w:ascii="Arial" w:hAnsi="Arial" w:cs="Arial"/>
                <w:b/>
                <w:bCs/>
                <w:color w:val="FFFFFF"/>
                <w:sz w:val="18"/>
                <w:szCs w:val="18"/>
              </w:rPr>
            </w:pPr>
            <w:r w:rsidRPr="005C5248">
              <w:rPr>
                <w:rFonts w:ascii="Arial" w:hAnsi="Arial" w:cs="Arial"/>
                <w:b/>
                <w:bCs/>
                <w:color w:val="FFFFFF"/>
                <w:sz w:val="18"/>
                <w:szCs w:val="18"/>
              </w:rPr>
              <w:t xml:space="preserve"> Total Expenditure</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13,244</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10,428</w:t>
            </w:r>
          </w:p>
        </w:tc>
        <w:tc>
          <w:tcPr>
            <w:tcW w:w="992"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10,367</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-61</w:t>
            </w:r>
          </w:p>
        </w:tc>
        <w:tc>
          <w:tcPr>
            <w:tcW w:w="1276" w:type="dxa"/>
            <w:tcBorders>
              <w:top w:val="nil"/>
              <w:left w:val="nil"/>
              <w:bottom w:val="nil"/>
              <w:right w:val="single" w:sz="8" w:space="0" w:color="FFFFFF"/>
            </w:tcBorders>
            <w:shd w:val="clear" w:color="000000" w:fill="365F91"/>
            <w:vAlign w:val="bottom"/>
            <w:hideMark/>
          </w:tcPr>
          <w:p w:rsidR="007035A7" w:rsidRPr="005C5248" w:rsidRDefault="00C62F88" w:rsidP="005C5248">
            <w:pPr>
              <w:jc w:val="right"/>
              <w:rPr>
                <w:rFonts w:ascii="Arial" w:hAnsi="Arial" w:cs="Arial"/>
                <w:b/>
                <w:bCs/>
                <w:color w:val="FFFFFF"/>
                <w:sz w:val="18"/>
                <w:szCs w:val="18"/>
              </w:rPr>
            </w:pPr>
            <w:r>
              <w:rPr>
                <w:rFonts w:ascii="Arial" w:hAnsi="Arial" w:cs="Arial"/>
                <w:b/>
                <w:bCs/>
                <w:color w:val="FFFFFF"/>
                <w:sz w:val="18"/>
                <w:szCs w:val="18"/>
              </w:rPr>
              <w:t>-0.6</w:t>
            </w:r>
            <w:r w:rsidR="007035A7" w:rsidRPr="005C5248">
              <w:rPr>
                <w:rFonts w:ascii="Arial" w:hAnsi="Arial" w:cs="Arial"/>
                <w:b/>
                <w:bCs/>
                <w:color w:val="FFFFFF"/>
                <w:sz w:val="18"/>
                <w:szCs w:val="18"/>
              </w:rPr>
              <w:t>%</w:t>
            </w:r>
          </w:p>
        </w:tc>
      </w:tr>
      <w:tr w:rsidR="007035A7" w:rsidRPr="005C5248" w:rsidTr="007035A7">
        <w:trPr>
          <w:trHeight w:val="300"/>
        </w:trPr>
        <w:tc>
          <w:tcPr>
            <w:tcW w:w="4268" w:type="dxa"/>
            <w:tcBorders>
              <w:top w:val="nil"/>
              <w:left w:val="single" w:sz="8" w:space="0" w:color="FFFFFF"/>
              <w:bottom w:val="nil"/>
              <w:right w:val="single" w:sz="8" w:space="0" w:color="FFFFFF"/>
            </w:tcBorders>
            <w:shd w:val="clear" w:color="000000" w:fill="365F91"/>
            <w:vAlign w:val="bottom"/>
            <w:hideMark/>
          </w:tcPr>
          <w:p w:rsidR="007035A7" w:rsidRPr="005C5248" w:rsidRDefault="007035A7" w:rsidP="005C5248">
            <w:pPr>
              <w:rPr>
                <w:rFonts w:ascii="Arial" w:hAnsi="Arial" w:cs="Arial"/>
                <w:b/>
                <w:bCs/>
                <w:color w:val="FFFFFF"/>
                <w:sz w:val="18"/>
                <w:szCs w:val="18"/>
              </w:rPr>
            </w:pPr>
            <w:r w:rsidRPr="005C5248">
              <w:rPr>
                <w:rFonts w:ascii="Arial" w:hAnsi="Arial" w:cs="Arial"/>
                <w:b/>
                <w:bCs/>
                <w:color w:val="FFFFFF"/>
                <w:sz w:val="18"/>
                <w:szCs w:val="18"/>
              </w:rPr>
              <w:t>Surplus /Deficit</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0</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-0</w:t>
            </w:r>
          </w:p>
        </w:tc>
        <w:tc>
          <w:tcPr>
            <w:tcW w:w="992"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-0</w:t>
            </w:r>
          </w:p>
        </w:tc>
        <w:tc>
          <w:tcPr>
            <w:tcW w:w="1134"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-0</w:t>
            </w:r>
          </w:p>
        </w:tc>
        <w:tc>
          <w:tcPr>
            <w:tcW w:w="1276" w:type="dxa"/>
            <w:tcBorders>
              <w:top w:val="nil"/>
              <w:left w:val="nil"/>
              <w:bottom w:val="nil"/>
              <w:right w:val="single" w:sz="8" w:space="0" w:color="FFFFFF"/>
            </w:tcBorders>
            <w:shd w:val="clear" w:color="000000" w:fill="365F91"/>
            <w:vAlign w:val="bottom"/>
            <w:hideMark/>
          </w:tcPr>
          <w:p w:rsidR="007035A7" w:rsidRPr="005C5248" w:rsidRDefault="007035A7" w:rsidP="005C5248">
            <w:pPr>
              <w:jc w:val="right"/>
              <w:rPr>
                <w:rFonts w:ascii="Arial" w:hAnsi="Arial" w:cs="Arial"/>
                <w:b/>
                <w:bCs/>
                <w:color w:val="FFFFFF"/>
                <w:sz w:val="18"/>
                <w:szCs w:val="18"/>
              </w:rPr>
            </w:pPr>
            <w:r w:rsidRPr="005C5248">
              <w:rPr>
                <w:rFonts w:ascii="Arial" w:hAnsi="Arial" w:cs="Arial"/>
                <w:b/>
                <w:bCs/>
                <w:color w:val="FFFFFF"/>
                <w:sz w:val="18"/>
                <w:szCs w:val="18"/>
              </w:rPr>
              <w:t> </w:t>
            </w:r>
          </w:p>
        </w:tc>
      </w:tr>
    </w:tbl>
    <w:p w:rsidR="00A77BEE" w:rsidRDefault="00A77BEE" w:rsidP="007C5117">
      <w:pPr>
        <w:spacing w:after="200" w:line="276" w:lineRule="auto"/>
        <w:rPr>
          <w:rFonts w:ascii="Arial" w:hAnsi="Arial" w:cs="Arial"/>
          <w:b/>
          <w:sz w:val="22"/>
          <w:szCs w:val="22"/>
        </w:rPr>
      </w:pPr>
    </w:p>
    <w:p w:rsidR="00A77BEE" w:rsidRDefault="00A77BEE">
      <w:pPr>
        <w:spacing w:after="200" w:line="276" w:lineRule="auto"/>
        <w:rPr>
          <w:rFonts w:ascii="Arial" w:hAnsi="Arial" w:cs="Arial"/>
          <w:b/>
          <w:sz w:val="22"/>
          <w:szCs w:val="22"/>
        </w:rPr>
      </w:pPr>
      <w:r>
        <w:rPr>
          <w:rFonts w:ascii="Arial" w:hAnsi="Arial" w:cs="Arial"/>
          <w:b/>
          <w:sz w:val="22"/>
          <w:szCs w:val="22"/>
        </w:rPr>
        <w:br w:type="page"/>
      </w:r>
    </w:p>
    <w:p w:rsidR="00561998" w:rsidRDefault="00561998" w:rsidP="007C5117">
      <w:pPr>
        <w:spacing w:after="200" w:line="276" w:lineRule="auto"/>
        <w:rPr>
          <w:rFonts w:ascii="Arial" w:hAnsi="Arial" w:cs="Arial"/>
          <w:b/>
          <w:sz w:val="22"/>
          <w:szCs w:val="22"/>
        </w:rPr>
      </w:pPr>
    </w:p>
    <w:p w:rsidR="001B0417" w:rsidRDefault="00E87F9E" w:rsidP="007C5117">
      <w:pPr>
        <w:spacing w:after="200" w:line="276" w:lineRule="auto"/>
        <w:rPr>
          <w:rFonts w:ascii="Arial" w:hAnsi="Arial" w:cs="Arial"/>
          <w:b/>
          <w:sz w:val="22"/>
          <w:szCs w:val="22"/>
        </w:rPr>
      </w:pPr>
      <w:r>
        <w:rPr>
          <w:rFonts w:ascii="Arial" w:hAnsi="Arial" w:cs="Arial"/>
          <w:b/>
          <w:sz w:val="22"/>
          <w:szCs w:val="22"/>
        </w:rPr>
        <w:t>H</w:t>
      </w:r>
      <w:r w:rsidR="00F5159E">
        <w:rPr>
          <w:rFonts w:ascii="Arial" w:hAnsi="Arial" w:cs="Arial"/>
          <w:b/>
          <w:sz w:val="22"/>
          <w:szCs w:val="22"/>
        </w:rPr>
        <w:t>ighlight</w:t>
      </w:r>
      <w:r>
        <w:rPr>
          <w:rFonts w:ascii="Arial" w:hAnsi="Arial" w:cs="Arial"/>
          <w:b/>
          <w:sz w:val="22"/>
          <w:szCs w:val="22"/>
        </w:rPr>
        <w:t xml:space="preserve"> report</w:t>
      </w:r>
      <w:r w:rsidR="001B0417">
        <w:rPr>
          <w:rFonts w:ascii="Arial" w:hAnsi="Arial" w:cs="Arial"/>
          <w:b/>
          <w:sz w:val="22"/>
          <w:szCs w:val="22"/>
        </w:rPr>
        <w:t>:</w:t>
      </w:r>
    </w:p>
    <w:p w:rsidR="003A2BEF" w:rsidRDefault="004B1E14" w:rsidP="007C5117">
      <w:pPr>
        <w:spacing w:after="200" w:line="276" w:lineRule="auto"/>
        <w:rPr>
          <w:rFonts w:ascii="Arial" w:hAnsi="Arial" w:cs="Arial"/>
          <w:sz w:val="22"/>
          <w:szCs w:val="22"/>
        </w:rPr>
      </w:pPr>
      <w:r>
        <w:rPr>
          <w:rFonts w:ascii="Arial" w:hAnsi="Arial" w:cs="Arial"/>
          <w:sz w:val="22"/>
          <w:szCs w:val="22"/>
        </w:rPr>
        <w:t>Ye</w:t>
      </w:r>
      <w:r w:rsidR="006D1A57">
        <w:rPr>
          <w:rFonts w:ascii="Arial" w:hAnsi="Arial" w:cs="Arial"/>
          <w:sz w:val="22"/>
          <w:szCs w:val="22"/>
        </w:rPr>
        <w:t>ar to date figures</w:t>
      </w:r>
      <w:r>
        <w:rPr>
          <w:rFonts w:ascii="Arial" w:hAnsi="Arial" w:cs="Arial"/>
          <w:sz w:val="22"/>
          <w:szCs w:val="22"/>
        </w:rPr>
        <w:t xml:space="preserve"> remain within 1% of budget</w:t>
      </w:r>
      <w:r w:rsidR="00C10CE0">
        <w:rPr>
          <w:rFonts w:ascii="Arial" w:hAnsi="Arial" w:cs="Arial"/>
          <w:sz w:val="22"/>
          <w:szCs w:val="22"/>
        </w:rPr>
        <w:t>. F</w:t>
      </w:r>
      <w:r w:rsidR="00B24393">
        <w:rPr>
          <w:rFonts w:ascii="Arial" w:hAnsi="Arial" w:cs="Arial"/>
          <w:sz w:val="22"/>
          <w:szCs w:val="22"/>
        </w:rPr>
        <w:t>orecast figures</w:t>
      </w:r>
      <w:r w:rsidR="00C10CE0">
        <w:rPr>
          <w:rFonts w:ascii="Arial" w:hAnsi="Arial" w:cs="Arial"/>
          <w:sz w:val="22"/>
          <w:szCs w:val="22"/>
        </w:rPr>
        <w:t xml:space="preserve"> continue to</w:t>
      </w:r>
      <w:r w:rsidR="004A1C15">
        <w:rPr>
          <w:rFonts w:ascii="Arial" w:hAnsi="Arial" w:cs="Arial"/>
          <w:sz w:val="22"/>
          <w:szCs w:val="22"/>
        </w:rPr>
        <w:t xml:space="preserve"> track closely </w:t>
      </w:r>
      <w:r w:rsidR="00C8628F">
        <w:rPr>
          <w:rFonts w:ascii="Arial" w:hAnsi="Arial" w:cs="Arial"/>
          <w:sz w:val="22"/>
          <w:szCs w:val="22"/>
        </w:rPr>
        <w:t xml:space="preserve">behind budget. </w:t>
      </w:r>
      <w:r w:rsidR="00F61F42">
        <w:rPr>
          <w:rFonts w:ascii="Arial" w:hAnsi="Arial" w:cs="Arial"/>
          <w:sz w:val="22"/>
          <w:szCs w:val="22"/>
        </w:rPr>
        <w:t>N</w:t>
      </w:r>
      <w:r w:rsidR="000B7E86">
        <w:rPr>
          <w:rFonts w:ascii="Arial" w:hAnsi="Arial" w:cs="Arial"/>
          <w:sz w:val="22"/>
          <w:szCs w:val="22"/>
        </w:rPr>
        <w:t>o significant chang</w:t>
      </w:r>
      <w:r w:rsidR="00B24393">
        <w:rPr>
          <w:rFonts w:ascii="Arial" w:hAnsi="Arial" w:cs="Arial"/>
          <w:sz w:val="22"/>
          <w:szCs w:val="22"/>
        </w:rPr>
        <w:t>es to note on previous reports with individual directorates remaining within financial KPI of 3%.</w:t>
      </w:r>
    </w:p>
    <w:p w:rsidR="00C10CE0" w:rsidRDefault="00C10CE0" w:rsidP="007C5117">
      <w:pPr>
        <w:spacing w:after="200" w:line="276" w:lineRule="auto"/>
        <w:rPr>
          <w:rFonts w:ascii="Arial" w:hAnsi="Arial" w:cs="Arial"/>
          <w:b/>
          <w:sz w:val="22"/>
          <w:szCs w:val="22"/>
        </w:rPr>
      </w:pPr>
      <w:r>
        <w:rPr>
          <w:rFonts w:ascii="Arial" w:hAnsi="Arial" w:cs="Arial"/>
          <w:b/>
          <w:sz w:val="22"/>
          <w:szCs w:val="22"/>
        </w:rPr>
        <w:t>Significant variances:</w:t>
      </w:r>
    </w:p>
    <w:p w:rsidR="00C10CE0" w:rsidRPr="00FB55BF" w:rsidRDefault="00C10CE0" w:rsidP="007C5117">
      <w:pPr>
        <w:spacing w:after="200" w:line="276" w:lineRule="auto"/>
        <w:rPr>
          <w:rFonts w:ascii="Arial" w:hAnsi="Arial" w:cs="Arial"/>
          <w:sz w:val="22"/>
          <w:szCs w:val="22"/>
        </w:rPr>
      </w:pPr>
      <w:r>
        <w:rPr>
          <w:rFonts w:ascii="Arial" w:hAnsi="Arial" w:cs="Arial"/>
          <w:b/>
          <w:sz w:val="22"/>
          <w:szCs w:val="22"/>
        </w:rPr>
        <w:t>Confidentiality Advisory Group</w:t>
      </w:r>
      <w:r w:rsidR="00FB55BF">
        <w:rPr>
          <w:rFonts w:ascii="Arial" w:hAnsi="Arial" w:cs="Arial"/>
          <w:b/>
          <w:sz w:val="22"/>
          <w:szCs w:val="22"/>
        </w:rPr>
        <w:t xml:space="preserve">: </w:t>
      </w:r>
      <w:r w:rsidR="00FB55BF" w:rsidRPr="00FB55BF">
        <w:rPr>
          <w:rFonts w:ascii="Arial" w:hAnsi="Arial" w:cs="Arial"/>
          <w:sz w:val="22"/>
          <w:szCs w:val="22"/>
        </w:rPr>
        <w:t xml:space="preserve">Retention of team members and also application numbers have meant that </w:t>
      </w:r>
      <w:r w:rsidR="00D81266">
        <w:rPr>
          <w:rFonts w:ascii="Arial" w:hAnsi="Arial" w:cs="Arial"/>
          <w:sz w:val="22"/>
          <w:szCs w:val="22"/>
        </w:rPr>
        <w:t xml:space="preserve">actual </w:t>
      </w:r>
      <w:r w:rsidR="00FB55BF" w:rsidRPr="00FB55BF">
        <w:rPr>
          <w:rFonts w:ascii="Arial" w:hAnsi="Arial" w:cs="Arial"/>
          <w:sz w:val="22"/>
          <w:szCs w:val="22"/>
        </w:rPr>
        <w:t xml:space="preserve">costs </w:t>
      </w:r>
      <w:r w:rsidR="00D81266">
        <w:rPr>
          <w:rFonts w:ascii="Arial" w:hAnsi="Arial" w:cs="Arial"/>
          <w:sz w:val="22"/>
          <w:szCs w:val="22"/>
        </w:rPr>
        <w:t>are</w:t>
      </w:r>
      <w:r w:rsidR="00FB55BF" w:rsidRPr="00FB55BF">
        <w:rPr>
          <w:rFonts w:ascii="Arial" w:hAnsi="Arial" w:cs="Arial"/>
          <w:sz w:val="22"/>
          <w:szCs w:val="22"/>
        </w:rPr>
        <w:t xml:space="preserve"> below </w:t>
      </w:r>
      <w:r w:rsidR="00D81266">
        <w:rPr>
          <w:rFonts w:ascii="Arial" w:hAnsi="Arial" w:cs="Arial"/>
          <w:sz w:val="22"/>
          <w:szCs w:val="22"/>
        </w:rPr>
        <w:t xml:space="preserve">original </w:t>
      </w:r>
      <w:r w:rsidR="00FB55BF" w:rsidRPr="00FB55BF">
        <w:rPr>
          <w:rFonts w:ascii="Arial" w:hAnsi="Arial" w:cs="Arial"/>
          <w:sz w:val="22"/>
          <w:szCs w:val="22"/>
        </w:rPr>
        <w:t xml:space="preserve">expectations </w:t>
      </w:r>
      <w:r w:rsidR="00FB55BF">
        <w:rPr>
          <w:rFonts w:ascii="Arial" w:hAnsi="Arial" w:cs="Arial"/>
          <w:sz w:val="22"/>
          <w:szCs w:val="22"/>
        </w:rPr>
        <w:t xml:space="preserve">– </w:t>
      </w:r>
      <w:r w:rsidR="002A703A">
        <w:rPr>
          <w:rFonts w:ascii="Arial" w:hAnsi="Arial" w:cs="Arial"/>
          <w:sz w:val="22"/>
          <w:szCs w:val="22"/>
        </w:rPr>
        <w:t xml:space="preserve">particularly </w:t>
      </w:r>
      <w:r w:rsidR="00FB55BF">
        <w:rPr>
          <w:rFonts w:ascii="Arial" w:hAnsi="Arial" w:cs="Arial"/>
          <w:sz w:val="22"/>
          <w:szCs w:val="22"/>
        </w:rPr>
        <w:t xml:space="preserve">staff costs; meeting costs; travel and subsistence. </w:t>
      </w:r>
      <w:r w:rsidR="00FB55BF" w:rsidRPr="00FB55BF">
        <w:rPr>
          <w:rFonts w:ascii="Arial" w:hAnsi="Arial" w:cs="Arial"/>
          <w:sz w:val="22"/>
          <w:szCs w:val="22"/>
        </w:rPr>
        <w:t xml:space="preserve"> Additional support has been secured by </w:t>
      </w:r>
      <w:r w:rsidR="002A703A">
        <w:rPr>
          <w:rFonts w:ascii="Arial" w:hAnsi="Arial" w:cs="Arial"/>
          <w:sz w:val="22"/>
          <w:szCs w:val="22"/>
        </w:rPr>
        <w:t xml:space="preserve">an </w:t>
      </w:r>
      <w:r w:rsidR="00FB55BF" w:rsidRPr="00FB55BF">
        <w:rPr>
          <w:rFonts w:ascii="Arial" w:hAnsi="Arial" w:cs="Arial"/>
          <w:sz w:val="22"/>
          <w:szCs w:val="22"/>
        </w:rPr>
        <w:t xml:space="preserve">external </w:t>
      </w:r>
      <w:r w:rsidR="002A703A">
        <w:rPr>
          <w:rFonts w:ascii="Arial" w:hAnsi="Arial" w:cs="Arial"/>
          <w:sz w:val="22"/>
          <w:szCs w:val="22"/>
        </w:rPr>
        <w:t>provider</w:t>
      </w:r>
      <w:r w:rsidR="00FB55BF" w:rsidRPr="00FB55BF">
        <w:rPr>
          <w:rFonts w:ascii="Arial" w:hAnsi="Arial" w:cs="Arial"/>
          <w:sz w:val="22"/>
          <w:szCs w:val="22"/>
        </w:rPr>
        <w:t xml:space="preserve"> to </w:t>
      </w:r>
      <w:r w:rsidR="002A703A">
        <w:rPr>
          <w:rFonts w:ascii="Arial" w:hAnsi="Arial" w:cs="Arial"/>
          <w:sz w:val="22"/>
          <w:szCs w:val="22"/>
        </w:rPr>
        <w:t>increase</w:t>
      </w:r>
      <w:r w:rsidR="00FB55BF" w:rsidRPr="00FB55BF">
        <w:rPr>
          <w:rFonts w:ascii="Arial" w:hAnsi="Arial" w:cs="Arial"/>
          <w:sz w:val="22"/>
          <w:szCs w:val="22"/>
        </w:rPr>
        <w:t xml:space="preserve"> capacity</w:t>
      </w:r>
      <w:r w:rsidR="00FB55BF">
        <w:rPr>
          <w:rFonts w:ascii="Arial" w:hAnsi="Arial" w:cs="Arial"/>
          <w:sz w:val="22"/>
          <w:szCs w:val="22"/>
        </w:rPr>
        <w:t xml:space="preserve"> </w:t>
      </w:r>
      <w:r w:rsidR="002A703A">
        <w:rPr>
          <w:rFonts w:ascii="Arial" w:hAnsi="Arial" w:cs="Arial"/>
          <w:sz w:val="22"/>
          <w:szCs w:val="22"/>
        </w:rPr>
        <w:t xml:space="preserve">in the team to meet service requirements </w:t>
      </w:r>
      <w:r w:rsidR="00FB55BF">
        <w:rPr>
          <w:rFonts w:ascii="Arial" w:hAnsi="Arial" w:cs="Arial"/>
          <w:sz w:val="22"/>
          <w:szCs w:val="22"/>
        </w:rPr>
        <w:t>although will not reverse this trend at this stage of the year</w:t>
      </w:r>
      <w:r w:rsidR="00FB55BF" w:rsidRPr="00FB55BF">
        <w:rPr>
          <w:rFonts w:ascii="Arial" w:hAnsi="Arial" w:cs="Arial"/>
          <w:sz w:val="22"/>
          <w:szCs w:val="22"/>
        </w:rPr>
        <w:t xml:space="preserve">. </w:t>
      </w:r>
      <w:r w:rsidR="00D81266">
        <w:rPr>
          <w:rFonts w:ascii="Arial" w:hAnsi="Arial" w:cs="Arial"/>
          <w:sz w:val="22"/>
          <w:szCs w:val="22"/>
        </w:rPr>
        <w:t xml:space="preserve">Forecast underspend for the year £34k. </w:t>
      </w:r>
    </w:p>
    <w:p w:rsidR="00F5527D" w:rsidRPr="00D81266" w:rsidRDefault="00F5527D" w:rsidP="007C5117">
      <w:pPr>
        <w:spacing w:after="200" w:line="276" w:lineRule="auto"/>
        <w:rPr>
          <w:rFonts w:ascii="Arial" w:hAnsi="Arial" w:cs="Arial"/>
          <w:sz w:val="22"/>
          <w:szCs w:val="22"/>
        </w:rPr>
      </w:pPr>
      <w:r>
        <w:rPr>
          <w:rFonts w:ascii="Arial" w:hAnsi="Arial" w:cs="Arial"/>
          <w:b/>
          <w:sz w:val="22"/>
          <w:szCs w:val="22"/>
        </w:rPr>
        <w:t>Chief executive – including Governance</w:t>
      </w:r>
      <w:r w:rsidR="00FB55BF">
        <w:rPr>
          <w:rFonts w:ascii="Arial" w:hAnsi="Arial" w:cs="Arial"/>
          <w:b/>
          <w:sz w:val="22"/>
          <w:szCs w:val="22"/>
        </w:rPr>
        <w:t xml:space="preserve">: </w:t>
      </w:r>
      <w:r w:rsidR="00D81266" w:rsidRPr="00D81266">
        <w:rPr>
          <w:rFonts w:ascii="Arial" w:hAnsi="Arial" w:cs="Arial"/>
          <w:sz w:val="22"/>
          <w:szCs w:val="22"/>
        </w:rPr>
        <w:t xml:space="preserve">Underspend relates to travel and meeting expenses </w:t>
      </w:r>
      <w:r w:rsidR="00D81266">
        <w:rPr>
          <w:rFonts w:ascii="Arial" w:hAnsi="Arial" w:cs="Arial"/>
          <w:sz w:val="22"/>
          <w:szCs w:val="22"/>
        </w:rPr>
        <w:t xml:space="preserve">both expected to continue to year-end. </w:t>
      </w:r>
    </w:p>
    <w:p w:rsidR="00C10CE0" w:rsidRPr="00D81266" w:rsidRDefault="00C10CE0" w:rsidP="007C5117">
      <w:pPr>
        <w:spacing w:after="200" w:line="276" w:lineRule="auto"/>
        <w:rPr>
          <w:rFonts w:ascii="Arial" w:hAnsi="Arial" w:cs="Arial"/>
          <w:sz w:val="22"/>
          <w:szCs w:val="22"/>
        </w:rPr>
      </w:pPr>
      <w:r>
        <w:rPr>
          <w:rFonts w:ascii="Arial" w:hAnsi="Arial" w:cs="Arial"/>
          <w:b/>
          <w:sz w:val="22"/>
          <w:szCs w:val="22"/>
        </w:rPr>
        <w:t>Finance, Procurement and Estates</w:t>
      </w:r>
      <w:r w:rsidR="00FB55BF">
        <w:rPr>
          <w:rFonts w:ascii="Arial" w:hAnsi="Arial" w:cs="Arial"/>
          <w:b/>
          <w:sz w:val="22"/>
          <w:szCs w:val="22"/>
        </w:rPr>
        <w:t>:</w:t>
      </w:r>
      <w:r w:rsidR="00D81266">
        <w:rPr>
          <w:rFonts w:ascii="Arial" w:hAnsi="Arial" w:cs="Arial"/>
          <w:b/>
          <w:sz w:val="22"/>
          <w:szCs w:val="22"/>
        </w:rPr>
        <w:t xml:space="preserve"> </w:t>
      </w:r>
      <w:r w:rsidR="00D81266" w:rsidRPr="00D81266">
        <w:rPr>
          <w:rFonts w:ascii="Arial" w:hAnsi="Arial" w:cs="Arial"/>
          <w:sz w:val="22"/>
          <w:szCs w:val="22"/>
        </w:rPr>
        <w:t xml:space="preserve">Better than budget due to cost sharing arrangements at Skipton House </w:t>
      </w:r>
      <w:r w:rsidR="00D81266">
        <w:rPr>
          <w:rFonts w:ascii="Arial" w:hAnsi="Arial" w:cs="Arial"/>
          <w:sz w:val="22"/>
          <w:szCs w:val="22"/>
        </w:rPr>
        <w:t xml:space="preserve">and lower legal costs than usual. </w:t>
      </w:r>
      <w:proofErr w:type="gramStart"/>
      <w:r w:rsidR="002A703A">
        <w:rPr>
          <w:rFonts w:ascii="Arial" w:hAnsi="Arial" w:cs="Arial"/>
          <w:sz w:val="22"/>
          <w:szCs w:val="22"/>
        </w:rPr>
        <w:t>L</w:t>
      </w:r>
      <w:r w:rsidR="00D81266" w:rsidRPr="00D81266">
        <w:rPr>
          <w:rFonts w:ascii="Arial" w:hAnsi="Arial" w:cs="Arial"/>
          <w:sz w:val="22"/>
          <w:szCs w:val="22"/>
        </w:rPr>
        <w:t>ikely to yield a net improvement on f</w:t>
      </w:r>
      <w:r w:rsidR="00D81266">
        <w:rPr>
          <w:rFonts w:ascii="Arial" w:hAnsi="Arial" w:cs="Arial"/>
          <w:sz w:val="22"/>
          <w:szCs w:val="22"/>
        </w:rPr>
        <w:t>orecast at the end of the year of approximately £15k.</w:t>
      </w:r>
      <w:proofErr w:type="gramEnd"/>
      <w:r w:rsidR="00D81266">
        <w:rPr>
          <w:rFonts w:ascii="Arial" w:hAnsi="Arial" w:cs="Arial"/>
          <w:sz w:val="22"/>
          <w:szCs w:val="22"/>
        </w:rPr>
        <w:t xml:space="preserve"> </w:t>
      </w:r>
    </w:p>
    <w:p w:rsidR="004B1E14" w:rsidRDefault="004B1E14" w:rsidP="007C5117">
      <w:pPr>
        <w:spacing w:after="200" w:line="276" w:lineRule="auto"/>
        <w:rPr>
          <w:rFonts w:ascii="Arial" w:hAnsi="Arial" w:cs="Arial"/>
          <w:sz w:val="22"/>
          <w:szCs w:val="22"/>
        </w:rPr>
      </w:pPr>
      <w:r>
        <w:rPr>
          <w:rFonts w:ascii="Arial" w:hAnsi="Arial" w:cs="Arial"/>
          <w:b/>
          <w:sz w:val="22"/>
          <w:szCs w:val="22"/>
        </w:rPr>
        <w:t>Pay</w:t>
      </w:r>
      <w:r w:rsidR="00C6052E" w:rsidRPr="00785AD5">
        <w:rPr>
          <w:rFonts w:ascii="Arial" w:hAnsi="Arial" w:cs="Arial"/>
          <w:b/>
          <w:sz w:val="22"/>
          <w:szCs w:val="22"/>
        </w:rPr>
        <w:t xml:space="preserve"> costs</w:t>
      </w:r>
      <w:r w:rsidR="00C6052E">
        <w:rPr>
          <w:rFonts w:ascii="Arial" w:hAnsi="Arial" w:cs="Arial"/>
          <w:sz w:val="22"/>
          <w:szCs w:val="22"/>
        </w:rPr>
        <w:t xml:space="preserve"> </w:t>
      </w:r>
    </w:p>
    <w:p w:rsidR="00F97F13" w:rsidRDefault="00C8628F" w:rsidP="007C5117">
      <w:pPr>
        <w:spacing w:after="200" w:line="276" w:lineRule="auto"/>
        <w:rPr>
          <w:rFonts w:ascii="Arial" w:hAnsi="Arial" w:cs="Arial"/>
          <w:sz w:val="22"/>
          <w:szCs w:val="22"/>
        </w:rPr>
      </w:pPr>
      <w:r>
        <w:rPr>
          <w:rFonts w:ascii="Arial" w:hAnsi="Arial" w:cs="Arial"/>
          <w:sz w:val="22"/>
          <w:szCs w:val="22"/>
        </w:rPr>
        <w:t>Pay costs</w:t>
      </w:r>
      <w:r w:rsidR="00264F0E">
        <w:rPr>
          <w:rFonts w:ascii="Arial" w:hAnsi="Arial" w:cs="Arial"/>
          <w:sz w:val="22"/>
          <w:szCs w:val="22"/>
        </w:rPr>
        <w:t xml:space="preserve"> represent 70% of HRA’s cost base and for 2017/18</w:t>
      </w:r>
      <w:r w:rsidR="004B1E14">
        <w:rPr>
          <w:rFonts w:ascii="Arial" w:hAnsi="Arial" w:cs="Arial"/>
          <w:sz w:val="22"/>
          <w:szCs w:val="22"/>
        </w:rPr>
        <w:t xml:space="preserve"> </w:t>
      </w:r>
      <w:r w:rsidR="00C10CE0">
        <w:rPr>
          <w:rFonts w:ascii="Arial" w:hAnsi="Arial" w:cs="Arial"/>
          <w:sz w:val="22"/>
          <w:szCs w:val="22"/>
        </w:rPr>
        <w:t xml:space="preserve">and have </w:t>
      </w:r>
      <w:r w:rsidR="00F61F42">
        <w:rPr>
          <w:rFonts w:ascii="Arial" w:hAnsi="Arial" w:cs="Arial"/>
          <w:sz w:val="22"/>
          <w:szCs w:val="22"/>
        </w:rPr>
        <w:t>track</w:t>
      </w:r>
      <w:r w:rsidR="00C10CE0">
        <w:rPr>
          <w:rFonts w:ascii="Arial" w:hAnsi="Arial" w:cs="Arial"/>
          <w:sz w:val="22"/>
          <w:szCs w:val="22"/>
        </w:rPr>
        <w:t>ed</w:t>
      </w:r>
      <w:r w:rsidR="009952BD">
        <w:rPr>
          <w:rFonts w:ascii="Arial" w:hAnsi="Arial" w:cs="Arial"/>
          <w:sz w:val="22"/>
          <w:szCs w:val="22"/>
        </w:rPr>
        <w:t xml:space="preserve"> </w:t>
      </w:r>
      <w:r w:rsidR="00911983">
        <w:rPr>
          <w:rFonts w:ascii="Arial" w:hAnsi="Arial" w:cs="Arial"/>
          <w:sz w:val="22"/>
          <w:szCs w:val="22"/>
        </w:rPr>
        <w:t xml:space="preserve">slightly </w:t>
      </w:r>
      <w:r w:rsidR="00C6052E">
        <w:rPr>
          <w:rFonts w:ascii="Arial" w:hAnsi="Arial" w:cs="Arial"/>
          <w:sz w:val="22"/>
          <w:szCs w:val="22"/>
        </w:rPr>
        <w:t xml:space="preserve">behind </w:t>
      </w:r>
      <w:r w:rsidR="009952BD">
        <w:rPr>
          <w:rFonts w:ascii="Arial" w:hAnsi="Arial" w:cs="Arial"/>
          <w:sz w:val="22"/>
          <w:szCs w:val="22"/>
        </w:rPr>
        <w:t xml:space="preserve">the original </w:t>
      </w:r>
      <w:r w:rsidR="00C6052E">
        <w:rPr>
          <w:rFonts w:ascii="Arial" w:hAnsi="Arial" w:cs="Arial"/>
          <w:sz w:val="22"/>
          <w:szCs w:val="22"/>
        </w:rPr>
        <w:t xml:space="preserve">budget </w:t>
      </w:r>
      <w:r w:rsidR="00B42CF8">
        <w:rPr>
          <w:rFonts w:ascii="Arial" w:hAnsi="Arial" w:cs="Arial"/>
          <w:sz w:val="22"/>
          <w:szCs w:val="22"/>
        </w:rPr>
        <w:t>set</w:t>
      </w:r>
      <w:r w:rsidR="00D05EA0">
        <w:rPr>
          <w:rFonts w:ascii="Arial" w:hAnsi="Arial" w:cs="Arial"/>
          <w:sz w:val="22"/>
          <w:szCs w:val="22"/>
        </w:rPr>
        <w:t>,</w:t>
      </w:r>
      <w:r w:rsidR="00B42CF8">
        <w:rPr>
          <w:rFonts w:ascii="Arial" w:hAnsi="Arial" w:cs="Arial"/>
          <w:sz w:val="22"/>
          <w:szCs w:val="22"/>
        </w:rPr>
        <w:t xml:space="preserve"> </w:t>
      </w:r>
      <w:r w:rsidR="00C6052E">
        <w:rPr>
          <w:rFonts w:ascii="Arial" w:hAnsi="Arial" w:cs="Arial"/>
          <w:sz w:val="22"/>
          <w:szCs w:val="22"/>
        </w:rPr>
        <w:t>net of vacancy factor</w:t>
      </w:r>
      <w:r w:rsidR="00C10CE0">
        <w:rPr>
          <w:rFonts w:ascii="Arial" w:hAnsi="Arial" w:cs="Arial"/>
          <w:sz w:val="22"/>
          <w:szCs w:val="22"/>
        </w:rPr>
        <w:t xml:space="preserve"> for the year. Additional capacity sourced to provide extra support for RS transformation programme has meant that in January costs are</w:t>
      </w:r>
      <w:r w:rsidR="00EF47BE">
        <w:rPr>
          <w:rFonts w:ascii="Arial" w:hAnsi="Arial" w:cs="Arial"/>
          <w:sz w:val="22"/>
          <w:szCs w:val="22"/>
        </w:rPr>
        <w:t xml:space="preserve"> more in line with expectations and this is likely to continue for the remainder of the year. Recruitment panel have also approved extension of interim administration support team to June 2018 (and potentially further if funding is available) to continue to provide additional capacity to </w:t>
      </w:r>
      <w:r w:rsidR="00FB55BF">
        <w:rPr>
          <w:rFonts w:ascii="Arial" w:hAnsi="Arial" w:cs="Arial"/>
          <w:sz w:val="22"/>
          <w:szCs w:val="22"/>
        </w:rPr>
        <w:t xml:space="preserve">bolster </w:t>
      </w:r>
      <w:r w:rsidR="00EF47BE">
        <w:rPr>
          <w:rFonts w:ascii="Arial" w:hAnsi="Arial" w:cs="Arial"/>
          <w:sz w:val="22"/>
          <w:szCs w:val="22"/>
        </w:rPr>
        <w:t>services</w:t>
      </w:r>
      <w:r w:rsidR="00FB55BF">
        <w:rPr>
          <w:rFonts w:ascii="Arial" w:hAnsi="Arial" w:cs="Arial"/>
          <w:sz w:val="22"/>
          <w:szCs w:val="22"/>
        </w:rPr>
        <w:t xml:space="preserve"> teams</w:t>
      </w:r>
      <w:r w:rsidR="00EF47BE">
        <w:rPr>
          <w:rFonts w:ascii="Arial" w:hAnsi="Arial" w:cs="Arial"/>
          <w:sz w:val="22"/>
          <w:szCs w:val="22"/>
        </w:rPr>
        <w:t xml:space="preserve">. The extension also enables </w:t>
      </w:r>
      <w:r w:rsidR="00FB55BF">
        <w:rPr>
          <w:rFonts w:ascii="Arial" w:hAnsi="Arial" w:cs="Arial"/>
          <w:sz w:val="22"/>
          <w:szCs w:val="22"/>
        </w:rPr>
        <w:t xml:space="preserve">further </w:t>
      </w:r>
      <w:r w:rsidR="00EF47BE">
        <w:rPr>
          <w:rFonts w:ascii="Arial" w:hAnsi="Arial" w:cs="Arial"/>
          <w:sz w:val="22"/>
          <w:szCs w:val="22"/>
        </w:rPr>
        <w:t>explor</w:t>
      </w:r>
      <w:r w:rsidR="00FB55BF">
        <w:rPr>
          <w:rFonts w:ascii="Arial" w:hAnsi="Arial" w:cs="Arial"/>
          <w:sz w:val="22"/>
          <w:szCs w:val="22"/>
        </w:rPr>
        <w:t>ation of</w:t>
      </w:r>
      <w:r w:rsidR="00EF47BE">
        <w:rPr>
          <w:rFonts w:ascii="Arial" w:hAnsi="Arial" w:cs="Arial"/>
          <w:sz w:val="22"/>
          <w:szCs w:val="22"/>
        </w:rPr>
        <w:t xml:space="preserve"> what other roles / activities could be taken on by this team to help provide capacit</w:t>
      </w:r>
      <w:r w:rsidR="00FB55BF">
        <w:rPr>
          <w:rFonts w:ascii="Arial" w:hAnsi="Arial" w:cs="Arial"/>
          <w:sz w:val="22"/>
          <w:szCs w:val="22"/>
        </w:rPr>
        <w:t>y to support our core and transformation programmes</w:t>
      </w:r>
      <w:r w:rsidR="00EF47BE">
        <w:rPr>
          <w:rFonts w:ascii="Arial" w:hAnsi="Arial" w:cs="Arial"/>
          <w:sz w:val="22"/>
          <w:szCs w:val="22"/>
        </w:rPr>
        <w:t xml:space="preserve">. </w:t>
      </w:r>
      <w:r w:rsidR="00C10CE0">
        <w:rPr>
          <w:rFonts w:ascii="Arial" w:hAnsi="Arial" w:cs="Arial"/>
          <w:sz w:val="22"/>
          <w:szCs w:val="22"/>
        </w:rPr>
        <w:t xml:space="preserve"> </w:t>
      </w:r>
    </w:p>
    <w:p w:rsidR="00F97F13" w:rsidRDefault="005C5248" w:rsidP="007C5117">
      <w:pPr>
        <w:spacing w:after="200" w:line="276" w:lineRule="auto"/>
        <w:rPr>
          <w:rFonts w:ascii="Arial" w:hAnsi="Arial" w:cs="Arial"/>
          <w:sz w:val="22"/>
          <w:szCs w:val="22"/>
        </w:rPr>
      </w:pPr>
      <w:r w:rsidRPr="00C8628F">
        <w:rPr>
          <w:rFonts w:ascii="Arial" w:hAnsi="Arial" w:cs="Arial"/>
          <w:noProof/>
          <w:sz w:val="22"/>
          <w:szCs w:val="22"/>
        </w:rPr>
        <mc:AlternateContent>
          <mc:Choice Requires="wps">
            <w:drawing>
              <wp:anchor distT="0" distB="0" distL="114300" distR="114300" simplePos="0" relativeHeight="251659264" behindDoc="0" locked="0" layoutInCell="1" allowOverlap="1" wp14:anchorId="1C76B831" wp14:editId="1184DEDC">
                <wp:simplePos x="0" y="0"/>
                <wp:positionH relativeFrom="column">
                  <wp:posOffset>1276350</wp:posOffset>
                </wp:positionH>
                <wp:positionV relativeFrom="paragraph">
                  <wp:posOffset>1710055</wp:posOffset>
                </wp:positionV>
                <wp:extent cx="200025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286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C62F88" w:rsidRPr="00C8628F" w:rsidRDefault="00C62F88">
                            <w:pPr>
                              <w:rPr>
                                <w:rFonts w:asciiTheme="minorHAnsi" w:hAnsiTheme="minorHAnsi"/>
                                <w:sz w:val="20"/>
                                <w:szCs w:val="20"/>
                              </w:rPr>
                            </w:pPr>
                            <w:r w:rsidRPr="00C8628F">
                              <w:rPr>
                                <w:rFonts w:asciiTheme="minorHAnsi" w:hAnsiTheme="minorHAnsi"/>
                                <w:sz w:val="20"/>
                                <w:szCs w:val="20"/>
                              </w:rPr>
                              <w:t>Cost of living increase paid in May (including backdated April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34.65pt;width:1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" fillcolor="#4f81bd [3204]" strokecolor="#243f60 [1604]" strokeweight="2pt">
                <v:textbox>
                  <w:txbxContent>
                    <w:p w:rsidR="00C62F88" w:rsidRPr="00C8628F" w:rsidRDefault="00C62F88">
                      <w:pPr>
                        <w:rPr>
                          <w:rFonts w:asciiTheme="minorHAnsi" w:hAnsiTheme="minorHAnsi"/>
                          <w:sz w:val="20"/>
                          <w:szCs w:val="20"/>
                        </w:rPr>
                      </w:pPr>
                      <w:r w:rsidRPr="00C8628F">
                        <w:rPr>
                          <w:rFonts w:asciiTheme="minorHAnsi" w:hAnsiTheme="minorHAnsi"/>
                          <w:sz w:val="20"/>
                          <w:szCs w:val="20"/>
                        </w:rPr>
                        <w:t>Cost of living increase paid in May (including backdated April payment)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1E094527" wp14:editId="64AEAED9">
                <wp:simplePos x="0" y="0"/>
                <wp:positionH relativeFrom="column">
                  <wp:posOffset>1276350</wp:posOffset>
                </wp:positionH>
                <wp:positionV relativeFrom="paragraph">
                  <wp:posOffset>1100455</wp:posOffset>
                </wp:positionV>
                <wp:extent cx="45719" cy="819150"/>
                <wp:effectExtent l="19050" t="19050" r="31115" b="19050"/>
                <wp:wrapNone/>
                <wp:docPr id="5" name="Up Arrow 5"/>
                <wp:cNvGraphicFramePr/>
                <a:graphic xmlns:a="http://schemas.openxmlformats.org/drawingml/2006/main">
                  <a:graphicData uri="http://schemas.microsoft.com/office/word/2010/wordprocessingShape">
                    <wps:wsp>
                      <wps:cNvSpPr/>
                      <wps:spPr>
                        <a:xfrm>
                          <a:off x="0" y="0"/>
                          <a:ext cx="45719" cy="819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100.5pt;margin-top:86.65pt;width:3.6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" adj="603" fillcolor="#4f81bd [3204]" strokecolor="#243f60 [1604]" strokeweight="2pt"/>
            </w:pict>
          </mc:Fallback>
        </mc:AlternateContent>
      </w:r>
      <w:r>
        <w:rPr>
          <w:rFonts w:ascii="Arial" w:hAnsi="Arial" w:cs="Arial"/>
          <w:noProof/>
          <w:sz w:val="22"/>
          <w:szCs w:val="22"/>
        </w:rPr>
        <w:drawing>
          <wp:inline distT="0" distB="0" distL="0" distR="0" wp14:anchorId="29A1AD1D">
            <wp:extent cx="6362700" cy="357844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3436" cy="3578860"/>
                    </a:xfrm>
                    <a:prstGeom prst="rect">
                      <a:avLst/>
                    </a:prstGeom>
                    <a:noFill/>
                  </pic:spPr>
                </pic:pic>
              </a:graphicData>
            </a:graphic>
          </wp:inline>
        </w:drawing>
      </w:r>
    </w:p>
    <w:p w:rsidR="00264F0E" w:rsidRDefault="00F97F13" w:rsidP="007C5117">
      <w:pPr>
        <w:spacing w:after="200" w:line="276" w:lineRule="auto"/>
        <w:rPr>
          <w:rFonts w:ascii="Arial" w:hAnsi="Arial" w:cs="Arial"/>
          <w:sz w:val="22"/>
          <w:szCs w:val="22"/>
        </w:rPr>
      </w:pPr>
      <w:r>
        <w:rPr>
          <w:rFonts w:ascii="Arial" w:hAnsi="Arial" w:cs="Arial"/>
          <w:sz w:val="22"/>
          <w:szCs w:val="22"/>
        </w:rPr>
        <w:lastRenderedPageBreak/>
        <w:t xml:space="preserve">This slight negative variance </w:t>
      </w:r>
      <w:r w:rsidR="00C10CE0">
        <w:rPr>
          <w:rFonts w:ascii="Arial" w:hAnsi="Arial" w:cs="Arial"/>
          <w:sz w:val="22"/>
          <w:szCs w:val="22"/>
        </w:rPr>
        <w:t xml:space="preserve">throughout the year </w:t>
      </w:r>
      <w:r>
        <w:rPr>
          <w:rFonts w:ascii="Arial" w:hAnsi="Arial" w:cs="Arial"/>
          <w:sz w:val="22"/>
          <w:szCs w:val="22"/>
        </w:rPr>
        <w:t xml:space="preserve">is due predominantly to </w:t>
      </w:r>
      <w:r w:rsidR="00C8628F">
        <w:rPr>
          <w:rFonts w:ascii="Arial" w:hAnsi="Arial" w:cs="Arial"/>
          <w:sz w:val="22"/>
          <w:szCs w:val="22"/>
        </w:rPr>
        <w:t xml:space="preserve">the impact of </w:t>
      </w:r>
      <w:r>
        <w:rPr>
          <w:rFonts w:ascii="Arial" w:hAnsi="Arial" w:cs="Arial"/>
          <w:sz w:val="22"/>
          <w:szCs w:val="22"/>
        </w:rPr>
        <w:t xml:space="preserve">vacant posts </w:t>
      </w:r>
      <w:r w:rsidR="00C8628F">
        <w:rPr>
          <w:rFonts w:ascii="Arial" w:hAnsi="Arial" w:cs="Arial"/>
          <w:sz w:val="22"/>
          <w:szCs w:val="22"/>
        </w:rPr>
        <w:t xml:space="preserve">in service delivery with roles </w:t>
      </w:r>
      <w:r>
        <w:rPr>
          <w:rFonts w:ascii="Arial" w:hAnsi="Arial" w:cs="Arial"/>
          <w:sz w:val="22"/>
          <w:szCs w:val="22"/>
        </w:rPr>
        <w:t>remaining unfilled for longer than anticipated</w:t>
      </w:r>
      <w:r w:rsidR="00C8628F">
        <w:rPr>
          <w:rFonts w:ascii="Arial" w:hAnsi="Arial" w:cs="Arial"/>
          <w:sz w:val="22"/>
          <w:szCs w:val="22"/>
        </w:rPr>
        <w:t xml:space="preserve"> </w:t>
      </w:r>
      <w:r w:rsidR="00264F0E">
        <w:rPr>
          <w:rFonts w:ascii="Arial" w:hAnsi="Arial" w:cs="Arial"/>
          <w:sz w:val="22"/>
          <w:szCs w:val="22"/>
        </w:rPr>
        <w:t>(particularly in London</w:t>
      </w:r>
      <w:r w:rsidR="00FB55BF">
        <w:rPr>
          <w:rFonts w:ascii="Arial" w:hAnsi="Arial" w:cs="Arial"/>
          <w:sz w:val="22"/>
          <w:szCs w:val="22"/>
        </w:rPr>
        <w:t xml:space="preserve"> &amp; Bristol</w:t>
      </w:r>
      <w:r w:rsidR="00264F0E">
        <w:rPr>
          <w:rFonts w:ascii="Arial" w:hAnsi="Arial" w:cs="Arial"/>
          <w:sz w:val="22"/>
          <w:szCs w:val="22"/>
        </w:rPr>
        <w:t xml:space="preserve">) </w:t>
      </w:r>
      <w:r w:rsidR="00C8628F">
        <w:rPr>
          <w:rFonts w:ascii="Arial" w:hAnsi="Arial" w:cs="Arial"/>
          <w:sz w:val="22"/>
          <w:szCs w:val="22"/>
        </w:rPr>
        <w:t xml:space="preserve">as well as the impact of internal development opportunities </w:t>
      </w:r>
      <w:r w:rsidR="00F61F42">
        <w:rPr>
          <w:rFonts w:ascii="Arial" w:hAnsi="Arial" w:cs="Arial"/>
          <w:sz w:val="22"/>
          <w:szCs w:val="22"/>
        </w:rPr>
        <w:t>within</w:t>
      </w:r>
      <w:r w:rsidR="00C8628F">
        <w:rPr>
          <w:rFonts w:ascii="Arial" w:hAnsi="Arial" w:cs="Arial"/>
          <w:sz w:val="22"/>
          <w:szCs w:val="22"/>
        </w:rPr>
        <w:t xml:space="preserve"> teams. </w:t>
      </w:r>
      <w:r w:rsidR="00264F0E">
        <w:rPr>
          <w:rFonts w:ascii="Arial" w:hAnsi="Arial" w:cs="Arial"/>
          <w:sz w:val="22"/>
          <w:szCs w:val="22"/>
        </w:rPr>
        <w:t xml:space="preserve">This </w:t>
      </w:r>
      <w:r w:rsidR="00C10CE0">
        <w:rPr>
          <w:rFonts w:ascii="Arial" w:hAnsi="Arial" w:cs="Arial"/>
          <w:sz w:val="22"/>
          <w:szCs w:val="22"/>
        </w:rPr>
        <w:t xml:space="preserve">is </w:t>
      </w:r>
      <w:r w:rsidR="00FB55BF">
        <w:rPr>
          <w:rFonts w:ascii="Arial" w:hAnsi="Arial" w:cs="Arial"/>
          <w:sz w:val="22"/>
          <w:szCs w:val="22"/>
        </w:rPr>
        <w:t>keenly experienced in the teams supporting the ethics</w:t>
      </w:r>
      <w:r w:rsidR="00264F0E">
        <w:rPr>
          <w:rFonts w:ascii="Arial" w:hAnsi="Arial" w:cs="Arial"/>
          <w:sz w:val="22"/>
          <w:szCs w:val="22"/>
        </w:rPr>
        <w:t xml:space="preserve"> service where many </w:t>
      </w:r>
      <w:r w:rsidR="00FB55BF">
        <w:rPr>
          <w:rFonts w:ascii="Arial" w:hAnsi="Arial" w:cs="Arial"/>
          <w:sz w:val="22"/>
          <w:szCs w:val="22"/>
        </w:rPr>
        <w:t xml:space="preserve">staff </w:t>
      </w:r>
      <w:proofErr w:type="gramStart"/>
      <w:r w:rsidR="00264F0E">
        <w:rPr>
          <w:rFonts w:ascii="Arial" w:hAnsi="Arial" w:cs="Arial"/>
          <w:sz w:val="22"/>
          <w:szCs w:val="22"/>
        </w:rPr>
        <w:t>have</w:t>
      </w:r>
      <w:proofErr w:type="gramEnd"/>
      <w:r w:rsidR="00264F0E">
        <w:rPr>
          <w:rFonts w:ascii="Arial" w:hAnsi="Arial" w:cs="Arial"/>
          <w:sz w:val="22"/>
          <w:szCs w:val="22"/>
        </w:rPr>
        <w:t xml:space="preserve"> been successful in securing internal secondment opportunities. </w:t>
      </w:r>
      <w:r w:rsidR="00EF47BE">
        <w:rPr>
          <w:rFonts w:ascii="Arial" w:hAnsi="Arial" w:cs="Arial"/>
          <w:sz w:val="22"/>
          <w:szCs w:val="22"/>
        </w:rPr>
        <w:t xml:space="preserve">Whilst this is a positive for the organisation and our people it also provides a challenge as vacant posts ‘domino’ throughout the </w:t>
      </w:r>
      <w:r w:rsidR="00FB55BF">
        <w:rPr>
          <w:rFonts w:ascii="Arial" w:hAnsi="Arial" w:cs="Arial"/>
          <w:sz w:val="22"/>
          <w:szCs w:val="22"/>
        </w:rPr>
        <w:t>HRA</w:t>
      </w:r>
      <w:r w:rsidR="00EF47BE">
        <w:rPr>
          <w:rFonts w:ascii="Arial" w:hAnsi="Arial" w:cs="Arial"/>
          <w:sz w:val="22"/>
          <w:szCs w:val="22"/>
        </w:rPr>
        <w:t xml:space="preserve">. </w:t>
      </w:r>
      <w:r w:rsidR="00264F0E">
        <w:rPr>
          <w:rFonts w:ascii="Arial" w:hAnsi="Arial" w:cs="Arial"/>
          <w:sz w:val="22"/>
          <w:szCs w:val="22"/>
        </w:rPr>
        <w:t>Previous reports have detailed steps being taken to address this including utilising agency staff to provide capacity, offering overtime, providing administrative support between Bristol an</w:t>
      </w:r>
      <w:r w:rsidR="00C10CE0">
        <w:rPr>
          <w:rFonts w:ascii="Arial" w:hAnsi="Arial" w:cs="Arial"/>
          <w:sz w:val="22"/>
          <w:szCs w:val="22"/>
        </w:rPr>
        <w:t xml:space="preserve">d London, all with some success. However more still needs to be done if we are to provide a resilient </w:t>
      </w:r>
      <w:r w:rsidR="00EF47BE">
        <w:rPr>
          <w:rFonts w:ascii="Arial" w:hAnsi="Arial" w:cs="Arial"/>
          <w:sz w:val="22"/>
          <w:szCs w:val="22"/>
        </w:rPr>
        <w:t>structure</w:t>
      </w:r>
      <w:r w:rsidR="00C10CE0">
        <w:rPr>
          <w:rFonts w:ascii="Arial" w:hAnsi="Arial" w:cs="Arial"/>
          <w:sz w:val="22"/>
          <w:szCs w:val="22"/>
        </w:rPr>
        <w:t xml:space="preserve"> to support the transformation programme in 2018/19. Work on the target operating model (TOM) will address future requirements. </w:t>
      </w:r>
      <w:r w:rsidR="00A77BEE">
        <w:rPr>
          <w:rFonts w:ascii="Arial" w:hAnsi="Arial" w:cs="Arial"/>
          <w:sz w:val="22"/>
          <w:szCs w:val="22"/>
        </w:rPr>
        <w:t xml:space="preserve">Recruitment panel is therefore focusing on current and medium term resourcing needs to </w:t>
      </w:r>
      <w:r w:rsidR="00FB55BF">
        <w:rPr>
          <w:rFonts w:ascii="Arial" w:hAnsi="Arial" w:cs="Arial"/>
          <w:sz w:val="22"/>
          <w:szCs w:val="22"/>
        </w:rPr>
        <w:t xml:space="preserve">enable </w:t>
      </w:r>
      <w:r w:rsidR="00A77BEE">
        <w:rPr>
          <w:rFonts w:ascii="Arial" w:hAnsi="Arial" w:cs="Arial"/>
          <w:sz w:val="22"/>
          <w:szCs w:val="22"/>
        </w:rPr>
        <w:t xml:space="preserve">sufficient capacity to deliver on our programme of work in 2018/19. This is also complemented by the resource management project (part of corporate SIP) looking at how we best resource both business as usual activities as well as our strategic programme. </w:t>
      </w:r>
    </w:p>
    <w:p w:rsidR="00E665CA" w:rsidRDefault="00034EFD" w:rsidP="00D47DD9">
      <w:pPr>
        <w:spacing w:after="200" w:line="276" w:lineRule="auto"/>
        <w:rPr>
          <w:rFonts w:ascii="Arial" w:hAnsi="Arial" w:cs="Arial"/>
          <w:b/>
          <w:sz w:val="22"/>
          <w:szCs w:val="22"/>
        </w:rPr>
      </w:pPr>
      <w:r>
        <w:rPr>
          <w:rFonts w:ascii="Arial" w:hAnsi="Arial" w:cs="Arial"/>
          <w:b/>
          <w:sz w:val="22"/>
          <w:szCs w:val="22"/>
        </w:rPr>
        <w:t>Travel costs</w:t>
      </w:r>
    </w:p>
    <w:p w:rsidR="00D47DD9" w:rsidRDefault="00E665CA" w:rsidP="00D47DD9">
      <w:pPr>
        <w:spacing w:after="200" w:line="276" w:lineRule="auto"/>
        <w:rPr>
          <w:rFonts w:ascii="Arial" w:hAnsi="Arial" w:cs="Arial"/>
          <w:b/>
          <w:sz w:val="22"/>
          <w:szCs w:val="22"/>
        </w:rPr>
      </w:pPr>
      <w:proofErr w:type="gramStart"/>
      <w:r>
        <w:rPr>
          <w:rFonts w:ascii="Arial" w:hAnsi="Arial" w:cs="Arial"/>
          <w:sz w:val="22"/>
          <w:szCs w:val="22"/>
        </w:rPr>
        <w:t>Travel</w:t>
      </w:r>
      <w:proofErr w:type="gramEnd"/>
      <w:r>
        <w:rPr>
          <w:rFonts w:ascii="Arial" w:hAnsi="Arial" w:cs="Arial"/>
          <w:sz w:val="22"/>
          <w:szCs w:val="22"/>
        </w:rPr>
        <w:t xml:space="preserve"> costs are £24k (5</w:t>
      </w:r>
      <w:r w:rsidR="00D47DD9" w:rsidRPr="00034EFD">
        <w:rPr>
          <w:rFonts w:ascii="Arial" w:hAnsi="Arial" w:cs="Arial"/>
          <w:sz w:val="22"/>
          <w:szCs w:val="22"/>
        </w:rPr>
        <w:t>%) lower than budget</w:t>
      </w:r>
      <w:r>
        <w:rPr>
          <w:rFonts w:ascii="Arial" w:hAnsi="Arial" w:cs="Arial"/>
          <w:sz w:val="22"/>
          <w:szCs w:val="22"/>
        </w:rPr>
        <w:t xml:space="preserve"> and are forecast to come in £24</w:t>
      </w:r>
      <w:r w:rsidR="00D47DD9" w:rsidRPr="00034EFD">
        <w:rPr>
          <w:rFonts w:ascii="Arial" w:hAnsi="Arial" w:cs="Arial"/>
          <w:sz w:val="22"/>
          <w:szCs w:val="22"/>
        </w:rPr>
        <w:t>k under budget</w:t>
      </w:r>
      <w:r w:rsidR="00D47DD9">
        <w:rPr>
          <w:rFonts w:ascii="Arial" w:hAnsi="Arial" w:cs="Arial"/>
          <w:sz w:val="22"/>
          <w:szCs w:val="22"/>
        </w:rPr>
        <w:t xml:space="preserve">.  </w:t>
      </w:r>
    </w:p>
    <w:tbl>
      <w:tblPr>
        <w:tblW w:w="8297" w:type="dxa"/>
        <w:tblInd w:w="93" w:type="dxa"/>
        <w:tblLook w:val="04A0" w:firstRow="1" w:lastRow="0" w:firstColumn="1" w:lastColumn="0" w:noHBand="0" w:noVBand="1"/>
      </w:tblPr>
      <w:tblGrid>
        <w:gridCol w:w="3384"/>
        <w:gridCol w:w="939"/>
        <w:gridCol w:w="1095"/>
        <w:gridCol w:w="939"/>
        <w:gridCol w:w="991"/>
        <w:gridCol w:w="989"/>
      </w:tblGrid>
      <w:tr w:rsidR="00E665CA" w:rsidRPr="00E665CA" w:rsidTr="00E665CA">
        <w:trPr>
          <w:trHeight w:val="733"/>
        </w:trPr>
        <w:tc>
          <w:tcPr>
            <w:tcW w:w="3384" w:type="dxa"/>
            <w:tcBorders>
              <w:top w:val="single" w:sz="4" w:space="0" w:color="auto"/>
              <w:left w:val="single" w:sz="4" w:space="0" w:color="auto"/>
              <w:bottom w:val="nil"/>
              <w:right w:val="single" w:sz="4" w:space="0" w:color="auto"/>
            </w:tcBorders>
            <w:shd w:val="clear" w:color="000000" w:fill="95B3D7"/>
            <w:noWrap/>
            <w:vAlign w:val="bottom"/>
            <w:hideMark/>
          </w:tcPr>
          <w:p w:rsidR="00E665CA" w:rsidRPr="00E665CA" w:rsidRDefault="00E665CA" w:rsidP="00E665CA">
            <w:pPr>
              <w:rPr>
                <w:rFonts w:ascii="Calibri" w:hAnsi="Calibri"/>
                <w:b/>
                <w:bCs/>
                <w:color w:val="FFFFFF"/>
                <w:sz w:val="22"/>
                <w:szCs w:val="22"/>
              </w:rPr>
            </w:pPr>
            <w:r w:rsidRPr="00E665CA">
              <w:rPr>
                <w:rFonts w:ascii="Calibri" w:hAnsi="Calibri"/>
                <w:b/>
                <w:bCs/>
                <w:color w:val="FFFFFF"/>
                <w:sz w:val="22"/>
                <w:szCs w:val="22"/>
              </w:rPr>
              <w:t>Travel costs across the HRA</w:t>
            </w:r>
          </w:p>
        </w:tc>
        <w:tc>
          <w:tcPr>
            <w:tcW w:w="939" w:type="dxa"/>
            <w:tcBorders>
              <w:top w:val="single" w:sz="4" w:space="0" w:color="auto"/>
              <w:left w:val="nil"/>
              <w:bottom w:val="nil"/>
              <w:right w:val="single" w:sz="4" w:space="0" w:color="auto"/>
            </w:tcBorders>
            <w:shd w:val="clear" w:color="000000" w:fill="95B3D7"/>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Year to date budget</w:t>
            </w:r>
          </w:p>
        </w:tc>
        <w:tc>
          <w:tcPr>
            <w:tcW w:w="1095" w:type="dxa"/>
            <w:tcBorders>
              <w:top w:val="single" w:sz="4" w:space="0" w:color="auto"/>
              <w:left w:val="nil"/>
              <w:bottom w:val="nil"/>
              <w:right w:val="single" w:sz="4" w:space="0" w:color="auto"/>
            </w:tcBorders>
            <w:shd w:val="clear" w:color="000000" w:fill="95B3D7"/>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Year to date spend</w:t>
            </w:r>
          </w:p>
        </w:tc>
        <w:tc>
          <w:tcPr>
            <w:tcW w:w="939" w:type="dxa"/>
            <w:tcBorders>
              <w:top w:val="single" w:sz="4" w:space="0" w:color="auto"/>
              <w:left w:val="nil"/>
              <w:bottom w:val="nil"/>
              <w:right w:val="single" w:sz="4" w:space="0" w:color="auto"/>
            </w:tcBorders>
            <w:shd w:val="clear" w:color="000000" w:fill="95B3D7"/>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 share of total year to date spend</w:t>
            </w:r>
          </w:p>
        </w:tc>
        <w:tc>
          <w:tcPr>
            <w:tcW w:w="971" w:type="dxa"/>
            <w:tcBorders>
              <w:top w:val="single" w:sz="4" w:space="0" w:color="auto"/>
              <w:left w:val="nil"/>
              <w:bottom w:val="nil"/>
              <w:right w:val="single" w:sz="4" w:space="0" w:color="auto"/>
            </w:tcBorders>
            <w:shd w:val="clear" w:color="000000" w:fill="95B3D7"/>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Year to date variance</w:t>
            </w:r>
          </w:p>
        </w:tc>
        <w:tc>
          <w:tcPr>
            <w:tcW w:w="969" w:type="dxa"/>
            <w:tcBorders>
              <w:top w:val="single" w:sz="4" w:space="0" w:color="auto"/>
              <w:left w:val="nil"/>
              <w:bottom w:val="nil"/>
              <w:right w:val="single" w:sz="4" w:space="0" w:color="auto"/>
            </w:tcBorders>
            <w:shd w:val="clear" w:color="000000" w:fill="95B3D7"/>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Forecast Outturn</w:t>
            </w:r>
          </w:p>
        </w:tc>
      </w:tr>
      <w:tr w:rsidR="00E665CA" w:rsidRPr="00E665CA" w:rsidTr="00E665CA">
        <w:trPr>
          <w:trHeight w:val="215"/>
        </w:trPr>
        <w:tc>
          <w:tcPr>
            <w:tcW w:w="3384" w:type="dxa"/>
            <w:tcBorders>
              <w:top w:val="nil"/>
              <w:left w:val="single" w:sz="4" w:space="0" w:color="auto"/>
              <w:bottom w:val="single" w:sz="4" w:space="0" w:color="auto"/>
              <w:right w:val="single" w:sz="4" w:space="0" w:color="auto"/>
            </w:tcBorders>
            <w:shd w:val="clear" w:color="000000" w:fill="95B3D7"/>
            <w:noWrap/>
            <w:vAlign w:val="bottom"/>
            <w:hideMark/>
          </w:tcPr>
          <w:p w:rsidR="00E665CA" w:rsidRPr="00E665CA" w:rsidRDefault="00E665CA" w:rsidP="00E665CA">
            <w:pPr>
              <w:rPr>
                <w:rFonts w:ascii="Calibri" w:hAnsi="Calibri"/>
                <w:b/>
                <w:bCs/>
                <w:color w:val="FFFFFF"/>
                <w:sz w:val="22"/>
                <w:szCs w:val="22"/>
              </w:rPr>
            </w:pPr>
            <w:r w:rsidRPr="00E665CA">
              <w:rPr>
                <w:rFonts w:ascii="Calibri" w:hAnsi="Calibri"/>
                <w:b/>
                <w:bCs/>
                <w:color w:val="FFFFFF"/>
                <w:sz w:val="22"/>
                <w:szCs w:val="22"/>
              </w:rPr>
              <w:t> </w:t>
            </w:r>
          </w:p>
        </w:tc>
        <w:tc>
          <w:tcPr>
            <w:tcW w:w="939" w:type="dxa"/>
            <w:tcBorders>
              <w:top w:val="nil"/>
              <w:left w:val="nil"/>
              <w:bottom w:val="single" w:sz="4" w:space="0" w:color="auto"/>
              <w:right w:val="single" w:sz="4" w:space="0" w:color="auto"/>
            </w:tcBorders>
            <w:shd w:val="clear" w:color="000000" w:fill="95B3D7"/>
            <w:noWrap/>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w:t>
            </w:r>
          </w:p>
        </w:tc>
        <w:tc>
          <w:tcPr>
            <w:tcW w:w="1095" w:type="dxa"/>
            <w:tcBorders>
              <w:top w:val="nil"/>
              <w:left w:val="nil"/>
              <w:bottom w:val="single" w:sz="4" w:space="0" w:color="auto"/>
              <w:right w:val="single" w:sz="4" w:space="0" w:color="auto"/>
            </w:tcBorders>
            <w:shd w:val="clear" w:color="000000" w:fill="95B3D7"/>
            <w:noWrap/>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w:t>
            </w:r>
          </w:p>
        </w:tc>
        <w:tc>
          <w:tcPr>
            <w:tcW w:w="939" w:type="dxa"/>
            <w:tcBorders>
              <w:top w:val="nil"/>
              <w:left w:val="nil"/>
              <w:bottom w:val="single" w:sz="4" w:space="0" w:color="auto"/>
              <w:right w:val="single" w:sz="4" w:space="0" w:color="auto"/>
            </w:tcBorders>
            <w:shd w:val="clear" w:color="000000" w:fill="95B3D7"/>
            <w:noWrap/>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w:t>
            </w:r>
          </w:p>
        </w:tc>
        <w:tc>
          <w:tcPr>
            <w:tcW w:w="971" w:type="dxa"/>
            <w:tcBorders>
              <w:top w:val="nil"/>
              <w:left w:val="nil"/>
              <w:bottom w:val="single" w:sz="4" w:space="0" w:color="auto"/>
              <w:right w:val="single" w:sz="4" w:space="0" w:color="auto"/>
            </w:tcBorders>
            <w:shd w:val="clear" w:color="000000" w:fill="95B3D7"/>
            <w:noWrap/>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w:t>
            </w:r>
          </w:p>
        </w:tc>
        <w:tc>
          <w:tcPr>
            <w:tcW w:w="969" w:type="dxa"/>
            <w:tcBorders>
              <w:top w:val="nil"/>
              <w:left w:val="nil"/>
              <w:bottom w:val="single" w:sz="4" w:space="0" w:color="auto"/>
              <w:right w:val="single" w:sz="4" w:space="0" w:color="auto"/>
            </w:tcBorders>
            <w:shd w:val="clear" w:color="000000" w:fill="95B3D7"/>
            <w:noWrap/>
            <w:vAlign w:val="bottom"/>
            <w:hideMark/>
          </w:tcPr>
          <w:p w:rsidR="00E665CA" w:rsidRPr="00E665CA" w:rsidRDefault="00E665CA" w:rsidP="00E665CA">
            <w:pPr>
              <w:jc w:val="center"/>
              <w:rPr>
                <w:rFonts w:ascii="Calibri" w:hAnsi="Calibri"/>
                <w:b/>
                <w:bCs/>
                <w:color w:val="FFFFFF"/>
                <w:sz w:val="22"/>
                <w:szCs w:val="22"/>
              </w:rPr>
            </w:pPr>
            <w:r w:rsidRPr="00E665CA">
              <w:rPr>
                <w:rFonts w:ascii="Calibri" w:hAnsi="Calibri"/>
                <w:b/>
                <w:bCs/>
                <w:color w:val="FFFFFF"/>
                <w:sz w:val="22"/>
                <w:szCs w:val="22"/>
              </w:rPr>
              <w:t>(£)</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Research ethics service</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172</w:t>
            </w:r>
          </w:p>
        </w:tc>
        <w:tc>
          <w:tcPr>
            <w:tcW w:w="1095"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164</w:t>
            </w:r>
          </w:p>
        </w:tc>
        <w:tc>
          <w:tcPr>
            <w:tcW w:w="939"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36%</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-8</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-4</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 xml:space="preserve">HRA Approval </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93</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88</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19%</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-5</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-6</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Confidentiality Advisory Service</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32</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22</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5%</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-10</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-12</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Research systems</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22</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20</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4%</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4</w:t>
            </w:r>
          </w:p>
        </w:tc>
      </w:tr>
      <w:tr w:rsidR="00E665CA" w:rsidRPr="00E665CA" w:rsidTr="00E665CA">
        <w:trPr>
          <w:trHeight w:val="191"/>
        </w:trPr>
        <w:tc>
          <w:tcPr>
            <w:tcW w:w="3384" w:type="dxa"/>
            <w:tcBorders>
              <w:top w:val="single" w:sz="4" w:space="0" w:color="auto"/>
              <w:left w:val="single" w:sz="4" w:space="0" w:color="auto"/>
              <w:bottom w:val="single" w:sz="4" w:space="0" w:color="auto"/>
              <w:right w:val="nil"/>
            </w:tcBorders>
            <w:shd w:val="clear" w:color="auto" w:fill="auto"/>
            <w:vAlign w:val="bottom"/>
            <w:hideMark/>
          </w:tcPr>
          <w:p w:rsidR="00E665CA" w:rsidRPr="00E665CA" w:rsidRDefault="00E665CA" w:rsidP="00E665CA">
            <w:pPr>
              <w:rPr>
                <w:rFonts w:ascii="Calibri" w:hAnsi="Calibri"/>
                <w:b/>
                <w:bCs/>
                <w:color w:val="000000"/>
                <w:sz w:val="22"/>
                <w:szCs w:val="22"/>
              </w:rPr>
            </w:pPr>
            <w:r w:rsidRPr="00E665CA">
              <w:rPr>
                <w:rFonts w:ascii="Calibri" w:hAnsi="Calibri"/>
                <w:b/>
                <w:bCs/>
                <w:color w:val="000000"/>
                <w:sz w:val="22"/>
                <w:szCs w:val="22"/>
              </w:rPr>
              <w:t xml:space="preserve">Total services </w:t>
            </w:r>
          </w:p>
        </w:tc>
        <w:tc>
          <w:tcPr>
            <w:tcW w:w="939" w:type="dxa"/>
            <w:tcBorders>
              <w:top w:val="single" w:sz="4" w:space="0" w:color="auto"/>
              <w:left w:val="single" w:sz="4" w:space="0" w:color="auto"/>
              <w:bottom w:val="single" w:sz="4" w:space="0" w:color="auto"/>
              <w:right w:val="nil"/>
            </w:tcBorders>
            <w:shd w:val="clear" w:color="auto" w:fill="auto"/>
            <w:vAlign w:val="bottom"/>
            <w:hideMark/>
          </w:tcPr>
          <w:p w:rsidR="00E665CA" w:rsidRPr="00E665CA" w:rsidRDefault="00E665CA" w:rsidP="00E665CA">
            <w:pPr>
              <w:jc w:val="right"/>
              <w:rPr>
                <w:rFonts w:ascii="Calibri" w:hAnsi="Calibri"/>
                <w:b/>
                <w:bCs/>
                <w:color w:val="000000"/>
                <w:sz w:val="22"/>
                <w:szCs w:val="22"/>
              </w:rPr>
            </w:pPr>
            <w:r w:rsidRPr="00E665CA">
              <w:rPr>
                <w:rFonts w:ascii="Calibri" w:hAnsi="Calibri"/>
                <w:b/>
                <w:bCs/>
                <w:color w:val="000000"/>
                <w:sz w:val="22"/>
                <w:szCs w:val="22"/>
              </w:rPr>
              <w:t>320</w:t>
            </w:r>
          </w:p>
        </w:tc>
        <w:tc>
          <w:tcPr>
            <w:tcW w:w="1095" w:type="dxa"/>
            <w:tcBorders>
              <w:top w:val="single" w:sz="4" w:space="0" w:color="auto"/>
              <w:left w:val="single" w:sz="4" w:space="0" w:color="auto"/>
              <w:bottom w:val="single" w:sz="4" w:space="0" w:color="auto"/>
              <w:right w:val="nil"/>
            </w:tcBorders>
            <w:shd w:val="clear" w:color="auto" w:fill="auto"/>
            <w:vAlign w:val="bottom"/>
            <w:hideMark/>
          </w:tcPr>
          <w:p w:rsidR="00E665CA" w:rsidRPr="00E665CA" w:rsidRDefault="00E665CA" w:rsidP="00E665CA">
            <w:pPr>
              <w:jc w:val="right"/>
              <w:rPr>
                <w:rFonts w:ascii="Calibri" w:hAnsi="Calibri"/>
                <w:b/>
                <w:bCs/>
                <w:color w:val="000000"/>
                <w:sz w:val="22"/>
                <w:szCs w:val="22"/>
              </w:rPr>
            </w:pPr>
            <w:r w:rsidRPr="00E665CA">
              <w:rPr>
                <w:rFonts w:ascii="Calibri" w:hAnsi="Calibri"/>
                <w:b/>
                <w:bCs/>
                <w:color w:val="000000"/>
                <w:sz w:val="22"/>
                <w:szCs w:val="22"/>
              </w:rPr>
              <w:t>295</w:t>
            </w:r>
          </w:p>
        </w:tc>
        <w:tc>
          <w:tcPr>
            <w:tcW w:w="939" w:type="dxa"/>
            <w:tcBorders>
              <w:top w:val="single" w:sz="4" w:space="0" w:color="auto"/>
              <w:left w:val="single" w:sz="4" w:space="0" w:color="auto"/>
              <w:bottom w:val="single" w:sz="4" w:space="0" w:color="auto"/>
              <w:right w:val="nil"/>
            </w:tcBorders>
            <w:shd w:val="clear" w:color="auto" w:fill="auto"/>
            <w:vAlign w:val="bottom"/>
            <w:hideMark/>
          </w:tcPr>
          <w:p w:rsidR="00E665CA" w:rsidRPr="00E665CA" w:rsidRDefault="00E665CA" w:rsidP="00E665CA">
            <w:pPr>
              <w:jc w:val="right"/>
              <w:rPr>
                <w:rFonts w:ascii="Calibri" w:hAnsi="Calibri"/>
                <w:b/>
                <w:bCs/>
                <w:color w:val="000000"/>
                <w:sz w:val="22"/>
                <w:szCs w:val="22"/>
              </w:rPr>
            </w:pPr>
            <w:r w:rsidRPr="00E665CA">
              <w:rPr>
                <w:rFonts w:ascii="Calibri" w:hAnsi="Calibri"/>
                <w:b/>
                <w:bCs/>
                <w:color w:val="000000"/>
                <w:sz w:val="22"/>
                <w:szCs w:val="22"/>
              </w:rPr>
              <w:t>64%</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5CA" w:rsidRPr="00E665CA" w:rsidRDefault="00E665CA" w:rsidP="00E665CA">
            <w:pPr>
              <w:jc w:val="right"/>
              <w:rPr>
                <w:rFonts w:ascii="Calibri" w:hAnsi="Calibri"/>
                <w:b/>
                <w:bCs/>
                <w:color w:val="000000"/>
                <w:sz w:val="22"/>
                <w:szCs w:val="22"/>
              </w:rPr>
            </w:pPr>
            <w:r w:rsidRPr="00E665CA">
              <w:rPr>
                <w:rFonts w:ascii="Calibri" w:hAnsi="Calibri"/>
                <w:b/>
                <w:bCs/>
                <w:color w:val="000000"/>
                <w:sz w:val="22"/>
                <w:szCs w:val="22"/>
              </w:rPr>
              <w:t>-25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65CA" w:rsidRPr="00E665CA" w:rsidRDefault="00E665CA" w:rsidP="00E665CA">
            <w:pPr>
              <w:jc w:val="right"/>
              <w:rPr>
                <w:rFonts w:ascii="Calibri" w:hAnsi="Calibri"/>
                <w:b/>
                <w:bCs/>
                <w:color w:val="000000"/>
                <w:sz w:val="22"/>
                <w:szCs w:val="22"/>
              </w:rPr>
            </w:pPr>
            <w:r w:rsidRPr="00E665CA">
              <w:rPr>
                <w:rFonts w:ascii="Calibri" w:hAnsi="Calibri"/>
                <w:b/>
                <w:bCs/>
                <w:color w:val="000000"/>
                <w:sz w:val="22"/>
                <w:szCs w:val="22"/>
              </w:rPr>
              <w:t>-17</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 xml:space="preserve">Chief Executive ( </w:t>
            </w:r>
            <w:proofErr w:type="spellStart"/>
            <w:r w:rsidRPr="00E665CA">
              <w:rPr>
                <w:rFonts w:ascii="Calibri" w:hAnsi="Calibri"/>
                <w:color w:val="000000"/>
                <w:sz w:val="22"/>
                <w:szCs w:val="22"/>
              </w:rPr>
              <w:t>inc</w:t>
            </w:r>
            <w:proofErr w:type="spellEnd"/>
            <w:r w:rsidRPr="00E665CA">
              <w:rPr>
                <w:rFonts w:ascii="Calibri" w:hAnsi="Calibri"/>
                <w:color w:val="000000"/>
                <w:sz w:val="22"/>
                <w:szCs w:val="22"/>
              </w:rPr>
              <w:t xml:space="preserve"> Governance )</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35</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28</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6%</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-8</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-12</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Policy</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24</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23</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5%</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Corporate Services</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44</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49</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11%</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4</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6</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Finance, Procurement and Estates</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9</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7</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-2</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0</w:t>
            </w:r>
          </w:p>
        </w:tc>
      </w:tr>
      <w:tr w:rsidR="00E665CA" w:rsidRPr="00E665CA" w:rsidTr="00E665CA">
        <w:trPr>
          <w:trHeight w:val="191"/>
        </w:trPr>
        <w:tc>
          <w:tcPr>
            <w:tcW w:w="3384" w:type="dxa"/>
            <w:tcBorders>
              <w:top w:val="nil"/>
              <w:left w:val="single" w:sz="4" w:space="0" w:color="auto"/>
              <w:bottom w:val="nil"/>
              <w:right w:val="nil"/>
            </w:tcBorders>
            <w:shd w:val="clear" w:color="auto" w:fill="auto"/>
            <w:vAlign w:val="bottom"/>
            <w:hideMark/>
          </w:tcPr>
          <w:p w:rsidR="00E665CA" w:rsidRPr="00E665CA" w:rsidRDefault="00E665CA" w:rsidP="00E665CA">
            <w:pPr>
              <w:rPr>
                <w:rFonts w:ascii="Calibri" w:hAnsi="Calibri"/>
                <w:color w:val="000000"/>
                <w:sz w:val="22"/>
                <w:szCs w:val="22"/>
              </w:rPr>
            </w:pPr>
            <w:r w:rsidRPr="00E665CA">
              <w:rPr>
                <w:rFonts w:ascii="Calibri" w:hAnsi="Calibri"/>
                <w:color w:val="000000"/>
                <w:sz w:val="22"/>
                <w:szCs w:val="22"/>
              </w:rPr>
              <w:t>Training Service</w:t>
            </w:r>
          </w:p>
        </w:tc>
        <w:tc>
          <w:tcPr>
            <w:tcW w:w="939" w:type="dxa"/>
            <w:tcBorders>
              <w:top w:val="nil"/>
              <w:left w:val="single" w:sz="4" w:space="0" w:color="auto"/>
              <w:bottom w:val="nil"/>
              <w:right w:val="nil"/>
            </w:tcBorders>
            <w:shd w:val="clear" w:color="auto" w:fill="auto"/>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55</w:t>
            </w:r>
          </w:p>
        </w:tc>
        <w:tc>
          <w:tcPr>
            <w:tcW w:w="1095" w:type="dxa"/>
            <w:tcBorders>
              <w:top w:val="nil"/>
              <w:left w:val="single" w:sz="4" w:space="0" w:color="auto"/>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60</w:t>
            </w:r>
          </w:p>
        </w:tc>
        <w:tc>
          <w:tcPr>
            <w:tcW w:w="93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13%</w:t>
            </w:r>
          </w:p>
        </w:tc>
        <w:tc>
          <w:tcPr>
            <w:tcW w:w="971"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5</w:t>
            </w:r>
          </w:p>
        </w:tc>
        <w:tc>
          <w:tcPr>
            <w:tcW w:w="969" w:type="dxa"/>
            <w:tcBorders>
              <w:top w:val="nil"/>
              <w:left w:val="nil"/>
              <w:bottom w:val="nil"/>
              <w:right w:val="single" w:sz="4" w:space="0" w:color="auto"/>
            </w:tcBorders>
            <w:shd w:val="clear" w:color="auto" w:fill="auto"/>
            <w:noWrap/>
            <w:vAlign w:val="bottom"/>
            <w:hideMark/>
          </w:tcPr>
          <w:p w:rsidR="00E665CA" w:rsidRPr="00E665CA" w:rsidRDefault="00E665CA" w:rsidP="00E665CA">
            <w:pPr>
              <w:jc w:val="right"/>
              <w:rPr>
                <w:rFonts w:ascii="Calibri" w:hAnsi="Calibri"/>
                <w:color w:val="000000"/>
                <w:sz w:val="22"/>
                <w:szCs w:val="22"/>
              </w:rPr>
            </w:pPr>
            <w:r w:rsidRPr="00E665CA">
              <w:rPr>
                <w:rFonts w:ascii="Calibri" w:hAnsi="Calibri"/>
                <w:color w:val="000000"/>
                <w:sz w:val="22"/>
                <w:szCs w:val="22"/>
              </w:rPr>
              <w:t>0</w:t>
            </w:r>
          </w:p>
        </w:tc>
      </w:tr>
      <w:tr w:rsidR="00E665CA" w:rsidRPr="00E665CA" w:rsidTr="00E665CA">
        <w:trPr>
          <w:trHeight w:val="191"/>
        </w:trPr>
        <w:tc>
          <w:tcPr>
            <w:tcW w:w="3384" w:type="dxa"/>
            <w:tcBorders>
              <w:top w:val="nil"/>
              <w:left w:val="single" w:sz="4" w:space="0" w:color="auto"/>
              <w:bottom w:val="single" w:sz="4" w:space="0" w:color="auto"/>
              <w:right w:val="single" w:sz="4" w:space="0" w:color="auto"/>
            </w:tcBorders>
            <w:shd w:val="clear" w:color="000000" w:fill="365F91"/>
            <w:noWrap/>
            <w:vAlign w:val="bottom"/>
            <w:hideMark/>
          </w:tcPr>
          <w:p w:rsidR="00E665CA" w:rsidRPr="00E665CA" w:rsidRDefault="00E665CA" w:rsidP="00E665CA">
            <w:pPr>
              <w:rPr>
                <w:rFonts w:ascii="Calibri" w:hAnsi="Calibri"/>
                <w:b/>
                <w:bCs/>
                <w:color w:val="FFFFFF"/>
                <w:sz w:val="22"/>
                <w:szCs w:val="22"/>
              </w:rPr>
            </w:pPr>
            <w:r w:rsidRPr="00E665CA">
              <w:rPr>
                <w:rFonts w:ascii="Calibri" w:hAnsi="Calibri"/>
                <w:b/>
                <w:bCs/>
                <w:color w:val="FFFFFF"/>
                <w:sz w:val="22"/>
                <w:szCs w:val="22"/>
              </w:rPr>
              <w:t>Total</w:t>
            </w:r>
          </w:p>
        </w:tc>
        <w:tc>
          <w:tcPr>
            <w:tcW w:w="939" w:type="dxa"/>
            <w:tcBorders>
              <w:top w:val="nil"/>
              <w:left w:val="nil"/>
              <w:bottom w:val="single" w:sz="4" w:space="0" w:color="auto"/>
              <w:right w:val="single" w:sz="4" w:space="0" w:color="auto"/>
            </w:tcBorders>
            <w:shd w:val="clear" w:color="000000" w:fill="365F91"/>
            <w:noWrap/>
            <w:vAlign w:val="bottom"/>
            <w:hideMark/>
          </w:tcPr>
          <w:p w:rsidR="00E665CA" w:rsidRPr="00E665CA" w:rsidRDefault="00E665CA" w:rsidP="00E665CA">
            <w:pPr>
              <w:jc w:val="right"/>
              <w:rPr>
                <w:rFonts w:ascii="Calibri" w:hAnsi="Calibri"/>
                <w:b/>
                <w:bCs/>
                <w:color w:val="FFFFFF"/>
                <w:sz w:val="22"/>
                <w:szCs w:val="22"/>
              </w:rPr>
            </w:pPr>
            <w:r w:rsidRPr="00E665CA">
              <w:rPr>
                <w:rFonts w:ascii="Calibri" w:hAnsi="Calibri"/>
                <w:b/>
                <w:bCs/>
                <w:color w:val="FFFFFF"/>
                <w:sz w:val="22"/>
                <w:szCs w:val="22"/>
              </w:rPr>
              <w:t>487</w:t>
            </w:r>
          </w:p>
        </w:tc>
        <w:tc>
          <w:tcPr>
            <w:tcW w:w="1095" w:type="dxa"/>
            <w:tcBorders>
              <w:top w:val="nil"/>
              <w:left w:val="nil"/>
              <w:bottom w:val="single" w:sz="4" w:space="0" w:color="auto"/>
              <w:right w:val="single" w:sz="4" w:space="0" w:color="auto"/>
            </w:tcBorders>
            <w:shd w:val="clear" w:color="000000" w:fill="365F91"/>
            <w:noWrap/>
            <w:vAlign w:val="bottom"/>
            <w:hideMark/>
          </w:tcPr>
          <w:p w:rsidR="00E665CA" w:rsidRPr="00E665CA" w:rsidRDefault="00E665CA" w:rsidP="00E665CA">
            <w:pPr>
              <w:jc w:val="right"/>
              <w:rPr>
                <w:rFonts w:ascii="Calibri" w:hAnsi="Calibri"/>
                <w:b/>
                <w:bCs/>
                <w:color w:val="FFFFFF"/>
                <w:sz w:val="22"/>
                <w:szCs w:val="22"/>
              </w:rPr>
            </w:pPr>
            <w:r w:rsidRPr="00E665CA">
              <w:rPr>
                <w:rFonts w:ascii="Calibri" w:hAnsi="Calibri"/>
                <w:b/>
                <w:bCs/>
                <w:color w:val="FFFFFF"/>
                <w:sz w:val="22"/>
                <w:szCs w:val="22"/>
              </w:rPr>
              <w:t>461</w:t>
            </w:r>
          </w:p>
        </w:tc>
        <w:tc>
          <w:tcPr>
            <w:tcW w:w="939" w:type="dxa"/>
            <w:tcBorders>
              <w:top w:val="nil"/>
              <w:left w:val="nil"/>
              <w:bottom w:val="single" w:sz="4" w:space="0" w:color="auto"/>
              <w:right w:val="single" w:sz="4" w:space="0" w:color="auto"/>
            </w:tcBorders>
            <w:shd w:val="clear" w:color="000000" w:fill="365F91"/>
            <w:noWrap/>
            <w:vAlign w:val="bottom"/>
            <w:hideMark/>
          </w:tcPr>
          <w:p w:rsidR="00E665CA" w:rsidRPr="00E665CA" w:rsidRDefault="00E665CA" w:rsidP="00E665CA">
            <w:pPr>
              <w:jc w:val="right"/>
              <w:rPr>
                <w:rFonts w:ascii="Calibri" w:hAnsi="Calibri"/>
                <w:b/>
                <w:bCs/>
                <w:color w:val="FFFFFF"/>
                <w:sz w:val="22"/>
                <w:szCs w:val="22"/>
              </w:rPr>
            </w:pPr>
            <w:r w:rsidRPr="00E665CA">
              <w:rPr>
                <w:rFonts w:ascii="Calibri" w:hAnsi="Calibri"/>
                <w:b/>
                <w:bCs/>
                <w:color w:val="FFFFFF"/>
                <w:sz w:val="22"/>
                <w:szCs w:val="22"/>
              </w:rPr>
              <w:t>100%</w:t>
            </w:r>
          </w:p>
        </w:tc>
        <w:tc>
          <w:tcPr>
            <w:tcW w:w="971" w:type="dxa"/>
            <w:tcBorders>
              <w:top w:val="nil"/>
              <w:left w:val="nil"/>
              <w:bottom w:val="single" w:sz="4" w:space="0" w:color="auto"/>
              <w:right w:val="single" w:sz="4" w:space="0" w:color="auto"/>
            </w:tcBorders>
            <w:shd w:val="clear" w:color="000000" w:fill="365F91"/>
            <w:noWrap/>
            <w:vAlign w:val="bottom"/>
            <w:hideMark/>
          </w:tcPr>
          <w:p w:rsidR="00E665CA" w:rsidRPr="00E665CA" w:rsidRDefault="00E665CA" w:rsidP="00E665CA">
            <w:pPr>
              <w:jc w:val="right"/>
              <w:rPr>
                <w:rFonts w:ascii="Calibri" w:hAnsi="Calibri"/>
                <w:b/>
                <w:bCs/>
                <w:color w:val="FFFFFF"/>
                <w:sz w:val="22"/>
                <w:szCs w:val="22"/>
              </w:rPr>
            </w:pPr>
            <w:r w:rsidRPr="00E665CA">
              <w:rPr>
                <w:rFonts w:ascii="Calibri" w:hAnsi="Calibri"/>
                <w:b/>
                <w:bCs/>
                <w:color w:val="FFFFFF"/>
                <w:sz w:val="22"/>
                <w:szCs w:val="22"/>
              </w:rPr>
              <w:t>-26</w:t>
            </w:r>
          </w:p>
        </w:tc>
        <w:tc>
          <w:tcPr>
            <w:tcW w:w="969" w:type="dxa"/>
            <w:tcBorders>
              <w:top w:val="nil"/>
              <w:left w:val="nil"/>
              <w:bottom w:val="single" w:sz="4" w:space="0" w:color="auto"/>
              <w:right w:val="single" w:sz="4" w:space="0" w:color="auto"/>
            </w:tcBorders>
            <w:shd w:val="clear" w:color="000000" w:fill="365F91"/>
            <w:noWrap/>
            <w:vAlign w:val="bottom"/>
            <w:hideMark/>
          </w:tcPr>
          <w:p w:rsidR="00E665CA" w:rsidRPr="00E665CA" w:rsidRDefault="00E665CA" w:rsidP="00E665CA">
            <w:pPr>
              <w:jc w:val="right"/>
              <w:rPr>
                <w:rFonts w:ascii="Calibri" w:hAnsi="Calibri"/>
                <w:b/>
                <w:bCs/>
                <w:color w:val="FFFFFF"/>
                <w:sz w:val="22"/>
                <w:szCs w:val="22"/>
              </w:rPr>
            </w:pPr>
            <w:r w:rsidRPr="00E665CA">
              <w:rPr>
                <w:rFonts w:ascii="Calibri" w:hAnsi="Calibri"/>
                <w:b/>
                <w:bCs/>
                <w:color w:val="FFFFFF"/>
                <w:sz w:val="22"/>
                <w:szCs w:val="22"/>
              </w:rPr>
              <w:t>-25</w:t>
            </w:r>
          </w:p>
        </w:tc>
      </w:tr>
    </w:tbl>
    <w:p w:rsidR="00034EFD" w:rsidRDefault="00034EFD" w:rsidP="007C5117">
      <w:pPr>
        <w:spacing w:after="200" w:line="276" w:lineRule="auto"/>
        <w:rPr>
          <w:rFonts w:ascii="Arial" w:hAnsi="Arial" w:cs="Arial"/>
          <w:b/>
          <w:sz w:val="22"/>
          <w:szCs w:val="22"/>
        </w:rPr>
      </w:pPr>
    </w:p>
    <w:p w:rsidR="00426F4E" w:rsidRDefault="00E87F9E" w:rsidP="007C5117">
      <w:pPr>
        <w:spacing w:after="200" w:line="276" w:lineRule="auto"/>
        <w:rPr>
          <w:rFonts w:ascii="Arial" w:hAnsi="Arial" w:cs="Arial"/>
          <w:sz w:val="22"/>
          <w:szCs w:val="22"/>
        </w:rPr>
      </w:pPr>
      <w:r w:rsidRPr="00E87F9E">
        <w:rPr>
          <w:rFonts w:ascii="Arial" w:hAnsi="Arial" w:cs="Arial"/>
          <w:b/>
          <w:sz w:val="22"/>
          <w:szCs w:val="22"/>
        </w:rPr>
        <w:t>Reserves</w:t>
      </w:r>
      <w:r>
        <w:rPr>
          <w:rFonts w:ascii="Arial" w:hAnsi="Arial" w:cs="Arial"/>
          <w:sz w:val="22"/>
          <w:szCs w:val="22"/>
        </w:rPr>
        <w:t xml:space="preserve"> </w:t>
      </w:r>
    </w:p>
    <w:p w:rsidR="00D81266" w:rsidRDefault="009952BD" w:rsidP="00B6332D">
      <w:pPr>
        <w:spacing w:after="200" w:line="276" w:lineRule="auto"/>
        <w:rPr>
          <w:rFonts w:ascii="Arial" w:hAnsi="Arial" w:cs="Arial"/>
          <w:sz w:val="22"/>
          <w:szCs w:val="22"/>
        </w:rPr>
      </w:pPr>
      <w:r>
        <w:rPr>
          <w:rFonts w:ascii="Arial" w:hAnsi="Arial" w:cs="Arial"/>
          <w:sz w:val="22"/>
          <w:szCs w:val="22"/>
        </w:rPr>
        <w:t>Reser</w:t>
      </w:r>
      <w:r w:rsidR="00E94059">
        <w:rPr>
          <w:rFonts w:ascii="Arial" w:hAnsi="Arial" w:cs="Arial"/>
          <w:sz w:val="22"/>
          <w:szCs w:val="22"/>
        </w:rPr>
        <w:t xml:space="preserve">ves </w:t>
      </w:r>
      <w:r w:rsidR="00D81266">
        <w:rPr>
          <w:rFonts w:ascii="Arial" w:hAnsi="Arial" w:cs="Arial"/>
          <w:sz w:val="22"/>
          <w:szCs w:val="22"/>
        </w:rPr>
        <w:t>continue to be</w:t>
      </w:r>
      <w:r w:rsidR="00E94059">
        <w:rPr>
          <w:rFonts w:ascii="Arial" w:hAnsi="Arial" w:cs="Arial"/>
          <w:sz w:val="22"/>
          <w:szCs w:val="22"/>
        </w:rPr>
        <w:t xml:space="preserve"> closely monitored by the senior leadership team on a fortnightly basis. </w:t>
      </w:r>
      <w:r w:rsidR="0024579F">
        <w:rPr>
          <w:rFonts w:ascii="Arial" w:hAnsi="Arial" w:cs="Arial"/>
          <w:sz w:val="22"/>
          <w:szCs w:val="22"/>
        </w:rPr>
        <w:t xml:space="preserve">Any changes to our forecast position are considered and funds </w:t>
      </w:r>
      <w:r w:rsidR="00F923B0">
        <w:rPr>
          <w:rFonts w:ascii="Arial" w:hAnsi="Arial" w:cs="Arial"/>
          <w:sz w:val="22"/>
          <w:szCs w:val="22"/>
        </w:rPr>
        <w:t xml:space="preserve">(if available) </w:t>
      </w:r>
      <w:r w:rsidR="0024579F">
        <w:rPr>
          <w:rFonts w:ascii="Arial" w:hAnsi="Arial" w:cs="Arial"/>
          <w:sz w:val="22"/>
          <w:szCs w:val="22"/>
        </w:rPr>
        <w:t>reallocated to strategic prior</w:t>
      </w:r>
      <w:r w:rsidR="005301DF">
        <w:rPr>
          <w:rFonts w:ascii="Arial" w:hAnsi="Arial" w:cs="Arial"/>
          <w:sz w:val="22"/>
          <w:szCs w:val="22"/>
        </w:rPr>
        <w:t>ity projects where appropriate.</w:t>
      </w:r>
      <w:r w:rsidR="002A703A">
        <w:rPr>
          <w:rFonts w:ascii="Arial" w:hAnsi="Arial" w:cs="Arial"/>
          <w:sz w:val="22"/>
          <w:szCs w:val="22"/>
        </w:rPr>
        <w:t xml:space="preserve"> </w:t>
      </w:r>
      <w:r w:rsidR="00D81266">
        <w:rPr>
          <w:rFonts w:ascii="Arial" w:hAnsi="Arial" w:cs="Arial"/>
          <w:sz w:val="22"/>
          <w:szCs w:val="22"/>
        </w:rPr>
        <w:t xml:space="preserve">Further strategic investment has been targeted at supporting the transformation programme and reducing our cost base in future years. </w:t>
      </w:r>
    </w:p>
    <w:p w:rsidR="00D81266" w:rsidRPr="00E94059" w:rsidRDefault="00D81266" w:rsidP="00D81266">
      <w:pPr>
        <w:spacing w:line="276" w:lineRule="auto"/>
        <w:rPr>
          <w:rFonts w:ascii="Arial" w:hAnsi="Arial" w:cs="Arial"/>
          <w:b/>
          <w:sz w:val="22"/>
          <w:szCs w:val="22"/>
        </w:rPr>
      </w:pPr>
      <w:r w:rsidRPr="00E94059">
        <w:rPr>
          <w:rFonts w:ascii="Arial" w:hAnsi="Arial" w:cs="Arial"/>
          <w:b/>
          <w:sz w:val="22"/>
          <w:szCs w:val="22"/>
        </w:rPr>
        <w:t>Strategic aims key:</w:t>
      </w:r>
    </w:p>
    <w:tbl>
      <w:tblPr>
        <w:tblW w:w="9026" w:type="dxa"/>
        <w:tblInd w:w="108" w:type="dxa"/>
        <w:tblLook w:val="04A0" w:firstRow="1" w:lastRow="0" w:firstColumn="1" w:lastColumn="0" w:noHBand="0" w:noVBand="1"/>
      </w:tblPr>
      <w:tblGrid>
        <w:gridCol w:w="9026"/>
      </w:tblGrid>
      <w:tr w:rsidR="00D81266" w:rsidRPr="00E94059" w:rsidTr="00395DD6">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395DD6">
            <w:pPr>
              <w:rPr>
                <w:rFonts w:ascii="Arial" w:hAnsi="Arial" w:cs="Arial"/>
                <w:sz w:val="22"/>
                <w:szCs w:val="22"/>
              </w:rPr>
            </w:pPr>
            <w:r w:rsidRPr="00E94059">
              <w:rPr>
                <w:rFonts w:ascii="Arial" w:hAnsi="Arial" w:cs="Arial"/>
                <w:sz w:val="22"/>
                <w:szCs w:val="22"/>
              </w:rPr>
              <w:t>1. Championing health and social care research</w:t>
            </w:r>
          </w:p>
        </w:tc>
      </w:tr>
      <w:tr w:rsidR="00D81266" w:rsidRPr="00E94059" w:rsidTr="00395DD6">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395DD6">
            <w:pPr>
              <w:rPr>
                <w:rFonts w:ascii="Arial" w:hAnsi="Arial" w:cs="Arial"/>
                <w:sz w:val="22"/>
                <w:szCs w:val="22"/>
              </w:rPr>
            </w:pPr>
            <w:r w:rsidRPr="00E94059">
              <w:rPr>
                <w:rFonts w:ascii="Arial" w:hAnsi="Arial" w:cs="Arial"/>
                <w:sz w:val="22"/>
                <w:szCs w:val="22"/>
              </w:rPr>
              <w:t>2. Leading improvements that make it easier to conduct high quality research in the UK</w:t>
            </w:r>
          </w:p>
        </w:tc>
      </w:tr>
      <w:tr w:rsidR="00D81266" w:rsidRPr="00E94059" w:rsidTr="00395DD6">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395DD6">
            <w:pPr>
              <w:rPr>
                <w:rFonts w:ascii="Arial" w:hAnsi="Arial" w:cs="Arial"/>
                <w:sz w:val="22"/>
                <w:szCs w:val="22"/>
              </w:rPr>
            </w:pPr>
            <w:r w:rsidRPr="00E94059">
              <w:rPr>
                <w:rFonts w:ascii="Arial" w:hAnsi="Arial" w:cs="Arial"/>
                <w:sz w:val="22"/>
                <w:szCs w:val="22"/>
              </w:rPr>
              <w:t>3. Develop a pro-active, strategicall</w:t>
            </w:r>
            <w:r>
              <w:rPr>
                <w:rFonts w:ascii="Arial" w:hAnsi="Arial" w:cs="Arial"/>
                <w:sz w:val="22"/>
                <w:szCs w:val="22"/>
              </w:rPr>
              <w:t>y</w:t>
            </w:r>
            <w:r w:rsidRPr="00E94059">
              <w:rPr>
                <w:rFonts w:ascii="Arial" w:hAnsi="Arial" w:cs="Arial"/>
                <w:sz w:val="22"/>
                <w:szCs w:val="22"/>
              </w:rPr>
              <w:t xml:space="preserve"> focussed organisation</w:t>
            </w:r>
          </w:p>
        </w:tc>
      </w:tr>
      <w:tr w:rsidR="00D81266" w:rsidRPr="00E94059" w:rsidTr="00395DD6">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395DD6">
            <w:pPr>
              <w:rPr>
                <w:rFonts w:ascii="Arial" w:hAnsi="Arial" w:cs="Arial"/>
                <w:sz w:val="22"/>
                <w:szCs w:val="22"/>
              </w:rPr>
            </w:pPr>
            <w:r w:rsidRPr="00E94059">
              <w:rPr>
                <w:rFonts w:ascii="Arial" w:hAnsi="Arial" w:cs="Arial"/>
                <w:sz w:val="22"/>
                <w:szCs w:val="22"/>
              </w:rPr>
              <w:t>4. Capitalising upon technological and data development</w:t>
            </w:r>
          </w:p>
        </w:tc>
      </w:tr>
      <w:tr w:rsidR="00D81266" w:rsidRPr="00E94059" w:rsidTr="00395DD6">
        <w:trPr>
          <w:trHeight w:val="300"/>
        </w:trPr>
        <w:tc>
          <w:tcPr>
            <w:tcW w:w="9026" w:type="dxa"/>
            <w:tcBorders>
              <w:top w:val="nil"/>
              <w:left w:val="nil"/>
              <w:bottom w:val="nil"/>
              <w:right w:val="nil"/>
            </w:tcBorders>
            <w:shd w:val="clear" w:color="auto" w:fill="auto"/>
            <w:noWrap/>
            <w:vAlign w:val="bottom"/>
            <w:hideMark/>
          </w:tcPr>
          <w:p w:rsidR="00D81266" w:rsidRPr="00E94059" w:rsidRDefault="00D81266" w:rsidP="00395DD6">
            <w:pPr>
              <w:rPr>
                <w:rFonts w:ascii="Arial" w:hAnsi="Arial" w:cs="Arial"/>
                <w:sz w:val="22"/>
                <w:szCs w:val="22"/>
              </w:rPr>
            </w:pPr>
            <w:r w:rsidRPr="00E94059">
              <w:rPr>
                <w:rFonts w:ascii="Arial" w:hAnsi="Arial" w:cs="Arial"/>
                <w:sz w:val="22"/>
                <w:szCs w:val="22"/>
              </w:rPr>
              <w:t>5. Ensuring the HRA is managed and governed effectively and provides value for money for the tax payer</w:t>
            </w:r>
          </w:p>
        </w:tc>
      </w:tr>
    </w:tbl>
    <w:p w:rsidR="00D81266" w:rsidRDefault="00D81266" w:rsidP="00B6332D">
      <w:pPr>
        <w:spacing w:after="200" w:line="276" w:lineRule="auto"/>
        <w:rPr>
          <w:rFonts w:ascii="Arial" w:hAnsi="Arial" w:cs="Arial"/>
          <w:sz w:val="22"/>
          <w:szCs w:val="22"/>
        </w:rPr>
      </w:pPr>
    </w:p>
    <w:p w:rsidR="00D81266" w:rsidRDefault="00D81266" w:rsidP="00B6332D">
      <w:pPr>
        <w:spacing w:after="200" w:line="276" w:lineRule="auto"/>
        <w:rPr>
          <w:rFonts w:ascii="Arial" w:hAnsi="Arial" w:cs="Arial"/>
          <w:sz w:val="22"/>
          <w:szCs w:val="22"/>
        </w:rPr>
      </w:pPr>
    </w:p>
    <w:p w:rsidR="00D81266" w:rsidRDefault="00D81266" w:rsidP="00B6332D">
      <w:pPr>
        <w:spacing w:after="200" w:line="276" w:lineRule="auto"/>
        <w:rPr>
          <w:rFonts w:ascii="Arial" w:hAnsi="Arial" w:cs="Arial"/>
          <w:sz w:val="22"/>
          <w:szCs w:val="22"/>
        </w:rPr>
      </w:pPr>
    </w:p>
    <w:tbl>
      <w:tblPr>
        <w:tblW w:w="10420" w:type="dxa"/>
        <w:tblInd w:w="98" w:type="dxa"/>
        <w:tblLook w:val="04A0" w:firstRow="1" w:lastRow="0" w:firstColumn="1" w:lastColumn="0" w:noHBand="0" w:noVBand="1"/>
      </w:tblPr>
      <w:tblGrid>
        <w:gridCol w:w="4660"/>
        <w:gridCol w:w="960"/>
        <w:gridCol w:w="960"/>
        <w:gridCol w:w="960"/>
        <w:gridCol w:w="960"/>
        <w:gridCol w:w="960"/>
        <w:gridCol w:w="960"/>
      </w:tblGrid>
      <w:tr w:rsidR="00B6332D" w:rsidRPr="00E94059" w:rsidTr="00307BC8">
        <w:trPr>
          <w:trHeight w:val="315"/>
        </w:trPr>
        <w:tc>
          <w:tcPr>
            <w:tcW w:w="4660" w:type="dxa"/>
            <w:tcBorders>
              <w:bottom w:val="single" w:sz="8" w:space="0" w:color="auto"/>
            </w:tcBorders>
            <w:shd w:val="clear" w:color="auto" w:fill="auto"/>
            <w:noWrap/>
            <w:vAlign w:val="bottom"/>
          </w:tcPr>
          <w:p w:rsidR="00B6332D" w:rsidRPr="00E94059" w:rsidRDefault="00B6332D" w:rsidP="00307BC8">
            <w:pPr>
              <w:rPr>
                <w:rFonts w:ascii="Calibri" w:hAnsi="Calibri"/>
                <w:color w:val="000000"/>
                <w:sz w:val="22"/>
                <w:szCs w:val="22"/>
              </w:rPr>
            </w:pPr>
          </w:p>
        </w:tc>
        <w:tc>
          <w:tcPr>
            <w:tcW w:w="960" w:type="dxa"/>
            <w:tcBorders>
              <w:bottom w:val="single" w:sz="8" w:space="0" w:color="auto"/>
              <w:right w:val="single" w:sz="8" w:space="0" w:color="auto"/>
            </w:tcBorders>
            <w:shd w:val="clear" w:color="auto" w:fill="auto"/>
            <w:noWrap/>
            <w:vAlign w:val="bottom"/>
          </w:tcPr>
          <w:p w:rsidR="00B6332D" w:rsidRPr="00E94059" w:rsidRDefault="00B6332D" w:rsidP="00307BC8">
            <w:pPr>
              <w:rPr>
                <w:rFonts w:ascii="Calibri" w:hAnsi="Calibri"/>
                <w:color w:val="000000"/>
                <w:sz w:val="22"/>
                <w:szCs w:val="22"/>
              </w:rPr>
            </w:pPr>
          </w:p>
        </w:tc>
        <w:tc>
          <w:tcPr>
            <w:tcW w:w="4800" w:type="dxa"/>
            <w:gridSpan w:val="5"/>
            <w:tcBorders>
              <w:top w:val="single" w:sz="4" w:space="0" w:color="auto"/>
              <w:left w:val="nil"/>
              <w:bottom w:val="single" w:sz="8" w:space="0" w:color="auto"/>
              <w:right w:val="single" w:sz="8" w:space="0" w:color="auto"/>
            </w:tcBorders>
            <w:shd w:val="clear" w:color="auto" w:fill="auto"/>
            <w:noWrap/>
            <w:vAlign w:val="bottom"/>
          </w:tcPr>
          <w:p w:rsidR="00B6332D" w:rsidRPr="00E94059" w:rsidRDefault="00B6332D" w:rsidP="00307BC8">
            <w:pPr>
              <w:jc w:val="center"/>
              <w:rPr>
                <w:rFonts w:ascii="Calibri" w:hAnsi="Calibri"/>
                <w:b/>
                <w:bCs/>
                <w:color w:val="000000"/>
                <w:sz w:val="22"/>
                <w:szCs w:val="22"/>
              </w:rPr>
            </w:pPr>
            <w:r>
              <w:rPr>
                <w:rFonts w:ascii="Calibri" w:hAnsi="Calibri"/>
                <w:b/>
                <w:bCs/>
                <w:color w:val="000000"/>
                <w:sz w:val="22"/>
                <w:szCs w:val="22"/>
              </w:rPr>
              <w:t>Strategic aims</w:t>
            </w:r>
          </w:p>
        </w:tc>
      </w:tr>
      <w:tr w:rsidR="00B6332D" w:rsidRPr="00E94059" w:rsidTr="00307BC8">
        <w:trPr>
          <w:trHeight w:val="315"/>
        </w:trPr>
        <w:tc>
          <w:tcPr>
            <w:tcW w:w="4660" w:type="dxa"/>
            <w:tcBorders>
              <w:top w:val="single" w:sz="8" w:space="0" w:color="auto"/>
              <w:left w:val="single" w:sz="8" w:space="0" w:color="auto"/>
              <w:bottom w:val="single" w:sz="8" w:space="0" w:color="auto"/>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Reserves projects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2</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B6332D" w:rsidRPr="00E94059" w:rsidRDefault="00B6332D" w:rsidP="00307BC8">
            <w:pPr>
              <w:jc w:val="center"/>
              <w:rPr>
                <w:rFonts w:ascii="Calibri" w:hAnsi="Calibri"/>
                <w:b/>
                <w:bCs/>
                <w:color w:val="000000"/>
                <w:sz w:val="22"/>
                <w:szCs w:val="22"/>
              </w:rPr>
            </w:pPr>
            <w:r w:rsidRPr="00E94059">
              <w:rPr>
                <w:rFonts w:ascii="Calibri" w:hAnsi="Calibri"/>
                <w:b/>
                <w:bCs/>
                <w:color w:val="000000"/>
                <w:sz w:val="22"/>
                <w:szCs w:val="22"/>
              </w:rPr>
              <w:t>5</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Service improvement programme</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single" w:sz="8" w:space="0" w:color="auto"/>
              <w:left w:val="nil"/>
              <w:bottom w:val="single" w:sz="4" w:space="0" w:color="auto"/>
              <w:right w:val="single" w:sz="4" w:space="0" w:color="auto"/>
            </w:tcBorders>
            <w:shd w:val="clear" w:color="000000"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8DB3E2" w:themeFill="text2" w:themeFillTint="66"/>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Website development</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85,000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ICT service manager and associated projects</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85,000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Pr>
                <w:rFonts w:ascii="Calibri" w:hAnsi="Calibri"/>
                <w:color w:val="000000"/>
                <w:sz w:val="22"/>
                <w:szCs w:val="22"/>
              </w:rPr>
              <w:t xml:space="preserve">IT infrastructure programme </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Business analyst and tester</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North East office relocation</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5301DF">
        <w:trPr>
          <w:trHeight w:val="211"/>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Health Tissue Authority - direct dialogue project</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25,000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Apprenticeship levy</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307BC8">
            <w:pPr>
              <w:jc w:val="right"/>
              <w:rPr>
                <w:rFonts w:ascii="Calibri" w:hAnsi="Calibri"/>
                <w:color w:val="000000"/>
                <w:sz w:val="22"/>
                <w:szCs w:val="22"/>
              </w:rPr>
            </w:pPr>
            <w:r w:rsidRPr="00E94059">
              <w:rPr>
                <w:rFonts w:ascii="Calibri" w:hAnsi="Calibri"/>
                <w:color w:val="000000"/>
                <w:sz w:val="22"/>
                <w:szCs w:val="22"/>
              </w:rPr>
              <w:t>21,000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B6332D">
            <w:pPr>
              <w:rPr>
                <w:rFonts w:ascii="Calibri" w:hAnsi="Calibri"/>
                <w:color w:val="000000"/>
                <w:sz w:val="22"/>
                <w:szCs w:val="22"/>
              </w:rPr>
            </w:pPr>
            <w:r>
              <w:rPr>
                <w:rFonts w:ascii="Calibri" w:hAnsi="Calibri"/>
                <w:color w:val="000000"/>
                <w:sz w:val="22"/>
                <w:szCs w:val="22"/>
              </w:rPr>
              <w:t>ESR and w</w:t>
            </w:r>
            <w:r w:rsidRPr="00E94059">
              <w:rPr>
                <w:rFonts w:ascii="Calibri" w:hAnsi="Calibri"/>
                <w:color w:val="000000"/>
                <w:sz w:val="22"/>
                <w:szCs w:val="22"/>
              </w:rPr>
              <w:t>orkforce development</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B6332D" w:rsidP="00B6332D">
            <w:pPr>
              <w:jc w:val="right"/>
              <w:rPr>
                <w:rFonts w:ascii="Calibri" w:hAnsi="Calibri"/>
                <w:color w:val="000000"/>
                <w:sz w:val="22"/>
                <w:szCs w:val="22"/>
              </w:rPr>
            </w:pPr>
            <w:r>
              <w:rPr>
                <w:rFonts w:ascii="Calibri" w:hAnsi="Calibri"/>
                <w:color w:val="000000"/>
                <w:sz w:val="22"/>
                <w:szCs w:val="22"/>
              </w:rPr>
              <w:t>20</w:t>
            </w:r>
            <w:r w:rsidRPr="00E94059">
              <w:rPr>
                <w:rFonts w:ascii="Calibri" w:hAnsi="Calibri"/>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5301DF" w:rsidRPr="00E94059" w:rsidTr="00307BC8">
        <w:trPr>
          <w:trHeight w:val="300"/>
        </w:trPr>
        <w:tc>
          <w:tcPr>
            <w:tcW w:w="4660" w:type="dxa"/>
            <w:tcBorders>
              <w:top w:val="nil"/>
              <w:left w:val="single" w:sz="8" w:space="0" w:color="auto"/>
              <w:bottom w:val="nil"/>
              <w:right w:val="nil"/>
            </w:tcBorders>
            <w:shd w:val="clear" w:color="auto" w:fill="auto"/>
            <w:noWrap/>
            <w:vAlign w:val="bottom"/>
          </w:tcPr>
          <w:p w:rsidR="005301DF" w:rsidRPr="00E94059" w:rsidRDefault="005301DF" w:rsidP="00307BC8">
            <w:pPr>
              <w:rPr>
                <w:rFonts w:ascii="Calibri" w:hAnsi="Calibri"/>
                <w:color w:val="000000"/>
                <w:sz w:val="22"/>
                <w:szCs w:val="22"/>
              </w:rPr>
            </w:pPr>
            <w:r>
              <w:rPr>
                <w:rFonts w:ascii="Calibri" w:hAnsi="Calibri"/>
                <w:color w:val="000000"/>
                <w:sz w:val="22"/>
                <w:szCs w:val="22"/>
              </w:rPr>
              <w:t>Cyber – penetration testing</w:t>
            </w:r>
          </w:p>
        </w:tc>
        <w:tc>
          <w:tcPr>
            <w:tcW w:w="960" w:type="dxa"/>
            <w:tcBorders>
              <w:top w:val="nil"/>
              <w:left w:val="single" w:sz="8" w:space="0" w:color="auto"/>
              <w:bottom w:val="nil"/>
              <w:right w:val="single" w:sz="8" w:space="0" w:color="auto"/>
            </w:tcBorders>
            <w:shd w:val="clear" w:color="auto" w:fill="auto"/>
            <w:noWrap/>
            <w:vAlign w:val="bottom"/>
          </w:tcPr>
          <w:p w:rsidR="005301DF" w:rsidRDefault="005301DF" w:rsidP="00307BC8">
            <w:pPr>
              <w:jc w:val="right"/>
              <w:rPr>
                <w:rFonts w:ascii="Calibri" w:hAnsi="Calibri"/>
                <w:color w:val="000000"/>
                <w:sz w:val="22"/>
                <w:szCs w:val="22"/>
              </w:rPr>
            </w:pPr>
            <w:r>
              <w:rPr>
                <w:rFonts w:ascii="Calibri" w:hAnsi="Calibri"/>
                <w:color w:val="000000"/>
                <w:sz w:val="22"/>
                <w:szCs w:val="22"/>
              </w:rPr>
              <w:t>18,000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5301DF" w:rsidRPr="00E94059" w:rsidRDefault="005301DF"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5301DF" w:rsidRPr="00E94059" w:rsidRDefault="005301DF"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95B3D7" w:themeFill="accent1" w:themeFillTint="99"/>
            <w:noWrap/>
            <w:vAlign w:val="bottom"/>
          </w:tcPr>
          <w:p w:rsidR="005301DF" w:rsidRPr="00E94059" w:rsidRDefault="005301DF" w:rsidP="00307BC8">
            <w:pP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5301DF" w:rsidRPr="00E94059" w:rsidRDefault="005301DF" w:rsidP="00307BC8">
            <w:pPr>
              <w:rPr>
                <w:rFonts w:ascii="Calibri" w:hAnsi="Calibri"/>
                <w:color w:val="000000"/>
                <w:sz w:val="22"/>
                <w:szCs w:val="22"/>
              </w:rPr>
            </w:pPr>
          </w:p>
        </w:tc>
        <w:tc>
          <w:tcPr>
            <w:tcW w:w="960" w:type="dxa"/>
            <w:tcBorders>
              <w:top w:val="nil"/>
              <w:left w:val="nil"/>
              <w:bottom w:val="single" w:sz="4" w:space="0" w:color="auto"/>
              <w:right w:val="single" w:sz="8" w:space="0" w:color="auto"/>
            </w:tcBorders>
            <w:shd w:val="clear" w:color="auto" w:fill="auto"/>
            <w:noWrap/>
            <w:vAlign w:val="bottom"/>
          </w:tcPr>
          <w:p w:rsidR="005301DF" w:rsidRPr="00E94059" w:rsidRDefault="005301DF" w:rsidP="00307BC8">
            <w:pPr>
              <w:rPr>
                <w:rFonts w:ascii="Calibri" w:hAnsi="Calibri"/>
                <w:color w:val="000000"/>
                <w:sz w:val="22"/>
                <w:szCs w:val="22"/>
              </w:rPr>
            </w:pPr>
          </w:p>
        </w:tc>
      </w:tr>
      <w:tr w:rsidR="00B6332D" w:rsidRPr="00E94059" w:rsidTr="00307BC8">
        <w:trPr>
          <w:trHeight w:val="300"/>
        </w:trPr>
        <w:tc>
          <w:tcPr>
            <w:tcW w:w="4660" w:type="dxa"/>
            <w:tcBorders>
              <w:top w:val="nil"/>
              <w:left w:val="single" w:sz="8" w:space="0" w:color="auto"/>
              <w:bottom w:val="nil"/>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Tissue Bank research</w:t>
            </w:r>
          </w:p>
        </w:tc>
        <w:tc>
          <w:tcPr>
            <w:tcW w:w="960" w:type="dxa"/>
            <w:tcBorders>
              <w:top w:val="nil"/>
              <w:left w:val="single" w:sz="8" w:space="0" w:color="auto"/>
              <w:bottom w:val="nil"/>
              <w:right w:val="single" w:sz="8" w:space="0" w:color="auto"/>
            </w:tcBorders>
            <w:shd w:val="clear" w:color="auto" w:fill="auto"/>
            <w:noWrap/>
            <w:vAlign w:val="bottom"/>
            <w:hideMark/>
          </w:tcPr>
          <w:p w:rsidR="00B6332D" w:rsidRPr="00E94059" w:rsidRDefault="005301DF" w:rsidP="00307BC8">
            <w:pPr>
              <w:jc w:val="right"/>
              <w:rPr>
                <w:rFonts w:ascii="Calibri" w:hAnsi="Calibri"/>
                <w:color w:val="000000"/>
                <w:sz w:val="22"/>
                <w:szCs w:val="22"/>
              </w:rPr>
            </w:pPr>
            <w:r>
              <w:rPr>
                <w:rFonts w:ascii="Calibri" w:hAnsi="Calibri"/>
                <w:color w:val="000000"/>
                <w:sz w:val="22"/>
                <w:szCs w:val="22"/>
              </w:rPr>
              <w:t>12</w:t>
            </w:r>
            <w:r w:rsidR="00B6332D" w:rsidRPr="00E94059">
              <w:rPr>
                <w:rFonts w:ascii="Calibri" w:hAnsi="Calibri"/>
                <w:color w:val="000000"/>
                <w:sz w:val="22"/>
                <w:szCs w:val="22"/>
              </w:rPr>
              <w:t>,000</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15"/>
        </w:trPr>
        <w:tc>
          <w:tcPr>
            <w:tcW w:w="4660" w:type="dxa"/>
            <w:tcBorders>
              <w:top w:val="nil"/>
              <w:left w:val="single" w:sz="8" w:space="0" w:color="auto"/>
              <w:bottom w:val="single" w:sz="8" w:space="0" w:color="auto"/>
              <w:right w:val="nil"/>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Social Care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332D" w:rsidRPr="00E94059" w:rsidRDefault="005301DF" w:rsidP="00307BC8">
            <w:pPr>
              <w:jc w:val="right"/>
              <w:rPr>
                <w:rFonts w:ascii="Calibri" w:hAnsi="Calibri"/>
                <w:color w:val="000000"/>
                <w:sz w:val="22"/>
                <w:szCs w:val="22"/>
              </w:rPr>
            </w:pPr>
            <w:r>
              <w:rPr>
                <w:rFonts w:ascii="Calibri" w:hAnsi="Calibri"/>
                <w:color w:val="000000"/>
                <w:sz w:val="22"/>
                <w:szCs w:val="22"/>
              </w:rPr>
              <w:t>4</w:t>
            </w:r>
            <w:r w:rsidR="00B6332D" w:rsidRPr="00E94059">
              <w:rPr>
                <w:rFonts w:ascii="Calibri" w:hAnsi="Calibri"/>
                <w:color w:val="000000"/>
                <w:sz w:val="22"/>
                <w:szCs w:val="22"/>
              </w:rPr>
              <w:t>,000</w:t>
            </w:r>
          </w:p>
        </w:tc>
        <w:tc>
          <w:tcPr>
            <w:tcW w:w="960" w:type="dxa"/>
            <w:tcBorders>
              <w:top w:val="nil"/>
              <w:left w:val="nil"/>
              <w:bottom w:val="single" w:sz="8"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4"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95B3D7" w:themeFill="accent1" w:themeFillTint="99"/>
            <w:noWrap/>
            <w:vAlign w:val="bottom"/>
            <w:hideMark/>
          </w:tcPr>
          <w:p w:rsidR="00B6332D" w:rsidRPr="00E94059" w:rsidRDefault="00B6332D" w:rsidP="00307BC8">
            <w:pPr>
              <w:rPr>
                <w:rFonts w:ascii="Calibri" w:hAnsi="Calibri"/>
                <w:color w:val="000000"/>
                <w:sz w:val="22"/>
                <w:szCs w:val="22"/>
              </w:rPr>
            </w:pPr>
            <w:r w:rsidRPr="00E94059">
              <w:rPr>
                <w:rFonts w:ascii="Calibri" w:hAnsi="Calibri"/>
                <w:color w:val="000000"/>
                <w:sz w:val="22"/>
                <w:szCs w:val="22"/>
              </w:rPr>
              <w:t> </w:t>
            </w:r>
          </w:p>
        </w:tc>
      </w:tr>
      <w:tr w:rsidR="00B6332D" w:rsidRPr="00E94059" w:rsidTr="00307BC8">
        <w:trPr>
          <w:trHeight w:val="315"/>
        </w:trPr>
        <w:tc>
          <w:tcPr>
            <w:tcW w:w="4660" w:type="dxa"/>
            <w:tcBorders>
              <w:top w:val="nil"/>
              <w:left w:val="single" w:sz="8" w:space="0" w:color="auto"/>
              <w:bottom w:val="single" w:sz="8" w:space="0" w:color="auto"/>
              <w:right w:val="single" w:sz="8" w:space="0" w:color="auto"/>
            </w:tcBorders>
            <w:shd w:val="clear" w:color="auto" w:fill="auto"/>
            <w:noWrap/>
            <w:vAlign w:val="bottom"/>
            <w:hideMark/>
          </w:tcPr>
          <w:p w:rsidR="00B6332D" w:rsidRPr="00E94059" w:rsidRDefault="00B6332D" w:rsidP="00307BC8">
            <w:pPr>
              <w:rPr>
                <w:rFonts w:ascii="Calibri" w:hAnsi="Calibri"/>
                <w:b/>
                <w:bCs/>
                <w:color w:val="000000"/>
                <w:sz w:val="22"/>
                <w:szCs w:val="22"/>
              </w:rPr>
            </w:pPr>
            <w:r w:rsidRPr="00E94059">
              <w:rPr>
                <w:rFonts w:ascii="Calibri" w:hAnsi="Calibri"/>
                <w:b/>
                <w:bCs/>
                <w:color w:val="000000"/>
                <w:sz w:val="22"/>
                <w:szCs w:val="22"/>
              </w:rPr>
              <w:t>Total</w:t>
            </w:r>
          </w:p>
        </w:tc>
        <w:tc>
          <w:tcPr>
            <w:tcW w:w="960" w:type="dxa"/>
            <w:tcBorders>
              <w:top w:val="nil"/>
              <w:left w:val="nil"/>
              <w:bottom w:val="single" w:sz="8" w:space="0" w:color="auto"/>
              <w:right w:val="single" w:sz="8" w:space="0" w:color="auto"/>
            </w:tcBorders>
            <w:shd w:val="clear" w:color="auto" w:fill="auto"/>
            <w:noWrap/>
            <w:vAlign w:val="bottom"/>
            <w:hideMark/>
          </w:tcPr>
          <w:p w:rsidR="00B6332D" w:rsidRPr="00E94059" w:rsidRDefault="005301DF" w:rsidP="00307BC8">
            <w:pPr>
              <w:jc w:val="right"/>
              <w:rPr>
                <w:rFonts w:ascii="Calibri" w:hAnsi="Calibri"/>
                <w:b/>
                <w:bCs/>
                <w:color w:val="000000"/>
                <w:sz w:val="22"/>
                <w:szCs w:val="22"/>
              </w:rPr>
            </w:pPr>
            <w:r>
              <w:rPr>
                <w:rFonts w:ascii="Calibri" w:hAnsi="Calibri"/>
                <w:b/>
                <w:bCs/>
                <w:color w:val="000000"/>
                <w:sz w:val="22"/>
                <w:szCs w:val="22"/>
              </w:rPr>
              <w:t>500,000</w:t>
            </w:r>
          </w:p>
        </w:tc>
        <w:tc>
          <w:tcPr>
            <w:tcW w:w="960" w:type="dxa"/>
            <w:tcBorders>
              <w:top w:val="nil"/>
              <w:left w:val="nil"/>
              <w:bottom w:val="nil"/>
              <w:right w:val="nil"/>
            </w:tcBorders>
            <w:shd w:val="clear" w:color="auto" w:fill="auto"/>
            <w:noWrap/>
            <w:vAlign w:val="bottom"/>
            <w:hideMark/>
          </w:tcPr>
          <w:p w:rsidR="00B6332D" w:rsidRPr="00E94059" w:rsidRDefault="00B6332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B6332D" w:rsidRPr="00E94059" w:rsidRDefault="00B6332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B6332D" w:rsidRPr="00E94059" w:rsidRDefault="00B6332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B6332D" w:rsidRPr="00E94059" w:rsidRDefault="00B6332D" w:rsidP="00307BC8">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B6332D" w:rsidRPr="00E94059" w:rsidRDefault="00B6332D" w:rsidP="00307BC8">
            <w:pPr>
              <w:rPr>
                <w:rFonts w:ascii="Calibri" w:hAnsi="Calibri"/>
                <w:b/>
                <w:bCs/>
                <w:color w:val="000000"/>
                <w:sz w:val="22"/>
                <w:szCs w:val="22"/>
              </w:rPr>
            </w:pPr>
          </w:p>
        </w:tc>
      </w:tr>
    </w:tbl>
    <w:p w:rsidR="00B6332D" w:rsidRDefault="00B6332D" w:rsidP="00B6332D">
      <w:pPr>
        <w:spacing w:after="200" w:line="276" w:lineRule="auto"/>
        <w:rPr>
          <w:rFonts w:ascii="Arial" w:eastAsiaTheme="minorHAnsi" w:hAnsi="Arial" w:cs="Arial"/>
          <w:b/>
          <w:i/>
          <w:sz w:val="22"/>
          <w:szCs w:val="22"/>
          <w:lang w:eastAsia="en-US"/>
        </w:rPr>
      </w:pPr>
    </w:p>
    <w:p w:rsidR="00644946" w:rsidRPr="00E87F9E" w:rsidRDefault="00860732" w:rsidP="00FB55BF">
      <w:pPr>
        <w:spacing w:line="276" w:lineRule="auto"/>
        <w:rPr>
          <w:rFonts w:ascii="Arial" w:hAnsi="Arial" w:cs="Arial"/>
          <w:b/>
          <w:sz w:val="22"/>
          <w:szCs w:val="22"/>
        </w:rPr>
      </w:pPr>
      <w:r>
        <w:rPr>
          <w:rFonts w:ascii="Arial" w:hAnsi="Arial" w:cs="Arial"/>
          <w:b/>
          <w:sz w:val="22"/>
          <w:szCs w:val="22"/>
        </w:rPr>
        <w:t>F</w:t>
      </w:r>
      <w:r w:rsidR="00644946">
        <w:rPr>
          <w:rFonts w:ascii="Arial" w:hAnsi="Arial" w:cs="Arial"/>
          <w:b/>
          <w:sz w:val="22"/>
          <w:szCs w:val="22"/>
        </w:rPr>
        <w:t>inancial r</w:t>
      </w:r>
      <w:r w:rsidR="00644946" w:rsidRPr="00E87F9E">
        <w:rPr>
          <w:rFonts w:ascii="Arial" w:hAnsi="Arial" w:cs="Arial"/>
          <w:b/>
          <w:sz w:val="22"/>
          <w:szCs w:val="22"/>
        </w:rPr>
        <w:t>isks:</w:t>
      </w:r>
    </w:p>
    <w:p w:rsidR="005301DF" w:rsidRDefault="005301DF" w:rsidP="00FB55BF">
      <w:pPr>
        <w:pStyle w:val="ListParagraph"/>
        <w:numPr>
          <w:ilvl w:val="0"/>
          <w:numId w:val="40"/>
        </w:numPr>
        <w:spacing w:line="276" w:lineRule="auto"/>
        <w:rPr>
          <w:rFonts w:ascii="Arial" w:hAnsi="Arial" w:cs="Arial"/>
          <w:sz w:val="22"/>
          <w:szCs w:val="22"/>
        </w:rPr>
      </w:pPr>
      <w:r>
        <w:rPr>
          <w:rFonts w:ascii="Arial" w:hAnsi="Arial" w:cs="Arial"/>
          <w:sz w:val="22"/>
          <w:szCs w:val="22"/>
        </w:rPr>
        <w:t xml:space="preserve">We need to adapt our </w:t>
      </w:r>
      <w:r w:rsidRPr="002E0A2A">
        <w:rPr>
          <w:rFonts w:ascii="Arial" w:hAnsi="Arial" w:cs="Arial"/>
          <w:b/>
          <w:sz w:val="22"/>
          <w:szCs w:val="22"/>
        </w:rPr>
        <w:t xml:space="preserve">business </w:t>
      </w:r>
      <w:r>
        <w:rPr>
          <w:rFonts w:ascii="Arial" w:hAnsi="Arial" w:cs="Arial"/>
          <w:b/>
          <w:sz w:val="22"/>
          <w:szCs w:val="22"/>
        </w:rPr>
        <w:t xml:space="preserve">and operating </w:t>
      </w:r>
      <w:r w:rsidRPr="002E0A2A">
        <w:rPr>
          <w:rFonts w:ascii="Arial" w:hAnsi="Arial" w:cs="Arial"/>
          <w:b/>
          <w:sz w:val="22"/>
          <w:szCs w:val="22"/>
        </w:rPr>
        <w:t>model</w:t>
      </w:r>
      <w:r>
        <w:rPr>
          <w:rFonts w:ascii="Arial" w:hAnsi="Arial" w:cs="Arial"/>
          <w:b/>
          <w:sz w:val="22"/>
          <w:szCs w:val="22"/>
        </w:rPr>
        <w:t xml:space="preserve"> </w:t>
      </w:r>
      <w:r w:rsidRPr="002E0A2A">
        <w:rPr>
          <w:rFonts w:ascii="Arial" w:hAnsi="Arial" w:cs="Arial"/>
          <w:sz w:val="22"/>
          <w:szCs w:val="22"/>
        </w:rPr>
        <w:t>in order to sustain future real</w:t>
      </w:r>
      <w:r>
        <w:rPr>
          <w:rFonts w:ascii="Arial" w:hAnsi="Arial" w:cs="Arial"/>
          <w:sz w:val="22"/>
          <w:szCs w:val="22"/>
        </w:rPr>
        <w:t>-</w:t>
      </w:r>
      <w:r w:rsidRPr="002E0A2A">
        <w:rPr>
          <w:rFonts w:ascii="Arial" w:hAnsi="Arial" w:cs="Arial"/>
          <w:sz w:val="22"/>
          <w:szCs w:val="22"/>
        </w:rPr>
        <w:t xml:space="preserve">terms </w:t>
      </w:r>
      <w:r>
        <w:rPr>
          <w:rFonts w:ascii="Arial" w:hAnsi="Arial" w:cs="Arial"/>
          <w:sz w:val="22"/>
          <w:szCs w:val="22"/>
        </w:rPr>
        <w:t>funding reductions and create sufficient head room for strategic developments</w:t>
      </w:r>
      <w:r w:rsidRPr="002E0A2A">
        <w:rPr>
          <w:rFonts w:ascii="Arial" w:hAnsi="Arial" w:cs="Arial"/>
          <w:sz w:val="22"/>
          <w:szCs w:val="22"/>
        </w:rPr>
        <w:t xml:space="preserve">. </w:t>
      </w:r>
      <w:r>
        <w:rPr>
          <w:rFonts w:ascii="Arial" w:hAnsi="Arial" w:cs="Arial"/>
          <w:sz w:val="22"/>
          <w:szCs w:val="22"/>
        </w:rPr>
        <w:t xml:space="preserve">This work is now underway and plans are in place to develop a target operating model by June 2018. This will be discussed with the Board in March and is the main focus of the Workforce Board. </w:t>
      </w:r>
    </w:p>
    <w:p w:rsidR="00860732" w:rsidRDefault="00860732" w:rsidP="00860732">
      <w:pPr>
        <w:pStyle w:val="ListParagraph"/>
        <w:spacing w:after="200" w:line="276" w:lineRule="auto"/>
        <w:rPr>
          <w:rFonts w:ascii="Arial" w:hAnsi="Arial" w:cs="Arial"/>
          <w:sz w:val="22"/>
          <w:szCs w:val="22"/>
        </w:rPr>
      </w:pPr>
    </w:p>
    <w:p w:rsidR="00860732" w:rsidRDefault="005301DF" w:rsidP="00644946">
      <w:pPr>
        <w:pStyle w:val="ListParagraph"/>
        <w:numPr>
          <w:ilvl w:val="0"/>
          <w:numId w:val="40"/>
        </w:numPr>
        <w:spacing w:after="200" w:line="276" w:lineRule="auto"/>
        <w:rPr>
          <w:rFonts w:ascii="Arial" w:hAnsi="Arial" w:cs="Arial"/>
          <w:sz w:val="22"/>
          <w:szCs w:val="22"/>
        </w:rPr>
      </w:pPr>
      <w:r w:rsidRPr="00860732">
        <w:rPr>
          <w:rFonts w:ascii="Arial" w:hAnsi="Arial" w:cs="Arial"/>
          <w:sz w:val="22"/>
          <w:szCs w:val="22"/>
        </w:rPr>
        <w:t>The</w:t>
      </w:r>
      <w:r w:rsidRPr="00860732">
        <w:rPr>
          <w:rFonts w:ascii="Arial" w:hAnsi="Arial" w:cs="Arial"/>
          <w:b/>
          <w:sz w:val="22"/>
          <w:szCs w:val="22"/>
        </w:rPr>
        <w:t xml:space="preserve"> financial plan for 2018/19</w:t>
      </w:r>
      <w:r w:rsidRPr="00860732">
        <w:rPr>
          <w:rFonts w:ascii="Arial" w:hAnsi="Arial" w:cs="Arial"/>
          <w:sz w:val="22"/>
          <w:szCs w:val="22"/>
        </w:rPr>
        <w:t xml:space="preserve"> requires economies and savings of £400k to achieve a balanced budget. </w:t>
      </w:r>
      <w:r w:rsidR="00A77BEE">
        <w:rPr>
          <w:rFonts w:ascii="Arial" w:hAnsi="Arial" w:cs="Arial"/>
          <w:sz w:val="22"/>
          <w:szCs w:val="22"/>
        </w:rPr>
        <w:t xml:space="preserve">Steps have been identified to ensure a balanced budget although not without strategic and operational risk. Reserves funding has been reanalysed with some projects delayed until funding is available (£100k). Other organisational change programmes have been initiated to help contribute to this plan (£100k). Further cost savings have been identified £50k with £150k additional vacancy factor saving target agreed by Leadership Team and the Board. These saving are achievable however place additional pressures on our staff group and ability to deliver across the various transformation programmes in place. Our workforce board and recruitment panel are both providing strategic and operational oversight of this to mitigate this risk. </w:t>
      </w:r>
      <w:r w:rsidR="00860732">
        <w:rPr>
          <w:rFonts w:ascii="Arial" w:hAnsi="Arial" w:cs="Arial"/>
          <w:sz w:val="22"/>
          <w:szCs w:val="22"/>
        </w:rPr>
        <w:t xml:space="preserve"> </w:t>
      </w:r>
    </w:p>
    <w:p w:rsidR="00860732" w:rsidRDefault="00860732" w:rsidP="00860732">
      <w:pPr>
        <w:pStyle w:val="ListParagraph"/>
        <w:spacing w:after="200" w:line="276" w:lineRule="auto"/>
        <w:rPr>
          <w:rFonts w:ascii="Arial" w:hAnsi="Arial" w:cs="Arial"/>
          <w:sz w:val="22"/>
          <w:szCs w:val="22"/>
        </w:rPr>
      </w:pPr>
    </w:p>
    <w:p w:rsidR="005B1912" w:rsidRDefault="00DF6B8D" w:rsidP="00860732">
      <w:pPr>
        <w:pStyle w:val="ListParagraph"/>
        <w:numPr>
          <w:ilvl w:val="0"/>
          <w:numId w:val="40"/>
        </w:numPr>
        <w:spacing w:after="200" w:line="276" w:lineRule="auto"/>
        <w:rPr>
          <w:rFonts w:ascii="Arial" w:hAnsi="Arial" w:cs="Arial"/>
          <w:sz w:val="22"/>
          <w:szCs w:val="22"/>
        </w:rPr>
      </w:pPr>
      <w:r w:rsidRPr="00860732">
        <w:rPr>
          <w:rFonts w:ascii="Arial" w:hAnsi="Arial" w:cs="Arial"/>
          <w:sz w:val="22"/>
          <w:szCs w:val="22"/>
        </w:rPr>
        <w:t xml:space="preserve">The </w:t>
      </w:r>
      <w:r w:rsidRPr="00860732">
        <w:rPr>
          <w:rFonts w:ascii="Arial" w:hAnsi="Arial" w:cs="Arial"/>
          <w:b/>
          <w:sz w:val="22"/>
          <w:szCs w:val="22"/>
        </w:rPr>
        <w:t>funding</w:t>
      </w:r>
      <w:r w:rsidRPr="00860732">
        <w:rPr>
          <w:rFonts w:ascii="Arial" w:hAnsi="Arial" w:cs="Arial"/>
          <w:sz w:val="22"/>
          <w:szCs w:val="22"/>
        </w:rPr>
        <w:t xml:space="preserve"> available to support the RS systems </w:t>
      </w:r>
      <w:r w:rsidR="001178C9" w:rsidRPr="00860732">
        <w:rPr>
          <w:rFonts w:ascii="Arial" w:hAnsi="Arial" w:cs="Arial"/>
          <w:sz w:val="22"/>
          <w:szCs w:val="22"/>
        </w:rPr>
        <w:t>change programme</w:t>
      </w:r>
      <w:r w:rsidRPr="00860732">
        <w:rPr>
          <w:rFonts w:ascii="Arial" w:hAnsi="Arial" w:cs="Arial"/>
          <w:sz w:val="22"/>
          <w:szCs w:val="22"/>
        </w:rPr>
        <w:t xml:space="preserve"> is </w:t>
      </w:r>
      <w:r w:rsidRPr="00860732">
        <w:rPr>
          <w:rFonts w:ascii="Arial" w:hAnsi="Arial" w:cs="Arial"/>
          <w:b/>
          <w:sz w:val="22"/>
          <w:szCs w:val="22"/>
        </w:rPr>
        <w:t>time-limited</w:t>
      </w:r>
      <w:r w:rsidRPr="00860732">
        <w:rPr>
          <w:rFonts w:ascii="Arial" w:hAnsi="Arial" w:cs="Arial"/>
          <w:sz w:val="22"/>
          <w:szCs w:val="22"/>
        </w:rPr>
        <w:t xml:space="preserve"> and must be spent by 31/03/2019. </w:t>
      </w:r>
      <w:r w:rsidR="006E63CA" w:rsidRPr="00860732">
        <w:rPr>
          <w:rFonts w:ascii="Arial" w:hAnsi="Arial" w:cs="Arial"/>
          <w:sz w:val="22"/>
          <w:szCs w:val="22"/>
        </w:rPr>
        <w:t xml:space="preserve"> </w:t>
      </w:r>
      <w:r w:rsidR="00A77BEE">
        <w:rPr>
          <w:rFonts w:ascii="Arial" w:hAnsi="Arial" w:cs="Arial"/>
          <w:sz w:val="22"/>
          <w:szCs w:val="22"/>
        </w:rPr>
        <w:t>As a consequence a key objective of the programme is to create a more</w:t>
      </w:r>
      <w:r w:rsidR="005B1912">
        <w:rPr>
          <w:rFonts w:ascii="Arial" w:hAnsi="Arial" w:cs="Arial"/>
          <w:sz w:val="22"/>
          <w:szCs w:val="22"/>
        </w:rPr>
        <w:t xml:space="preserve"> automated and efficient system, reducing both the direct and indirect costs of support and development. The system will not only release capacity in the research community by providing a more streamlined and simple process, it will also provide economies and efficiencies within the HRA to support our strategic objectives, the TOM and spending review requirements. </w:t>
      </w:r>
      <w:r w:rsidR="006E63CA" w:rsidRPr="00860732">
        <w:rPr>
          <w:rFonts w:ascii="Arial" w:hAnsi="Arial" w:cs="Arial"/>
          <w:sz w:val="22"/>
          <w:szCs w:val="22"/>
        </w:rPr>
        <w:t xml:space="preserve"> </w:t>
      </w:r>
      <w:r w:rsidR="005B1912">
        <w:rPr>
          <w:rFonts w:ascii="Arial" w:hAnsi="Arial" w:cs="Arial"/>
          <w:sz w:val="22"/>
          <w:szCs w:val="22"/>
        </w:rPr>
        <w:t>T</w:t>
      </w:r>
      <w:r w:rsidR="00D05EA0" w:rsidRPr="00860732">
        <w:rPr>
          <w:rFonts w:ascii="Arial" w:hAnsi="Arial" w:cs="Arial"/>
          <w:sz w:val="22"/>
          <w:szCs w:val="22"/>
        </w:rPr>
        <w:t xml:space="preserve">he risk of project over-run </w:t>
      </w:r>
      <w:r w:rsidR="005B1912">
        <w:rPr>
          <w:rFonts w:ascii="Arial" w:hAnsi="Arial" w:cs="Arial"/>
          <w:sz w:val="22"/>
          <w:szCs w:val="22"/>
        </w:rPr>
        <w:t xml:space="preserve">is included in the RS transformation risk register and is being managed by a variety of methods including securing expertise to support the HRA in the market appraisal and delivery of the system as well as securing sufficient back fill resource within the HRA to support the delivery of our transformation programme and core service delivery. </w:t>
      </w:r>
    </w:p>
    <w:p w:rsidR="005B1912" w:rsidRPr="005B1912" w:rsidRDefault="005B1912" w:rsidP="005B1912">
      <w:pPr>
        <w:pStyle w:val="ListParagraph"/>
        <w:rPr>
          <w:rFonts w:ascii="Arial" w:hAnsi="Arial" w:cs="Arial"/>
          <w:sz w:val="22"/>
          <w:szCs w:val="22"/>
        </w:rPr>
      </w:pPr>
    </w:p>
    <w:p w:rsidR="00D81266" w:rsidRDefault="00D81266">
      <w:pPr>
        <w:spacing w:after="200" w:line="276" w:lineRule="auto"/>
        <w:rPr>
          <w:rFonts w:ascii="Arial" w:hAnsi="Arial" w:cs="Arial"/>
          <w:b/>
          <w:sz w:val="22"/>
          <w:szCs w:val="22"/>
        </w:rPr>
      </w:pPr>
      <w:r>
        <w:rPr>
          <w:rFonts w:ascii="Arial" w:hAnsi="Arial" w:cs="Arial"/>
          <w:b/>
          <w:sz w:val="22"/>
          <w:szCs w:val="22"/>
        </w:rPr>
        <w:br w:type="page"/>
      </w: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lastRenderedPageBreak/>
        <w:t>Capital expenditure</w:t>
      </w:r>
    </w:p>
    <w:tbl>
      <w:tblPr>
        <w:tblW w:w="9700" w:type="dxa"/>
        <w:tblInd w:w="93" w:type="dxa"/>
        <w:tblLook w:val="04A0" w:firstRow="1" w:lastRow="0" w:firstColumn="1" w:lastColumn="0" w:noHBand="0" w:noVBand="1"/>
      </w:tblPr>
      <w:tblGrid>
        <w:gridCol w:w="3820"/>
        <w:gridCol w:w="260"/>
        <w:gridCol w:w="1280"/>
        <w:gridCol w:w="1460"/>
        <w:gridCol w:w="1400"/>
        <w:gridCol w:w="1480"/>
      </w:tblGrid>
      <w:tr w:rsidR="00BF31D1" w:rsidRPr="00BF31D1" w:rsidTr="00AE22B5">
        <w:trPr>
          <w:trHeight w:val="528"/>
        </w:trPr>
        <w:tc>
          <w:tcPr>
            <w:tcW w:w="3820" w:type="dxa"/>
            <w:vMerge w:val="restart"/>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r w:rsidRPr="00BF31D1">
              <w:rPr>
                <w:rFonts w:ascii="Arial" w:hAnsi="Arial" w:cs="Arial"/>
                <w:b/>
                <w:bCs/>
                <w:color w:val="FFFFFF"/>
                <w:sz w:val="20"/>
                <w:szCs w:val="20"/>
              </w:rPr>
              <w:t>Plan initiative</w:t>
            </w: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val="restart"/>
            <w:tcBorders>
              <w:top w:val="single" w:sz="8" w:space="0" w:color="FFFFFF"/>
              <w:left w:val="nil"/>
              <w:right w:val="single" w:sz="8" w:space="0" w:color="FFFFFF"/>
            </w:tcBorders>
            <w:shd w:val="clear" w:color="000000" w:fill="95B3D7" w:themeFill="accent1" w:themeFillTint="99"/>
            <w:vAlign w:val="center"/>
            <w:hideMark/>
          </w:tcPr>
          <w:p w:rsidR="00BF31D1" w:rsidRPr="00BF31D1" w:rsidRDefault="001B0713" w:rsidP="00BF31D1">
            <w:pPr>
              <w:jc w:val="center"/>
              <w:rPr>
                <w:rFonts w:ascii="Arial" w:hAnsi="Arial" w:cs="Arial"/>
                <w:b/>
                <w:bCs/>
                <w:color w:val="FFFFFF"/>
                <w:sz w:val="20"/>
                <w:szCs w:val="20"/>
              </w:rPr>
            </w:pPr>
            <w:r>
              <w:rPr>
                <w:rFonts w:ascii="Arial" w:hAnsi="Arial" w:cs="Arial"/>
                <w:b/>
                <w:bCs/>
                <w:color w:val="FFFFFF"/>
                <w:sz w:val="20"/>
                <w:szCs w:val="20"/>
              </w:rPr>
              <w:t>2017/18</w:t>
            </w:r>
            <w:r w:rsidR="00BF31D1" w:rsidRPr="00BF31D1">
              <w:rPr>
                <w:rFonts w:ascii="Arial" w:hAnsi="Arial" w:cs="Arial"/>
                <w:b/>
                <w:bCs/>
                <w:color w:val="FFFFFF"/>
                <w:sz w:val="20"/>
                <w:szCs w:val="20"/>
              </w:rPr>
              <w:t xml:space="preserve"> plan full year</w:t>
            </w:r>
          </w:p>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60" w:type="dxa"/>
            <w:tcBorders>
              <w:top w:val="single" w:sz="8" w:space="0" w:color="FFFFFF"/>
              <w:left w:val="nil"/>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budget </w:t>
            </w:r>
            <w:proofErr w:type="spellStart"/>
            <w:r w:rsidRPr="00BF31D1">
              <w:rPr>
                <w:rFonts w:ascii="Arial" w:hAnsi="Arial" w:cs="Arial"/>
                <w:b/>
                <w:bCs/>
                <w:color w:val="FFFFFF"/>
                <w:sz w:val="20"/>
                <w:szCs w:val="20"/>
              </w:rPr>
              <w:t>ytd</w:t>
            </w:r>
            <w:proofErr w:type="spellEnd"/>
          </w:p>
        </w:tc>
        <w:tc>
          <w:tcPr>
            <w:tcW w:w="140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actual </w:t>
            </w:r>
            <w:proofErr w:type="spellStart"/>
            <w:r w:rsidRPr="00BF31D1">
              <w:rPr>
                <w:rFonts w:ascii="Arial" w:hAnsi="Arial" w:cs="Arial"/>
                <w:b/>
                <w:bCs/>
                <w:color w:val="FFFFFF"/>
                <w:sz w:val="20"/>
                <w:szCs w:val="20"/>
              </w:rPr>
              <w:t>ytd</w:t>
            </w:r>
            <w:proofErr w:type="spellEnd"/>
          </w:p>
        </w:tc>
        <w:tc>
          <w:tcPr>
            <w:tcW w:w="1480" w:type="dxa"/>
            <w:tcBorders>
              <w:top w:val="single" w:sz="8" w:space="0" w:color="FFFFFF"/>
              <w:left w:val="single" w:sz="8" w:space="0" w:color="FFFFFF"/>
              <w:bottom w:val="nil"/>
              <w:right w:val="single" w:sz="4" w:space="0" w:color="F2F2F2"/>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r w:rsidRPr="00BF31D1">
              <w:rPr>
                <w:rFonts w:ascii="Arial" w:hAnsi="Arial" w:cs="Arial"/>
                <w:b/>
                <w:bCs/>
                <w:color w:val="FFFFFF"/>
                <w:sz w:val="20"/>
                <w:szCs w:val="20"/>
              </w:rPr>
              <w:t xml:space="preserve">2017/18 variance </w:t>
            </w:r>
            <w:proofErr w:type="spellStart"/>
            <w:r w:rsidRPr="00BF31D1">
              <w:rPr>
                <w:rFonts w:ascii="Arial" w:hAnsi="Arial" w:cs="Arial"/>
                <w:b/>
                <w:bCs/>
                <w:color w:val="FFFFFF"/>
                <w:sz w:val="20"/>
                <w:szCs w:val="20"/>
              </w:rPr>
              <w:t>ytd</w:t>
            </w:r>
            <w:proofErr w:type="spellEnd"/>
          </w:p>
        </w:tc>
      </w:tr>
      <w:tr w:rsidR="00BF31D1" w:rsidRPr="00BF31D1" w:rsidTr="00AE22B5">
        <w:trPr>
          <w:trHeight w:val="300"/>
        </w:trPr>
        <w:tc>
          <w:tcPr>
            <w:tcW w:w="3820" w:type="dxa"/>
            <w:vMerge/>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center"/>
            <w:hideMark/>
          </w:tcPr>
          <w:p w:rsidR="00BF31D1" w:rsidRPr="00BF31D1" w:rsidRDefault="00BF31D1" w:rsidP="00BF31D1">
            <w:pPr>
              <w:rPr>
                <w:rFonts w:ascii="Arial" w:hAnsi="Arial" w:cs="Arial"/>
                <w:b/>
                <w:bCs/>
                <w:color w:val="FFFFFF"/>
                <w:sz w:val="20"/>
                <w:szCs w:val="20"/>
              </w:rPr>
            </w:pPr>
          </w:p>
        </w:tc>
        <w:tc>
          <w:tcPr>
            <w:tcW w:w="260" w:type="dxa"/>
            <w:tcBorders>
              <w:top w:val="nil"/>
              <w:left w:val="nil"/>
              <w:bottom w:val="nil"/>
              <w:right w:val="nil"/>
            </w:tcBorders>
            <w:shd w:val="clear" w:color="auto" w:fill="auto"/>
            <w:noWrap/>
            <w:vAlign w:val="bottom"/>
            <w:hideMark/>
          </w:tcPr>
          <w:p w:rsidR="00BF31D1" w:rsidRPr="00BF31D1" w:rsidRDefault="00BF31D1" w:rsidP="00BF31D1">
            <w:pPr>
              <w:rPr>
                <w:rFonts w:ascii="Calibri" w:hAnsi="Calibri" w:cs="Calibri"/>
                <w:color w:val="000000"/>
                <w:sz w:val="22"/>
                <w:szCs w:val="22"/>
              </w:rPr>
            </w:pPr>
          </w:p>
        </w:tc>
        <w:tc>
          <w:tcPr>
            <w:tcW w:w="1280" w:type="dxa"/>
            <w:vMerge/>
            <w:tcBorders>
              <w:left w:val="nil"/>
              <w:bottom w:val="nil"/>
              <w:right w:val="single" w:sz="8" w:space="0" w:color="FFFFFF"/>
            </w:tcBorders>
            <w:shd w:val="clear" w:color="000000" w:fill="95B3D7" w:themeFill="accent1" w:themeFillTint="99"/>
            <w:vAlign w:val="center"/>
            <w:hideMark/>
          </w:tcPr>
          <w:p w:rsidR="00BF31D1" w:rsidRPr="00BF31D1" w:rsidRDefault="00BF31D1" w:rsidP="00BF31D1">
            <w:pPr>
              <w:jc w:val="center"/>
              <w:rPr>
                <w:rFonts w:ascii="Arial" w:hAnsi="Arial" w:cs="Arial"/>
                <w:b/>
                <w:bCs/>
                <w:color w:val="FFFFFF"/>
                <w:sz w:val="20"/>
                <w:szCs w:val="20"/>
              </w:rPr>
            </w:pPr>
          </w:p>
        </w:tc>
        <w:tc>
          <w:tcPr>
            <w:tcW w:w="1460" w:type="dxa"/>
            <w:tcBorders>
              <w:top w:val="nil"/>
              <w:left w:val="nil"/>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0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c>
          <w:tcPr>
            <w:tcW w:w="1480" w:type="dxa"/>
            <w:tcBorders>
              <w:top w:val="nil"/>
              <w:left w:val="single" w:sz="8" w:space="0" w:color="FFFFFF"/>
              <w:bottom w:val="nil"/>
              <w:right w:val="single" w:sz="4" w:space="0" w:color="F2F2F2"/>
            </w:tcBorders>
            <w:shd w:val="clear" w:color="000000" w:fill="95B3D7" w:themeFill="accent1" w:themeFillTint="99"/>
            <w:vAlign w:val="center"/>
            <w:hideMark/>
          </w:tcPr>
          <w:p w:rsidR="00BF31D1" w:rsidRPr="00BF31D1" w:rsidRDefault="002451D5" w:rsidP="002451D5">
            <w:pPr>
              <w:jc w:val="right"/>
              <w:rPr>
                <w:rFonts w:ascii="Arial" w:hAnsi="Arial" w:cs="Arial"/>
                <w:b/>
                <w:bCs/>
                <w:color w:val="FFFFFF"/>
                <w:sz w:val="20"/>
                <w:szCs w:val="20"/>
              </w:rPr>
            </w:pPr>
            <w:r>
              <w:rPr>
                <w:rFonts w:ascii="Arial" w:hAnsi="Arial" w:cs="Arial"/>
                <w:b/>
                <w:bCs/>
                <w:color w:val="FFFFFF"/>
                <w:sz w:val="20"/>
                <w:szCs w:val="20"/>
              </w:rPr>
              <w:t>£</w:t>
            </w:r>
            <w:r w:rsidR="00BF31D1" w:rsidRPr="00BF31D1">
              <w:rPr>
                <w:rFonts w:ascii="Arial" w:hAnsi="Arial" w:cs="Arial"/>
                <w:b/>
                <w:bCs/>
                <w:color w:val="FFFFFF"/>
                <w:sz w:val="20"/>
                <w:szCs w:val="20"/>
              </w:rPr>
              <w:t>000</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HARP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215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179</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176</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337FC2" w:rsidP="007B77AD">
            <w:pPr>
              <w:jc w:val="right"/>
              <w:rPr>
                <w:rFonts w:ascii="Arial" w:hAnsi="Arial" w:cs="Arial"/>
                <w:color w:val="000000"/>
                <w:sz w:val="18"/>
                <w:szCs w:val="18"/>
              </w:rPr>
            </w:pPr>
            <w:r>
              <w:rPr>
                <w:rFonts w:ascii="Arial" w:hAnsi="Arial" w:cs="Arial"/>
                <w:color w:val="000000"/>
                <w:sz w:val="18"/>
                <w:szCs w:val="18"/>
              </w:rPr>
              <w:t>(3)</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IRAS Developments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362</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302</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298</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(4)</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BGO Contract</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577</w:t>
            </w:r>
          </w:p>
        </w:tc>
        <w:tc>
          <w:tcPr>
            <w:tcW w:w="1460" w:type="dxa"/>
            <w:tcBorders>
              <w:top w:val="nil"/>
              <w:left w:val="nil"/>
              <w:bottom w:val="nil"/>
              <w:right w:val="single" w:sz="8" w:space="0" w:color="FFFFFF"/>
            </w:tcBorders>
            <w:shd w:val="clear" w:color="000000" w:fill="366092"/>
            <w:vAlign w:val="center"/>
          </w:tcPr>
          <w:p w:rsidR="002451D5" w:rsidRPr="00BF31D1" w:rsidRDefault="00337FC2" w:rsidP="002451D5">
            <w:pPr>
              <w:jc w:val="right"/>
              <w:rPr>
                <w:rFonts w:ascii="Arial" w:hAnsi="Arial" w:cs="Arial"/>
                <w:b/>
                <w:bCs/>
                <w:color w:val="FFFFFF"/>
                <w:sz w:val="18"/>
                <w:szCs w:val="18"/>
              </w:rPr>
            </w:pPr>
            <w:r>
              <w:rPr>
                <w:rFonts w:ascii="Arial" w:hAnsi="Arial" w:cs="Arial"/>
                <w:b/>
                <w:bCs/>
                <w:color w:val="FFFFFF"/>
                <w:sz w:val="18"/>
                <w:szCs w:val="18"/>
              </w:rPr>
              <w:t>481</w:t>
            </w:r>
          </w:p>
        </w:tc>
        <w:tc>
          <w:tcPr>
            <w:tcW w:w="1400" w:type="dxa"/>
            <w:tcBorders>
              <w:top w:val="nil"/>
              <w:left w:val="nil"/>
              <w:bottom w:val="nil"/>
              <w:right w:val="single" w:sz="8" w:space="0" w:color="FFFFFF"/>
            </w:tcBorders>
            <w:shd w:val="clear" w:color="000000" w:fill="366092"/>
            <w:vAlign w:val="center"/>
          </w:tcPr>
          <w:p w:rsidR="002451D5" w:rsidRPr="00BF31D1" w:rsidRDefault="00337FC2" w:rsidP="002451D5">
            <w:pPr>
              <w:jc w:val="right"/>
              <w:rPr>
                <w:rFonts w:ascii="Arial" w:hAnsi="Arial" w:cs="Arial"/>
                <w:b/>
                <w:bCs/>
                <w:color w:val="FFFFFF"/>
                <w:sz w:val="18"/>
                <w:szCs w:val="18"/>
              </w:rPr>
            </w:pPr>
            <w:r>
              <w:rPr>
                <w:rFonts w:ascii="Arial" w:hAnsi="Arial" w:cs="Arial"/>
                <w:b/>
                <w:bCs/>
                <w:color w:val="FFFFFF"/>
                <w:sz w:val="18"/>
                <w:szCs w:val="18"/>
              </w:rPr>
              <w:t>474</w:t>
            </w:r>
          </w:p>
        </w:tc>
        <w:tc>
          <w:tcPr>
            <w:tcW w:w="1480" w:type="dxa"/>
            <w:tcBorders>
              <w:top w:val="nil"/>
              <w:left w:val="nil"/>
              <w:bottom w:val="nil"/>
              <w:right w:val="single" w:sz="8" w:space="0" w:color="FFFFFF"/>
            </w:tcBorders>
            <w:shd w:val="clear" w:color="000000" w:fill="366092"/>
            <w:vAlign w:val="center"/>
          </w:tcPr>
          <w:p w:rsidR="002451D5" w:rsidRPr="00BF31D1" w:rsidRDefault="00337FC2" w:rsidP="007B77AD">
            <w:pPr>
              <w:jc w:val="right"/>
              <w:rPr>
                <w:rFonts w:ascii="Arial" w:hAnsi="Arial" w:cs="Arial"/>
                <w:b/>
                <w:bCs/>
                <w:color w:val="FFFFFF"/>
                <w:sz w:val="18"/>
                <w:szCs w:val="18"/>
              </w:rPr>
            </w:pPr>
            <w:r>
              <w:rPr>
                <w:rFonts w:ascii="Arial" w:hAnsi="Arial" w:cs="Arial"/>
                <w:b/>
                <w:bCs/>
                <w:color w:val="FFFFFF"/>
                <w:sz w:val="18"/>
                <w:szCs w:val="18"/>
              </w:rPr>
              <w:t>(7)</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IS Team – capitalised salaries</w:t>
            </w:r>
          </w:p>
        </w:tc>
        <w:tc>
          <w:tcPr>
            <w:tcW w:w="260" w:type="dxa"/>
            <w:tcBorders>
              <w:top w:val="nil"/>
              <w:left w:val="nil"/>
              <w:bottom w:val="nil"/>
              <w:right w:val="nil"/>
            </w:tcBorders>
            <w:shd w:val="clear" w:color="auto" w:fill="auto"/>
            <w:noWrap/>
            <w:vAlign w:val="center"/>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114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95</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101</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6</w:t>
            </w:r>
          </w:p>
        </w:tc>
      </w:tr>
      <w:tr w:rsidR="002451D5" w:rsidRPr="00BF31D1" w:rsidTr="00CC45F4">
        <w:trPr>
          <w:trHeight w:val="480"/>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714134">
            <w:pPr>
              <w:rPr>
                <w:rFonts w:ascii="Arial" w:hAnsi="Arial" w:cs="Arial"/>
                <w:b/>
                <w:bCs/>
                <w:color w:val="FFFFFF"/>
                <w:sz w:val="18"/>
                <w:szCs w:val="18"/>
              </w:rPr>
            </w:pPr>
            <w:r w:rsidRPr="00BF31D1">
              <w:rPr>
                <w:rFonts w:ascii="Arial" w:hAnsi="Arial" w:cs="Arial"/>
                <w:b/>
                <w:bCs/>
                <w:color w:val="FFFFFF"/>
                <w:sz w:val="18"/>
                <w:szCs w:val="18"/>
              </w:rPr>
              <w:t>BGO Contract and Capitali</w:t>
            </w:r>
            <w:r w:rsidR="00714134">
              <w:rPr>
                <w:rFonts w:ascii="Arial" w:hAnsi="Arial" w:cs="Arial"/>
                <w:b/>
                <w:bCs/>
                <w:color w:val="FFFFFF"/>
                <w:sz w:val="18"/>
                <w:szCs w:val="18"/>
              </w:rPr>
              <w:t>sed salaries position as at 30 September 2017</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691</w:t>
            </w:r>
          </w:p>
        </w:tc>
        <w:tc>
          <w:tcPr>
            <w:tcW w:w="1460" w:type="dxa"/>
            <w:tcBorders>
              <w:top w:val="nil"/>
              <w:left w:val="nil"/>
              <w:bottom w:val="nil"/>
              <w:right w:val="single" w:sz="8" w:space="0" w:color="FFFFFF"/>
            </w:tcBorders>
            <w:shd w:val="clear" w:color="000000" w:fill="366092"/>
            <w:vAlign w:val="center"/>
          </w:tcPr>
          <w:p w:rsidR="002451D5" w:rsidRPr="00BF31D1" w:rsidRDefault="00337FC2" w:rsidP="002451D5">
            <w:pPr>
              <w:jc w:val="right"/>
              <w:rPr>
                <w:rFonts w:ascii="Arial" w:hAnsi="Arial" w:cs="Arial"/>
                <w:b/>
                <w:bCs/>
                <w:color w:val="FFFFFF"/>
                <w:sz w:val="18"/>
                <w:szCs w:val="18"/>
              </w:rPr>
            </w:pPr>
            <w:r>
              <w:rPr>
                <w:rFonts w:ascii="Arial" w:hAnsi="Arial" w:cs="Arial"/>
                <w:b/>
                <w:bCs/>
                <w:color w:val="FFFFFF"/>
                <w:sz w:val="18"/>
                <w:szCs w:val="18"/>
              </w:rPr>
              <w:t>576</w:t>
            </w:r>
          </w:p>
        </w:tc>
        <w:tc>
          <w:tcPr>
            <w:tcW w:w="1400" w:type="dxa"/>
            <w:tcBorders>
              <w:top w:val="nil"/>
              <w:left w:val="nil"/>
              <w:bottom w:val="nil"/>
              <w:right w:val="single" w:sz="8" w:space="0" w:color="FFFFFF"/>
            </w:tcBorders>
            <w:shd w:val="clear" w:color="000000" w:fill="366092"/>
            <w:vAlign w:val="center"/>
          </w:tcPr>
          <w:p w:rsidR="002451D5" w:rsidRPr="00BF31D1" w:rsidRDefault="00337FC2" w:rsidP="002451D5">
            <w:pPr>
              <w:jc w:val="right"/>
              <w:rPr>
                <w:rFonts w:ascii="Arial" w:hAnsi="Arial" w:cs="Arial"/>
                <w:b/>
                <w:bCs/>
                <w:color w:val="FFFFFF"/>
                <w:sz w:val="18"/>
                <w:szCs w:val="18"/>
              </w:rPr>
            </w:pPr>
            <w:r>
              <w:rPr>
                <w:rFonts w:ascii="Arial" w:hAnsi="Arial" w:cs="Arial"/>
                <w:b/>
                <w:bCs/>
                <w:color w:val="FFFFFF"/>
                <w:sz w:val="18"/>
                <w:szCs w:val="18"/>
              </w:rPr>
              <w:t>575</w:t>
            </w:r>
          </w:p>
        </w:tc>
        <w:tc>
          <w:tcPr>
            <w:tcW w:w="1480" w:type="dxa"/>
            <w:tcBorders>
              <w:top w:val="nil"/>
              <w:left w:val="nil"/>
              <w:bottom w:val="nil"/>
              <w:right w:val="single" w:sz="8" w:space="0" w:color="FFFFFF"/>
            </w:tcBorders>
            <w:shd w:val="clear" w:color="000000" w:fill="366092"/>
            <w:vAlign w:val="center"/>
          </w:tcPr>
          <w:p w:rsidR="002451D5" w:rsidRPr="00BF31D1" w:rsidRDefault="00337FC2" w:rsidP="007B77AD">
            <w:pPr>
              <w:jc w:val="right"/>
              <w:rPr>
                <w:rFonts w:ascii="Arial" w:hAnsi="Arial" w:cs="Arial"/>
                <w:b/>
                <w:bCs/>
                <w:color w:val="FFFFFF"/>
                <w:sz w:val="18"/>
                <w:szCs w:val="18"/>
              </w:rPr>
            </w:pPr>
            <w:r>
              <w:rPr>
                <w:rFonts w:ascii="Arial" w:hAnsi="Arial" w:cs="Arial"/>
                <w:b/>
                <w:bCs/>
                <w:color w:val="FFFFFF"/>
                <w:sz w:val="18"/>
                <w:szCs w:val="18"/>
              </w:rPr>
              <w:t>(1)</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 xml:space="preserve">ICT infrastructure </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24</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24</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337FC2" w:rsidP="00EB02C9">
            <w:pPr>
              <w:jc w:val="right"/>
              <w:rPr>
                <w:rFonts w:ascii="Arial" w:hAnsi="Arial" w:cs="Arial"/>
                <w:color w:val="000000"/>
                <w:sz w:val="18"/>
                <w:szCs w:val="18"/>
              </w:rPr>
            </w:pPr>
            <w:r>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337FC2" w:rsidP="007B77AD">
            <w:pPr>
              <w:jc w:val="right"/>
              <w:rPr>
                <w:rFonts w:ascii="Arial" w:hAnsi="Arial" w:cs="Arial"/>
                <w:color w:val="000000"/>
                <w:sz w:val="18"/>
                <w:szCs w:val="18"/>
              </w:rPr>
            </w:pPr>
            <w:r>
              <w:rPr>
                <w:rFonts w:ascii="Arial" w:hAnsi="Arial" w:cs="Arial"/>
                <w:color w:val="000000"/>
                <w:sz w:val="18"/>
                <w:szCs w:val="18"/>
              </w:rPr>
              <w:t>(24)</w:t>
            </w:r>
          </w:p>
        </w:tc>
      </w:tr>
      <w:tr w:rsidR="002451D5" w:rsidRPr="00BF31D1" w:rsidTr="00CC45F4">
        <w:trPr>
          <w:trHeight w:val="300"/>
        </w:trPr>
        <w:tc>
          <w:tcPr>
            <w:tcW w:w="3820" w:type="dxa"/>
            <w:tcBorders>
              <w:top w:val="nil"/>
              <w:left w:val="single" w:sz="8" w:space="0" w:color="FFFFFF"/>
              <w:bottom w:val="single" w:sz="8" w:space="0" w:color="FFFFFF"/>
              <w:right w:val="single" w:sz="8" w:space="0" w:color="FFFFFF"/>
            </w:tcBorders>
            <w:shd w:val="clear" w:color="auto" w:fill="auto"/>
            <w:vAlign w:val="center"/>
            <w:hideMark/>
          </w:tcPr>
          <w:p w:rsidR="002451D5" w:rsidRPr="00BF31D1" w:rsidRDefault="002451D5" w:rsidP="00BF31D1">
            <w:pPr>
              <w:rPr>
                <w:rFonts w:ascii="Arial" w:hAnsi="Arial" w:cs="Arial"/>
                <w:color w:val="000000"/>
                <w:sz w:val="18"/>
                <w:szCs w:val="18"/>
              </w:rPr>
            </w:pPr>
            <w:r w:rsidRPr="00BF31D1">
              <w:rPr>
                <w:rFonts w:ascii="Arial" w:hAnsi="Arial" w:cs="Arial"/>
                <w:color w:val="000000"/>
                <w:sz w:val="18"/>
                <w:szCs w:val="18"/>
              </w:rPr>
              <w:t>Estates</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nil"/>
              <w:bottom w:val="single" w:sz="8" w:space="0" w:color="FFFFFF"/>
              <w:right w:val="single" w:sz="8" w:space="0" w:color="FFFFFF"/>
            </w:tcBorders>
            <w:shd w:val="clear" w:color="auto" w:fill="auto"/>
            <w:vAlign w:val="center"/>
          </w:tcPr>
          <w:p w:rsidR="002451D5" w:rsidRPr="00BF31D1" w:rsidRDefault="002451D5" w:rsidP="002451D5">
            <w:pPr>
              <w:jc w:val="right"/>
              <w:rPr>
                <w:rFonts w:ascii="Arial" w:hAnsi="Arial" w:cs="Arial"/>
                <w:color w:val="000000"/>
                <w:sz w:val="18"/>
                <w:szCs w:val="18"/>
              </w:rPr>
            </w:pPr>
            <w:r w:rsidRPr="00BF31D1">
              <w:rPr>
                <w:rFonts w:ascii="Arial" w:hAnsi="Arial" w:cs="Arial"/>
                <w:color w:val="000000"/>
                <w:sz w:val="18"/>
                <w:szCs w:val="18"/>
              </w:rPr>
              <w:t>85</w:t>
            </w:r>
          </w:p>
        </w:tc>
        <w:tc>
          <w:tcPr>
            <w:tcW w:w="146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85</w:t>
            </w:r>
          </w:p>
        </w:tc>
        <w:tc>
          <w:tcPr>
            <w:tcW w:w="140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0</w:t>
            </w:r>
          </w:p>
        </w:tc>
        <w:tc>
          <w:tcPr>
            <w:tcW w:w="1480" w:type="dxa"/>
            <w:tcBorders>
              <w:top w:val="nil"/>
              <w:left w:val="nil"/>
              <w:bottom w:val="single" w:sz="8" w:space="0" w:color="FFFFFF"/>
              <w:right w:val="single" w:sz="8" w:space="0" w:color="FFFFFF"/>
            </w:tcBorders>
            <w:shd w:val="clear" w:color="auto" w:fill="auto"/>
            <w:vAlign w:val="center"/>
          </w:tcPr>
          <w:p w:rsidR="002451D5" w:rsidRPr="00BF31D1" w:rsidRDefault="00337FC2" w:rsidP="002451D5">
            <w:pPr>
              <w:jc w:val="right"/>
              <w:rPr>
                <w:rFonts w:ascii="Arial" w:hAnsi="Arial" w:cs="Arial"/>
                <w:color w:val="000000"/>
                <w:sz w:val="18"/>
                <w:szCs w:val="18"/>
              </w:rPr>
            </w:pPr>
            <w:r>
              <w:rPr>
                <w:rFonts w:ascii="Arial" w:hAnsi="Arial" w:cs="Arial"/>
                <w:color w:val="000000"/>
                <w:sz w:val="18"/>
                <w:szCs w:val="18"/>
              </w:rPr>
              <w:t>(85)</w:t>
            </w:r>
          </w:p>
        </w:tc>
      </w:tr>
      <w:tr w:rsidR="002451D5" w:rsidRPr="00BF31D1" w:rsidTr="00CC45F4">
        <w:trPr>
          <w:trHeight w:val="288"/>
        </w:trPr>
        <w:tc>
          <w:tcPr>
            <w:tcW w:w="3820" w:type="dxa"/>
            <w:tcBorders>
              <w:top w:val="nil"/>
              <w:left w:val="single" w:sz="8" w:space="0" w:color="FFFFFF"/>
              <w:bottom w:val="nil"/>
              <w:right w:val="single" w:sz="8" w:space="0" w:color="FFFFFF"/>
            </w:tcBorders>
            <w:shd w:val="clear" w:color="000000" w:fill="366092"/>
            <w:vAlign w:val="center"/>
            <w:hideMark/>
          </w:tcPr>
          <w:p w:rsidR="002451D5" w:rsidRPr="00BF31D1" w:rsidRDefault="002451D5" w:rsidP="00BF31D1">
            <w:pPr>
              <w:rPr>
                <w:rFonts w:ascii="Arial" w:hAnsi="Arial" w:cs="Arial"/>
                <w:b/>
                <w:bCs/>
                <w:color w:val="FFFFFF"/>
                <w:sz w:val="18"/>
                <w:szCs w:val="18"/>
              </w:rPr>
            </w:pPr>
            <w:r w:rsidRPr="00BF31D1">
              <w:rPr>
                <w:rFonts w:ascii="Arial" w:hAnsi="Arial" w:cs="Arial"/>
                <w:b/>
                <w:bCs/>
                <w:color w:val="FFFFFF"/>
                <w:sz w:val="18"/>
                <w:szCs w:val="18"/>
              </w:rPr>
              <w:t>Total Capital</w:t>
            </w:r>
          </w:p>
        </w:tc>
        <w:tc>
          <w:tcPr>
            <w:tcW w:w="260" w:type="dxa"/>
            <w:tcBorders>
              <w:top w:val="nil"/>
              <w:left w:val="nil"/>
              <w:bottom w:val="nil"/>
              <w:right w:val="nil"/>
            </w:tcBorders>
            <w:shd w:val="clear" w:color="auto" w:fill="auto"/>
            <w:noWrap/>
            <w:vAlign w:val="bottom"/>
            <w:hideMark/>
          </w:tcPr>
          <w:p w:rsidR="002451D5" w:rsidRPr="00BF31D1" w:rsidRDefault="002451D5" w:rsidP="00BF31D1">
            <w:pPr>
              <w:rPr>
                <w:rFonts w:ascii="Calibri" w:hAnsi="Calibri" w:cs="Calibri"/>
                <w:color w:val="000000"/>
                <w:sz w:val="22"/>
                <w:szCs w:val="22"/>
              </w:rPr>
            </w:pPr>
          </w:p>
        </w:tc>
        <w:tc>
          <w:tcPr>
            <w:tcW w:w="1280" w:type="dxa"/>
            <w:tcBorders>
              <w:top w:val="nil"/>
              <w:left w:val="single" w:sz="8" w:space="0" w:color="FFFFFF"/>
              <w:bottom w:val="nil"/>
              <w:right w:val="single" w:sz="8" w:space="0" w:color="FFFFFF"/>
            </w:tcBorders>
            <w:shd w:val="clear" w:color="000000" w:fill="366092"/>
            <w:vAlign w:val="center"/>
          </w:tcPr>
          <w:p w:rsidR="002451D5" w:rsidRPr="00BF31D1" w:rsidRDefault="002451D5" w:rsidP="002451D5">
            <w:pPr>
              <w:jc w:val="right"/>
              <w:rPr>
                <w:rFonts w:ascii="Arial" w:hAnsi="Arial" w:cs="Arial"/>
                <w:b/>
                <w:bCs/>
                <w:color w:val="FFFFFF"/>
                <w:sz w:val="18"/>
                <w:szCs w:val="18"/>
              </w:rPr>
            </w:pPr>
            <w:r w:rsidRPr="00BF31D1">
              <w:rPr>
                <w:rFonts w:ascii="Arial" w:hAnsi="Arial" w:cs="Arial"/>
                <w:b/>
                <w:bCs/>
                <w:color w:val="FFFFFF"/>
                <w:sz w:val="18"/>
                <w:szCs w:val="18"/>
              </w:rPr>
              <w:t>800</w:t>
            </w:r>
          </w:p>
        </w:tc>
        <w:tc>
          <w:tcPr>
            <w:tcW w:w="1460" w:type="dxa"/>
            <w:tcBorders>
              <w:top w:val="nil"/>
              <w:left w:val="nil"/>
              <w:bottom w:val="nil"/>
              <w:right w:val="single" w:sz="8" w:space="0" w:color="FFFFFF"/>
            </w:tcBorders>
            <w:shd w:val="clear" w:color="000000" w:fill="366092"/>
            <w:vAlign w:val="center"/>
          </w:tcPr>
          <w:p w:rsidR="002451D5" w:rsidRPr="00BF31D1" w:rsidRDefault="00337FC2" w:rsidP="002451D5">
            <w:pPr>
              <w:jc w:val="right"/>
              <w:rPr>
                <w:rFonts w:ascii="Arial" w:hAnsi="Arial" w:cs="Arial"/>
                <w:b/>
                <w:bCs/>
                <w:color w:val="FFFFFF"/>
                <w:sz w:val="18"/>
                <w:szCs w:val="18"/>
              </w:rPr>
            </w:pPr>
            <w:r>
              <w:rPr>
                <w:rFonts w:ascii="Arial" w:hAnsi="Arial" w:cs="Arial"/>
                <w:b/>
                <w:bCs/>
                <w:color w:val="FFFFFF"/>
                <w:sz w:val="18"/>
                <w:szCs w:val="18"/>
              </w:rPr>
              <w:t>685</w:t>
            </w:r>
          </w:p>
        </w:tc>
        <w:tc>
          <w:tcPr>
            <w:tcW w:w="1400" w:type="dxa"/>
            <w:tcBorders>
              <w:top w:val="nil"/>
              <w:left w:val="nil"/>
              <w:bottom w:val="nil"/>
              <w:right w:val="single" w:sz="8" w:space="0" w:color="FFFFFF"/>
            </w:tcBorders>
            <w:shd w:val="clear" w:color="000000" w:fill="366092"/>
            <w:vAlign w:val="center"/>
          </w:tcPr>
          <w:p w:rsidR="002451D5" w:rsidRPr="00BF31D1" w:rsidRDefault="00337FC2" w:rsidP="00EB02C9">
            <w:pPr>
              <w:jc w:val="right"/>
              <w:rPr>
                <w:rFonts w:ascii="Arial" w:hAnsi="Arial" w:cs="Arial"/>
                <w:b/>
                <w:bCs/>
                <w:color w:val="FFFFFF"/>
                <w:sz w:val="18"/>
                <w:szCs w:val="18"/>
              </w:rPr>
            </w:pPr>
            <w:r>
              <w:rPr>
                <w:rFonts w:ascii="Arial" w:hAnsi="Arial" w:cs="Arial"/>
                <w:b/>
                <w:bCs/>
                <w:color w:val="FFFFFF"/>
                <w:sz w:val="18"/>
                <w:szCs w:val="18"/>
              </w:rPr>
              <w:t>575</w:t>
            </w:r>
          </w:p>
        </w:tc>
        <w:tc>
          <w:tcPr>
            <w:tcW w:w="1480" w:type="dxa"/>
            <w:tcBorders>
              <w:top w:val="nil"/>
              <w:left w:val="nil"/>
              <w:bottom w:val="nil"/>
              <w:right w:val="single" w:sz="8" w:space="0" w:color="FFFFFF"/>
            </w:tcBorders>
            <w:shd w:val="clear" w:color="000000" w:fill="366092"/>
            <w:vAlign w:val="center"/>
          </w:tcPr>
          <w:p w:rsidR="002451D5" w:rsidRPr="00BF31D1" w:rsidRDefault="00337FC2" w:rsidP="00EB02C9">
            <w:pPr>
              <w:jc w:val="right"/>
              <w:rPr>
                <w:rFonts w:ascii="Arial" w:hAnsi="Arial" w:cs="Arial"/>
                <w:b/>
                <w:bCs/>
                <w:color w:val="FFFFFF"/>
                <w:sz w:val="18"/>
                <w:szCs w:val="18"/>
              </w:rPr>
            </w:pPr>
            <w:r>
              <w:rPr>
                <w:rFonts w:ascii="Arial" w:hAnsi="Arial" w:cs="Arial"/>
                <w:b/>
                <w:bCs/>
                <w:color w:val="FFFFFF"/>
                <w:sz w:val="18"/>
                <w:szCs w:val="18"/>
              </w:rPr>
              <w:t>(110)</w:t>
            </w:r>
          </w:p>
        </w:tc>
      </w:tr>
    </w:tbl>
    <w:p w:rsidR="00DB368B" w:rsidRDefault="00DB368B" w:rsidP="006E30B3">
      <w:pPr>
        <w:spacing w:after="200" w:line="276" w:lineRule="auto"/>
        <w:rPr>
          <w:rFonts w:ascii="Arial" w:hAnsi="Arial" w:cs="Arial"/>
          <w:sz w:val="22"/>
          <w:szCs w:val="22"/>
        </w:rPr>
      </w:pPr>
    </w:p>
    <w:p w:rsidR="004A71FD" w:rsidRDefault="00A7497F" w:rsidP="006E30B3">
      <w:pPr>
        <w:spacing w:after="200" w:line="276" w:lineRule="auto"/>
        <w:rPr>
          <w:rFonts w:ascii="Arial" w:hAnsi="Arial" w:cs="Arial"/>
          <w:sz w:val="22"/>
          <w:szCs w:val="22"/>
        </w:rPr>
      </w:pPr>
      <w:r>
        <w:rPr>
          <w:rFonts w:ascii="Arial" w:hAnsi="Arial" w:cs="Arial"/>
          <w:sz w:val="22"/>
          <w:szCs w:val="22"/>
        </w:rPr>
        <w:t>100</w:t>
      </w:r>
      <w:r w:rsidR="00BF31D1">
        <w:rPr>
          <w:rFonts w:ascii="Arial" w:hAnsi="Arial" w:cs="Arial"/>
          <w:sz w:val="22"/>
          <w:szCs w:val="22"/>
        </w:rPr>
        <w:t>% of the capital budget is</w:t>
      </w:r>
      <w:r w:rsidR="004A71FD">
        <w:rPr>
          <w:rFonts w:ascii="Arial" w:hAnsi="Arial" w:cs="Arial"/>
          <w:sz w:val="22"/>
          <w:szCs w:val="22"/>
        </w:rPr>
        <w:t xml:space="preserve"> </w:t>
      </w:r>
      <w:r>
        <w:rPr>
          <w:rFonts w:ascii="Arial" w:hAnsi="Arial" w:cs="Arial"/>
          <w:sz w:val="22"/>
          <w:szCs w:val="22"/>
        </w:rPr>
        <w:t xml:space="preserve">now </w:t>
      </w:r>
      <w:r w:rsidR="00535185">
        <w:rPr>
          <w:rFonts w:ascii="Arial" w:hAnsi="Arial" w:cs="Arial"/>
          <w:sz w:val="22"/>
          <w:szCs w:val="22"/>
        </w:rPr>
        <w:t>c</w:t>
      </w:r>
      <w:r w:rsidR="004A71FD">
        <w:rPr>
          <w:rFonts w:ascii="Arial" w:hAnsi="Arial" w:cs="Arial"/>
          <w:sz w:val="22"/>
          <w:szCs w:val="22"/>
        </w:rPr>
        <w:t>ommitted</w:t>
      </w:r>
      <w:r w:rsidR="00535185">
        <w:rPr>
          <w:rFonts w:ascii="Arial" w:hAnsi="Arial" w:cs="Arial"/>
          <w:sz w:val="22"/>
          <w:szCs w:val="22"/>
        </w:rPr>
        <w:t>. The</w:t>
      </w:r>
      <w:r w:rsidR="00BF31D1">
        <w:rPr>
          <w:rFonts w:ascii="Arial" w:hAnsi="Arial" w:cs="Arial"/>
          <w:sz w:val="22"/>
          <w:szCs w:val="22"/>
        </w:rPr>
        <w:t xml:space="preserve"> BGO contract delivering HARP and IRAS developments as well as the internal team working o</w:t>
      </w:r>
      <w:r w:rsidR="004A71FD">
        <w:rPr>
          <w:rFonts w:ascii="Arial" w:hAnsi="Arial" w:cs="Arial"/>
          <w:sz w:val="22"/>
          <w:szCs w:val="22"/>
        </w:rPr>
        <w:t>n</w:t>
      </w:r>
      <w:r w:rsidR="00BF31D1">
        <w:rPr>
          <w:rFonts w:ascii="Arial" w:hAnsi="Arial" w:cs="Arial"/>
          <w:sz w:val="22"/>
          <w:szCs w:val="22"/>
        </w:rPr>
        <w:t xml:space="preserve"> improvements to the</w:t>
      </w:r>
      <w:r w:rsidR="004A71FD">
        <w:rPr>
          <w:rFonts w:ascii="Arial" w:hAnsi="Arial" w:cs="Arial"/>
          <w:sz w:val="22"/>
          <w:szCs w:val="22"/>
        </w:rPr>
        <w:t>se</w:t>
      </w:r>
      <w:r w:rsidR="00BF31D1">
        <w:rPr>
          <w:rFonts w:ascii="Arial" w:hAnsi="Arial" w:cs="Arial"/>
          <w:sz w:val="22"/>
          <w:szCs w:val="22"/>
        </w:rPr>
        <w:t xml:space="preserve"> current system</w:t>
      </w:r>
      <w:r w:rsidR="004A71FD">
        <w:rPr>
          <w:rFonts w:ascii="Arial" w:hAnsi="Arial" w:cs="Arial"/>
          <w:sz w:val="22"/>
          <w:szCs w:val="22"/>
        </w:rPr>
        <w:t>s</w:t>
      </w:r>
      <w:r w:rsidR="00535185">
        <w:rPr>
          <w:rFonts w:ascii="Arial" w:hAnsi="Arial" w:cs="Arial"/>
          <w:sz w:val="22"/>
          <w:szCs w:val="22"/>
        </w:rPr>
        <w:t xml:space="preserve"> make up </w:t>
      </w:r>
      <w:r>
        <w:rPr>
          <w:rFonts w:ascii="Arial" w:hAnsi="Arial" w:cs="Arial"/>
          <w:sz w:val="22"/>
          <w:szCs w:val="22"/>
        </w:rPr>
        <w:t xml:space="preserve">86% of this amount, </w:t>
      </w:r>
      <w:r w:rsidR="00FB55BF">
        <w:rPr>
          <w:rFonts w:ascii="Arial" w:hAnsi="Arial" w:cs="Arial"/>
          <w:sz w:val="22"/>
          <w:szCs w:val="22"/>
        </w:rPr>
        <w:t xml:space="preserve">with </w:t>
      </w:r>
      <w:r>
        <w:rPr>
          <w:rFonts w:ascii="Arial" w:hAnsi="Arial" w:cs="Arial"/>
          <w:sz w:val="22"/>
          <w:szCs w:val="22"/>
        </w:rPr>
        <w:t xml:space="preserve">the remainder committed to </w:t>
      </w:r>
      <w:r w:rsidR="00575AAE">
        <w:rPr>
          <w:rFonts w:ascii="Arial" w:hAnsi="Arial" w:cs="Arial"/>
          <w:sz w:val="22"/>
          <w:szCs w:val="22"/>
        </w:rPr>
        <w:t>a</w:t>
      </w:r>
      <w:r>
        <w:rPr>
          <w:rFonts w:ascii="Arial" w:hAnsi="Arial" w:cs="Arial"/>
          <w:sz w:val="22"/>
          <w:szCs w:val="22"/>
        </w:rPr>
        <w:t xml:space="preserve"> strategically critical research systems </w:t>
      </w:r>
      <w:r w:rsidR="00575AAE">
        <w:rPr>
          <w:rFonts w:ascii="Arial" w:hAnsi="Arial" w:cs="Arial"/>
          <w:sz w:val="22"/>
          <w:szCs w:val="22"/>
        </w:rPr>
        <w:t xml:space="preserve">piece of work </w:t>
      </w:r>
      <w:r>
        <w:rPr>
          <w:rFonts w:ascii="Arial" w:hAnsi="Arial" w:cs="Arial"/>
          <w:sz w:val="22"/>
          <w:szCs w:val="22"/>
        </w:rPr>
        <w:t xml:space="preserve"> (approved by the research Systems Board) </w:t>
      </w:r>
      <w:r w:rsidR="00575AAE">
        <w:rPr>
          <w:rFonts w:ascii="Arial" w:hAnsi="Arial" w:cs="Arial"/>
          <w:sz w:val="22"/>
          <w:szCs w:val="22"/>
        </w:rPr>
        <w:t>key</w:t>
      </w:r>
      <w:r>
        <w:rPr>
          <w:rFonts w:ascii="Arial" w:hAnsi="Arial" w:cs="Arial"/>
          <w:sz w:val="22"/>
          <w:szCs w:val="22"/>
        </w:rPr>
        <w:t xml:space="preserve"> to enable the IRAS transformation programme in 2018/19. </w:t>
      </w:r>
      <w:r w:rsidR="00575AAE">
        <w:rPr>
          <w:rFonts w:ascii="Arial" w:hAnsi="Arial" w:cs="Arial"/>
          <w:sz w:val="22"/>
          <w:szCs w:val="22"/>
        </w:rPr>
        <w:t>This work will be performed before the end of the year and will inform the new system development following the market appraisal exercise. I</w:t>
      </w:r>
      <w:r w:rsidR="006B17B0">
        <w:rPr>
          <w:rFonts w:ascii="Arial" w:hAnsi="Arial" w:cs="Arial"/>
          <w:sz w:val="22"/>
          <w:szCs w:val="22"/>
        </w:rPr>
        <w:t>nvestment in the IP related to our e-learning modules (£40k)</w:t>
      </w:r>
      <w:r w:rsidR="00575AAE">
        <w:rPr>
          <w:rFonts w:ascii="Arial" w:hAnsi="Arial" w:cs="Arial"/>
          <w:sz w:val="22"/>
          <w:szCs w:val="22"/>
        </w:rPr>
        <w:t xml:space="preserve"> makes up the balance</w:t>
      </w:r>
      <w:r w:rsidR="006B17B0">
        <w:rPr>
          <w:rFonts w:ascii="Arial" w:hAnsi="Arial" w:cs="Arial"/>
          <w:sz w:val="22"/>
          <w:szCs w:val="22"/>
        </w:rPr>
        <w:t xml:space="preserve">. </w:t>
      </w:r>
      <w:r w:rsidR="005B61CE">
        <w:rPr>
          <w:rFonts w:ascii="Arial" w:hAnsi="Arial" w:cs="Arial"/>
          <w:sz w:val="22"/>
          <w:szCs w:val="22"/>
        </w:rPr>
        <w:t xml:space="preserve"> </w:t>
      </w:r>
      <w:r w:rsidR="004A71FD">
        <w:rPr>
          <w:rFonts w:ascii="Arial" w:hAnsi="Arial" w:cs="Arial"/>
          <w:sz w:val="22"/>
          <w:szCs w:val="22"/>
        </w:rPr>
        <w:t xml:space="preserve"> </w:t>
      </w: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w:t>
      </w:r>
      <w:r w:rsidR="004A7BCE">
        <w:rPr>
          <w:rFonts w:ascii="Arial" w:hAnsi="Arial" w:cs="Arial"/>
          <w:sz w:val="22"/>
          <w:szCs w:val="22"/>
        </w:rPr>
        <w:t xml:space="preserve">. </w:t>
      </w:r>
      <w:r>
        <w:rPr>
          <w:rFonts w:ascii="Arial" w:hAnsi="Arial" w:cs="Arial"/>
          <w:sz w:val="22"/>
          <w:szCs w:val="22"/>
        </w:rPr>
        <w:t>.</w:t>
      </w:r>
      <w:r w:rsidR="00643F97">
        <w:rPr>
          <w:rFonts w:ascii="Arial" w:hAnsi="Arial" w:cs="Arial"/>
          <w:sz w:val="22"/>
          <w:szCs w:val="22"/>
        </w:rPr>
        <w:t xml:space="preserve">  </w:t>
      </w:r>
    </w:p>
    <w:p w:rsidR="006B17B0" w:rsidRPr="0035681C" w:rsidRDefault="006B17B0" w:rsidP="00951DD0">
      <w:pPr>
        <w:pStyle w:val="ListParagraph"/>
        <w:spacing w:line="276" w:lineRule="auto"/>
        <w:ind w:left="0"/>
        <w:rPr>
          <w:rFonts w:ascii="Arial" w:hAnsi="Arial" w:cs="Arial"/>
          <w:sz w:val="22"/>
          <w:szCs w:val="22"/>
        </w:rPr>
      </w:pPr>
    </w:p>
    <w:p w:rsidR="0035681C" w:rsidRDefault="0035681C" w:rsidP="00951DD0">
      <w:pPr>
        <w:pStyle w:val="ListParagraph"/>
        <w:spacing w:line="276" w:lineRule="auto"/>
        <w:ind w:left="0"/>
        <w:rPr>
          <w:rFonts w:ascii="Arial" w:hAnsi="Arial" w:cs="Arial"/>
          <w:b/>
          <w:sz w:val="22"/>
          <w:szCs w:val="22"/>
        </w:rPr>
      </w:pPr>
    </w:p>
    <w:tbl>
      <w:tblPr>
        <w:tblW w:w="5218" w:type="dxa"/>
        <w:jc w:val="center"/>
        <w:tblInd w:w="-398" w:type="dxa"/>
        <w:tblLook w:val="04A0" w:firstRow="1" w:lastRow="0" w:firstColumn="1" w:lastColumn="0" w:noHBand="0" w:noVBand="1"/>
      </w:tblPr>
      <w:tblGrid>
        <w:gridCol w:w="2916"/>
        <w:gridCol w:w="982"/>
        <w:gridCol w:w="1320"/>
      </w:tblGrid>
      <w:tr w:rsidR="00736CB7" w:rsidRPr="00236B2E" w:rsidTr="00C80EBC">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36CB7" w:rsidRPr="00236B2E" w:rsidRDefault="00736CB7"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655157">
            <w:pPr>
              <w:rPr>
                <w:rFonts w:ascii="Calibri" w:hAnsi="Calibri" w:cs="Calibri"/>
                <w:b/>
                <w:color w:val="FFFFFF" w:themeColor="background1"/>
                <w:sz w:val="22"/>
                <w:szCs w:val="22"/>
              </w:rPr>
            </w:pPr>
            <w:r w:rsidRPr="00C80EBC">
              <w:rPr>
                <w:rFonts w:ascii="Calibri" w:hAnsi="Calibri" w:cs="Calibri"/>
                <w:b/>
                <w:color w:val="FFFFFF" w:themeColor="background1"/>
                <w:sz w:val="22"/>
                <w:szCs w:val="22"/>
              </w:rPr>
              <w:t>Number</w:t>
            </w:r>
          </w:p>
        </w:tc>
        <w:tc>
          <w:tcPr>
            <w:tcW w:w="1320" w:type="dxa"/>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736CB7" w:rsidRPr="00C80EBC" w:rsidRDefault="00736CB7" w:rsidP="00C80EBC">
            <w:pPr>
              <w:jc w:val="right"/>
              <w:rPr>
                <w:rFonts w:ascii="Calibri" w:hAnsi="Calibri" w:cs="Calibri"/>
                <w:b/>
                <w:color w:val="FFFFFF" w:themeColor="background1"/>
                <w:sz w:val="22"/>
                <w:szCs w:val="22"/>
              </w:rPr>
            </w:pPr>
            <w:r w:rsidRPr="00C80EBC">
              <w:rPr>
                <w:rFonts w:ascii="Calibri" w:hAnsi="Calibri" w:cs="Calibri"/>
                <w:b/>
                <w:color w:val="FFFFFF" w:themeColor="background1"/>
                <w:sz w:val="22"/>
                <w:szCs w:val="22"/>
              </w:rPr>
              <w:t>Value (£)</w:t>
            </w:r>
          </w:p>
        </w:tc>
      </w:tr>
      <w:tr w:rsidR="00707D4B"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7D4B" w:rsidRDefault="00707D4B" w:rsidP="00707D4B">
            <w:pPr>
              <w:rPr>
                <w:rFonts w:ascii="Calibri" w:hAnsi="Calibri" w:cs="Calibri"/>
                <w:b/>
                <w:bCs/>
                <w:color w:val="000000"/>
                <w:sz w:val="22"/>
                <w:szCs w:val="22"/>
              </w:rPr>
            </w:pPr>
            <w:r>
              <w:rPr>
                <w:rFonts w:ascii="Calibri" w:hAnsi="Calibri" w:cs="Calibri"/>
                <w:b/>
                <w:bCs/>
                <w:color w:val="000000"/>
                <w:sz w:val="22"/>
                <w:szCs w:val="22"/>
              </w:rPr>
              <w:t>Benchmark</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07D4B" w:rsidRPr="00C80EBC" w:rsidRDefault="00707D4B" w:rsidP="006E30B3">
            <w:pPr>
              <w:jc w:val="right"/>
              <w:rPr>
                <w:rFonts w:ascii="Calibri" w:hAnsi="Calibri" w:cs="Calibri"/>
                <w:b/>
                <w:sz w:val="22"/>
                <w:szCs w:val="22"/>
              </w:rPr>
            </w:pPr>
            <w:r w:rsidRPr="00C80EBC">
              <w:rPr>
                <w:rFonts w:ascii="Calibri" w:hAnsi="Calibri" w:cs="Calibri"/>
                <w:b/>
                <w:sz w:val="22"/>
                <w:szCs w:val="22"/>
              </w:rPr>
              <w:t>95%</w:t>
            </w:r>
          </w:p>
        </w:tc>
      </w:tr>
      <w:tr w:rsidR="004A71FD"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1FD" w:rsidRDefault="004A71FD" w:rsidP="00707D4B">
            <w:pPr>
              <w:rPr>
                <w:rFonts w:ascii="Calibri" w:hAnsi="Calibri" w:cs="Calibri"/>
                <w:b/>
                <w:bCs/>
                <w:color w:val="000000"/>
                <w:sz w:val="22"/>
                <w:szCs w:val="22"/>
              </w:rPr>
            </w:pPr>
            <w:r>
              <w:rPr>
                <w:rFonts w:ascii="Calibri" w:hAnsi="Calibri" w:cs="Calibri"/>
                <w:b/>
                <w:bCs/>
                <w:color w:val="000000"/>
                <w:sz w:val="22"/>
                <w:szCs w:val="22"/>
              </w:rPr>
              <w:t>2017/18</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3C526D" w:rsidP="006E30B3">
            <w:pPr>
              <w:jc w:val="right"/>
              <w:rPr>
                <w:rFonts w:ascii="Calibri" w:hAnsi="Calibri" w:cs="Calibri"/>
                <w:b/>
                <w:sz w:val="22"/>
                <w:szCs w:val="22"/>
              </w:rPr>
            </w:pPr>
            <w:r>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4A71FD" w:rsidRPr="00C80EBC" w:rsidRDefault="00337FC2" w:rsidP="002451D5">
            <w:pPr>
              <w:jc w:val="right"/>
              <w:rPr>
                <w:rFonts w:ascii="Calibri" w:hAnsi="Calibri" w:cs="Calibri"/>
                <w:b/>
                <w:sz w:val="22"/>
                <w:szCs w:val="22"/>
              </w:rPr>
            </w:pPr>
            <w:r>
              <w:rPr>
                <w:rFonts w:ascii="Calibri" w:hAnsi="Calibri" w:cs="Calibri"/>
                <w:b/>
                <w:sz w:val="22"/>
                <w:szCs w:val="22"/>
              </w:rPr>
              <w:t>99</w:t>
            </w:r>
            <w:r w:rsidR="003C526D">
              <w:rPr>
                <w:rFonts w:ascii="Calibri" w:hAnsi="Calibri" w:cs="Calibri"/>
                <w:b/>
                <w:sz w:val="22"/>
                <w:szCs w:val="22"/>
              </w:rPr>
              <w:t>%</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07D4B" w:rsidP="00707D4B">
            <w:pPr>
              <w:rPr>
                <w:rFonts w:ascii="Calibri" w:hAnsi="Calibri" w:cs="Calibri"/>
                <w:b/>
                <w:bCs/>
                <w:color w:val="000000"/>
                <w:sz w:val="22"/>
                <w:szCs w:val="22"/>
              </w:rPr>
            </w:pPr>
            <w:r>
              <w:rPr>
                <w:rFonts w:ascii="Calibri" w:hAnsi="Calibri" w:cs="Calibri"/>
                <w:b/>
                <w:bCs/>
                <w:color w:val="000000"/>
                <w:sz w:val="22"/>
                <w:szCs w:val="22"/>
              </w:rPr>
              <w:t>2016/17</w:t>
            </w:r>
            <w:r w:rsidR="00736CB7" w:rsidRPr="00236B2E">
              <w:rPr>
                <w:rFonts w:ascii="Calibri" w:hAnsi="Calibri" w:cs="Calibri"/>
                <w:b/>
                <w:bCs/>
                <w:color w:val="000000"/>
                <w:sz w:val="22"/>
                <w:szCs w:val="22"/>
              </w:rPr>
              <w:t xml:space="preserve"> </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tcPr>
          <w:p w:rsidR="00736CB7" w:rsidRPr="00C80EBC" w:rsidRDefault="00482FAD" w:rsidP="006E30B3">
            <w:pPr>
              <w:jc w:val="right"/>
              <w:rPr>
                <w:rFonts w:ascii="Calibri" w:hAnsi="Calibri" w:cs="Calibri"/>
                <w:b/>
                <w:sz w:val="22"/>
                <w:szCs w:val="22"/>
              </w:rPr>
            </w:pPr>
            <w:r w:rsidRPr="00C80EBC">
              <w:rPr>
                <w:rFonts w:ascii="Calibri" w:hAnsi="Calibri" w:cs="Calibri"/>
                <w:b/>
                <w:sz w:val="22"/>
                <w:szCs w:val="22"/>
              </w:rPr>
              <w:t>98%</w:t>
            </w:r>
          </w:p>
        </w:tc>
      </w:tr>
      <w:tr w:rsidR="00736CB7" w:rsidRPr="00236B2E" w:rsidTr="00C80EBC">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6CB7" w:rsidRPr="00236B2E" w:rsidRDefault="00736CB7" w:rsidP="00707D4B">
            <w:pPr>
              <w:rPr>
                <w:rFonts w:ascii="Calibri" w:hAnsi="Calibri" w:cs="Calibri"/>
                <w:b/>
                <w:bCs/>
                <w:color w:val="000000"/>
                <w:sz w:val="22"/>
                <w:szCs w:val="22"/>
              </w:rPr>
            </w:pPr>
            <w:r w:rsidRPr="00236B2E">
              <w:rPr>
                <w:rFonts w:ascii="Calibri" w:hAnsi="Calibri" w:cs="Calibri"/>
                <w:b/>
                <w:bCs/>
                <w:color w:val="000000"/>
                <w:sz w:val="22"/>
                <w:szCs w:val="22"/>
              </w:rPr>
              <w:t xml:space="preserve">2015/16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98%</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736CB7" w:rsidRPr="00C80EBC" w:rsidRDefault="00736CB7" w:rsidP="00655157">
            <w:pPr>
              <w:jc w:val="right"/>
              <w:rPr>
                <w:rFonts w:ascii="Calibri" w:hAnsi="Calibri" w:cs="Calibri"/>
                <w:b/>
                <w:sz w:val="22"/>
                <w:szCs w:val="22"/>
              </w:rPr>
            </w:pPr>
            <w:r w:rsidRPr="00C80EBC">
              <w:rPr>
                <w:rFonts w:ascii="Calibri" w:hAnsi="Calibri" w:cs="Calibri"/>
                <w:b/>
                <w:sz w:val="22"/>
                <w:szCs w:val="22"/>
              </w:rPr>
              <w:t>97%</w:t>
            </w:r>
          </w:p>
        </w:tc>
      </w:tr>
    </w:tbl>
    <w:p w:rsidR="004D4BF4" w:rsidRDefault="004D4BF4" w:rsidP="00DD6897">
      <w:pPr>
        <w:rPr>
          <w:rFonts w:ascii="Arial" w:hAnsi="Arial" w:cs="Arial"/>
          <w:sz w:val="22"/>
          <w:szCs w:val="22"/>
        </w:rPr>
      </w:pPr>
    </w:p>
    <w:p w:rsidR="00535185" w:rsidRDefault="00535185" w:rsidP="0028079F">
      <w:pPr>
        <w:jc w:val="both"/>
        <w:rPr>
          <w:rFonts w:ascii="Arial" w:hAnsi="Arial" w:cs="Arial"/>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4A7BCE" w:rsidP="00192D07">
      <w:pPr>
        <w:overflowPunct w:val="0"/>
        <w:autoSpaceDE w:val="0"/>
        <w:autoSpaceDN w:val="0"/>
        <w:adjustRightInd w:val="0"/>
        <w:textAlignment w:val="baseline"/>
        <w:rPr>
          <w:rFonts w:ascii="Arial" w:hAnsi="Arial" w:cs="Arial"/>
          <w:sz w:val="22"/>
          <w:szCs w:val="22"/>
        </w:rPr>
      </w:pPr>
      <w:r>
        <w:rPr>
          <w:rFonts w:ascii="Arial" w:hAnsi="Arial" w:cs="Arial"/>
          <w:sz w:val="22"/>
          <w:szCs w:val="22"/>
        </w:rPr>
        <w:t>Leadership team</w:t>
      </w:r>
      <w:r w:rsidR="004407B6">
        <w:rPr>
          <w:rFonts w:ascii="Arial" w:hAnsi="Arial" w:cs="Arial"/>
          <w:sz w:val="22"/>
          <w:szCs w:val="22"/>
        </w:rPr>
        <w:t xml:space="preserve"> and HRA Board are</w:t>
      </w:r>
      <w:r w:rsidR="00DF39E7" w:rsidRPr="00106232">
        <w:rPr>
          <w:rFonts w:ascii="Arial" w:hAnsi="Arial" w:cs="Arial"/>
          <w:sz w:val="22"/>
          <w:szCs w:val="22"/>
        </w:rPr>
        <w:t xml:space="preserve"> asked to </w:t>
      </w:r>
      <w:r w:rsidR="004A32AC">
        <w:rPr>
          <w:rFonts w:ascii="Arial" w:hAnsi="Arial" w:cs="Arial"/>
          <w:sz w:val="22"/>
          <w:szCs w:val="22"/>
        </w:rPr>
        <w:t>review and approve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4A71FD">
        <w:rPr>
          <w:rFonts w:ascii="Arial" w:hAnsi="Arial" w:cs="Arial"/>
          <w:sz w:val="22"/>
          <w:szCs w:val="22"/>
        </w:rPr>
        <w:t xml:space="preserve">finance report for the </w:t>
      </w:r>
      <w:r w:rsidR="00E665CA">
        <w:rPr>
          <w:rFonts w:ascii="Arial" w:hAnsi="Arial" w:cs="Arial"/>
          <w:sz w:val="22"/>
          <w:szCs w:val="22"/>
        </w:rPr>
        <w:t xml:space="preserve">10 </w:t>
      </w:r>
      <w:r w:rsidR="004A71FD">
        <w:rPr>
          <w:rFonts w:ascii="Arial" w:hAnsi="Arial" w:cs="Arial"/>
          <w:sz w:val="22"/>
          <w:szCs w:val="22"/>
        </w:rPr>
        <w:t xml:space="preserve">months </w:t>
      </w:r>
      <w:r w:rsidR="00FD5EB4">
        <w:rPr>
          <w:rFonts w:ascii="Arial" w:hAnsi="Arial" w:cs="Arial"/>
          <w:sz w:val="22"/>
          <w:szCs w:val="22"/>
        </w:rPr>
        <w:t>to</w:t>
      </w:r>
      <w:r w:rsidR="004A71FD">
        <w:rPr>
          <w:rFonts w:ascii="Arial" w:hAnsi="Arial" w:cs="Arial"/>
          <w:sz w:val="22"/>
          <w:szCs w:val="22"/>
        </w:rPr>
        <w:t xml:space="preserve"> 3</w:t>
      </w:r>
      <w:r w:rsidR="00034EFD">
        <w:rPr>
          <w:rFonts w:ascii="Arial" w:hAnsi="Arial" w:cs="Arial"/>
          <w:sz w:val="22"/>
          <w:szCs w:val="22"/>
        </w:rPr>
        <w:t>1</w:t>
      </w:r>
      <w:r>
        <w:rPr>
          <w:rFonts w:ascii="Arial" w:hAnsi="Arial" w:cs="Arial"/>
          <w:sz w:val="22"/>
          <w:szCs w:val="22"/>
        </w:rPr>
        <w:t xml:space="preserve"> </w:t>
      </w:r>
      <w:r w:rsidR="00E665CA">
        <w:rPr>
          <w:rFonts w:ascii="Arial" w:hAnsi="Arial" w:cs="Arial"/>
          <w:sz w:val="22"/>
          <w:szCs w:val="22"/>
        </w:rPr>
        <w:t>January 2018</w:t>
      </w:r>
      <w:r w:rsidR="008D0C4A">
        <w:rPr>
          <w:rFonts w:ascii="Arial" w:hAnsi="Arial" w:cs="Arial"/>
          <w:sz w:val="22"/>
          <w:szCs w:val="22"/>
        </w:rPr>
        <w:t>.</w:t>
      </w:r>
      <w:r w:rsidR="00FD5EB4">
        <w:rPr>
          <w:rFonts w:ascii="Arial" w:hAnsi="Arial" w:cs="Arial"/>
          <w:sz w:val="22"/>
          <w:szCs w:val="22"/>
        </w:rPr>
        <w:t xml:space="preserve"> </w:t>
      </w:r>
    </w:p>
    <w:p w:rsidR="00CC740F" w:rsidRDefault="00CC740F"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6D1A57" w:rsidRDefault="006D1A57" w:rsidP="00B40EA9">
      <w:pPr>
        <w:spacing w:line="276" w:lineRule="auto"/>
        <w:rPr>
          <w:rFonts w:ascii="Arial" w:hAnsi="Arial" w:cs="Arial"/>
          <w:b/>
          <w:sz w:val="22"/>
          <w:szCs w:val="22"/>
        </w:rPr>
      </w:pPr>
    </w:p>
    <w:p w:rsidR="00B40EA9" w:rsidRPr="00B40EA9" w:rsidRDefault="00192D07" w:rsidP="00B40EA9">
      <w:pPr>
        <w:spacing w:line="276" w:lineRule="auto"/>
        <w:rPr>
          <w:rFonts w:ascii="Arial" w:hAnsi="Arial" w:cs="Arial"/>
          <w:b/>
          <w:sz w:val="22"/>
          <w:szCs w:val="22"/>
        </w:rPr>
      </w:pPr>
      <w:r>
        <w:rPr>
          <w:rFonts w:ascii="Arial" w:hAnsi="Arial" w:cs="Arial"/>
          <w:b/>
          <w:sz w:val="22"/>
          <w:szCs w:val="22"/>
        </w:rPr>
        <w:t>Karen Williams</w:t>
      </w:r>
      <w:r w:rsidR="00575AAE">
        <w:rPr>
          <w:rFonts w:ascii="Arial" w:hAnsi="Arial" w:cs="Arial"/>
          <w:b/>
          <w:sz w:val="22"/>
          <w:szCs w:val="22"/>
        </w:rPr>
        <w:t xml:space="preserve"> and Sylvia Hazard</w:t>
      </w:r>
    </w:p>
    <w:p w:rsidR="00296174" w:rsidRDefault="0004137A" w:rsidP="00B34A94">
      <w:pPr>
        <w:spacing w:line="276" w:lineRule="auto"/>
        <w:rPr>
          <w:rFonts w:ascii="Arial" w:hAnsi="Arial" w:cs="Arial"/>
          <w:b/>
          <w:sz w:val="22"/>
          <w:szCs w:val="22"/>
        </w:rPr>
      </w:pPr>
      <w:r>
        <w:rPr>
          <w:rFonts w:ascii="Arial" w:hAnsi="Arial" w:cs="Arial"/>
          <w:b/>
          <w:sz w:val="22"/>
          <w:szCs w:val="22"/>
        </w:rPr>
        <w:t xml:space="preserve">Director of </w:t>
      </w:r>
      <w:r w:rsidR="00B40EA9" w:rsidRPr="00B40EA9">
        <w:rPr>
          <w:rFonts w:ascii="Arial" w:hAnsi="Arial" w:cs="Arial"/>
          <w:b/>
          <w:sz w:val="22"/>
          <w:szCs w:val="22"/>
        </w:rPr>
        <w:t>Finance</w:t>
      </w:r>
      <w:r w:rsidR="00575AAE">
        <w:rPr>
          <w:rFonts w:ascii="Arial" w:hAnsi="Arial" w:cs="Arial"/>
          <w:b/>
          <w:sz w:val="22"/>
          <w:szCs w:val="22"/>
        </w:rPr>
        <w:t xml:space="preserve"> and Deputy Director of Finance</w:t>
      </w:r>
    </w:p>
    <w:p w:rsidR="004D48AE" w:rsidRDefault="00575AAE" w:rsidP="00B34A94">
      <w:pPr>
        <w:spacing w:line="276" w:lineRule="auto"/>
        <w:rPr>
          <w:rFonts w:ascii="Arial" w:hAnsi="Arial" w:cs="Arial"/>
          <w:b/>
          <w:sz w:val="22"/>
          <w:szCs w:val="22"/>
        </w:rPr>
        <w:sectPr w:rsidR="004D48AE" w:rsidSect="006A228D">
          <w:headerReference w:type="default" r:id="rId11"/>
          <w:footerReference w:type="default" r:id="rId12"/>
          <w:pgSz w:w="11906" w:h="16838"/>
          <w:pgMar w:top="706" w:right="990" w:bottom="720" w:left="900" w:header="706" w:footer="706" w:gutter="0"/>
          <w:cols w:space="708"/>
          <w:docGrid w:linePitch="360"/>
        </w:sectPr>
      </w:pPr>
      <w:r>
        <w:rPr>
          <w:rFonts w:ascii="Arial" w:hAnsi="Arial" w:cs="Arial"/>
          <w:b/>
          <w:sz w:val="22"/>
          <w:szCs w:val="22"/>
        </w:rPr>
        <w:t>26</w:t>
      </w:r>
      <w:r w:rsidR="006B17B0">
        <w:rPr>
          <w:rFonts w:ascii="Arial" w:hAnsi="Arial" w:cs="Arial"/>
          <w:b/>
          <w:sz w:val="22"/>
          <w:szCs w:val="22"/>
        </w:rPr>
        <w:t>th</w:t>
      </w:r>
      <w:r w:rsidR="003C526D">
        <w:rPr>
          <w:rFonts w:ascii="Arial" w:hAnsi="Arial" w:cs="Arial"/>
          <w:b/>
          <w:sz w:val="22"/>
          <w:szCs w:val="22"/>
        </w:rPr>
        <w:t xml:space="preserve"> </w:t>
      </w:r>
      <w:r w:rsidR="006B17B0">
        <w:rPr>
          <w:rFonts w:ascii="Arial" w:hAnsi="Arial" w:cs="Arial"/>
          <w:b/>
          <w:sz w:val="22"/>
          <w:szCs w:val="22"/>
        </w:rPr>
        <w:t>February</w:t>
      </w:r>
      <w:r w:rsidR="003C526D">
        <w:rPr>
          <w:rFonts w:ascii="Arial" w:hAnsi="Arial" w:cs="Arial"/>
          <w:b/>
          <w:sz w:val="22"/>
          <w:szCs w:val="22"/>
        </w:rPr>
        <w:t xml:space="preserve"> 2018</w:t>
      </w:r>
    </w:p>
    <w:p w:rsidR="005863FA" w:rsidRDefault="0060775E" w:rsidP="005863FA">
      <w:pPr>
        <w:spacing w:line="276" w:lineRule="auto"/>
        <w:rPr>
          <w:rFonts w:ascii="Arial" w:hAnsi="Arial" w:cs="Arial"/>
          <w:b/>
          <w:sz w:val="22"/>
          <w:szCs w:val="22"/>
        </w:rPr>
      </w:pPr>
      <w:r>
        <w:rPr>
          <w:rFonts w:ascii="Arial" w:hAnsi="Arial" w:cs="Arial"/>
          <w:b/>
          <w:sz w:val="22"/>
          <w:szCs w:val="22"/>
        </w:rPr>
        <w:lastRenderedPageBreak/>
        <w:t>Detailed non-pay expenditure analysis</w:t>
      </w:r>
    </w:p>
    <w:p w:rsidR="004E16D4" w:rsidRDefault="004E16D4" w:rsidP="005863FA">
      <w:pPr>
        <w:spacing w:line="276" w:lineRule="auto"/>
        <w:rPr>
          <w:rFonts w:ascii="Arial" w:hAnsi="Arial" w:cs="Arial"/>
          <w:b/>
          <w:sz w:val="22"/>
          <w:szCs w:val="22"/>
        </w:rPr>
      </w:pPr>
    </w:p>
    <w:tbl>
      <w:tblPr>
        <w:tblW w:w="15324" w:type="dxa"/>
        <w:tblInd w:w="93" w:type="dxa"/>
        <w:tblLook w:val="04A0" w:firstRow="1" w:lastRow="0" w:firstColumn="1" w:lastColumn="0" w:noHBand="0" w:noVBand="1"/>
      </w:tblPr>
      <w:tblGrid>
        <w:gridCol w:w="4700"/>
        <w:gridCol w:w="960"/>
        <w:gridCol w:w="960"/>
        <w:gridCol w:w="960"/>
        <w:gridCol w:w="960"/>
        <w:gridCol w:w="1060"/>
        <w:gridCol w:w="960"/>
        <w:gridCol w:w="4764"/>
      </w:tblGrid>
      <w:tr w:rsidR="00B953DA" w:rsidRPr="00B953DA" w:rsidTr="00B953DA">
        <w:trPr>
          <w:trHeight w:val="300"/>
        </w:trPr>
        <w:tc>
          <w:tcPr>
            <w:tcW w:w="470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Subjective</w:t>
            </w:r>
          </w:p>
        </w:tc>
        <w:tc>
          <w:tcPr>
            <w:tcW w:w="9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Annual</w:t>
            </w:r>
          </w:p>
        </w:tc>
        <w:tc>
          <w:tcPr>
            <w:tcW w:w="2880" w:type="dxa"/>
            <w:gridSpan w:val="3"/>
            <w:tcBorders>
              <w:top w:val="nil"/>
              <w:left w:val="nil"/>
              <w:bottom w:val="nil"/>
              <w:right w:val="single" w:sz="4" w:space="0" w:color="FFFFFF"/>
            </w:tcBorders>
            <w:shd w:val="clear" w:color="000000" w:fill="0070B9"/>
            <w:hideMark/>
          </w:tcPr>
          <w:p w:rsidR="00B953DA" w:rsidRPr="00B953DA" w:rsidRDefault="00B953DA" w:rsidP="00B953DA">
            <w:pPr>
              <w:jc w:val="center"/>
              <w:rPr>
                <w:rFonts w:ascii="Calibri" w:hAnsi="Calibri"/>
                <w:b/>
                <w:bCs/>
                <w:color w:val="FFFFFF"/>
                <w:sz w:val="16"/>
                <w:szCs w:val="16"/>
              </w:rPr>
            </w:pPr>
            <w:r w:rsidRPr="00B953DA">
              <w:rPr>
                <w:rFonts w:ascii="Calibri" w:hAnsi="Calibri"/>
                <w:b/>
                <w:bCs/>
                <w:color w:val="FFFFFF"/>
                <w:sz w:val="16"/>
                <w:szCs w:val="16"/>
              </w:rPr>
              <w:t>Year to date (£)</w:t>
            </w:r>
          </w:p>
        </w:tc>
        <w:tc>
          <w:tcPr>
            <w:tcW w:w="2020" w:type="dxa"/>
            <w:gridSpan w:val="2"/>
            <w:tcBorders>
              <w:top w:val="nil"/>
              <w:left w:val="nil"/>
              <w:bottom w:val="nil"/>
              <w:right w:val="single" w:sz="4" w:space="0" w:color="FFFFFF"/>
            </w:tcBorders>
            <w:shd w:val="clear" w:color="000000" w:fill="0070B9"/>
            <w:hideMark/>
          </w:tcPr>
          <w:p w:rsidR="00B953DA" w:rsidRPr="00B953DA" w:rsidRDefault="00B953DA" w:rsidP="00B953DA">
            <w:pPr>
              <w:jc w:val="center"/>
              <w:rPr>
                <w:rFonts w:ascii="Calibri" w:hAnsi="Calibri"/>
                <w:b/>
                <w:bCs/>
                <w:color w:val="FFFFFF"/>
                <w:sz w:val="16"/>
                <w:szCs w:val="16"/>
              </w:rPr>
            </w:pPr>
            <w:r w:rsidRPr="00B953DA">
              <w:rPr>
                <w:rFonts w:ascii="Calibri" w:hAnsi="Calibri"/>
                <w:b/>
                <w:bCs/>
                <w:color w:val="FFFFFF"/>
                <w:sz w:val="16"/>
                <w:szCs w:val="16"/>
              </w:rPr>
              <w:t>Forecast (£)</w:t>
            </w:r>
          </w:p>
        </w:tc>
        <w:tc>
          <w:tcPr>
            <w:tcW w:w="4764" w:type="dxa"/>
            <w:tcBorders>
              <w:top w:val="nil"/>
              <w:left w:val="nil"/>
              <w:bottom w:val="nil"/>
              <w:right w:val="single" w:sz="4" w:space="0" w:color="FFFFFF"/>
            </w:tcBorders>
            <w:shd w:val="clear" w:color="000000" w:fill="0070B9"/>
          </w:tcPr>
          <w:p w:rsidR="00B953DA" w:rsidRPr="00B953DA" w:rsidRDefault="00B953DA" w:rsidP="00B953DA">
            <w:pPr>
              <w:jc w:val="center"/>
              <w:rPr>
                <w:rFonts w:ascii="Calibri" w:hAnsi="Calibri"/>
                <w:b/>
                <w:bCs/>
                <w:color w:val="FFFFFF"/>
                <w:sz w:val="16"/>
                <w:szCs w:val="16"/>
              </w:rPr>
            </w:pPr>
            <w:r>
              <w:rPr>
                <w:rFonts w:ascii="Calibri" w:hAnsi="Calibri"/>
                <w:b/>
                <w:bCs/>
                <w:color w:val="FFFFFF"/>
                <w:sz w:val="16"/>
                <w:szCs w:val="16"/>
              </w:rPr>
              <w:t>Explanation</w:t>
            </w:r>
          </w:p>
        </w:tc>
      </w:tr>
      <w:tr w:rsidR="00B953DA" w:rsidRPr="00B953DA" w:rsidTr="00B953DA">
        <w:trPr>
          <w:trHeight w:val="300"/>
        </w:trPr>
        <w:tc>
          <w:tcPr>
            <w:tcW w:w="470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Name</w:t>
            </w:r>
          </w:p>
        </w:tc>
        <w:tc>
          <w:tcPr>
            <w:tcW w:w="9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budget (£)</w:t>
            </w:r>
          </w:p>
        </w:tc>
        <w:tc>
          <w:tcPr>
            <w:tcW w:w="9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Variance</w:t>
            </w:r>
          </w:p>
        </w:tc>
        <w:tc>
          <w:tcPr>
            <w:tcW w:w="10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Outturn</w:t>
            </w:r>
          </w:p>
        </w:tc>
        <w:tc>
          <w:tcPr>
            <w:tcW w:w="960" w:type="dxa"/>
            <w:tcBorders>
              <w:top w:val="nil"/>
              <w:left w:val="nil"/>
              <w:bottom w:val="nil"/>
              <w:right w:val="single" w:sz="4" w:space="0" w:color="FFFFFF"/>
            </w:tcBorders>
            <w:shd w:val="clear" w:color="000000" w:fill="0070B9"/>
            <w:hideMark/>
          </w:tcPr>
          <w:p w:rsidR="00B953DA" w:rsidRPr="00B953DA" w:rsidRDefault="00B953DA" w:rsidP="00B953DA">
            <w:pPr>
              <w:rPr>
                <w:rFonts w:ascii="Calibri" w:hAnsi="Calibri"/>
                <w:b/>
                <w:bCs/>
                <w:color w:val="FFFFFF"/>
                <w:sz w:val="16"/>
                <w:szCs w:val="16"/>
              </w:rPr>
            </w:pPr>
            <w:r w:rsidRPr="00B953DA">
              <w:rPr>
                <w:rFonts w:ascii="Calibri" w:hAnsi="Calibri"/>
                <w:b/>
                <w:bCs/>
                <w:color w:val="FFFFFF"/>
                <w:sz w:val="16"/>
                <w:szCs w:val="16"/>
              </w:rPr>
              <w:t>Variance</w:t>
            </w:r>
          </w:p>
        </w:tc>
        <w:tc>
          <w:tcPr>
            <w:tcW w:w="4764" w:type="dxa"/>
            <w:tcBorders>
              <w:top w:val="nil"/>
              <w:left w:val="nil"/>
              <w:bottom w:val="nil"/>
              <w:right w:val="single" w:sz="4" w:space="0" w:color="FFFFFF"/>
            </w:tcBorders>
            <w:shd w:val="clear" w:color="000000" w:fill="0070B9"/>
          </w:tcPr>
          <w:p w:rsidR="00B953DA" w:rsidRPr="00B953DA" w:rsidRDefault="00B953DA" w:rsidP="00B953DA">
            <w:pPr>
              <w:rPr>
                <w:rFonts w:ascii="Calibri" w:hAnsi="Calibri"/>
                <w:b/>
                <w:bCs/>
                <w:color w:val="FFFFFF"/>
                <w:sz w:val="16"/>
                <w:szCs w:val="16"/>
              </w:rPr>
            </w:pP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Meeting Rooms/Catering</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248,543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174,822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173,530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(1,292)</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203,499.00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(45,044)</w:t>
            </w:r>
          </w:p>
        </w:tc>
        <w:tc>
          <w:tcPr>
            <w:tcW w:w="4764" w:type="dxa"/>
            <w:tcBorders>
              <w:top w:val="nil"/>
              <w:left w:val="nil"/>
              <w:bottom w:val="nil"/>
              <w:right w:val="nil"/>
            </w:tcBorders>
          </w:tcPr>
          <w:p w:rsidR="00B953DA" w:rsidRPr="00B953DA" w:rsidRDefault="009B716F" w:rsidP="00B953DA">
            <w:pPr>
              <w:jc w:val="right"/>
              <w:outlineLvl w:val="0"/>
              <w:rPr>
                <w:rFonts w:ascii="Calibri" w:hAnsi="Calibri"/>
                <w:color w:val="000000"/>
                <w:sz w:val="16"/>
                <w:szCs w:val="16"/>
              </w:rPr>
            </w:pPr>
            <w:r>
              <w:rPr>
                <w:rFonts w:ascii="Calibri" w:hAnsi="Calibri"/>
                <w:color w:val="000000"/>
                <w:sz w:val="16"/>
                <w:szCs w:val="16"/>
              </w:rPr>
              <w:t>Careful management of space and forward planning</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Office equipment/Stationery/Furniture/Consumable</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35,737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27,160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16,751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(10,409)</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22,981.00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(12,756)</w:t>
            </w:r>
          </w:p>
        </w:tc>
        <w:tc>
          <w:tcPr>
            <w:tcW w:w="4764" w:type="dxa"/>
            <w:tcBorders>
              <w:top w:val="nil"/>
              <w:left w:val="nil"/>
              <w:bottom w:val="nil"/>
              <w:right w:val="nil"/>
            </w:tcBorders>
          </w:tcPr>
          <w:p w:rsidR="00B953DA" w:rsidRPr="00B953DA" w:rsidRDefault="002A703A" w:rsidP="00B953DA">
            <w:pPr>
              <w:jc w:val="right"/>
              <w:outlineLvl w:val="0"/>
              <w:rPr>
                <w:rFonts w:ascii="Calibri" w:hAnsi="Calibri"/>
                <w:color w:val="000000"/>
                <w:sz w:val="16"/>
                <w:szCs w:val="16"/>
              </w:rPr>
            </w:pPr>
            <w:r>
              <w:rPr>
                <w:rFonts w:ascii="Calibri" w:hAnsi="Calibri"/>
                <w:color w:val="000000"/>
                <w:sz w:val="16"/>
                <w:szCs w:val="16"/>
              </w:rPr>
              <w:t>E-review project reducing stationery costs</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Photocopying/Printing/Postage/Storage/Waste</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129,021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90,731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75,718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(15,013)</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142,513.00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13,492 </w:t>
            </w:r>
          </w:p>
        </w:tc>
        <w:tc>
          <w:tcPr>
            <w:tcW w:w="4764" w:type="dxa"/>
            <w:tcBorders>
              <w:top w:val="nil"/>
              <w:left w:val="nil"/>
              <w:bottom w:val="nil"/>
              <w:right w:val="nil"/>
            </w:tcBorders>
          </w:tcPr>
          <w:p w:rsidR="00B953DA" w:rsidRPr="00B953DA" w:rsidRDefault="002A703A" w:rsidP="00B953DA">
            <w:pPr>
              <w:jc w:val="right"/>
              <w:outlineLvl w:val="0"/>
              <w:rPr>
                <w:rFonts w:ascii="Calibri" w:hAnsi="Calibri"/>
                <w:color w:val="000000"/>
                <w:sz w:val="16"/>
                <w:szCs w:val="16"/>
              </w:rPr>
            </w:pPr>
            <w:r>
              <w:rPr>
                <w:rFonts w:ascii="Calibri" w:hAnsi="Calibri"/>
                <w:color w:val="000000"/>
                <w:sz w:val="16"/>
                <w:szCs w:val="16"/>
              </w:rPr>
              <w:t>Print contractual arrangements incorrectly reflected in budget</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 xml:space="preserve">Premises - </w:t>
            </w:r>
            <w:proofErr w:type="spellStart"/>
            <w:r w:rsidRPr="00B953DA">
              <w:rPr>
                <w:rFonts w:ascii="Arial Narrow" w:hAnsi="Arial Narrow"/>
                <w:b/>
                <w:bCs/>
                <w:color w:val="000000"/>
                <w:sz w:val="16"/>
                <w:szCs w:val="16"/>
              </w:rPr>
              <w:t>inc</w:t>
            </w:r>
            <w:proofErr w:type="spellEnd"/>
            <w:r w:rsidRPr="00B953DA">
              <w:rPr>
                <w:rFonts w:ascii="Arial Narrow" w:hAnsi="Arial Narrow"/>
                <w:b/>
                <w:bCs/>
                <w:color w:val="000000"/>
                <w:sz w:val="16"/>
                <w:szCs w:val="16"/>
              </w:rPr>
              <w:t xml:space="preserve"> premise removal costs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811,023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641,639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653,112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11,473 </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833,385.00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22,362 </w:t>
            </w:r>
          </w:p>
        </w:tc>
        <w:tc>
          <w:tcPr>
            <w:tcW w:w="4764" w:type="dxa"/>
            <w:tcBorders>
              <w:top w:val="nil"/>
              <w:left w:val="nil"/>
              <w:bottom w:val="nil"/>
              <w:right w:val="nil"/>
            </w:tcBorders>
          </w:tcPr>
          <w:p w:rsidR="00B953DA" w:rsidRPr="00B953DA" w:rsidRDefault="009B716F" w:rsidP="00B953DA">
            <w:pPr>
              <w:jc w:val="right"/>
              <w:outlineLvl w:val="0"/>
              <w:rPr>
                <w:rFonts w:ascii="Calibri" w:hAnsi="Calibri"/>
                <w:color w:val="000000"/>
                <w:sz w:val="16"/>
                <w:szCs w:val="16"/>
              </w:rPr>
            </w:pPr>
            <w:r>
              <w:rPr>
                <w:rFonts w:ascii="Calibri" w:hAnsi="Calibri"/>
                <w:color w:val="000000"/>
                <w:sz w:val="16"/>
                <w:szCs w:val="16"/>
              </w:rPr>
              <w:t>SKH costs greater than originally planned – irrecoverable VAT</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Training Expenses - expenses/materials , conferences, workshops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90,770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53,283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41,110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(12,173)</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147,154.00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56,384 </w:t>
            </w:r>
          </w:p>
        </w:tc>
        <w:tc>
          <w:tcPr>
            <w:tcW w:w="4764" w:type="dxa"/>
            <w:tcBorders>
              <w:top w:val="nil"/>
              <w:left w:val="nil"/>
              <w:bottom w:val="nil"/>
              <w:right w:val="nil"/>
            </w:tcBorders>
          </w:tcPr>
          <w:p w:rsidR="00B953DA" w:rsidRPr="00B953DA" w:rsidRDefault="002A703A" w:rsidP="00B953DA">
            <w:pPr>
              <w:jc w:val="right"/>
              <w:outlineLvl w:val="0"/>
              <w:rPr>
                <w:rFonts w:ascii="Calibri" w:hAnsi="Calibri"/>
                <w:color w:val="000000"/>
                <w:sz w:val="16"/>
                <w:szCs w:val="16"/>
              </w:rPr>
            </w:pPr>
            <w:r>
              <w:rPr>
                <w:rFonts w:ascii="Calibri" w:hAnsi="Calibri"/>
                <w:color w:val="000000"/>
                <w:sz w:val="16"/>
                <w:szCs w:val="16"/>
              </w:rPr>
              <w:t>Phasing and additional investment in capacity building</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Other Staff costs - Recruitment/adverts/redundancy/PILON</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188,687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169,889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173,325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3,436 </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190,669.00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1,982 </w:t>
            </w:r>
          </w:p>
        </w:tc>
        <w:tc>
          <w:tcPr>
            <w:tcW w:w="4764" w:type="dxa"/>
            <w:tcBorders>
              <w:top w:val="nil"/>
              <w:left w:val="nil"/>
              <w:bottom w:val="nil"/>
              <w:right w:val="nil"/>
            </w:tcBorders>
          </w:tcPr>
          <w:p w:rsidR="00B953DA" w:rsidRPr="00B953DA" w:rsidRDefault="00B953DA" w:rsidP="00B953DA">
            <w:pPr>
              <w:jc w:val="right"/>
              <w:outlineLvl w:val="0"/>
              <w:rPr>
                <w:rFonts w:ascii="Calibri" w:hAnsi="Calibri"/>
                <w:color w:val="000000"/>
                <w:sz w:val="16"/>
                <w:szCs w:val="16"/>
              </w:rPr>
            </w:pP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Travel costs - include excess mileage/interview expenses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573,465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432,137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393,752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(38,385)</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566,231.00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(7,234)</w:t>
            </w:r>
          </w:p>
        </w:tc>
        <w:tc>
          <w:tcPr>
            <w:tcW w:w="4764" w:type="dxa"/>
            <w:tcBorders>
              <w:top w:val="nil"/>
              <w:left w:val="nil"/>
              <w:bottom w:val="nil"/>
              <w:right w:val="nil"/>
            </w:tcBorders>
          </w:tcPr>
          <w:p w:rsidR="00B953DA" w:rsidRPr="00B953DA" w:rsidRDefault="002A703A" w:rsidP="00B953DA">
            <w:pPr>
              <w:jc w:val="right"/>
              <w:outlineLvl w:val="0"/>
              <w:rPr>
                <w:rFonts w:ascii="Calibri" w:hAnsi="Calibri"/>
                <w:color w:val="000000"/>
                <w:sz w:val="16"/>
                <w:szCs w:val="16"/>
              </w:rPr>
            </w:pPr>
            <w:r>
              <w:rPr>
                <w:rFonts w:ascii="Calibri" w:hAnsi="Calibri"/>
                <w:color w:val="000000"/>
                <w:sz w:val="16"/>
                <w:szCs w:val="16"/>
              </w:rPr>
              <w:t>Better use of technology</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Chairs/Members/Participation - activity costs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281,877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197,497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194,549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(2,948)</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267,197.00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(14,680)</w:t>
            </w:r>
          </w:p>
        </w:tc>
        <w:tc>
          <w:tcPr>
            <w:tcW w:w="4764" w:type="dxa"/>
            <w:tcBorders>
              <w:top w:val="nil"/>
              <w:left w:val="nil"/>
              <w:bottom w:val="nil"/>
              <w:right w:val="nil"/>
            </w:tcBorders>
          </w:tcPr>
          <w:p w:rsidR="00B953DA" w:rsidRPr="00B953DA" w:rsidRDefault="002A703A" w:rsidP="00B953DA">
            <w:pPr>
              <w:jc w:val="right"/>
              <w:outlineLvl w:val="0"/>
              <w:rPr>
                <w:rFonts w:ascii="Calibri" w:hAnsi="Calibri"/>
                <w:color w:val="000000"/>
                <w:sz w:val="16"/>
                <w:szCs w:val="16"/>
              </w:rPr>
            </w:pPr>
            <w:r>
              <w:rPr>
                <w:rFonts w:ascii="Calibri" w:hAnsi="Calibri"/>
                <w:color w:val="000000"/>
                <w:sz w:val="16"/>
                <w:szCs w:val="16"/>
              </w:rPr>
              <w:t>Related to activity levels</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Publications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2,124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2,124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2,214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90 </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2,214.00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90 </w:t>
            </w:r>
          </w:p>
        </w:tc>
        <w:tc>
          <w:tcPr>
            <w:tcW w:w="4764" w:type="dxa"/>
            <w:tcBorders>
              <w:top w:val="nil"/>
              <w:left w:val="nil"/>
              <w:bottom w:val="nil"/>
              <w:right w:val="nil"/>
            </w:tcBorders>
          </w:tcPr>
          <w:p w:rsidR="00B953DA" w:rsidRPr="00B953DA" w:rsidRDefault="00B953DA" w:rsidP="00B953DA">
            <w:pPr>
              <w:jc w:val="right"/>
              <w:outlineLvl w:val="0"/>
              <w:rPr>
                <w:rFonts w:ascii="Calibri" w:hAnsi="Calibri"/>
                <w:color w:val="000000"/>
                <w:sz w:val="16"/>
                <w:szCs w:val="16"/>
              </w:rPr>
            </w:pP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Mobile Phones/Mobile Data</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9,935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7,705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9,714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2,009 </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11,959.00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2,024 </w:t>
            </w:r>
          </w:p>
        </w:tc>
        <w:tc>
          <w:tcPr>
            <w:tcW w:w="4764" w:type="dxa"/>
            <w:tcBorders>
              <w:top w:val="nil"/>
              <w:left w:val="nil"/>
              <w:bottom w:val="nil"/>
              <w:right w:val="nil"/>
            </w:tcBorders>
          </w:tcPr>
          <w:p w:rsidR="00B953DA" w:rsidRPr="00B953DA" w:rsidRDefault="00B953DA" w:rsidP="00B953DA">
            <w:pPr>
              <w:jc w:val="right"/>
              <w:outlineLvl w:val="0"/>
              <w:rPr>
                <w:rFonts w:ascii="Calibri" w:hAnsi="Calibri"/>
                <w:color w:val="000000"/>
                <w:sz w:val="16"/>
                <w:szCs w:val="16"/>
              </w:rPr>
            </w:pP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Statutory Costs - Health &amp; Safety/Legal/Audit Fees/Dep. &amp; Amort.</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665,000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432,976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429,209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(3,767)</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641,105.00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(23,895)</w:t>
            </w:r>
          </w:p>
        </w:tc>
        <w:tc>
          <w:tcPr>
            <w:tcW w:w="4764" w:type="dxa"/>
            <w:tcBorders>
              <w:top w:val="nil"/>
              <w:left w:val="nil"/>
              <w:bottom w:val="nil"/>
              <w:right w:val="nil"/>
            </w:tcBorders>
          </w:tcPr>
          <w:p w:rsidR="00B953DA" w:rsidRPr="00B953DA" w:rsidRDefault="009B716F" w:rsidP="009B716F">
            <w:pPr>
              <w:jc w:val="right"/>
              <w:outlineLvl w:val="0"/>
              <w:rPr>
                <w:rFonts w:ascii="Calibri" w:hAnsi="Calibri"/>
                <w:color w:val="000000"/>
                <w:sz w:val="16"/>
                <w:szCs w:val="16"/>
              </w:rPr>
            </w:pPr>
            <w:r>
              <w:rPr>
                <w:rFonts w:ascii="Calibri" w:hAnsi="Calibri"/>
                <w:color w:val="000000"/>
                <w:sz w:val="16"/>
                <w:szCs w:val="16"/>
              </w:rPr>
              <w:t xml:space="preserve">Capital spend phased end of year – reduced in year depreciation </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Computer Costs - Software/licences/system maintenance/purchases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329,949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249,960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255,405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5,445 </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333,736.00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3,787 </w:t>
            </w:r>
          </w:p>
        </w:tc>
        <w:tc>
          <w:tcPr>
            <w:tcW w:w="4764" w:type="dxa"/>
            <w:tcBorders>
              <w:top w:val="nil"/>
              <w:left w:val="nil"/>
              <w:bottom w:val="nil"/>
              <w:right w:val="nil"/>
            </w:tcBorders>
          </w:tcPr>
          <w:p w:rsidR="00B953DA" w:rsidRPr="00B953DA" w:rsidRDefault="00B953DA" w:rsidP="00B953DA">
            <w:pPr>
              <w:jc w:val="right"/>
              <w:outlineLvl w:val="0"/>
              <w:rPr>
                <w:rFonts w:ascii="Calibri" w:hAnsi="Calibri"/>
                <w:color w:val="000000"/>
                <w:sz w:val="16"/>
                <w:szCs w:val="16"/>
              </w:rPr>
            </w:pP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Other External Contracts - SLA's - Premises, SBS,BSA, DH IT</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780,456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541,406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546,093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4,687 </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748,715.00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(31,741)</w:t>
            </w:r>
          </w:p>
        </w:tc>
        <w:tc>
          <w:tcPr>
            <w:tcW w:w="4764" w:type="dxa"/>
            <w:tcBorders>
              <w:top w:val="nil"/>
              <w:left w:val="nil"/>
              <w:bottom w:val="nil"/>
              <w:right w:val="nil"/>
            </w:tcBorders>
          </w:tcPr>
          <w:p w:rsidR="00B953DA" w:rsidRPr="00B953DA" w:rsidRDefault="009B716F" w:rsidP="00B953DA">
            <w:pPr>
              <w:jc w:val="right"/>
              <w:outlineLvl w:val="0"/>
              <w:rPr>
                <w:rFonts w:ascii="Calibri" w:hAnsi="Calibri"/>
                <w:color w:val="000000"/>
                <w:sz w:val="16"/>
                <w:szCs w:val="16"/>
              </w:rPr>
            </w:pPr>
            <w:r>
              <w:rPr>
                <w:rFonts w:ascii="Calibri" w:hAnsi="Calibri"/>
                <w:color w:val="000000"/>
                <w:sz w:val="16"/>
                <w:szCs w:val="16"/>
              </w:rPr>
              <w:t>Better management of DH IT contract, reduced number of users</w:t>
            </w:r>
          </w:p>
        </w:tc>
      </w:tr>
      <w:tr w:rsidR="00B953DA" w:rsidRPr="00B953DA" w:rsidTr="00B953DA">
        <w:trPr>
          <w:trHeight w:val="300"/>
        </w:trPr>
        <w:tc>
          <w:tcPr>
            <w:tcW w:w="4700" w:type="dxa"/>
            <w:tcBorders>
              <w:top w:val="nil"/>
              <w:left w:val="nil"/>
              <w:bottom w:val="nil"/>
              <w:right w:val="nil"/>
            </w:tcBorders>
            <w:shd w:val="clear" w:color="auto" w:fill="auto"/>
            <w:noWrap/>
            <w:vAlign w:val="bottom"/>
            <w:hideMark/>
          </w:tcPr>
          <w:p w:rsidR="00B953DA" w:rsidRPr="00B953DA" w:rsidRDefault="00B953DA" w:rsidP="00B953DA">
            <w:pPr>
              <w:outlineLvl w:val="0"/>
              <w:rPr>
                <w:rFonts w:ascii="Arial Narrow" w:hAnsi="Arial Narrow"/>
                <w:b/>
                <w:bCs/>
                <w:color w:val="000000"/>
                <w:sz w:val="16"/>
                <w:szCs w:val="16"/>
              </w:rPr>
            </w:pPr>
            <w:r w:rsidRPr="00B953DA">
              <w:rPr>
                <w:rFonts w:ascii="Arial Narrow" w:hAnsi="Arial Narrow"/>
                <w:b/>
                <w:bCs/>
                <w:color w:val="000000"/>
                <w:sz w:val="16"/>
                <w:szCs w:val="16"/>
              </w:rPr>
              <w:t xml:space="preserve">Other - </w:t>
            </w:r>
            <w:proofErr w:type="spellStart"/>
            <w:r w:rsidRPr="00B953DA">
              <w:rPr>
                <w:rFonts w:ascii="Arial Narrow" w:hAnsi="Arial Narrow"/>
                <w:b/>
                <w:bCs/>
                <w:color w:val="000000"/>
                <w:sz w:val="16"/>
                <w:szCs w:val="16"/>
              </w:rPr>
              <w:t>Misc</w:t>
            </w:r>
            <w:proofErr w:type="spellEnd"/>
            <w:r w:rsidRPr="00B953DA">
              <w:rPr>
                <w:rFonts w:ascii="Arial Narrow" w:hAnsi="Arial Narrow"/>
                <w:b/>
                <w:bCs/>
                <w:color w:val="000000"/>
                <w:sz w:val="16"/>
                <w:szCs w:val="16"/>
              </w:rPr>
              <w:t>/Reserves</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311,369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0 </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(9)</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(9)</w:t>
            </w:r>
          </w:p>
        </w:tc>
        <w:tc>
          <w:tcPr>
            <w:tcW w:w="10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311,369.00</w:t>
            </w:r>
          </w:p>
        </w:tc>
        <w:tc>
          <w:tcPr>
            <w:tcW w:w="960" w:type="dxa"/>
            <w:tcBorders>
              <w:top w:val="nil"/>
              <w:left w:val="nil"/>
              <w:bottom w:val="nil"/>
              <w:right w:val="nil"/>
            </w:tcBorders>
            <w:shd w:val="clear" w:color="auto" w:fill="auto"/>
            <w:hideMark/>
          </w:tcPr>
          <w:p w:rsidR="00B953DA" w:rsidRPr="00B953DA" w:rsidRDefault="00B953DA" w:rsidP="00B953DA">
            <w:pPr>
              <w:jc w:val="right"/>
              <w:outlineLvl w:val="0"/>
              <w:rPr>
                <w:rFonts w:ascii="Calibri" w:hAnsi="Calibri"/>
                <w:color w:val="000000"/>
                <w:sz w:val="16"/>
                <w:szCs w:val="16"/>
              </w:rPr>
            </w:pPr>
            <w:r w:rsidRPr="00B953DA">
              <w:rPr>
                <w:rFonts w:ascii="Calibri" w:hAnsi="Calibri"/>
                <w:color w:val="000000"/>
                <w:sz w:val="16"/>
                <w:szCs w:val="16"/>
              </w:rPr>
              <w:t xml:space="preserve">0 </w:t>
            </w:r>
          </w:p>
        </w:tc>
        <w:tc>
          <w:tcPr>
            <w:tcW w:w="4764" w:type="dxa"/>
            <w:tcBorders>
              <w:top w:val="nil"/>
              <w:left w:val="nil"/>
              <w:bottom w:val="nil"/>
              <w:right w:val="nil"/>
            </w:tcBorders>
          </w:tcPr>
          <w:p w:rsidR="00B953DA" w:rsidRPr="00B953DA" w:rsidRDefault="00B953DA" w:rsidP="00B953DA">
            <w:pPr>
              <w:jc w:val="right"/>
              <w:outlineLvl w:val="0"/>
              <w:rPr>
                <w:rFonts w:ascii="Calibri" w:hAnsi="Calibri"/>
                <w:color w:val="000000"/>
                <w:sz w:val="16"/>
                <w:szCs w:val="16"/>
              </w:rPr>
            </w:pPr>
          </w:p>
        </w:tc>
      </w:tr>
      <w:tr w:rsidR="00B953DA" w:rsidRPr="00B953DA" w:rsidTr="00B953DA">
        <w:trPr>
          <w:trHeight w:val="300"/>
        </w:trPr>
        <w:tc>
          <w:tcPr>
            <w:tcW w:w="4700" w:type="dxa"/>
            <w:tcBorders>
              <w:top w:val="nil"/>
              <w:left w:val="nil"/>
              <w:bottom w:val="nil"/>
              <w:right w:val="single" w:sz="4" w:space="0" w:color="CCCCCC"/>
            </w:tcBorders>
            <w:shd w:val="clear" w:color="000000" w:fill="F3F2EA"/>
            <w:hideMark/>
          </w:tcPr>
          <w:p w:rsidR="00B953DA" w:rsidRPr="00B953DA" w:rsidRDefault="00B953DA" w:rsidP="00B953DA">
            <w:pPr>
              <w:rPr>
                <w:rFonts w:ascii="Calibri" w:hAnsi="Calibri"/>
                <w:color w:val="000000"/>
                <w:sz w:val="22"/>
                <w:szCs w:val="22"/>
              </w:rPr>
            </w:pPr>
            <w:r w:rsidRPr="00B953DA">
              <w:rPr>
                <w:rFonts w:ascii="Calibri" w:hAnsi="Calibri"/>
                <w:color w:val="000000"/>
                <w:sz w:val="22"/>
                <w:szCs w:val="22"/>
              </w:rPr>
              <w:t> </w:t>
            </w:r>
          </w:p>
        </w:tc>
        <w:tc>
          <w:tcPr>
            <w:tcW w:w="960" w:type="dxa"/>
            <w:tcBorders>
              <w:top w:val="nil"/>
              <w:left w:val="nil"/>
              <w:bottom w:val="nil"/>
              <w:right w:val="single" w:sz="4" w:space="0" w:color="FFFFFF"/>
            </w:tcBorders>
            <w:shd w:val="clear" w:color="000000" w:fill="CCE2F1"/>
            <w:hideMark/>
          </w:tcPr>
          <w:p w:rsidR="00B953DA" w:rsidRPr="00B953DA" w:rsidRDefault="00B953DA" w:rsidP="00B953DA">
            <w:pPr>
              <w:jc w:val="right"/>
              <w:rPr>
                <w:rFonts w:ascii="Calibri" w:hAnsi="Calibri"/>
                <w:b/>
                <w:bCs/>
                <w:color w:val="000000"/>
                <w:sz w:val="16"/>
                <w:szCs w:val="16"/>
              </w:rPr>
            </w:pPr>
            <w:r w:rsidRPr="00B953DA">
              <w:rPr>
                <w:rFonts w:ascii="Calibri" w:hAnsi="Calibri"/>
                <w:b/>
                <w:bCs/>
                <w:color w:val="000000"/>
                <w:sz w:val="16"/>
                <w:szCs w:val="16"/>
              </w:rPr>
              <w:t xml:space="preserve">4,457,956 </w:t>
            </w:r>
          </w:p>
        </w:tc>
        <w:tc>
          <w:tcPr>
            <w:tcW w:w="960" w:type="dxa"/>
            <w:tcBorders>
              <w:top w:val="nil"/>
              <w:left w:val="nil"/>
              <w:bottom w:val="nil"/>
              <w:right w:val="single" w:sz="4" w:space="0" w:color="FFFFFF"/>
            </w:tcBorders>
            <w:shd w:val="clear" w:color="000000" w:fill="CCE2F1"/>
            <w:hideMark/>
          </w:tcPr>
          <w:p w:rsidR="00B953DA" w:rsidRPr="00B953DA" w:rsidRDefault="00B953DA" w:rsidP="00B953DA">
            <w:pPr>
              <w:jc w:val="right"/>
              <w:rPr>
                <w:rFonts w:ascii="Calibri" w:hAnsi="Calibri"/>
                <w:b/>
                <w:bCs/>
                <w:color w:val="000000"/>
                <w:sz w:val="16"/>
                <w:szCs w:val="16"/>
              </w:rPr>
            </w:pPr>
            <w:r w:rsidRPr="00B953DA">
              <w:rPr>
                <w:rFonts w:ascii="Calibri" w:hAnsi="Calibri"/>
                <w:b/>
                <w:bCs/>
                <w:color w:val="000000"/>
                <w:sz w:val="16"/>
                <w:szCs w:val="16"/>
              </w:rPr>
              <w:t xml:space="preserve">3,021,329 </w:t>
            </w:r>
          </w:p>
        </w:tc>
        <w:tc>
          <w:tcPr>
            <w:tcW w:w="960" w:type="dxa"/>
            <w:tcBorders>
              <w:top w:val="nil"/>
              <w:left w:val="nil"/>
              <w:bottom w:val="nil"/>
              <w:right w:val="single" w:sz="4" w:space="0" w:color="FFFFFF"/>
            </w:tcBorders>
            <w:shd w:val="clear" w:color="000000" w:fill="CCE2F1"/>
            <w:hideMark/>
          </w:tcPr>
          <w:p w:rsidR="00B953DA" w:rsidRPr="00B953DA" w:rsidRDefault="00B953DA" w:rsidP="00B953DA">
            <w:pPr>
              <w:jc w:val="right"/>
              <w:rPr>
                <w:rFonts w:ascii="Calibri" w:hAnsi="Calibri"/>
                <w:b/>
                <w:bCs/>
                <w:color w:val="000000"/>
                <w:sz w:val="16"/>
                <w:szCs w:val="16"/>
              </w:rPr>
            </w:pPr>
            <w:r w:rsidRPr="00B953DA">
              <w:rPr>
                <w:rFonts w:ascii="Calibri" w:hAnsi="Calibri"/>
                <w:b/>
                <w:bCs/>
                <w:color w:val="000000"/>
                <w:sz w:val="16"/>
                <w:szCs w:val="16"/>
              </w:rPr>
              <w:t xml:space="preserve">2,964,472 </w:t>
            </w:r>
          </w:p>
        </w:tc>
        <w:tc>
          <w:tcPr>
            <w:tcW w:w="960" w:type="dxa"/>
            <w:tcBorders>
              <w:top w:val="nil"/>
              <w:left w:val="nil"/>
              <w:bottom w:val="nil"/>
              <w:right w:val="single" w:sz="4" w:space="0" w:color="FFFFFF"/>
            </w:tcBorders>
            <w:shd w:val="clear" w:color="000000" w:fill="CCE2F1"/>
            <w:hideMark/>
          </w:tcPr>
          <w:p w:rsidR="00B953DA" w:rsidRPr="00B953DA" w:rsidRDefault="00B953DA" w:rsidP="00B953DA">
            <w:pPr>
              <w:jc w:val="right"/>
              <w:rPr>
                <w:rFonts w:ascii="Calibri" w:hAnsi="Calibri"/>
                <w:b/>
                <w:bCs/>
                <w:color w:val="000000"/>
                <w:sz w:val="16"/>
                <w:szCs w:val="16"/>
              </w:rPr>
            </w:pPr>
            <w:r w:rsidRPr="00B953DA">
              <w:rPr>
                <w:rFonts w:ascii="Calibri" w:hAnsi="Calibri"/>
                <w:b/>
                <w:bCs/>
                <w:color w:val="000000"/>
                <w:sz w:val="16"/>
                <w:szCs w:val="16"/>
              </w:rPr>
              <w:t>(56,856)</w:t>
            </w:r>
          </w:p>
        </w:tc>
        <w:tc>
          <w:tcPr>
            <w:tcW w:w="1060" w:type="dxa"/>
            <w:tcBorders>
              <w:top w:val="nil"/>
              <w:left w:val="nil"/>
              <w:bottom w:val="nil"/>
              <w:right w:val="single" w:sz="4" w:space="0" w:color="FFFFFF"/>
            </w:tcBorders>
            <w:shd w:val="clear" w:color="000000" w:fill="CCE2F1"/>
            <w:hideMark/>
          </w:tcPr>
          <w:p w:rsidR="00B953DA" w:rsidRPr="00B953DA" w:rsidRDefault="00B953DA" w:rsidP="00B953DA">
            <w:pPr>
              <w:jc w:val="right"/>
              <w:rPr>
                <w:rFonts w:ascii="Calibri" w:hAnsi="Calibri"/>
                <w:b/>
                <w:bCs/>
                <w:color w:val="000000"/>
                <w:sz w:val="16"/>
                <w:szCs w:val="16"/>
              </w:rPr>
            </w:pPr>
            <w:r w:rsidRPr="00B953DA">
              <w:rPr>
                <w:rFonts w:ascii="Calibri" w:hAnsi="Calibri"/>
                <w:b/>
                <w:bCs/>
                <w:color w:val="000000"/>
                <w:sz w:val="16"/>
                <w:szCs w:val="16"/>
              </w:rPr>
              <w:t xml:space="preserve">4,422,727 </w:t>
            </w:r>
          </w:p>
        </w:tc>
        <w:tc>
          <w:tcPr>
            <w:tcW w:w="960" w:type="dxa"/>
            <w:tcBorders>
              <w:top w:val="nil"/>
              <w:left w:val="nil"/>
              <w:bottom w:val="nil"/>
              <w:right w:val="single" w:sz="4" w:space="0" w:color="FFFFFF"/>
            </w:tcBorders>
            <w:shd w:val="clear" w:color="000000" w:fill="CCE2F1"/>
            <w:hideMark/>
          </w:tcPr>
          <w:p w:rsidR="00B953DA" w:rsidRPr="00B953DA" w:rsidRDefault="00B953DA" w:rsidP="00B953DA">
            <w:pPr>
              <w:jc w:val="right"/>
              <w:rPr>
                <w:rFonts w:ascii="Calibri" w:hAnsi="Calibri"/>
                <w:b/>
                <w:bCs/>
                <w:color w:val="000000"/>
                <w:sz w:val="16"/>
                <w:szCs w:val="16"/>
              </w:rPr>
            </w:pPr>
            <w:r w:rsidRPr="00B953DA">
              <w:rPr>
                <w:rFonts w:ascii="Calibri" w:hAnsi="Calibri"/>
                <w:b/>
                <w:bCs/>
                <w:color w:val="000000"/>
                <w:sz w:val="16"/>
                <w:szCs w:val="16"/>
              </w:rPr>
              <w:t>(35,229)</w:t>
            </w:r>
          </w:p>
        </w:tc>
        <w:tc>
          <w:tcPr>
            <w:tcW w:w="4764" w:type="dxa"/>
            <w:tcBorders>
              <w:top w:val="nil"/>
              <w:left w:val="nil"/>
              <w:bottom w:val="nil"/>
              <w:right w:val="single" w:sz="4" w:space="0" w:color="FFFFFF"/>
            </w:tcBorders>
            <w:shd w:val="clear" w:color="000000" w:fill="CCE2F1"/>
          </w:tcPr>
          <w:p w:rsidR="00B953DA" w:rsidRPr="00B953DA" w:rsidRDefault="00B953DA" w:rsidP="00B953DA">
            <w:pPr>
              <w:jc w:val="right"/>
              <w:rPr>
                <w:rFonts w:ascii="Calibri" w:hAnsi="Calibri"/>
                <w:b/>
                <w:bCs/>
                <w:color w:val="000000"/>
                <w:sz w:val="16"/>
                <w:szCs w:val="16"/>
              </w:rPr>
            </w:pPr>
          </w:p>
        </w:tc>
      </w:tr>
    </w:tbl>
    <w:p w:rsidR="004E16D4" w:rsidRDefault="004E16D4" w:rsidP="005863FA">
      <w:pPr>
        <w:spacing w:line="276" w:lineRule="auto"/>
        <w:rPr>
          <w:rFonts w:ascii="Arial" w:hAnsi="Arial" w:cs="Arial"/>
          <w:b/>
          <w:sz w:val="22"/>
          <w:szCs w:val="22"/>
        </w:rPr>
      </w:pPr>
    </w:p>
    <w:sectPr w:rsidR="004E16D4" w:rsidSect="005B61CE">
      <w:pgSz w:w="16838" w:h="11906" w:orient="landscape"/>
      <w:pgMar w:top="902" w:right="709" w:bottom="99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88" w:rsidRDefault="00C62F88" w:rsidP="00412C00">
      <w:r>
        <w:separator/>
      </w:r>
    </w:p>
  </w:endnote>
  <w:endnote w:type="continuationSeparator" w:id="0">
    <w:p w:rsidR="00C62F88" w:rsidRDefault="00C62F88"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C62F88" w:rsidRPr="00195D4C" w:rsidRDefault="00C62F88">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E30222">
          <w:rPr>
            <w:rFonts w:ascii="Arial" w:hAnsi="Arial"/>
            <w:noProof/>
            <w:sz w:val="16"/>
          </w:rPr>
          <w:t>3</w:t>
        </w:r>
        <w:r w:rsidRPr="00195D4C">
          <w:rPr>
            <w:rFonts w:ascii="Arial" w:hAnsi="Arial"/>
            <w:noProof/>
            <w:sz w:val="16"/>
          </w:rPr>
          <w:fldChar w:fldCharType="end"/>
        </w:r>
      </w:p>
    </w:sdtContent>
  </w:sdt>
  <w:p w:rsidR="00C62F88" w:rsidRDefault="00C62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88" w:rsidRDefault="00C62F88" w:rsidP="00412C00">
      <w:r>
        <w:separator/>
      </w:r>
    </w:p>
  </w:footnote>
  <w:footnote w:type="continuationSeparator" w:id="0">
    <w:p w:rsidR="00C62F88" w:rsidRDefault="00C62F88"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350"/>
      <w:docPartObj>
        <w:docPartGallery w:val="Watermarks"/>
        <w:docPartUnique/>
      </w:docPartObj>
    </w:sdtPr>
    <w:sdtEndPr/>
    <w:sdtContent>
      <w:p w:rsidR="00C62F88" w:rsidRDefault="00E3022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AD70165"/>
    <w:multiLevelType w:val="hybridMultilevel"/>
    <w:tmpl w:val="A2703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91220"/>
    <w:multiLevelType w:val="hybridMultilevel"/>
    <w:tmpl w:val="41A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64D2251"/>
    <w:multiLevelType w:val="hybridMultilevel"/>
    <w:tmpl w:val="B562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67E2"/>
    <w:multiLevelType w:val="hybridMultilevel"/>
    <w:tmpl w:val="30D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C6BD8"/>
    <w:multiLevelType w:val="hybridMultilevel"/>
    <w:tmpl w:val="FFE82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3">
    <w:nsid w:val="38956919"/>
    <w:multiLevelType w:val="hybridMultilevel"/>
    <w:tmpl w:val="4F9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2365D63"/>
    <w:multiLevelType w:val="hybridMultilevel"/>
    <w:tmpl w:val="95D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9">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514036"/>
    <w:multiLevelType w:val="hybridMultilevel"/>
    <w:tmpl w:val="17E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449AB"/>
    <w:multiLevelType w:val="hybridMultilevel"/>
    <w:tmpl w:val="B6C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8147F9"/>
    <w:multiLevelType w:val="hybridMultilevel"/>
    <w:tmpl w:val="6330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AD4B64"/>
    <w:multiLevelType w:val="hybridMultilevel"/>
    <w:tmpl w:val="D5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D6FD7"/>
    <w:multiLevelType w:val="hybridMultilevel"/>
    <w:tmpl w:val="ED8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1D23C2"/>
    <w:multiLevelType w:val="hybridMultilevel"/>
    <w:tmpl w:val="573AB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
  </w:num>
  <w:num w:numId="3">
    <w:abstractNumId w:val="12"/>
  </w:num>
  <w:num w:numId="4">
    <w:abstractNumId w:val="41"/>
  </w:num>
  <w:num w:numId="5">
    <w:abstractNumId w:val="26"/>
  </w:num>
  <w:num w:numId="6">
    <w:abstractNumId w:val="4"/>
  </w:num>
  <w:num w:numId="7">
    <w:abstractNumId w:val="5"/>
  </w:num>
  <w:num w:numId="8">
    <w:abstractNumId w:val="32"/>
  </w:num>
  <w:num w:numId="9">
    <w:abstractNumId w:val="19"/>
  </w:num>
  <w:num w:numId="10">
    <w:abstractNumId w:val="14"/>
  </w:num>
  <w:num w:numId="11">
    <w:abstractNumId w:val="11"/>
  </w:num>
  <w:num w:numId="12">
    <w:abstractNumId w:val="0"/>
  </w:num>
  <w:num w:numId="13">
    <w:abstractNumId w:val="6"/>
  </w:num>
  <w:num w:numId="14">
    <w:abstractNumId w:val="18"/>
  </w:num>
  <w:num w:numId="15">
    <w:abstractNumId w:val="3"/>
  </w:num>
  <w:num w:numId="16">
    <w:abstractNumId w:val="33"/>
  </w:num>
  <w:num w:numId="17">
    <w:abstractNumId w:val="39"/>
  </w:num>
  <w:num w:numId="18">
    <w:abstractNumId w:val="28"/>
  </w:num>
  <w:num w:numId="19">
    <w:abstractNumId w:val="20"/>
  </w:num>
  <w:num w:numId="20">
    <w:abstractNumId w:val="30"/>
  </w:num>
  <w:num w:numId="21">
    <w:abstractNumId w:val="29"/>
  </w:num>
  <w:num w:numId="22">
    <w:abstractNumId w:val="10"/>
  </w:num>
  <w:num w:numId="23">
    <w:abstractNumId w:val="24"/>
  </w:num>
  <w:num w:numId="24">
    <w:abstractNumId w:val="38"/>
  </w:num>
  <w:num w:numId="25">
    <w:abstractNumId w:val="35"/>
  </w:num>
  <w:num w:numId="26">
    <w:abstractNumId w:val="15"/>
  </w:num>
  <w:num w:numId="27">
    <w:abstractNumId w:val="27"/>
  </w:num>
  <w:num w:numId="28">
    <w:abstractNumId w:val="42"/>
  </w:num>
  <w:num w:numId="29">
    <w:abstractNumId w:val="23"/>
  </w:num>
  <w:num w:numId="30">
    <w:abstractNumId w:val="31"/>
  </w:num>
  <w:num w:numId="31">
    <w:abstractNumId w:val="16"/>
  </w:num>
  <w:num w:numId="32">
    <w:abstractNumId w:val="25"/>
  </w:num>
  <w:num w:numId="33">
    <w:abstractNumId w:val="1"/>
  </w:num>
  <w:num w:numId="34">
    <w:abstractNumId w:val="36"/>
  </w:num>
  <w:num w:numId="35">
    <w:abstractNumId w:val="8"/>
  </w:num>
  <w:num w:numId="36">
    <w:abstractNumId w:val="22"/>
  </w:num>
  <w:num w:numId="37">
    <w:abstractNumId w:val="9"/>
  </w:num>
  <w:num w:numId="38">
    <w:abstractNumId w:val="17"/>
  </w:num>
  <w:num w:numId="39">
    <w:abstractNumId w:val="21"/>
  </w:num>
  <w:num w:numId="40">
    <w:abstractNumId w:val="7"/>
  </w:num>
  <w:num w:numId="41">
    <w:abstractNumId w:val="40"/>
  </w:num>
  <w:num w:numId="42">
    <w:abstractNumId w:val="3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06BA4"/>
    <w:rsid w:val="00007DD1"/>
    <w:rsid w:val="000116C8"/>
    <w:rsid w:val="00011FDF"/>
    <w:rsid w:val="00012A71"/>
    <w:rsid w:val="000140FE"/>
    <w:rsid w:val="00015D1D"/>
    <w:rsid w:val="0001646D"/>
    <w:rsid w:val="00016856"/>
    <w:rsid w:val="00017760"/>
    <w:rsid w:val="000200FA"/>
    <w:rsid w:val="00020483"/>
    <w:rsid w:val="00020E2E"/>
    <w:rsid w:val="000217E9"/>
    <w:rsid w:val="00021ABB"/>
    <w:rsid w:val="00022301"/>
    <w:rsid w:val="000228BD"/>
    <w:rsid w:val="0002376C"/>
    <w:rsid w:val="000239F7"/>
    <w:rsid w:val="0002461E"/>
    <w:rsid w:val="00024BC8"/>
    <w:rsid w:val="000256C9"/>
    <w:rsid w:val="000271F4"/>
    <w:rsid w:val="00030167"/>
    <w:rsid w:val="00032034"/>
    <w:rsid w:val="0003250E"/>
    <w:rsid w:val="00033BC9"/>
    <w:rsid w:val="00033FF1"/>
    <w:rsid w:val="00034A25"/>
    <w:rsid w:val="00034D0F"/>
    <w:rsid w:val="00034EFD"/>
    <w:rsid w:val="00035367"/>
    <w:rsid w:val="0003758C"/>
    <w:rsid w:val="00037838"/>
    <w:rsid w:val="00040F35"/>
    <w:rsid w:val="0004137A"/>
    <w:rsid w:val="00041ABD"/>
    <w:rsid w:val="00042A65"/>
    <w:rsid w:val="0004366E"/>
    <w:rsid w:val="0004442F"/>
    <w:rsid w:val="00044467"/>
    <w:rsid w:val="0004446C"/>
    <w:rsid w:val="00044D07"/>
    <w:rsid w:val="00045648"/>
    <w:rsid w:val="00047960"/>
    <w:rsid w:val="00052048"/>
    <w:rsid w:val="0005228C"/>
    <w:rsid w:val="00053090"/>
    <w:rsid w:val="00054430"/>
    <w:rsid w:val="000550DF"/>
    <w:rsid w:val="00055303"/>
    <w:rsid w:val="00055506"/>
    <w:rsid w:val="00055EF8"/>
    <w:rsid w:val="00056576"/>
    <w:rsid w:val="0006158F"/>
    <w:rsid w:val="00062CA4"/>
    <w:rsid w:val="00062DFD"/>
    <w:rsid w:val="0006430C"/>
    <w:rsid w:val="000658EF"/>
    <w:rsid w:val="0006597A"/>
    <w:rsid w:val="00065E53"/>
    <w:rsid w:val="00066196"/>
    <w:rsid w:val="0006732B"/>
    <w:rsid w:val="00070A74"/>
    <w:rsid w:val="000719DD"/>
    <w:rsid w:val="00072739"/>
    <w:rsid w:val="00075A82"/>
    <w:rsid w:val="00076DE4"/>
    <w:rsid w:val="000776EB"/>
    <w:rsid w:val="0008641C"/>
    <w:rsid w:val="0008642A"/>
    <w:rsid w:val="00086661"/>
    <w:rsid w:val="00086665"/>
    <w:rsid w:val="000868B4"/>
    <w:rsid w:val="00086A9A"/>
    <w:rsid w:val="00087B0A"/>
    <w:rsid w:val="00090AC3"/>
    <w:rsid w:val="00091B76"/>
    <w:rsid w:val="00091F54"/>
    <w:rsid w:val="00092A9E"/>
    <w:rsid w:val="000949D1"/>
    <w:rsid w:val="000958EB"/>
    <w:rsid w:val="0009591A"/>
    <w:rsid w:val="00096422"/>
    <w:rsid w:val="0009793E"/>
    <w:rsid w:val="000A0F37"/>
    <w:rsid w:val="000A469D"/>
    <w:rsid w:val="000A5374"/>
    <w:rsid w:val="000A78E2"/>
    <w:rsid w:val="000B1B00"/>
    <w:rsid w:val="000B2EF8"/>
    <w:rsid w:val="000B483A"/>
    <w:rsid w:val="000B729D"/>
    <w:rsid w:val="000B79E8"/>
    <w:rsid w:val="000B7E86"/>
    <w:rsid w:val="000C0ACC"/>
    <w:rsid w:val="000C1D47"/>
    <w:rsid w:val="000C1DF1"/>
    <w:rsid w:val="000C29D5"/>
    <w:rsid w:val="000C43BE"/>
    <w:rsid w:val="000C5914"/>
    <w:rsid w:val="000C6150"/>
    <w:rsid w:val="000C6D92"/>
    <w:rsid w:val="000D0C92"/>
    <w:rsid w:val="000D1E92"/>
    <w:rsid w:val="000D2212"/>
    <w:rsid w:val="000D2990"/>
    <w:rsid w:val="000D2D89"/>
    <w:rsid w:val="000D2F24"/>
    <w:rsid w:val="000D3D3A"/>
    <w:rsid w:val="000D3DBD"/>
    <w:rsid w:val="000D4339"/>
    <w:rsid w:val="000D4449"/>
    <w:rsid w:val="000D471E"/>
    <w:rsid w:val="000D47A6"/>
    <w:rsid w:val="000D5B3D"/>
    <w:rsid w:val="000D6B10"/>
    <w:rsid w:val="000D6E69"/>
    <w:rsid w:val="000D711F"/>
    <w:rsid w:val="000D7316"/>
    <w:rsid w:val="000E02D9"/>
    <w:rsid w:val="000E0B72"/>
    <w:rsid w:val="000E2B98"/>
    <w:rsid w:val="000E66A4"/>
    <w:rsid w:val="000E694D"/>
    <w:rsid w:val="000E771A"/>
    <w:rsid w:val="000E7FD2"/>
    <w:rsid w:val="000F00EA"/>
    <w:rsid w:val="000F081E"/>
    <w:rsid w:val="000F0C7B"/>
    <w:rsid w:val="000F0FFF"/>
    <w:rsid w:val="000F15BA"/>
    <w:rsid w:val="000F27AB"/>
    <w:rsid w:val="000F2E5B"/>
    <w:rsid w:val="000F4DF3"/>
    <w:rsid w:val="000F612E"/>
    <w:rsid w:val="000F669F"/>
    <w:rsid w:val="000F7175"/>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0F3"/>
    <w:rsid w:val="001166D1"/>
    <w:rsid w:val="001178C9"/>
    <w:rsid w:val="00122DA1"/>
    <w:rsid w:val="00123FF0"/>
    <w:rsid w:val="00124893"/>
    <w:rsid w:val="00124AA3"/>
    <w:rsid w:val="00124E28"/>
    <w:rsid w:val="00126C0D"/>
    <w:rsid w:val="00127B75"/>
    <w:rsid w:val="00127C34"/>
    <w:rsid w:val="00130783"/>
    <w:rsid w:val="00132929"/>
    <w:rsid w:val="00132DB0"/>
    <w:rsid w:val="001339A4"/>
    <w:rsid w:val="001344C6"/>
    <w:rsid w:val="00135C17"/>
    <w:rsid w:val="00136DAB"/>
    <w:rsid w:val="0013718B"/>
    <w:rsid w:val="00140FAB"/>
    <w:rsid w:val="001415A5"/>
    <w:rsid w:val="00143415"/>
    <w:rsid w:val="00143E29"/>
    <w:rsid w:val="00145DEA"/>
    <w:rsid w:val="001504B0"/>
    <w:rsid w:val="00150CE4"/>
    <w:rsid w:val="001516FA"/>
    <w:rsid w:val="001528FE"/>
    <w:rsid w:val="0015351D"/>
    <w:rsid w:val="00153A62"/>
    <w:rsid w:val="00153E82"/>
    <w:rsid w:val="001540D4"/>
    <w:rsid w:val="00154E36"/>
    <w:rsid w:val="0015575A"/>
    <w:rsid w:val="00156315"/>
    <w:rsid w:val="0016044C"/>
    <w:rsid w:val="001609ED"/>
    <w:rsid w:val="00160F9B"/>
    <w:rsid w:val="0016158F"/>
    <w:rsid w:val="00161C29"/>
    <w:rsid w:val="00162CB2"/>
    <w:rsid w:val="00163364"/>
    <w:rsid w:val="00163A5A"/>
    <w:rsid w:val="00165567"/>
    <w:rsid w:val="00165D47"/>
    <w:rsid w:val="00166209"/>
    <w:rsid w:val="001677C5"/>
    <w:rsid w:val="001679C3"/>
    <w:rsid w:val="00167A33"/>
    <w:rsid w:val="00167B08"/>
    <w:rsid w:val="00167EFA"/>
    <w:rsid w:val="00171C23"/>
    <w:rsid w:val="001721FC"/>
    <w:rsid w:val="00172DD0"/>
    <w:rsid w:val="00181165"/>
    <w:rsid w:val="00181BB8"/>
    <w:rsid w:val="00182577"/>
    <w:rsid w:val="00182D5E"/>
    <w:rsid w:val="001839DD"/>
    <w:rsid w:val="00185C18"/>
    <w:rsid w:val="0018609F"/>
    <w:rsid w:val="00186CEF"/>
    <w:rsid w:val="0018720D"/>
    <w:rsid w:val="00187F7B"/>
    <w:rsid w:val="0019002F"/>
    <w:rsid w:val="001924BC"/>
    <w:rsid w:val="00192D07"/>
    <w:rsid w:val="001931DA"/>
    <w:rsid w:val="00194497"/>
    <w:rsid w:val="00194AB0"/>
    <w:rsid w:val="00194FFE"/>
    <w:rsid w:val="00195D4C"/>
    <w:rsid w:val="001965A9"/>
    <w:rsid w:val="001A01D0"/>
    <w:rsid w:val="001A1F7B"/>
    <w:rsid w:val="001A2303"/>
    <w:rsid w:val="001A387F"/>
    <w:rsid w:val="001A6027"/>
    <w:rsid w:val="001A7ECD"/>
    <w:rsid w:val="001B0417"/>
    <w:rsid w:val="001B0713"/>
    <w:rsid w:val="001B085C"/>
    <w:rsid w:val="001B0CA4"/>
    <w:rsid w:val="001B12BA"/>
    <w:rsid w:val="001B1E04"/>
    <w:rsid w:val="001B3CD0"/>
    <w:rsid w:val="001B4F9E"/>
    <w:rsid w:val="001B52B4"/>
    <w:rsid w:val="001B669B"/>
    <w:rsid w:val="001B686D"/>
    <w:rsid w:val="001C2AB3"/>
    <w:rsid w:val="001C2FF9"/>
    <w:rsid w:val="001C4432"/>
    <w:rsid w:val="001C63CB"/>
    <w:rsid w:val="001C6861"/>
    <w:rsid w:val="001C6A8A"/>
    <w:rsid w:val="001C6C26"/>
    <w:rsid w:val="001C79DA"/>
    <w:rsid w:val="001D039E"/>
    <w:rsid w:val="001D083E"/>
    <w:rsid w:val="001D1C69"/>
    <w:rsid w:val="001D4C61"/>
    <w:rsid w:val="001D4F68"/>
    <w:rsid w:val="001D5F0F"/>
    <w:rsid w:val="001D6A8C"/>
    <w:rsid w:val="001D6D12"/>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201D"/>
    <w:rsid w:val="00204E97"/>
    <w:rsid w:val="002062BE"/>
    <w:rsid w:val="0020685D"/>
    <w:rsid w:val="002071FA"/>
    <w:rsid w:val="0020721C"/>
    <w:rsid w:val="00210D21"/>
    <w:rsid w:val="00210E3A"/>
    <w:rsid w:val="002132A1"/>
    <w:rsid w:val="002132BF"/>
    <w:rsid w:val="00215482"/>
    <w:rsid w:val="00215D81"/>
    <w:rsid w:val="00217F4F"/>
    <w:rsid w:val="002220C8"/>
    <w:rsid w:val="002228B6"/>
    <w:rsid w:val="00222CFA"/>
    <w:rsid w:val="00222E1A"/>
    <w:rsid w:val="0022372A"/>
    <w:rsid w:val="00225904"/>
    <w:rsid w:val="002260C0"/>
    <w:rsid w:val="00226834"/>
    <w:rsid w:val="002279D6"/>
    <w:rsid w:val="002303C6"/>
    <w:rsid w:val="00232B6B"/>
    <w:rsid w:val="0023394B"/>
    <w:rsid w:val="00234F1A"/>
    <w:rsid w:val="00236B2E"/>
    <w:rsid w:val="00237BF3"/>
    <w:rsid w:val="00237F3F"/>
    <w:rsid w:val="00240999"/>
    <w:rsid w:val="00241A21"/>
    <w:rsid w:val="002436F9"/>
    <w:rsid w:val="00243A93"/>
    <w:rsid w:val="002441AD"/>
    <w:rsid w:val="00244AB6"/>
    <w:rsid w:val="002450FB"/>
    <w:rsid w:val="002451D5"/>
    <w:rsid w:val="0024579F"/>
    <w:rsid w:val="0024691C"/>
    <w:rsid w:val="0024697B"/>
    <w:rsid w:val="002472C7"/>
    <w:rsid w:val="0025092F"/>
    <w:rsid w:val="002510CE"/>
    <w:rsid w:val="00252EDF"/>
    <w:rsid w:val="0025337B"/>
    <w:rsid w:val="0025472D"/>
    <w:rsid w:val="00254D93"/>
    <w:rsid w:val="0025538B"/>
    <w:rsid w:val="00255578"/>
    <w:rsid w:val="002559B6"/>
    <w:rsid w:val="002570C1"/>
    <w:rsid w:val="002574E5"/>
    <w:rsid w:val="00257A11"/>
    <w:rsid w:val="00262B57"/>
    <w:rsid w:val="00262D70"/>
    <w:rsid w:val="00264356"/>
    <w:rsid w:val="00264F0E"/>
    <w:rsid w:val="00265C5D"/>
    <w:rsid w:val="002672C3"/>
    <w:rsid w:val="002675C3"/>
    <w:rsid w:val="0027075A"/>
    <w:rsid w:val="00271399"/>
    <w:rsid w:val="0027173D"/>
    <w:rsid w:val="00271847"/>
    <w:rsid w:val="00272143"/>
    <w:rsid w:val="00272AA5"/>
    <w:rsid w:val="00272C4C"/>
    <w:rsid w:val="00273148"/>
    <w:rsid w:val="00273479"/>
    <w:rsid w:val="00273C65"/>
    <w:rsid w:val="00274232"/>
    <w:rsid w:val="00275BC6"/>
    <w:rsid w:val="00277DB0"/>
    <w:rsid w:val="0028079F"/>
    <w:rsid w:val="002823E9"/>
    <w:rsid w:val="00285E21"/>
    <w:rsid w:val="00286591"/>
    <w:rsid w:val="00286A07"/>
    <w:rsid w:val="00286A74"/>
    <w:rsid w:val="00286AF0"/>
    <w:rsid w:val="00286BA4"/>
    <w:rsid w:val="002905D6"/>
    <w:rsid w:val="00290CF7"/>
    <w:rsid w:val="00290FFE"/>
    <w:rsid w:val="002914D3"/>
    <w:rsid w:val="0029266C"/>
    <w:rsid w:val="00292E08"/>
    <w:rsid w:val="0029462A"/>
    <w:rsid w:val="002951E3"/>
    <w:rsid w:val="00296174"/>
    <w:rsid w:val="00297100"/>
    <w:rsid w:val="002974DC"/>
    <w:rsid w:val="002A13D0"/>
    <w:rsid w:val="002A6EF8"/>
    <w:rsid w:val="002A703A"/>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C75E3"/>
    <w:rsid w:val="002D1079"/>
    <w:rsid w:val="002D19A0"/>
    <w:rsid w:val="002D2375"/>
    <w:rsid w:val="002D25C2"/>
    <w:rsid w:val="002D34F7"/>
    <w:rsid w:val="002D3762"/>
    <w:rsid w:val="002D3FD2"/>
    <w:rsid w:val="002D4299"/>
    <w:rsid w:val="002E0613"/>
    <w:rsid w:val="002E09FA"/>
    <w:rsid w:val="002E0A2A"/>
    <w:rsid w:val="002E2A25"/>
    <w:rsid w:val="002E2D66"/>
    <w:rsid w:val="002E3A3E"/>
    <w:rsid w:val="002E488E"/>
    <w:rsid w:val="002E5EDF"/>
    <w:rsid w:val="002E68D4"/>
    <w:rsid w:val="002E7A27"/>
    <w:rsid w:val="002E7DBF"/>
    <w:rsid w:val="002F0239"/>
    <w:rsid w:val="002F0DFF"/>
    <w:rsid w:val="002F18C8"/>
    <w:rsid w:val="002F2264"/>
    <w:rsid w:val="002F3A55"/>
    <w:rsid w:val="002F4277"/>
    <w:rsid w:val="002F5E6A"/>
    <w:rsid w:val="002F75F6"/>
    <w:rsid w:val="002F7D0C"/>
    <w:rsid w:val="003001BE"/>
    <w:rsid w:val="003015EB"/>
    <w:rsid w:val="00301714"/>
    <w:rsid w:val="00301D79"/>
    <w:rsid w:val="003047AB"/>
    <w:rsid w:val="00305DE9"/>
    <w:rsid w:val="00306328"/>
    <w:rsid w:val="00306F9F"/>
    <w:rsid w:val="003071D0"/>
    <w:rsid w:val="0030786C"/>
    <w:rsid w:val="003078FC"/>
    <w:rsid w:val="00307BC8"/>
    <w:rsid w:val="00307E54"/>
    <w:rsid w:val="00307FB7"/>
    <w:rsid w:val="00310095"/>
    <w:rsid w:val="00310852"/>
    <w:rsid w:val="00311080"/>
    <w:rsid w:val="00312045"/>
    <w:rsid w:val="00313F03"/>
    <w:rsid w:val="00314BDB"/>
    <w:rsid w:val="0031502B"/>
    <w:rsid w:val="00315375"/>
    <w:rsid w:val="0031644E"/>
    <w:rsid w:val="00316468"/>
    <w:rsid w:val="00316BE4"/>
    <w:rsid w:val="003171A7"/>
    <w:rsid w:val="003179D5"/>
    <w:rsid w:val="00320F7E"/>
    <w:rsid w:val="00322070"/>
    <w:rsid w:val="00323ABE"/>
    <w:rsid w:val="003249BF"/>
    <w:rsid w:val="003310E3"/>
    <w:rsid w:val="00331BF9"/>
    <w:rsid w:val="00333010"/>
    <w:rsid w:val="0033373F"/>
    <w:rsid w:val="003339C3"/>
    <w:rsid w:val="003342CA"/>
    <w:rsid w:val="003373AF"/>
    <w:rsid w:val="003374E1"/>
    <w:rsid w:val="00337FC2"/>
    <w:rsid w:val="003440AC"/>
    <w:rsid w:val="00344274"/>
    <w:rsid w:val="00344985"/>
    <w:rsid w:val="003449ED"/>
    <w:rsid w:val="003450BD"/>
    <w:rsid w:val="00354EC4"/>
    <w:rsid w:val="00356041"/>
    <w:rsid w:val="003562A2"/>
    <w:rsid w:val="0035681C"/>
    <w:rsid w:val="00357BF3"/>
    <w:rsid w:val="00360068"/>
    <w:rsid w:val="00360238"/>
    <w:rsid w:val="00361367"/>
    <w:rsid w:val="00361479"/>
    <w:rsid w:val="00361853"/>
    <w:rsid w:val="00364482"/>
    <w:rsid w:val="00366C8F"/>
    <w:rsid w:val="00367080"/>
    <w:rsid w:val="00375EE1"/>
    <w:rsid w:val="003764E7"/>
    <w:rsid w:val="003771DA"/>
    <w:rsid w:val="003837D4"/>
    <w:rsid w:val="00386586"/>
    <w:rsid w:val="00386AD1"/>
    <w:rsid w:val="00386ED9"/>
    <w:rsid w:val="0039070C"/>
    <w:rsid w:val="003914C4"/>
    <w:rsid w:val="0039154E"/>
    <w:rsid w:val="00391CF2"/>
    <w:rsid w:val="00392A4F"/>
    <w:rsid w:val="00392D76"/>
    <w:rsid w:val="003930D4"/>
    <w:rsid w:val="00393BEC"/>
    <w:rsid w:val="00395C0A"/>
    <w:rsid w:val="00395FF4"/>
    <w:rsid w:val="0039756E"/>
    <w:rsid w:val="003979B2"/>
    <w:rsid w:val="003A1D2D"/>
    <w:rsid w:val="003A2BEF"/>
    <w:rsid w:val="003A3805"/>
    <w:rsid w:val="003A41AE"/>
    <w:rsid w:val="003A42A7"/>
    <w:rsid w:val="003A4D87"/>
    <w:rsid w:val="003A6DA1"/>
    <w:rsid w:val="003B135C"/>
    <w:rsid w:val="003B2F1E"/>
    <w:rsid w:val="003B2F87"/>
    <w:rsid w:val="003B711A"/>
    <w:rsid w:val="003C0EA6"/>
    <w:rsid w:val="003C121B"/>
    <w:rsid w:val="003C1D2F"/>
    <w:rsid w:val="003C2211"/>
    <w:rsid w:val="003C483B"/>
    <w:rsid w:val="003C526D"/>
    <w:rsid w:val="003C64BE"/>
    <w:rsid w:val="003C6EBD"/>
    <w:rsid w:val="003D17A0"/>
    <w:rsid w:val="003D18BA"/>
    <w:rsid w:val="003D211B"/>
    <w:rsid w:val="003D2D79"/>
    <w:rsid w:val="003D449D"/>
    <w:rsid w:val="003D4747"/>
    <w:rsid w:val="003D54A5"/>
    <w:rsid w:val="003D5874"/>
    <w:rsid w:val="003D7263"/>
    <w:rsid w:val="003D76E0"/>
    <w:rsid w:val="003E0E56"/>
    <w:rsid w:val="003E1E48"/>
    <w:rsid w:val="003E2D72"/>
    <w:rsid w:val="003E2F76"/>
    <w:rsid w:val="003E3D23"/>
    <w:rsid w:val="003E70FC"/>
    <w:rsid w:val="003E736A"/>
    <w:rsid w:val="003E7830"/>
    <w:rsid w:val="003F09C0"/>
    <w:rsid w:val="003F3BB4"/>
    <w:rsid w:val="003F57C1"/>
    <w:rsid w:val="00401265"/>
    <w:rsid w:val="00403E01"/>
    <w:rsid w:val="00405763"/>
    <w:rsid w:val="00406C23"/>
    <w:rsid w:val="0040751E"/>
    <w:rsid w:val="00411FE9"/>
    <w:rsid w:val="00412C00"/>
    <w:rsid w:val="00412F67"/>
    <w:rsid w:val="00413148"/>
    <w:rsid w:val="00413357"/>
    <w:rsid w:val="004139A0"/>
    <w:rsid w:val="004159BE"/>
    <w:rsid w:val="00416EA8"/>
    <w:rsid w:val="0042029E"/>
    <w:rsid w:val="00421288"/>
    <w:rsid w:val="0042146B"/>
    <w:rsid w:val="004226F6"/>
    <w:rsid w:val="0042286D"/>
    <w:rsid w:val="00422BCD"/>
    <w:rsid w:val="00423AEF"/>
    <w:rsid w:val="00425BAC"/>
    <w:rsid w:val="00425DFA"/>
    <w:rsid w:val="00426314"/>
    <w:rsid w:val="00426F4E"/>
    <w:rsid w:val="004308A8"/>
    <w:rsid w:val="00430D14"/>
    <w:rsid w:val="0043174B"/>
    <w:rsid w:val="00431F96"/>
    <w:rsid w:val="00435640"/>
    <w:rsid w:val="004365C6"/>
    <w:rsid w:val="0043662D"/>
    <w:rsid w:val="004405C3"/>
    <w:rsid w:val="004407B6"/>
    <w:rsid w:val="00440BCB"/>
    <w:rsid w:val="00441C97"/>
    <w:rsid w:val="0044203D"/>
    <w:rsid w:val="00442477"/>
    <w:rsid w:val="00442D4D"/>
    <w:rsid w:val="004458A7"/>
    <w:rsid w:val="00445C3C"/>
    <w:rsid w:val="0044673F"/>
    <w:rsid w:val="00447C0C"/>
    <w:rsid w:val="00447D56"/>
    <w:rsid w:val="00450E4B"/>
    <w:rsid w:val="004516BD"/>
    <w:rsid w:val="00453EFB"/>
    <w:rsid w:val="00454254"/>
    <w:rsid w:val="00461A11"/>
    <w:rsid w:val="00461E1B"/>
    <w:rsid w:val="00461F18"/>
    <w:rsid w:val="004639EE"/>
    <w:rsid w:val="00467605"/>
    <w:rsid w:val="00467624"/>
    <w:rsid w:val="00467649"/>
    <w:rsid w:val="0047014D"/>
    <w:rsid w:val="004703C6"/>
    <w:rsid w:val="004704FD"/>
    <w:rsid w:val="00470CB0"/>
    <w:rsid w:val="0047125F"/>
    <w:rsid w:val="004717CC"/>
    <w:rsid w:val="00471EAB"/>
    <w:rsid w:val="0047213E"/>
    <w:rsid w:val="004721D5"/>
    <w:rsid w:val="00474415"/>
    <w:rsid w:val="004802BC"/>
    <w:rsid w:val="004805B0"/>
    <w:rsid w:val="00480953"/>
    <w:rsid w:val="004818C1"/>
    <w:rsid w:val="00482DF3"/>
    <w:rsid w:val="00482FAD"/>
    <w:rsid w:val="004835A1"/>
    <w:rsid w:val="0048441C"/>
    <w:rsid w:val="00484837"/>
    <w:rsid w:val="0048525C"/>
    <w:rsid w:val="00485908"/>
    <w:rsid w:val="00486466"/>
    <w:rsid w:val="0048687E"/>
    <w:rsid w:val="00486994"/>
    <w:rsid w:val="00486E8F"/>
    <w:rsid w:val="004912DB"/>
    <w:rsid w:val="004916BD"/>
    <w:rsid w:val="004959F4"/>
    <w:rsid w:val="00497F63"/>
    <w:rsid w:val="004A0539"/>
    <w:rsid w:val="004A176F"/>
    <w:rsid w:val="004A1994"/>
    <w:rsid w:val="004A1C15"/>
    <w:rsid w:val="004A250F"/>
    <w:rsid w:val="004A26E0"/>
    <w:rsid w:val="004A32AC"/>
    <w:rsid w:val="004A5414"/>
    <w:rsid w:val="004A5F70"/>
    <w:rsid w:val="004A71FD"/>
    <w:rsid w:val="004A7BCE"/>
    <w:rsid w:val="004B1A43"/>
    <w:rsid w:val="004B1C3A"/>
    <w:rsid w:val="004B1E14"/>
    <w:rsid w:val="004B249E"/>
    <w:rsid w:val="004B455E"/>
    <w:rsid w:val="004B5487"/>
    <w:rsid w:val="004B57FB"/>
    <w:rsid w:val="004B5BD8"/>
    <w:rsid w:val="004B5C87"/>
    <w:rsid w:val="004B6C9A"/>
    <w:rsid w:val="004C1D2E"/>
    <w:rsid w:val="004C3A2F"/>
    <w:rsid w:val="004C504E"/>
    <w:rsid w:val="004C536A"/>
    <w:rsid w:val="004C5CF8"/>
    <w:rsid w:val="004C68B2"/>
    <w:rsid w:val="004C6AF2"/>
    <w:rsid w:val="004C7812"/>
    <w:rsid w:val="004D1652"/>
    <w:rsid w:val="004D2387"/>
    <w:rsid w:val="004D271C"/>
    <w:rsid w:val="004D3744"/>
    <w:rsid w:val="004D4716"/>
    <w:rsid w:val="004D48AE"/>
    <w:rsid w:val="004D4BF4"/>
    <w:rsid w:val="004D5ABD"/>
    <w:rsid w:val="004D61B7"/>
    <w:rsid w:val="004D66B0"/>
    <w:rsid w:val="004E0021"/>
    <w:rsid w:val="004E06FA"/>
    <w:rsid w:val="004E0E9D"/>
    <w:rsid w:val="004E11C1"/>
    <w:rsid w:val="004E16D4"/>
    <w:rsid w:val="004E25D4"/>
    <w:rsid w:val="004E2AEC"/>
    <w:rsid w:val="004E3AAD"/>
    <w:rsid w:val="004E73A6"/>
    <w:rsid w:val="004F09A1"/>
    <w:rsid w:val="004F1024"/>
    <w:rsid w:val="004F1E1A"/>
    <w:rsid w:val="004F3A45"/>
    <w:rsid w:val="004F4030"/>
    <w:rsid w:val="004F646F"/>
    <w:rsid w:val="005001D2"/>
    <w:rsid w:val="005009CA"/>
    <w:rsid w:val="00500E52"/>
    <w:rsid w:val="00501334"/>
    <w:rsid w:val="005030CD"/>
    <w:rsid w:val="005064E8"/>
    <w:rsid w:val="0050664B"/>
    <w:rsid w:val="00506D7B"/>
    <w:rsid w:val="00511110"/>
    <w:rsid w:val="005113A0"/>
    <w:rsid w:val="00513000"/>
    <w:rsid w:val="00513557"/>
    <w:rsid w:val="005137D7"/>
    <w:rsid w:val="005147D8"/>
    <w:rsid w:val="00516D7F"/>
    <w:rsid w:val="00517C1E"/>
    <w:rsid w:val="005200F4"/>
    <w:rsid w:val="0052112F"/>
    <w:rsid w:val="00527E7A"/>
    <w:rsid w:val="00527EDD"/>
    <w:rsid w:val="00527EE9"/>
    <w:rsid w:val="005301DF"/>
    <w:rsid w:val="0053026B"/>
    <w:rsid w:val="00530ADB"/>
    <w:rsid w:val="00534292"/>
    <w:rsid w:val="0053517D"/>
    <w:rsid w:val="00535185"/>
    <w:rsid w:val="005365DC"/>
    <w:rsid w:val="005373EA"/>
    <w:rsid w:val="00537B13"/>
    <w:rsid w:val="00537CC2"/>
    <w:rsid w:val="00540FAA"/>
    <w:rsid w:val="00541193"/>
    <w:rsid w:val="00541CD6"/>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998"/>
    <w:rsid w:val="00561B03"/>
    <w:rsid w:val="00562279"/>
    <w:rsid w:val="00563BB5"/>
    <w:rsid w:val="0056428E"/>
    <w:rsid w:val="005642DD"/>
    <w:rsid w:val="005645DC"/>
    <w:rsid w:val="00564D58"/>
    <w:rsid w:val="00564FF5"/>
    <w:rsid w:val="0057009C"/>
    <w:rsid w:val="00574331"/>
    <w:rsid w:val="005743EE"/>
    <w:rsid w:val="00575AAE"/>
    <w:rsid w:val="00575DD6"/>
    <w:rsid w:val="00577406"/>
    <w:rsid w:val="00577CC7"/>
    <w:rsid w:val="005810CF"/>
    <w:rsid w:val="005836C1"/>
    <w:rsid w:val="0058476E"/>
    <w:rsid w:val="00584F18"/>
    <w:rsid w:val="00584FC2"/>
    <w:rsid w:val="00585FFC"/>
    <w:rsid w:val="005863FA"/>
    <w:rsid w:val="00590197"/>
    <w:rsid w:val="0059044A"/>
    <w:rsid w:val="00590D64"/>
    <w:rsid w:val="00591473"/>
    <w:rsid w:val="00592E36"/>
    <w:rsid w:val="00592F9B"/>
    <w:rsid w:val="00594040"/>
    <w:rsid w:val="00594AE3"/>
    <w:rsid w:val="00595296"/>
    <w:rsid w:val="00596556"/>
    <w:rsid w:val="00596802"/>
    <w:rsid w:val="0059723D"/>
    <w:rsid w:val="00597AF4"/>
    <w:rsid w:val="005A096F"/>
    <w:rsid w:val="005A2A17"/>
    <w:rsid w:val="005A3E19"/>
    <w:rsid w:val="005B0FDB"/>
    <w:rsid w:val="005B16B1"/>
    <w:rsid w:val="005B1912"/>
    <w:rsid w:val="005B2CF0"/>
    <w:rsid w:val="005B2ED3"/>
    <w:rsid w:val="005B3EAA"/>
    <w:rsid w:val="005B60D5"/>
    <w:rsid w:val="005B61CE"/>
    <w:rsid w:val="005B62D4"/>
    <w:rsid w:val="005B664E"/>
    <w:rsid w:val="005C0C86"/>
    <w:rsid w:val="005C0DAE"/>
    <w:rsid w:val="005C11A4"/>
    <w:rsid w:val="005C163A"/>
    <w:rsid w:val="005C22E6"/>
    <w:rsid w:val="005C269A"/>
    <w:rsid w:val="005C3262"/>
    <w:rsid w:val="005C34A2"/>
    <w:rsid w:val="005C4B0A"/>
    <w:rsid w:val="005C5248"/>
    <w:rsid w:val="005C652A"/>
    <w:rsid w:val="005C6E51"/>
    <w:rsid w:val="005C7229"/>
    <w:rsid w:val="005C76AA"/>
    <w:rsid w:val="005D0B92"/>
    <w:rsid w:val="005D36D6"/>
    <w:rsid w:val="005D3876"/>
    <w:rsid w:val="005D3904"/>
    <w:rsid w:val="005D686A"/>
    <w:rsid w:val="005E07FE"/>
    <w:rsid w:val="005E103E"/>
    <w:rsid w:val="005E10A2"/>
    <w:rsid w:val="005E28EB"/>
    <w:rsid w:val="005E4465"/>
    <w:rsid w:val="005E5369"/>
    <w:rsid w:val="005E6832"/>
    <w:rsid w:val="005E6B5C"/>
    <w:rsid w:val="005E6D18"/>
    <w:rsid w:val="005E6E81"/>
    <w:rsid w:val="005E715B"/>
    <w:rsid w:val="005F05D0"/>
    <w:rsid w:val="005F1569"/>
    <w:rsid w:val="005F1D45"/>
    <w:rsid w:val="005F2504"/>
    <w:rsid w:val="005F5FBB"/>
    <w:rsid w:val="005F6484"/>
    <w:rsid w:val="006006D4"/>
    <w:rsid w:val="0060330C"/>
    <w:rsid w:val="00603D40"/>
    <w:rsid w:val="0060431A"/>
    <w:rsid w:val="006054C2"/>
    <w:rsid w:val="00605553"/>
    <w:rsid w:val="0060575A"/>
    <w:rsid w:val="006059DC"/>
    <w:rsid w:val="00605A97"/>
    <w:rsid w:val="00606CBA"/>
    <w:rsid w:val="0060775E"/>
    <w:rsid w:val="006102C2"/>
    <w:rsid w:val="006120D4"/>
    <w:rsid w:val="0061231A"/>
    <w:rsid w:val="00612681"/>
    <w:rsid w:val="00613941"/>
    <w:rsid w:val="00615A53"/>
    <w:rsid w:val="00616C9F"/>
    <w:rsid w:val="00622610"/>
    <w:rsid w:val="00623DCB"/>
    <w:rsid w:val="00624CA0"/>
    <w:rsid w:val="0062568C"/>
    <w:rsid w:val="006256EB"/>
    <w:rsid w:val="006273CF"/>
    <w:rsid w:val="00627FC3"/>
    <w:rsid w:val="0063161D"/>
    <w:rsid w:val="00631A38"/>
    <w:rsid w:val="00633529"/>
    <w:rsid w:val="00633BB4"/>
    <w:rsid w:val="00634AAF"/>
    <w:rsid w:val="00634D6C"/>
    <w:rsid w:val="00634E33"/>
    <w:rsid w:val="00635141"/>
    <w:rsid w:val="00635AA6"/>
    <w:rsid w:val="00635B3F"/>
    <w:rsid w:val="00636D90"/>
    <w:rsid w:val="00637E98"/>
    <w:rsid w:val="0064012C"/>
    <w:rsid w:val="00641123"/>
    <w:rsid w:val="00641BB9"/>
    <w:rsid w:val="00642455"/>
    <w:rsid w:val="00643128"/>
    <w:rsid w:val="00643927"/>
    <w:rsid w:val="00643F97"/>
    <w:rsid w:val="00643FCA"/>
    <w:rsid w:val="00644946"/>
    <w:rsid w:val="00645669"/>
    <w:rsid w:val="00646BC4"/>
    <w:rsid w:val="0064750A"/>
    <w:rsid w:val="00647D7D"/>
    <w:rsid w:val="00651D47"/>
    <w:rsid w:val="00652DA7"/>
    <w:rsid w:val="00653687"/>
    <w:rsid w:val="00655157"/>
    <w:rsid w:val="006562DE"/>
    <w:rsid w:val="00661DE0"/>
    <w:rsid w:val="00661E0A"/>
    <w:rsid w:val="00663235"/>
    <w:rsid w:val="0066437D"/>
    <w:rsid w:val="00664F28"/>
    <w:rsid w:val="00665A34"/>
    <w:rsid w:val="00667AA6"/>
    <w:rsid w:val="0067132A"/>
    <w:rsid w:val="00673ADE"/>
    <w:rsid w:val="00674D46"/>
    <w:rsid w:val="00681394"/>
    <w:rsid w:val="0068233F"/>
    <w:rsid w:val="006842F3"/>
    <w:rsid w:val="006843BB"/>
    <w:rsid w:val="006846BA"/>
    <w:rsid w:val="00684B3B"/>
    <w:rsid w:val="006856A4"/>
    <w:rsid w:val="006874A4"/>
    <w:rsid w:val="0068754E"/>
    <w:rsid w:val="006908F4"/>
    <w:rsid w:val="00692C6C"/>
    <w:rsid w:val="006935C1"/>
    <w:rsid w:val="006941E3"/>
    <w:rsid w:val="00694679"/>
    <w:rsid w:val="00696B24"/>
    <w:rsid w:val="00696F60"/>
    <w:rsid w:val="00697117"/>
    <w:rsid w:val="0069728E"/>
    <w:rsid w:val="006976EC"/>
    <w:rsid w:val="006A08E2"/>
    <w:rsid w:val="006A19BA"/>
    <w:rsid w:val="006A228D"/>
    <w:rsid w:val="006A2367"/>
    <w:rsid w:val="006A2789"/>
    <w:rsid w:val="006A2923"/>
    <w:rsid w:val="006A29F0"/>
    <w:rsid w:val="006A2EF1"/>
    <w:rsid w:val="006A4B31"/>
    <w:rsid w:val="006A67BA"/>
    <w:rsid w:val="006A71A9"/>
    <w:rsid w:val="006A777C"/>
    <w:rsid w:val="006B165D"/>
    <w:rsid w:val="006B17B0"/>
    <w:rsid w:val="006B17CD"/>
    <w:rsid w:val="006B2E3C"/>
    <w:rsid w:val="006B3D92"/>
    <w:rsid w:val="006B421B"/>
    <w:rsid w:val="006B44B5"/>
    <w:rsid w:val="006B5109"/>
    <w:rsid w:val="006B6BFC"/>
    <w:rsid w:val="006B7149"/>
    <w:rsid w:val="006B7621"/>
    <w:rsid w:val="006B78E4"/>
    <w:rsid w:val="006B7A85"/>
    <w:rsid w:val="006C16E3"/>
    <w:rsid w:val="006C20DB"/>
    <w:rsid w:val="006C26D7"/>
    <w:rsid w:val="006C31A4"/>
    <w:rsid w:val="006C4EA9"/>
    <w:rsid w:val="006C5107"/>
    <w:rsid w:val="006C6D07"/>
    <w:rsid w:val="006C7344"/>
    <w:rsid w:val="006C7396"/>
    <w:rsid w:val="006D14D3"/>
    <w:rsid w:val="006D1A57"/>
    <w:rsid w:val="006D3824"/>
    <w:rsid w:val="006D3E2A"/>
    <w:rsid w:val="006E1354"/>
    <w:rsid w:val="006E24B3"/>
    <w:rsid w:val="006E30B3"/>
    <w:rsid w:val="006E46EB"/>
    <w:rsid w:val="006E5CB4"/>
    <w:rsid w:val="006E63CA"/>
    <w:rsid w:val="006E76DC"/>
    <w:rsid w:val="006E7D8D"/>
    <w:rsid w:val="006F05D4"/>
    <w:rsid w:val="006F15BD"/>
    <w:rsid w:val="006F24A4"/>
    <w:rsid w:val="006F2974"/>
    <w:rsid w:val="006F2E59"/>
    <w:rsid w:val="006F3E2E"/>
    <w:rsid w:val="006F53B9"/>
    <w:rsid w:val="007006FE"/>
    <w:rsid w:val="007024E6"/>
    <w:rsid w:val="0070253B"/>
    <w:rsid w:val="007035A7"/>
    <w:rsid w:val="00703BA7"/>
    <w:rsid w:val="00704323"/>
    <w:rsid w:val="007053F1"/>
    <w:rsid w:val="007055AB"/>
    <w:rsid w:val="00706F89"/>
    <w:rsid w:val="00707D4B"/>
    <w:rsid w:val="007117A0"/>
    <w:rsid w:val="007136E5"/>
    <w:rsid w:val="00714134"/>
    <w:rsid w:val="0071467F"/>
    <w:rsid w:val="00714994"/>
    <w:rsid w:val="00714DBE"/>
    <w:rsid w:val="00714E4B"/>
    <w:rsid w:val="007162EA"/>
    <w:rsid w:val="00716AC4"/>
    <w:rsid w:val="007228B1"/>
    <w:rsid w:val="0072331F"/>
    <w:rsid w:val="00724C5B"/>
    <w:rsid w:val="00725AA5"/>
    <w:rsid w:val="00725C43"/>
    <w:rsid w:val="00727B9F"/>
    <w:rsid w:val="00727F62"/>
    <w:rsid w:val="00731002"/>
    <w:rsid w:val="00731411"/>
    <w:rsid w:val="007315DF"/>
    <w:rsid w:val="007326AA"/>
    <w:rsid w:val="00732803"/>
    <w:rsid w:val="0073688F"/>
    <w:rsid w:val="00736CB7"/>
    <w:rsid w:val="00736D5A"/>
    <w:rsid w:val="00740CAA"/>
    <w:rsid w:val="007414C0"/>
    <w:rsid w:val="00743670"/>
    <w:rsid w:val="007438F2"/>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6C30"/>
    <w:rsid w:val="007570C3"/>
    <w:rsid w:val="00757DC4"/>
    <w:rsid w:val="00761B9E"/>
    <w:rsid w:val="0076244F"/>
    <w:rsid w:val="00762DFB"/>
    <w:rsid w:val="0076311E"/>
    <w:rsid w:val="00765609"/>
    <w:rsid w:val="00766455"/>
    <w:rsid w:val="007719C1"/>
    <w:rsid w:val="00771ADD"/>
    <w:rsid w:val="0077211A"/>
    <w:rsid w:val="00772701"/>
    <w:rsid w:val="00773FB5"/>
    <w:rsid w:val="00774CB5"/>
    <w:rsid w:val="00774E04"/>
    <w:rsid w:val="007750D1"/>
    <w:rsid w:val="00776D15"/>
    <w:rsid w:val="00781179"/>
    <w:rsid w:val="007813E1"/>
    <w:rsid w:val="007817C4"/>
    <w:rsid w:val="00781D5C"/>
    <w:rsid w:val="0078207C"/>
    <w:rsid w:val="00784B55"/>
    <w:rsid w:val="00785AD5"/>
    <w:rsid w:val="00785D39"/>
    <w:rsid w:val="007876D3"/>
    <w:rsid w:val="007913AA"/>
    <w:rsid w:val="00791F63"/>
    <w:rsid w:val="00792336"/>
    <w:rsid w:val="00793A2C"/>
    <w:rsid w:val="00794111"/>
    <w:rsid w:val="00794745"/>
    <w:rsid w:val="007948D4"/>
    <w:rsid w:val="00796309"/>
    <w:rsid w:val="007A03AB"/>
    <w:rsid w:val="007A1E4C"/>
    <w:rsid w:val="007A2346"/>
    <w:rsid w:val="007A3B4E"/>
    <w:rsid w:val="007A585B"/>
    <w:rsid w:val="007A5B29"/>
    <w:rsid w:val="007A7AB7"/>
    <w:rsid w:val="007B0DBE"/>
    <w:rsid w:val="007B0F30"/>
    <w:rsid w:val="007B2710"/>
    <w:rsid w:val="007B2EE0"/>
    <w:rsid w:val="007B31F5"/>
    <w:rsid w:val="007B50A8"/>
    <w:rsid w:val="007B5BC7"/>
    <w:rsid w:val="007B759B"/>
    <w:rsid w:val="007B77AD"/>
    <w:rsid w:val="007B7FEB"/>
    <w:rsid w:val="007C1562"/>
    <w:rsid w:val="007C1E31"/>
    <w:rsid w:val="007C3356"/>
    <w:rsid w:val="007C48EC"/>
    <w:rsid w:val="007C4AB8"/>
    <w:rsid w:val="007C4EA5"/>
    <w:rsid w:val="007C5117"/>
    <w:rsid w:val="007C542A"/>
    <w:rsid w:val="007C55A4"/>
    <w:rsid w:val="007C5F95"/>
    <w:rsid w:val="007C66A5"/>
    <w:rsid w:val="007C7418"/>
    <w:rsid w:val="007D0895"/>
    <w:rsid w:val="007D0BF0"/>
    <w:rsid w:val="007D0D17"/>
    <w:rsid w:val="007D138D"/>
    <w:rsid w:val="007D460A"/>
    <w:rsid w:val="007D4817"/>
    <w:rsid w:val="007D5E35"/>
    <w:rsid w:val="007D6292"/>
    <w:rsid w:val="007E017B"/>
    <w:rsid w:val="007E1B04"/>
    <w:rsid w:val="007E40A4"/>
    <w:rsid w:val="007E7C69"/>
    <w:rsid w:val="007F0DB5"/>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0EBD"/>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100"/>
    <w:rsid w:val="00841354"/>
    <w:rsid w:val="00841ADE"/>
    <w:rsid w:val="00843435"/>
    <w:rsid w:val="00844254"/>
    <w:rsid w:val="00844B51"/>
    <w:rsid w:val="008506B4"/>
    <w:rsid w:val="00850AB1"/>
    <w:rsid w:val="00852088"/>
    <w:rsid w:val="00853914"/>
    <w:rsid w:val="00857E94"/>
    <w:rsid w:val="00860732"/>
    <w:rsid w:val="00861399"/>
    <w:rsid w:val="008618C5"/>
    <w:rsid w:val="00861C72"/>
    <w:rsid w:val="00863125"/>
    <w:rsid w:val="0086656B"/>
    <w:rsid w:val="0086694E"/>
    <w:rsid w:val="008704C8"/>
    <w:rsid w:val="00871912"/>
    <w:rsid w:val="008724A1"/>
    <w:rsid w:val="00872522"/>
    <w:rsid w:val="00872F97"/>
    <w:rsid w:val="0087383E"/>
    <w:rsid w:val="00877858"/>
    <w:rsid w:val="008810C2"/>
    <w:rsid w:val="0088126E"/>
    <w:rsid w:val="00881798"/>
    <w:rsid w:val="00881A60"/>
    <w:rsid w:val="00882077"/>
    <w:rsid w:val="00882591"/>
    <w:rsid w:val="0088350C"/>
    <w:rsid w:val="00885376"/>
    <w:rsid w:val="00885A96"/>
    <w:rsid w:val="0088730C"/>
    <w:rsid w:val="008876BF"/>
    <w:rsid w:val="00890D27"/>
    <w:rsid w:val="00891562"/>
    <w:rsid w:val="008960CE"/>
    <w:rsid w:val="0089642A"/>
    <w:rsid w:val="008A0B50"/>
    <w:rsid w:val="008A2D27"/>
    <w:rsid w:val="008A2FF0"/>
    <w:rsid w:val="008A31A7"/>
    <w:rsid w:val="008A730E"/>
    <w:rsid w:val="008A7910"/>
    <w:rsid w:val="008A7B94"/>
    <w:rsid w:val="008B07C2"/>
    <w:rsid w:val="008B46D1"/>
    <w:rsid w:val="008B5028"/>
    <w:rsid w:val="008B5C1A"/>
    <w:rsid w:val="008B70B1"/>
    <w:rsid w:val="008B77EA"/>
    <w:rsid w:val="008C049E"/>
    <w:rsid w:val="008C0981"/>
    <w:rsid w:val="008C1699"/>
    <w:rsid w:val="008C3DB3"/>
    <w:rsid w:val="008C3F0F"/>
    <w:rsid w:val="008C4753"/>
    <w:rsid w:val="008C50D7"/>
    <w:rsid w:val="008C6ADC"/>
    <w:rsid w:val="008D0C4A"/>
    <w:rsid w:val="008D1162"/>
    <w:rsid w:val="008D1704"/>
    <w:rsid w:val="008D2A86"/>
    <w:rsid w:val="008D3436"/>
    <w:rsid w:val="008D3E73"/>
    <w:rsid w:val="008D435D"/>
    <w:rsid w:val="008D4CC9"/>
    <w:rsid w:val="008D5232"/>
    <w:rsid w:val="008D5401"/>
    <w:rsid w:val="008D5822"/>
    <w:rsid w:val="008D718A"/>
    <w:rsid w:val="008E0624"/>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1983"/>
    <w:rsid w:val="0091291C"/>
    <w:rsid w:val="009139B5"/>
    <w:rsid w:val="00913DA9"/>
    <w:rsid w:val="00920A51"/>
    <w:rsid w:val="00920BAC"/>
    <w:rsid w:val="00921CE5"/>
    <w:rsid w:val="00923A03"/>
    <w:rsid w:val="00923BAA"/>
    <w:rsid w:val="00926CE5"/>
    <w:rsid w:val="00927590"/>
    <w:rsid w:val="00930CA5"/>
    <w:rsid w:val="009312AC"/>
    <w:rsid w:val="00931495"/>
    <w:rsid w:val="00933A84"/>
    <w:rsid w:val="00933B61"/>
    <w:rsid w:val="00934001"/>
    <w:rsid w:val="00934853"/>
    <w:rsid w:val="00935E33"/>
    <w:rsid w:val="00936A58"/>
    <w:rsid w:val="0093732D"/>
    <w:rsid w:val="009413A8"/>
    <w:rsid w:val="00941C34"/>
    <w:rsid w:val="00942D3B"/>
    <w:rsid w:val="009440A7"/>
    <w:rsid w:val="00945749"/>
    <w:rsid w:val="00945882"/>
    <w:rsid w:val="00950174"/>
    <w:rsid w:val="009509FD"/>
    <w:rsid w:val="00951DD0"/>
    <w:rsid w:val="00953D5A"/>
    <w:rsid w:val="00953F8E"/>
    <w:rsid w:val="00954A12"/>
    <w:rsid w:val="0095771A"/>
    <w:rsid w:val="00960BE2"/>
    <w:rsid w:val="00960E89"/>
    <w:rsid w:val="00964464"/>
    <w:rsid w:val="00964491"/>
    <w:rsid w:val="00964CE2"/>
    <w:rsid w:val="00967DD7"/>
    <w:rsid w:val="009704EF"/>
    <w:rsid w:val="009742AB"/>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52BD"/>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16F"/>
    <w:rsid w:val="009B73F7"/>
    <w:rsid w:val="009C0D17"/>
    <w:rsid w:val="009C17D0"/>
    <w:rsid w:val="009C19DA"/>
    <w:rsid w:val="009C23E7"/>
    <w:rsid w:val="009C2F88"/>
    <w:rsid w:val="009C423A"/>
    <w:rsid w:val="009C5546"/>
    <w:rsid w:val="009C594C"/>
    <w:rsid w:val="009C5E6B"/>
    <w:rsid w:val="009C5EE7"/>
    <w:rsid w:val="009C66CC"/>
    <w:rsid w:val="009C6E35"/>
    <w:rsid w:val="009C7573"/>
    <w:rsid w:val="009D1B59"/>
    <w:rsid w:val="009D2B26"/>
    <w:rsid w:val="009D2B6A"/>
    <w:rsid w:val="009D48D2"/>
    <w:rsid w:val="009D4BE3"/>
    <w:rsid w:val="009D60C8"/>
    <w:rsid w:val="009D724D"/>
    <w:rsid w:val="009E0DB1"/>
    <w:rsid w:val="009E0E2F"/>
    <w:rsid w:val="009E101F"/>
    <w:rsid w:val="009E110B"/>
    <w:rsid w:val="009E14D7"/>
    <w:rsid w:val="009E1B54"/>
    <w:rsid w:val="009E247C"/>
    <w:rsid w:val="009E2CCC"/>
    <w:rsid w:val="009E3915"/>
    <w:rsid w:val="009E3BBB"/>
    <w:rsid w:val="009E4963"/>
    <w:rsid w:val="009E5B29"/>
    <w:rsid w:val="009E6647"/>
    <w:rsid w:val="009E6D54"/>
    <w:rsid w:val="009F0FA3"/>
    <w:rsid w:val="009F3FB3"/>
    <w:rsid w:val="009F4292"/>
    <w:rsid w:val="009F5BD4"/>
    <w:rsid w:val="009F5C1B"/>
    <w:rsid w:val="00A0085E"/>
    <w:rsid w:val="00A00A5D"/>
    <w:rsid w:val="00A015C8"/>
    <w:rsid w:val="00A028DA"/>
    <w:rsid w:val="00A0358D"/>
    <w:rsid w:val="00A04714"/>
    <w:rsid w:val="00A04F66"/>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0F13"/>
    <w:rsid w:val="00A310F0"/>
    <w:rsid w:val="00A314BE"/>
    <w:rsid w:val="00A35D52"/>
    <w:rsid w:val="00A4139A"/>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2FE8"/>
    <w:rsid w:val="00A7497F"/>
    <w:rsid w:val="00A74E5F"/>
    <w:rsid w:val="00A74F62"/>
    <w:rsid w:val="00A75048"/>
    <w:rsid w:val="00A7506A"/>
    <w:rsid w:val="00A76C3F"/>
    <w:rsid w:val="00A7799B"/>
    <w:rsid w:val="00A77BEE"/>
    <w:rsid w:val="00A86A0C"/>
    <w:rsid w:val="00A86E7C"/>
    <w:rsid w:val="00A86F0C"/>
    <w:rsid w:val="00A87591"/>
    <w:rsid w:val="00A91714"/>
    <w:rsid w:val="00AA06F0"/>
    <w:rsid w:val="00AA2997"/>
    <w:rsid w:val="00AA2FF1"/>
    <w:rsid w:val="00AA4127"/>
    <w:rsid w:val="00AA57D2"/>
    <w:rsid w:val="00AA636C"/>
    <w:rsid w:val="00AA70A4"/>
    <w:rsid w:val="00AB0B20"/>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2BAF"/>
    <w:rsid w:val="00AD400C"/>
    <w:rsid w:val="00AD43D2"/>
    <w:rsid w:val="00AD4685"/>
    <w:rsid w:val="00AD69BC"/>
    <w:rsid w:val="00AD74C8"/>
    <w:rsid w:val="00AD76CF"/>
    <w:rsid w:val="00AD7838"/>
    <w:rsid w:val="00AE0798"/>
    <w:rsid w:val="00AE1B24"/>
    <w:rsid w:val="00AE22B5"/>
    <w:rsid w:val="00AE298D"/>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4D4D"/>
    <w:rsid w:val="00B0504F"/>
    <w:rsid w:val="00B06515"/>
    <w:rsid w:val="00B06977"/>
    <w:rsid w:val="00B06AFA"/>
    <w:rsid w:val="00B06BAE"/>
    <w:rsid w:val="00B07207"/>
    <w:rsid w:val="00B076D7"/>
    <w:rsid w:val="00B07E4C"/>
    <w:rsid w:val="00B1174F"/>
    <w:rsid w:val="00B12846"/>
    <w:rsid w:val="00B134B9"/>
    <w:rsid w:val="00B143C1"/>
    <w:rsid w:val="00B14ACE"/>
    <w:rsid w:val="00B14BF6"/>
    <w:rsid w:val="00B1511E"/>
    <w:rsid w:val="00B17169"/>
    <w:rsid w:val="00B2011F"/>
    <w:rsid w:val="00B21BB6"/>
    <w:rsid w:val="00B24393"/>
    <w:rsid w:val="00B25826"/>
    <w:rsid w:val="00B26329"/>
    <w:rsid w:val="00B26EFB"/>
    <w:rsid w:val="00B27E7E"/>
    <w:rsid w:val="00B30A18"/>
    <w:rsid w:val="00B3182C"/>
    <w:rsid w:val="00B325BB"/>
    <w:rsid w:val="00B3402D"/>
    <w:rsid w:val="00B34A94"/>
    <w:rsid w:val="00B40A76"/>
    <w:rsid w:val="00B40EA9"/>
    <w:rsid w:val="00B41C51"/>
    <w:rsid w:val="00B42CF8"/>
    <w:rsid w:val="00B43093"/>
    <w:rsid w:val="00B430A1"/>
    <w:rsid w:val="00B43880"/>
    <w:rsid w:val="00B440D7"/>
    <w:rsid w:val="00B445AE"/>
    <w:rsid w:val="00B4473B"/>
    <w:rsid w:val="00B44CC0"/>
    <w:rsid w:val="00B45307"/>
    <w:rsid w:val="00B45965"/>
    <w:rsid w:val="00B465A2"/>
    <w:rsid w:val="00B47337"/>
    <w:rsid w:val="00B51F80"/>
    <w:rsid w:val="00B5494A"/>
    <w:rsid w:val="00B55417"/>
    <w:rsid w:val="00B5541D"/>
    <w:rsid w:val="00B55ECA"/>
    <w:rsid w:val="00B603BD"/>
    <w:rsid w:val="00B61983"/>
    <w:rsid w:val="00B62D6B"/>
    <w:rsid w:val="00B6318B"/>
    <w:rsid w:val="00B6332D"/>
    <w:rsid w:val="00B63E39"/>
    <w:rsid w:val="00B65461"/>
    <w:rsid w:val="00B654E3"/>
    <w:rsid w:val="00B7000D"/>
    <w:rsid w:val="00B7154A"/>
    <w:rsid w:val="00B72C94"/>
    <w:rsid w:val="00B734B9"/>
    <w:rsid w:val="00B7516A"/>
    <w:rsid w:val="00B7584B"/>
    <w:rsid w:val="00B75EB4"/>
    <w:rsid w:val="00B770BC"/>
    <w:rsid w:val="00B803BF"/>
    <w:rsid w:val="00B80995"/>
    <w:rsid w:val="00B80F37"/>
    <w:rsid w:val="00B81659"/>
    <w:rsid w:val="00B84970"/>
    <w:rsid w:val="00B85394"/>
    <w:rsid w:val="00B85A40"/>
    <w:rsid w:val="00B90EA0"/>
    <w:rsid w:val="00B91162"/>
    <w:rsid w:val="00B91545"/>
    <w:rsid w:val="00B91D33"/>
    <w:rsid w:val="00B9257E"/>
    <w:rsid w:val="00B93553"/>
    <w:rsid w:val="00B9445F"/>
    <w:rsid w:val="00B953DA"/>
    <w:rsid w:val="00BA0253"/>
    <w:rsid w:val="00BA069C"/>
    <w:rsid w:val="00BA20DF"/>
    <w:rsid w:val="00BA2A8B"/>
    <w:rsid w:val="00BA2F41"/>
    <w:rsid w:val="00BA3A5A"/>
    <w:rsid w:val="00BA4051"/>
    <w:rsid w:val="00BA4988"/>
    <w:rsid w:val="00BA5841"/>
    <w:rsid w:val="00BA60A6"/>
    <w:rsid w:val="00BA72BF"/>
    <w:rsid w:val="00BB25EF"/>
    <w:rsid w:val="00BB2B8A"/>
    <w:rsid w:val="00BB2F36"/>
    <w:rsid w:val="00BB4161"/>
    <w:rsid w:val="00BB55C4"/>
    <w:rsid w:val="00BB6714"/>
    <w:rsid w:val="00BB6BFD"/>
    <w:rsid w:val="00BB7F83"/>
    <w:rsid w:val="00BC000F"/>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31D1"/>
    <w:rsid w:val="00BF52A4"/>
    <w:rsid w:val="00BF58DB"/>
    <w:rsid w:val="00BF70C0"/>
    <w:rsid w:val="00BF73B6"/>
    <w:rsid w:val="00BF7AC1"/>
    <w:rsid w:val="00C041A3"/>
    <w:rsid w:val="00C04A23"/>
    <w:rsid w:val="00C055A9"/>
    <w:rsid w:val="00C07718"/>
    <w:rsid w:val="00C101BA"/>
    <w:rsid w:val="00C1038A"/>
    <w:rsid w:val="00C1071F"/>
    <w:rsid w:val="00C10CE0"/>
    <w:rsid w:val="00C11CD4"/>
    <w:rsid w:val="00C11D27"/>
    <w:rsid w:val="00C123FF"/>
    <w:rsid w:val="00C129B5"/>
    <w:rsid w:val="00C13499"/>
    <w:rsid w:val="00C147AD"/>
    <w:rsid w:val="00C14AE7"/>
    <w:rsid w:val="00C15155"/>
    <w:rsid w:val="00C20315"/>
    <w:rsid w:val="00C2170D"/>
    <w:rsid w:val="00C21991"/>
    <w:rsid w:val="00C2265B"/>
    <w:rsid w:val="00C24725"/>
    <w:rsid w:val="00C247A6"/>
    <w:rsid w:val="00C2538D"/>
    <w:rsid w:val="00C25B34"/>
    <w:rsid w:val="00C25D57"/>
    <w:rsid w:val="00C277CF"/>
    <w:rsid w:val="00C3142C"/>
    <w:rsid w:val="00C31944"/>
    <w:rsid w:val="00C31DCD"/>
    <w:rsid w:val="00C33B76"/>
    <w:rsid w:val="00C369E4"/>
    <w:rsid w:val="00C409A5"/>
    <w:rsid w:val="00C40EA7"/>
    <w:rsid w:val="00C40FC4"/>
    <w:rsid w:val="00C42136"/>
    <w:rsid w:val="00C42404"/>
    <w:rsid w:val="00C45ED2"/>
    <w:rsid w:val="00C46F55"/>
    <w:rsid w:val="00C4745A"/>
    <w:rsid w:val="00C4787B"/>
    <w:rsid w:val="00C51E87"/>
    <w:rsid w:val="00C52506"/>
    <w:rsid w:val="00C53CE3"/>
    <w:rsid w:val="00C550A2"/>
    <w:rsid w:val="00C56469"/>
    <w:rsid w:val="00C6052E"/>
    <w:rsid w:val="00C60C6D"/>
    <w:rsid w:val="00C62877"/>
    <w:rsid w:val="00C62D4B"/>
    <w:rsid w:val="00C62E72"/>
    <w:rsid w:val="00C62F88"/>
    <w:rsid w:val="00C64441"/>
    <w:rsid w:val="00C64C09"/>
    <w:rsid w:val="00C67B11"/>
    <w:rsid w:val="00C70F53"/>
    <w:rsid w:val="00C71064"/>
    <w:rsid w:val="00C71DF6"/>
    <w:rsid w:val="00C722B6"/>
    <w:rsid w:val="00C73B95"/>
    <w:rsid w:val="00C73CB8"/>
    <w:rsid w:val="00C74503"/>
    <w:rsid w:val="00C755B1"/>
    <w:rsid w:val="00C75C3C"/>
    <w:rsid w:val="00C76FF6"/>
    <w:rsid w:val="00C8038E"/>
    <w:rsid w:val="00C80EBC"/>
    <w:rsid w:val="00C82BA9"/>
    <w:rsid w:val="00C85C34"/>
    <w:rsid w:val="00C8628F"/>
    <w:rsid w:val="00C875DA"/>
    <w:rsid w:val="00C90E5A"/>
    <w:rsid w:val="00C91DE9"/>
    <w:rsid w:val="00C91F12"/>
    <w:rsid w:val="00C9206F"/>
    <w:rsid w:val="00C92EC3"/>
    <w:rsid w:val="00C931C3"/>
    <w:rsid w:val="00C95A63"/>
    <w:rsid w:val="00CA11B0"/>
    <w:rsid w:val="00CA15E0"/>
    <w:rsid w:val="00CA2311"/>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45F4"/>
    <w:rsid w:val="00CC740F"/>
    <w:rsid w:val="00CC757F"/>
    <w:rsid w:val="00CC7BEE"/>
    <w:rsid w:val="00CD10AB"/>
    <w:rsid w:val="00CD439E"/>
    <w:rsid w:val="00CD540D"/>
    <w:rsid w:val="00CD5D5C"/>
    <w:rsid w:val="00CD7E6D"/>
    <w:rsid w:val="00CE1147"/>
    <w:rsid w:val="00CE23F1"/>
    <w:rsid w:val="00CE2BA7"/>
    <w:rsid w:val="00CE4D6A"/>
    <w:rsid w:val="00CE6394"/>
    <w:rsid w:val="00CE66BF"/>
    <w:rsid w:val="00CE7343"/>
    <w:rsid w:val="00CE7AA5"/>
    <w:rsid w:val="00CF2087"/>
    <w:rsid w:val="00CF3EC2"/>
    <w:rsid w:val="00D0015F"/>
    <w:rsid w:val="00D0058C"/>
    <w:rsid w:val="00D01165"/>
    <w:rsid w:val="00D05DE8"/>
    <w:rsid w:val="00D05EA0"/>
    <w:rsid w:val="00D070F4"/>
    <w:rsid w:val="00D076C3"/>
    <w:rsid w:val="00D07ECB"/>
    <w:rsid w:val="00D11734"/>
    <w:rsid w:val="00D1262E"/>
    <w:rsid w:val="00D1288F"/>
    <w:rsid w:val="00D144B8"/>
    <w:rsid w:val="00D15B33"/>
    <w:rsid w:val="00D15B88"/>
    <w:rsid w:val="00D15F0D"/>
    <w:rsid w:val="00D17E9C"/>
    <w:rsid w:val="00D2020A"/>
    <w:rsid w:val="00D205DE"/>
    <w:rsid w:val="00D211BF"/>
    <w:rsid w:val="00D23AF7"/>
    <w:rsid w:val="00D24894"/>
    <w:rsid w:val="00D30586"/>
    <w:rsid w:val="00D31211"/>
    <w:rsid w:val="00D33070"/>
    <w:rsid w:val="00D33CFD"/>
    <w:rsid w:val="00D36331"/>
    <w:rsid w:val="00D363C2"/>
    <w:rsid w:val="00D363E9"/>
    <w:rsid w:val="00D37596"/>
    <w:rsid w:val="00D37753"/>
    <w:rsid w:val="00D427CB"/>
    <w:rsid w:val="00D428E3"/>
    <w:rsid w:val="00D429DF"/>
    <w:rsid w:val="00D42DDE"/>
    <w:rsid w:val="00D441C3"/>
    <w:rsid w:val="00D442A5"/>
    <w:rsid w:val="00D4475B"/>
    <w:rsid w:val="00D46677"/>
    <w:rsid w:val="00D4764A"/>
    <w:rsid w:val="00D47DD9"/>
    <w:rsid w:val="00D50BFA"/>
    <w:rsid w:val="00D51DEC"/>
    <w:rsid w:val="00D52847"/>
    <w:rsid w:val="00D549D2"/>
    <w:rsid w:val="00D552C4"/>
    <w:rsid w:val="00D55330"/>
    <w:rsid w:val="00D55E1F"/>
    <w:rsid w:val="00D55F0C"/>
    <w:rsid w:val="00D6177B"/>
    <w:rsid w:val="00D62F91"/>
    <w:rsid w:val="00D64655"/>
    <w:rsid w:val="00D6518F"/>
    <w:rsid w:val="00D65E0A"/>
    <w:rsid w:val="00D66419"/>
    <w:rsid w:val="00D67828"/>
    <w:rsid w:val="00D71CFA"/>
    <w:rsid w:val="00D750FE"/>
    <w:rsid w:val="00D7554B"/>
    <w:rsid w:val="00D75573"/>
    <w:rsid w:val="00D76367"/>
    <w:rsid w:val="00D773F0"/>
    <w:rsid w:val="00D809B7"/>
    <w:rsid w:val="00D81266"/>
    <w:rsid w:val="00D814C2"/>
    <w:rsid w:val="00D81504"/>
    <w:rsid w:val="00D831E5"/>
    <w:rsid w:val="00D84685"/>
    <w:rsid w:val="00D84750"/>
    <w:rsid w:val="00D87321"/>
    <w:rsid w:val="00D9051B"/>
    <w:rsid w:val="00D925D5"/>
    <w:rsid w:val="00D95040"/>
    <w:rsid w:val="00D954B1"/>
    <w:rsid w:val="00D972E5"/>
    <w:rsid w:val="00D9761D"/>
    <w:rsid w:val="00DA139E"/>
    <w:rsid w:val="00DA595A"/>
    <w:rsid w:val="00DA70FE"/>
    <w:rsid w:val="00DA7186"/>
    <w:rsid w:val="00DA7558"/>
    <w:rsid w:val="00DA758A"/>
    <w:rsid w:val="00DA7DA5"/>
    <w:rsid w:val="00DB1038"/>
    <w:rsid w:val="00DB1BB3"/>
    <w:rsid w:val="00DB1FC5"/>
    <w:rsid w:val="00DB275A"/>
    <w:rsid w:val="00DB368B"/>
    <w:rsid w:val="00DB3CAC"/>
    <w:rsid w:val="00DB4864"/>
    <w:rsid w:val="00DB4DDE"/>
    <w:rsid w:val="00DB51E0"/>
    <w:rsid w:val="00DB5313"/>
    <w:rsid w:val="00DB5E04"/>
    <w:rsid w:val="00DB6762"/>
    <w:rsid w:val="00DC096C"/>
    <w:rsid w:val="00DC0E07"/>
    <w:rsid w:val="00DC364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0FA9"/>
    <w:rsid w:val="00DE33D0"/>
    <w:rsid w:val="00DE38D6"/>
    <w:rsid w:val="00DE3B1C"/>
    <w:rsid w:val="00DE53D0"/>
    <w:rsid w:val="00DE659B"/>
    <w:rsid w:val="00DE6E33"/>
    <w:rsid w:val="00DE7664"/>
    <w:rsid w:val="00DF00CA"/>
    <w:rsid w:val="00DF0843"/>
    <w:rsid w:val="00DF0A25"/>
    <w:rsid w:val="00DF1AD3"/>
    <w:rsid w:val="00DF39E7"/>
    <w:rsid w:val="00DF3EE3"/>
    <w:rsid w:val="00DF4039"/>
    <w:rsid w:val="00DF44EE"/>
    <w:rsid w:val="00DF46BD"/>
    <w:rsid w:val="00DF4C69"/>
    <w:rsid w:val="00DF4D40"/>
    <w:rsid w:val="00DF6B8D"/>
    <w:rsid w:val="00E00739"/>
    <w:rsid w:val="00E011DA"/>
    <w:rsid w:val="00E0146C"/>
    <w:rsid w:val="00E01D6B"/>
    <w:rsid w:val="00E02E6F"/>
    <w:rsid w:val="00E02F42"/>
    <w:rsid w:val="00E0364F"/>
    <w:rsid w:val="00E0502E"/>
    <w:rsid w:val="00E05C45"/>
    <w:rsid w:val="00E070F4"/>
    <w:rsid w:val="00E07A37"/>
    <w:rsid w:val="00E10273"/>
    <w:rsid w:val="00E13424"/>
    <w:rsid w:val="00E13AF5"/>
    <w:rsid w:val="00E13E6E"/>
    <w:rsid w:val="00E14583"/>
    <w:rsid w:val="00E16DE6"/>
    <w:rsid w:val="00E16EDD"/>
    <w:rsid w:val="00E173B7"/>
    <w:rsid w:val="00E17F22"/>
    <w:rsid w:val="00E20831"/>
    <w:rsid w:val="00E21205"/>
    <w:rsid w:val="00E214E9"/>
    <w:rsid w:val="00E23DA3"/>
    <w:rsid w:val="00E27207"/>
    <w:rsid w:val="00E30222"/>
    <w:rsid w:val="00E31839"/>
    <w:rsid w:val="00E31CA4"/>
    <w:rsid w:val="00E32411"/>
    <w:rsid w:val="00E32CA3"/>
    <w:rsid w:val="00E32EB6"/>
    <w:rsid w:val="00E34821"/>
    <w:rsid w:val="00E350FE"/>
    <w:rsid w:val="00E36926"/>
    <w:rsid w:val="00E426E0"/>
    <w:rsid w:val="00E44973"/>
    <w:rsid w:val="00E4531A"/>
    <w:rsid w:val="00E470AC"/>
    <w:rsid w:val="00E475D3"/>
    <w:rsid w:val="00E47B5B"/>
    <w:rsid w:val="00E50E55"/>
    <w:rsid w:val="00E51F68"/>
    <w:rsid w:val="00E5214C"/>
    <w:rsid w:val="00E5355C"/>
    <w:rsid w:val="00E53B49"/>
    <w:rsid w:val="00E53DE1"/>
    <w:rsid w:val="00E54475"/>
    <w:rsid w:val="00E550F2"/>
    <w:rsid w:val="00E56B7E"/>
    <w:rsid w:val="00E575FA"/>
    <w:rsid w:val="00E601B0"/>
    <w:rsid w:val="00E61AA4"/>
    <w:rsid w:val="00E62B58"/>
    <w:rsid w:val="00E6328C"/>
    <w:rsid w:val="00E63F79"/>
    <w:rsid w:val="00E6420E"/>
    <w:rsid w:val="00E64294"/>
    <w:rsid w:val="00E64DC1"/>
    <w:rsid w:val="00E655FF"/>
    <w:rsid w:val="00E665CA"/>
    <w:rsid w:val="00E67747"/>
    <w:rsid w:val="00E70FE6"/>
    <w:rsid w:val="00E71109"/>
    <w:rsid w:val="00E713F5"/>
    <w:rsid w:val="00E717FB"/>
    <w:rsid w:val="00E72B98"/>
    <w:rsid w:val="00E73495"/>
    <w:rsid w:val="00E74373"/>
    <w:rsid w:val="00E75225"/>
    <w:rsid w:val="00E75517"/>
    <w:rsid w:val="00E825C5"/>
    <w:rsid w:val="00E82962"/>
    <w:rsid w:val="00E82F54"/>
    <w:rsid w:val="00E83993"/>
    <w:rsid w:val="00E8417B"/>
    <w:rsid w:val="00E84691"/>
    <w:rsid w:val="00E84ADF"/>
    <w:rsid w:val="00E85298"/>
    <w:rsid w:val="00E872B3"/>
    <w:rsid w:val="00E87571"/>
    <w:rsid w:val="00E87F9E"/>
    <w:rsid w:val="00E9014E"/>
    <w:rsid w:val="00E904C3"/>
    <w:rsid w:val="00E93BF0"/>
    <w:rsid w:val="00E93E08"/>
    <w:rsid w:val="00E94059"/>
    <w:rsid w:val="00E977B4"/>
    <w:rsid w:val="00E97EB3"/>
    <w:rsid w:val="00EA0507"/>
    <w:rsid w:val="00EA10AB"/>
    <w:rsid w:val="00EA20B2"/>
    <w:rsid w:val="00EA4491"/>
    <w:rsid w:val="00EA5177"/>
    <w:rsid w:val="00EA580D"/>
    <w:rsid w:val="00EA6CFB"/>
    <w:rsid w:val="00EA77E1"/>
    <w:rsid w:val="00EB02C9"/>
    <w:rsid w:val="00EB048A"/>
    <w:rsid w:val="00EB148B"/>
    <w:rsid w:val="00EB22E9"/>
    <w:rsid w:val="00EB2F49"/>
    <w:rsid w:val="00EB3C17"/>
    <w:rsid w:val="00EB4F32"/>
    <w:rsid w:val="00EB55F2"/>
    <w:rsid w:val="00EB590F"/>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7BE"/>
    <w:rsid w:val="00EF4A75"/>
    <w:rsid w:val="00EF6841"/>
    <w:rsid w:val="00F004E6"/>
    <w:rsid w:val="00F00ED6"/>
    <w:rsid w:val="00F01035"/>
    <w:rsid w:val="00F02709"/>
    <w:rsid w:val="00F03703"/>
    <w:rsid w:val="00F03CDB"/>
    <w:rsid w:val="00F0408B"/>
    <w:rsid w:val="00F04163"/>
    <w:rsid w:val="00F041C9"/>
    <w:rsid w:val="00F053C9"/>
    <w:rsid w:val="00F06479"/>
    <w:rsid w:val="00F072CC"/>
    <w:rsid w:val="00F1107F"/>
    <w:rsid w:val="00F127E2"/>
    <w:rsid w:val="00F1414F"/>
    <w:rsid w:val="00F14D16"/>
    <w:rsid w:val="00F15412"/>
    <w:rsid w:val="00F16278"/>
    <w:rsid w:val="00F16FCE"/>
    <w:rsid w:val="00F17BDD"/>
    <w:rsid w:val="00F22918"/>
    <w:rsid w:val="00F22EB1"/>
    <w:rsid w:val="00F24686"/>
    <w:rsid w:val="00F2632D"/>
    <w:rsid w:val="00F273CB"/>
    <w:rsid w:val="00F30718"/>
    <w:rsid w:val="00F317A0"/>
    <w:rsid w:val="00F31B10"/>
    <w:rsid w:val="00F3391E"/>
    <w:rsid w:val="00F408D6"/>
    <w:rsid w:val="00F415A3"/>
    <w:rsid w:val="00F42033"/>
    <w:rsid w:val="00F433DF"/>
    <w:rsid w:val="00F44362"/>
    <w:rsid w:val="00F44579"/>
    <w:rsid w:val="00F473D7"/>
    <w:rsid w:val="00F5045F"/>
    <w:rsid w:val="00F5159E"/>
    <w:rsid w:val="00F51731"/>
    <w:rsid w:val="00F52687"/>
    <w:rsid w:val="00F52F54"/>
    <w:rsid w:val="00F5434A"/>
    <w:rsid w:val="00F5527D"/>
    <w:rsid w:val="00F55B42"/>
    <w:rsid w:val="00F56A77"/>
    <w:rsid w:val="00F5706D"/>
    <w:rsid w:val="00F576C4"/>
    <w:rsid w:val="00F60486"/>
    <w:rsid w:val="00F61F42"/>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23B0"/>
    <w:rsid w:val="00F95106"/>
    <w:rsid w:val="00F961F3"/>
    <w:rsid w:val="00F97F13"/>
    <w:rsid w:val="00FA0BBA"/>
    <w:rsid w:val="00FA0CFC"/>
    <w:rsid w:val="00FA1EAD"/>
    <w:rsid w:val="00FA1F5F"/>
    <w:rsid w:val="00FA2858"/>
    <w:rsid w:val="00FA3044"/>
    <w:rsid w:val="00FA37D5"/>
    <w:rsid w:val="00FA39CD"/>
    <w:rsid w:val="00FA3ABD"/>
    <w:rsid w:val="00FA3EAB"/>
    <w:rsid w:val="00FA507A"/>
    <w:rsid w:val="00FA6D17"/>
    <w:rsid w:val="00FA74EF"/>
    <w:rsid w:val="00FA7D4D"/>
    <w:rsid w:val="00FB0C18"/>
    <w:rsid w:val="00FB4480"/>
    <w:rsid w:val="00FB55BF"/>
    <w:rsid w:val="00FB56CC"/>
    <w:rsid w:val="00FB71AF"/>
    <w:rsid w:val="00FC4C3F"/>
    <w:rsid w:val="00FC6782"/>
    <w:rsid w:val="00FC6EBF"/>
    <w:rsid w:val="00FD0AE5"/>
    <w:rsid w:val="00FD22AD"/>
    <w:rsid w:val="00FD451A"/>
    <w:rsid w:val="00FD47B4"/>
    <w:rsid w:val="00FD5EB4"/>
    <w:rsid w:val="00FE0604"/>
    <w:rsid w:val="00FE11E3"/>
    <w:rsid w:val="00FE3A8F"/>
    <w:rsid w:val="00FE71FF"/>
    <w:rsid w:val="00FE7B25"/>
    <w:rsid w:val="00FF0EB3"/>
    <w:rsid w:val="00FF105F"/>
    <w:rsid w:val="00FF17E1"/>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438F2"/>
    <w:rPr>
      <w:sz w:val="20"/>
      <w:szCs w:val="20"/>
    </w:rPr>
  </w:style>
  <w:style w:type="character" w:customStyle="1" w:styleId="FootnoteTextChar">
    <w:name w:val="Footnote Text Char"/>
    <w:basedOn w:val="DefaultParagraphFont"/>
    <w:link w:val="FootnoteText"/>
    <w:uiPriority w:val="99"/>
    <w:semiHidden/>
    <w:rsid w:val="007438F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438F2"/>
    <w:rPr>
      <w:vertAlign w:val="superscript"/>
    </w:rPr>
  </w:style>
  <w:style w:type="paragraph" w:styleId="EndnoteText">
    <w:name w:val="endnote text"/>
    <w:basedOn w:val="Normal"/>
    <w:link w:val="EndnoteTextChar"/>
    <w:uiPriority w:val="99"/>
    <w:semiHidden/>
    <w:unhideWhenUsed/>
    <w:rsid w:val="007438F2"/>
    <w:rPr>
      <w:sz w:val="20"/>
      <w:szCs w:val="20"/>
    </w:rPr>
  </w:style>
  <w:style w:type="character" w:customStyle="1" w:styleId="EndnoteTextChar">
    <w:name w:val="Endnote Text Char"/>
    <w:basedOn w:val="DefaultParagraphFont"/>
    <w:link w:val="EndnoteText"/>
    <w:uiPriority w:val="99"/>
    <w:semiHidden/>
    <w:rsid w:val="007438F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74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800">
      <w:bodyDiv w:val="1"/>
      <w:marLeft w:val="0"/>
      <w:marRight w:val="0"/>
      <w:marTop w:val="0"/>
      <w:marBottom w:val="0"/>
      <w:divBdr>
        <w:top w:val="none" w:sz="0" w:space="0" w:color="auto"/>
        <w:left w:val="none" w:sz="0" w:space="0" w:color="auto"/>
        <w:bottom w:val="none" w:sz="0" w:space="0" w:color="auto"/>
        <w:right w:val="none" w:sz="0" w:space="0" w:color="auto"/>
      </w:divBdr>
    </w:div>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2635125">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83962686">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67839403">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42051638">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7233512">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2739196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55033687">
      <w:bodyDiv w:val="1"/>
      <w:marLeft w:val="0"/>
      <w:marRight w:val="0"/>
      <w:marTop w:val="0"/>
      <w:marBottom w:val="0"/>
      <w:divBdr>
        <w:top w:val="none" w:sz="0" w:space="0" w:color="auto"/>
        <w:left w:val="none" w:sz="0" w:space="0" w:color="auto"/>
        <w:bottom w:val="none" w:sz="0" w:space="0" w:color="auto"/>
        <w:right w:val="none" w:sz="0" w:space="0" w:color="auto"/>
      </w:divBdr>
    </w:div>
    <w:div w:id="667681976">
      <w:bodyDiv w:val="1"/>
      <w:marLeft w:val="0"/>
      <w:marRight w:val="0"/>
      <w:marTop w:val="0"/>
      <w:marBottom w:val="0"/>
      <w:divBdr>
        <w:top w:val="none" w:sz="0" w:space="0" w:color="auto"/>
        <w:left w:val="none" w:sz="0" w:space="0" w:color="auto"/>
        <w:bottom w:val="none" w:sz="0" w:space="0" w:color="auto"/>
        <w:right w:val="none" w:sz="0" w:space="0" w:color="auto"/>
      </w:divBdr>
    </w:div>
    <w:div w:id="672221307">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697509255">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1373271">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76949411">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0412837">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2018388">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2481094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435501">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5117947">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03922611">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19310146">
      <w:bodyDiv w:val="1"/>
      <w:marLeft w:val="0"/>
      <w:marRight w:val="0"/>
      <w:marTop w:val="0"/>
      <w:marBottom w:val="0"/>
      <w:divBdr>
        <w:top w:val="none" w:sz="0" w:space="0" w:color="auto"/>
        <w:left w:val="none" w:sz="0" w:space="0" w:color="auto"/>
        <w:bottom w:val="none" w:sz="0" w:space="0" w:color="auto"/>
        <w:right w:val="none" w:sz="0" w:space="0" w:color="auto"/>
      </w:divBdr>
    </w:div>
    <w:div w:id="1323897774">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41085266">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43913468">
      <w:bodyDiv w:val="1"/>
      <w:marLeft w:val="0"/>
      <w:marRight w:val="0"/>
      <w:marTop w:val="0"/>
      <w:marBottom w:val="0"/>
      <w:divBdr>
        <w:top w:val="none" w:sz="0" w:space="0" w:color="auto"/>
        <w:left w:val="none" w:sz="0" w:space="0" w:color="auto"/>
        <w:bottom w:val="none" w:sz="0" w:space="0" w:color="auto"/>
        <w:right w:val="none" w:sz="0" w:space="0" w:color="auto"/>
      </w:divBdr>
    </w:div>
    <w:div w:id="1445222442">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81849856">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017124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1591235">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43722915">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0370643">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0293986">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4689096">
      <w:bodyDiv w:val="1"/>
      <w:marLeft w:val="0"/>
      <w:marRight w:val="0"/>
      <w:marTop w:val="0"/>
      <w:marBottom w:val="0"/>
      <w:divBdr>
        <w:top w:val="none" w:sz="0" w:space="0" w:color="auto"/>
        <w:left w:val="none" w:sz="0" w:space="0" w:color="auto"/>
        <w:bottom w:val="none" w:sz="0" w:space="0" w:color="auto"/>
        <w:right w:val="none" w:sz="0" w:space="0" w:color="auto"/>
      </w:divBdr>
    </w:div>
    <w:div w:id="1785269659">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0100909">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0170768">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03642013">
      <w:bodyDiv w:val="1"/>
      <w:marLeft w:val="0"/>
      <w:marRight w:val="0"/>
      <w:marTop w:val="0"/>
      <w:marBottom w:val="0"/>
      <w:divBdr>
        <w:top w:val="none" w:sz="0" w:space="0" w:color="auto"/>
        <w:left w:val="none" w:sz="0" w:space="0" w:color="auto"/>
        <w:bottom w:val="none" w:sz="0" w:space="0" w:color="auto"/>
        <w:right w:val="none" w:sz="0" w:space="0" w:color="auto"/>
      </w:divBdr>
    </w:div>
    <w:div w:id="1916162123">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6613695">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406450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0767442">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60667175">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79593452">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1904282">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0542091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B324-5856-493B-8388-3831B74D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3</cp:revision>
  <cp:lastPrinted>2015-04-24T15:52:00Z</cp:lastPrinted>
  <dcterms:created xsi:type="dcterms:W3CDTF">2018-03-15T12:27:00Z</dcterms:created>
  <dcterms:modified xsi:type="dcterms:W3CDTF">2018-03-15T13:01:00Z</dcterms:modified>
</cp:coreProperties>
</file>