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7F" w:rsidRDefault="0063397F" w:rsidP="0063397F">
      <w:pPr>
        <w:pStyle w:val="NoSpacing"/>
        <w:jc w:val="right"/>
        <w:rPr>
          <w:rFonts w:ascii="Arial" w:hAnsi="Arial" w:cs="Arial"/>
          <w:b/>
          <w:noProof/>
          <w:lang w:val="en-GB" w:eastAsia="en-GB"/>
        </w:rPr>
      </w:pPr>
    </w:p>
    <w:p w:rsidR="001B0E16" w:rsidRPr="00FF7CBA" w:rsidRDefault="001B0E16" w:rsidP="0063397F">
      <w:pPr>
        <w:pStyle w:val="NoSpacing"/>
        <w:jc w:val="right"/>
        <w:rPr>
          <w:rFonts w:ascii="Arial" w:hAnsi="Arial" w:cs="Arial"/>
          <w:b/>
          <w:lang w:val="en-GB"/>
        </w:rPr>
      </w:pPr>
    </w:p>
    <w:tbl>
      <w:tblPr>
        <w:tblStyle w:val="TableGrid"/>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E068B3" w:rsidTr="00E068B3">
        <w:tc>
          <w:tcPr>
            <w:tcW w:w="3420" w:type="dxa"/>
          </w:tcPr>
          <w:p w:rsidR="00E068B3" w:rsidRPr="001B0E16" w:rsidRDefault="00E068B3" w:rsidP="00E068B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Agenda item:</w:t>
            </w:r>
          </w:p>
        </w:tc>
        <w:tc>
          <w:tcPr>
            <w:tcW w:w="1260" w:type="dxa"/>
          </w:tcPr>
          <w:p w:rsidR="00E068B3" w:rsidRPr="003624CC" w:rsidRDefault="00295872" w:rsidP="00E068B3">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14</w:t>
            </w:r>
          </w:p>
        </w:tc>
      </w:tr>
      <w:tr w:rsidR="00E068B3" w:rsidTr="00E068B3">
        <w:tc>
          <w:tcPr>
            <w:tcW w:w="3420" w:type="dxa"/>
          </w:tcPr>
          <w:p w:rsidR="00E068B3" w:rsidRPr="001B0E16" w:rsidRDefault="00E068B3" w:rsidP="00E068B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Attachment:</w:t>
            </w:r>
          </w:p>
        </w:tc>
        <w:tc>
          <w:tcPr>
            <w:tcW w:w="1260" w:type="dxa"/>
          </w:tcPr>
          <w:p w:rsidR="00E068B3" w:rsidRPr="001B0E16" w:rsidRDefault="00295872" w:rsidP="00E068B3">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J</w:t>
            </w:r>
            <w:bookmarkStart w:id="0" w:name="_GoBack"/>
            <w:bookmarkEnd w:id="0"/>
          </w:p>
        </w:tc>
      </w:tr>
    </w:tbl>
    <w:p w:rsidR="0000688A" w:rsidRPr="0000688A" w:rsidRDefault="0000688A" w:rsidP="0063397F">
      <w:pPr>
        <w:spacing w:after="0"/>
        <w:jc w:val="center"/>
        <w:rPr>
          <w:rFonts w:asciiTheme="minorHAnsi" w:hAnsiTheme="minorHAnsi" w:cstheme="minorHAnsi"/>
          <w:b/>
          <w:sz w:val="24"/>
          <w:szCs w:val="24"/>
        </w:rPr>
      </w:pPr>
    </w:p>
    <w:p w:rsidR="00E068B3" w:rsidRDefault="00E068B3" w:rsidP="0063397F">
      <w:pPr>
        <w:spacing w:after="0"/>
        <w:jc w:val="center"/>
        <w:rPr>
          <w:rFonts w:asciiTheme="minorHAnsi" w:hAnsiTheme="minorHAnsi" w:cstheme="minorHAnsi"/>
          <w:b/>
          <w:sz w:val="40"/>
          <w:szCs w:val="40"/>
        </w:rPr>
      </w:pPr>
    </w:p>
    <w:p w:rsidR="00E068B3" w:rsidRDefault="00E068B3" w:rsidP="00151DBF">
      <w:pPr>
        <w:spacing w:after="0" w:line="240" w:lineRule="auto"/>
        <w:jc w:val="center"/>
        <w:rPr>
          <w:rFonts w:asciiTheme="minorHAnsi" w:hAnsiTheme="minorHAnsi" w:cstheme="minorHAnsi"/>
          <w:b/>
          <w:sz w:val="24"/>
          <w:szCs w:val="24"/>
        </w:rPr>
      </w:pPr>
    </w:p>
    <w:p w:rsidR="00151DBF" w:rsidRPr="00151DBF" w:rsidRDefault="00151DBF" w:rsidP="00151DBF">
      <w:pPr>
        <w:spacing w:after="0" w:line="240" w:lineRule="auto"/>
        <w:jc w:val="center"/>
        <w:rPr>
          <w:rFonts w:asciiTheme="minorHAnsi" w:hAnsiTheme="minorHAnsi" w:cstheme="minorHAnsi"/>
          <w:b/>
          <w:sz w:val="24"/>
          <w:szCs w:val="24"/>
        </w:rPr>
      </w:pPr>
    </w:p>
    <w:p w:rsidR="0063397F" w:rsidRPr="00151DBF" w:rsidRDefault="001B0E16" w:rsidP="00151DBF">
      <w:pPr>
        <w:spacing w:after="0" w:line="240" w:lineRule="auto"/>
        <w:jc w:val="center"/>
        <w:rPr>
          <w:rFonts w:asciiTheme="minorHAnsi" w:hAnsiTheme="minorHAnsi" w:cstheme="minorHAnsi"/>
          <w:b/>
          <w:sz w:val="44"/>
          <w:szCs w:val="44"/>
        </w:rPr>
      </w:pPr>
      <w:r w:rsidRPr="00151DBF">
        <w:rPr>
          <w:rFonts w:asciiTheme="minorHAnsi" w:hAnsiTheme="minorHAnsi" w:cstheme="minorHAnsi"/>
          <w:b/>
          <w:sz w:val="44"/>
          <w:szCs w:val="44"/>
        </w:rPr>
        <w:t xml:space="preserve">HRA </w:t>
      </w:r>
      <w:r w:rsidR="00CD39A3">
        <w:rPr>
          <w:rFonts w:asciiTheme="minorHAnsi" w:hAnsiTheme="minorHAnsi" w:cstheme="minorHAnsi"/>
          <w:b/>
          <w:sz w:val="44"/>
          <w:szCs w:val="44"/>
        </w:rPr>
        <w:t>BOARD</w:t>
      </w:r>
      <w:r w:rsidRPr="00151DBF">
        <w:rPr>
          <w:rFonts w:asciiTheme="minorHAnsi" w:hAnsiTheme="minorHAnsi" w:cstheme="minorHAnsi"/>
          <w:b/>
          <w:sz w:val="44"/>
          <w:szCs w:val="44"/>
        </w:rPr>
        <w:t xml:space="preserve"> COVER SHEET</w:t>
      </w:r>
    </w:p>
    <w:p w:rsidR="00151DBF" w:rsidRDefault="00151DBF" w:rsidP="0063397F">
      <w:pPr>
        <w:spacing w:after="0"/>
        <w:jc w:val="center"/>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3085"/>
        <w:gridCol w:w="5954"/>
      </w:tblGrid>
      <w:tr w:rsidR="00151DBF" w:rsidRPr="00CD39A3" w:rsidTr="009E18CA">
        <w:tc>
          <w:tcPr>
            <w:tcW w:w="3085" w:type="dxa"/>
          </w:tcPr>
          <w:p w:rsidR="00151DBF" w:rsidRPr="00CD39A3" w:rsidRDefault="00151DBF" w:rsidP="00AE2C5E">
            <w:pPr>
              <w:rPr>
                <w:rFonts w:asciiTheme="minorHAnsi" w:hAnsiTheme="minorHAnsi" w:cstheme="minorHAnsi"/>
                <w:b/>
              </w:rPr>
            </w:pPr>
            <w:r w:rsidRPr="00CD39A3">
              <w:rPr>
                <w:rFonts w:asciiTheme="minorHAnsi" w:hAnsiTheme="minorHAnsi" w:cstheme="minorHAnsi"/>
                <w:b/>
              </w:rPr>
              <w:t>Date of Meeting:</w:t>
            </w:r>
          </w:p>
          <w:p w:rsidR="00151DBF" w:rsidRPr="00CD39A3" w:rsidRDefault="00151DBF" w:rsidP="00AE2C5E">
            <w:pPr>
              <w:rPr>
                <w:rFonts w:asciiTheme="minorHAnsi" w:hAnsiTheme="minorHAnsi" w:cstheme="minorHAnsi"/>
                <w:b/>
              </w:rPr>
            </w:pPr>
          </w:p>
        </w:tc>
        <w:tc>
          <w:tcPr>
            <w:tcW w:w="5954" w:type="dxa"/>
          </w:tcPr>
          <w:p w:rsidR="00F51E3D" w:rsidRPr="00CD39A3" w:rsidRDefault="0021347A" w:rsidP="00AE2C5E">
            <w:pPr>
              <w:rPr>
                <w:rFonts w:asciiTheme="minorHAnsi" w:hAnsiTheme="minorHAnsi" w:cstheme="minorHAnsi"/>
              </w:rPr>
            </w:pPr>
            <w:r>
              <w:rPr>
                <w:rFonts w:asciiTheme="minorHAnsi" w:hAnsiTheme="minorHAnsi" w:cstheme="minorHAnsi"/>
              </w:rPr>
              <w:t>21</w:t>
            </w:r>
            <w:r w:rsidR="00644E04" w:rsidRPr="00CD39A3">
              <w:rPr>
                <w:rFonts w:asciiTheme="minorHAnsi" w:hAnsiTheme="minorHAnsi" w:cstheme="minorHAnsi"/>
              </w:rPr>
              <w:t>/09/2016</w:t>
            </w:r>
          </w:p>
          <w:p w:rsidR="00C90060" w:rsidRPr="00CD39A3" w:rsidRDefault="00C90060" w:rsidP="00B623D5">
            <w:pPr>
              <w:rPr>
                <w:rFonts w:asciiTheme="minorHAnsi" w:hAnsiTheme="minorHAnsi" w:cstheme="minorHAnsi"/>
              </w:rPr>
            </w:pPr>
          </w:p>
        </w:tc>
      </w:tr>
    </w:tbl>
    <w:p w:rsidR="00151DBF" w:rsidRPr="00CD39A3" w:rsidRDefault="00151DBF" w:rsidP="0063397F">
      <w:pPr>
        <w:spacing w:after="0"/>
        <w:jc w:val="center"/>
        <w:rPr>
          <w:rFonts w:asciiTheme="minorHAnsi" w:hAnsiTheme="minorHAnsi" w:cstheme="minorHAnsi"/>
          <w:b/>
        </w:rPr>
      </w:pPr>
    </w:p>
    <w:tbl>
      <w:tblPr>
        <w:tblStyle w:val="TableGrid"/>
        <w:tblW w:w="0" w:type="auto"/>
        <w:tblLook w:val="04A0" w:firstRow="1" w:lastRow="0" w:firstColumn="1" w:lastColumn="0" w:noHBand="0" w:noVBand="1"/>
      </w:tblPr>
      <w:tblGrid>
        <w:gridCol w:w="3085"/>
        <w:gridCol w:w="5954"/>
      </w:tblGrid>
      <w:tr w:rsidR="00CD39A3" w:rsidRPr="00CD39A3" w:rsidTr="009E18CA">
        <w:tc>
          <w:tcPr>
            <w:tcW w:w="3085" w:type="dxa"/>
          </w:tcPr>
          <w:p w:rsidR="00C90060" w:rsidRPr="00CD39A3" w:rsidRDefault="0000688A" w:rsidP="00C90060">
            <w:pPr>
              <w:rPr>
                <w:rFonts w:asciiTheme="minorHAnsi" w:hAnsiTheme="minorHAnsi" w:cstheme="minorHAnsi"/>
                <w:b/>
              </w:rPr>
            </w:pPr>
            <w:r w:rsidRPr="00CD39A3">
              <w:rPr>
                <w:rFonts w:asciiTheme="minorHAnsi" w:hAnsiTheme="minorHAnsi" w:cstheme="minorHAnsi"/>
                <w:b/>
              </w:rPr>
              <w:t>Title of Paper:</w:t>
            </w:r>
          </w:p>
          <w:p w:rsidR="00C90060" w:rsidRPr="00CD39A3" w:rsidRDefault="00C90060" w:rsidP="00C90060">
            <w:pPr>
              <w:rPr>
                <w:rFonts w:asciiTheme="minorHAnsi" w:hAnsiTheme="minorHAnsi" w:cstheme="minorHAnsi"/>
                <w:b/>
              </w:rPr>
            </w:pPr>
          </w:p>
        </w:tc>
        <w:tc>
          <w:tcPr>
            <w:tcW w:w="5954" w:type="dxa"/>
          </w:tcPr>
          <w:p w:rsidR="00F51E3D" w:rsidRPr="00CD39A3" w:rsidRDefault="00644E04" w:rsidP="00276682">
            <w:pPr>
              <w:rPr>
                <w:rFonts w:asciiTheme="minorHAnsi" w:hAnsiTheme="minorHAnsi" w:cstheme="minorHAnsi"/>
              </w:rPr>
            </w:pPr>
            <w:r w:rsidRPr="00CD39A3">
              <w:rPr>
                <w:rFonts w:asciiTheme="minorHAnsi" w:hAnsiTheme="minorHAnsi" w:cstheme="minorHAnsi"/>
              </w:rPr>
              <w:t>NED Portfolios</w:t>
            </w:r>
          </w:p>
          <w:p w:rsidR="0000688A" w:rsidRPr="00CD39A3" w:rsidRDefault="0000688A" w:rsidP="003624CC">
            <w:pPr>
              <w:rPr>
                <w:rFonts w:asciiTheme="minorHAnsi" w:hAnsiTheme="minorHAnsi" w:cstheme="minorHAnsi"/>
              </w:rPr>
            </w:pPr>
          </w:p>
        </w:tc>
      </w:tr>
      <w:tr w:rsidR="00CD39A3" w:rsidRPr="00CD39A3" w:rsidTr="009E18CA">
        <w:tc>
          <w:tcPr>
            <w:tcW w:w="3085" w:type="dxa"/>
          </w:tcPr>
          <w:p w:rsidR="00C90060" w:rsidRPr="00CD39A3" w:rsidRDefault="0082258E" w:rsidP="00AE2C5E">
            <w:pPr>
              <w:rPr>
                <w:rFonts w:asciiTheme="minorHAnsi" w:hAnsiTheme="minorHAnsi" w:cstheme="minorHAnsi"/>
                <w:b/>
              </w:rPr>
            </w:pPr>
            <w:r w:rsidRPr="00CD39A3">
              <w:rPr>
                <w:rFonts w:asciiTheme="minorHAnsi" w:hAnsiTheme="minorHAnsi" w:cstheme="minorHAnsi"/>
                <w:b/>
              </w:rPr>
              <w:t>Purpose of Paper:</w:t>
            </w:r>
          </w:p>
          <w:p w:rsidR="0082258E" w:rsidRPr="00CD39A3" w:rsidRDefault="0082258E" w:rsidP="00AE2C5E">
            <w:pPr>
              <w:rPr>
                <w:rFonts w:asciiTheme="minorHAnsi" w:hAnsiTheme="minorHAnsi" w:cstheme="minorHAnsi"/>
                <w:b/>
              </w:rPr>
            </w:pPr>
          </w:p>
        </w:tc>
        <w:tc>
          <w:tcPr>
            <w:tcW w:w="5954" w:type="dxa"/>
          </w:tcPr>
          <w:p w:rsidR="0000688A" w:rsidRPr="00CD39A3" w:rsidRDefault="00644E04" w:rsidP="00AE2C5E">
            <w:pPr>
              <w:rPr>
                <w:rFonts w:asciiTheme="minorHAnsi" w:hAnsiTheme="minorHAnsi" w:cstheme="minorHAnsi"/>
              </w:rPr>
            </w:pPr>
            <w:r w:rsidRPr="00CD39A3">
              <w:rPr>
                <w:rFonts w:asciiTheme="minorHAnsi" w:hAnsiTheme="minorHAnsi" w:cstheme="minorHAnsi"/>
              </w:rPr>
              <w:t>To note current NED portfolios and propose maintaining these for a further 6 months.</w:t>
            </w:r>
          </w:p>
          <w:p w:rsidR="0000688A" w:rsidRPr="00CD39A3" w:rsidRDefault="0000688A" w:rsidP="00AE2C5E">
            <w:pPr>
              <w:rPr>
                <w:rFonts w:asciiTheme="minorHAnsi" w:hAnsiTheme="minorHAnsi" w:cstheme="minorHAnsi"/>
              </w:rPr>
            </w:pPr>
          </w:p>
        </w:tc>
      </w:tr>
      <w:tr w:rsidR="00CD39A3" w:rsidRPr="00CD39A3" w:rsidTr="009E18CA">
        <w:tc>
          <w:tcPr>
            <w:tcW w:w="3085" w:type="dxa"/>
          </w:tcPr>
          <w:p w:rsidR="00C90060" w:rsidRPr="00CD39A3" w:rsidRDefault="0082258E" w:rsidP="00AE2C5E">
            <w:pPr>
              <w:rPr>
                <w:rFonts w:asciiTheme="minorHAnsi" w:hAnsiTheme="minorHAnsi" w:cstheme="minorHAnsi"/>
                <w:b/>
              </w:rPr>
            </w:pPr>
            <w:r w:rsidRPr="00CD39A3">
              <w:rPr>
                <w:rFonts w:asciiTheme="minorHAnsi" w:hAnsiTheme="minorHAnsi" w:cstheme="minorHAnsi"/>
                <w:b/>
              </w:rPr>
              <w:t>Reason for Submission:</w:t>
            </w:r>
          </w:p>
          <w:p w:rsidR="0082258E" w:rsidRPr="00CD39A3" w:rsidRDefault="0082258E" w:rsidP="00AE2C5E">
            <w:pPr>
              <w:rPr>
                <w:rFonts w:asciiTheme="minorHAnsi" w:hAnsiTheme="minorHAnsi" w:cstheme="minorHAnsi"/>
                <w:b/>
              </w:rPr>
            </w:pPr>
          </w:p>
        </w:tc>
        <w:tc>
          <w:tcPr>
            <w:tcW w:w="5954" w:type="dxa"/>
          </w:tcPr>
          <w:p w:rsidR="00F51E3D" w:rsidRPr="00CD39A3" w:rsidRDefault="00644E04" w:rsidP="00352595">
            <w:pPr>
              <w:contextualSpacing/>
              <w:rPr>
                <w:rFonts w:asciiTheme="minorHAnsi" w:hAnsiTheme="minorHAnsi" w:cstheme="minorHAnsi"/>
              </w:rPr>
            </w:pPr>
            <w:r w:rsidRPr="00CD39A3">
              <w:rPr>
                <w:rFonts w:asciiTheme="minorHAnsi" w:hAnsiTheme="minorHAnsi" w:cstheme="minorHAnsi"/>
              </w:rPr>
              <w:t>For Board approval</w:t>
            </w:r>
          </w:p>
          <w:p w:rsidR="0000688A" w:rsidRPr="00CD39A3" w:rsidRDefault="0000688A" w:rsidP="003624CC">
            <w:pPr>
              <w:contextualSpacing/>
              <w:rPr>
                <w:rFonts w:asciiTheme="minorHAnsi" w:hAnsiTheme="minorHAnsi" w:cstheme="minorHAnsi"/>
              </w:rPr>
            </w:pPr>
          </w:p>
        </w:tc>
      </w:tr>
      <w:tr w:rsidR="00C90060" w:rsidRPr="00C90060" w:rsidTr="009E18CA">
        <w:tc>
          <w:tcPr>
            <w:tcW w:w="3085" w:type="dxa"/>
          </w:tcPr>
          <w:p w:rsidR="009E18CA" w:rsidRDefault="00352595" w:rsidP="009E18CA">
            <w:pPr>
              <w:rPr>
                <w:rFonts w:asciiTheme="minorHAnsi" w:hAnsiTheme="minorHAnsi" w:cstheme="minorHAnsi"/>
                <w:b/>
              </w:rPr>
            </w:pPr>
            <w:r w:rsidRPr="00C90060">
              <w:rPr>
                <w:rFonts w:asciiTheme="minorHAnsi" w:hAnsiTheme="minorHAnsi" w:cstheme="minorHAnsi"/>
                <w:b/>
              </w:rPr>
              <w:t>Details:</w:t>
            </w:r>
          </w:p>
          <w:p w:rsidR="009E18CA" w:rsidRPr="00C90060" w:rsidRDefault="009E18CA" w:rsidP="009E18CA">
            <w:pPr>
              <w:rPr>
                <w:rFonts w:asciiTheme="minorHAnsi" w:hAnsiTheme="minorHAnsi" w:cstheme="minorHAnsi"/>
                <w:b/>
              </w:rPr>
            </w:pPr>
          </w:p>
        </w:tc>
        <w:tc>
          <w:tcPr>
            <w:tcW w:w="5954" w:type="dxa"/>
          </w:tcPr>
          <w:p w:rsidR="00B74537" w:rsidRDefault="00644E04" w:rsidP="00644E04">
            <w:pPr>
              <w:rPr>
                <w:rFonts w:asciiTheme="minorHAnsi" w:hAnsiTheme="minorHAnsi" w:cstheme="minorHAnsi"/>
              </w:rPr>
            </w:pPr>
            <w:r>
              <w:rPr>
                <w:rFonts w:asciiTheme="minorHAnsi" w:hAnsiTheme="minorHAnsi" w:cstheme="minorHAnsi"/>
              </w:rPr>
              <w:t xml:space="preserve">The NED portfolios were </w:t>
            </w:r>
            <w:r w:rsidR="00B74537">
              <w:rPr>
                <w:rFonts w:asciiTheme="minorHAnsi" w:hAnsiTheme="minorHAnsi" w:cstheme="minorHAnsi"/>
              </w:rPr>
              <w:t xml:space="preserve">initially </w:t>
            </w:r>
            <w:r>
              <w:rPr>
                <w:rFonts w:asciiTheme="minorHAnsi" w:hAnsiTheme="minorHAnsi" w:cstheme="minorHAnsi"/>
              </w:rPr>
              <w:t xml:space="preserve">agreed in April 2015 </w:t>
            </w:r>
            <w:r w:rsidR="00B74537">
              <w:rPr>
                <w:rFonts w:asciiTheme="minorHAnsi" w:hAnsiTheme="minorHAnsi" w:cstheme="minorHAnsi"/>
              </w:rPr>
              <w:t>with the Board committing</w:t>
            </w:r>
            <w:r>
              <w:rPr>
                <w:rFonts w:asciiTheme="minorHAnsi" w:hAnsiTheme="minorHAnsi" w:cstheme="minorHAnsi"/>
              </w:rPr>
              <w:t xml:space="preserve"> to review</w:t>
            </w:r>
            <w:r w:rsidR="00B74537">
              <w:rPr>
                <w:rFonts w:asciiTheme="minorHAnsi" w:hAnsiTheme="minorHAnsi" w:cstheme="minorHAnsi"/>
              </w:rPr>
              <w:t xml:space="preserve"> </w:t>
            </w:r>
            <w:r>
              <w:rPr>
                <w:rFonts w:asciiTheme="minorHAnsi" w:hAnsiTheme="minorHAnsi" w:cstheme="minorHAnsi"/>
              </w:rPr>
              <w:t>after 12 months. At the April 16 Board seminar the Board agreed to maintain the current NED portfolios with a view to consider</w:t>
            </w:r>
            <w:r w:rsidR="00B74537">
              <w:rPr>
                <w:rFonts w:asciiTheme="minorHAnsi" w:hAnsiTheme="minorHAnsi" w:cstheme="minorHAnsi"/>
              </w:rPr>
              <w:t>ing</w:t>
            </w:r>
            <w:r>
              <w:rPr>
                <w:rFonts w:asciiTheme="minorHAnsi" w:hAnsiTheme="minorHAnsi" w:cstheme="minorHAnsi"/>
              </w:rPr>
              <w:t xml:space="preserve"> again in September as to whether they were still fit for purpose. </w:t>
            </w:r>
          </w:p>
          <w:p w:rsidR="00B74537" w:rsidRDefault="00B74537" w:rsidP="00644E04">
            <w:pPr>
              <w:rPr>
                <w:rFonts w:asciiTheme="minorHAnsi" w:hAnsiTheme="minorHAnsi" w:cstheme="minorHAnsi"/>
              </w:rPr>
            </w:pPr>
          </w:p>
          <w:p w:rsidR="00CD39A3" w:rsidRDefault="00644E04" w:rsidP="00644E04">
            <w:pPr>
              <w:rPr>
                <w:rFonts w:asciiTheme="minorHAnsi" w:hAnsiTheme="minorHAnsi" w:cstheme="minorHAnsi"/>
              </w:rPr>
            </w:pPr>
            <w:r>
              <w:rPr>
                <w:rFonts w:asciiTheme="minorHAnsi" w:hAnsiTheme="minorHAnsi" w:cstheme="minorHAnsi"/>
              </w:rPr>
              <w:t>It is proposed the portfolios are extended for a further 6 months at which point it is envisaged greater clarification regarding the HRA strategic plan</w:t>
            </w:r>
            <w:r w:rsidR="00830D74">
              <w:rPr>
                <w:rFonts w:asciiTheme="minorHAnsi" w:hAnsiTheme="minorHAnsi" w:cstheme="minorHAnsi"/>
              </w:rPr>
              <w:t xml:space="preserve"> and organisational change arrangements</w:t>
            </w:r>
            <w:r>
              <w:rPr>
                <w:rFonts w:asciiTheme="minorHAnsi" w:hAnsiTheme="minorHAnsi" w:cstheme="minorHAnsi"/>
              </w:rPr>
              <w:t xml:space="preserve"> will be </w:t>
            </w:r>
            <w:r w:rsidR="00B74537">
              <w:rPr>
                <w:rFonts w:asciiTheme="minorHAnsi" w:hAnsiTheme="minorHAnsi" w:cstheme="minorHAnsi"/>
              </w:rPr>
              <w:t>known to allow a refresh of NED responsible areas to be considered.</w:t>
            </w:r>
            <w:r w:rsidR="00CD39A3">
              <w:rPr>
                <w:rFonts w:asciiTheme="minorHAnsi" w:hAnsiTheme="minorHAnsi" w:cstheme="minorHAnsi"/>
              </w:rPr>
              <w:t xml:space="preserve"> </w:t>
            </w:r>
          </w:p>
          <w:p w:rsidR="00CD39A3" w:rsidRDefault="00CD39A3" w:rsidP="00644E04">
            <w:pPr>
              <w:rPr>
                <w:rFonts w:asciiTheme="minorHAnsi" w:hAnsiTheme="minorHAnsi" w:cstheme="minorHAnsi"/>
              </w:rPr>
            </w:pPr>
          </w:p>
          <w:p w:rsidR="00CD39A3" w:rsidRDefault="00CD39A3" w:rsidP="00644E04">
            <w:pPr>
              <w:rPr>
                <w:rFonts w:asciiTheme="minorHAnsi" w:hAnsiTheme="minorHAnsi" w:cstheme="minorHAnsi"/>
              </w:rPr>
            </w:pPr>
            <w:r>
              <w:rPr>
                <w:rFonts w:asciiTheme="minorHAnsi" w:hAnsiTheme="minorHAnsi" w:cstheme="minorHAnsi"/>
              </w:rPr>
              <w:t xml:space="preserve">The benefit of following a portfolio approach will also be considered at this point. It is noted engagement with NEDs is not restricted to these portfolios e.g. recent involvement of NEDs with Policy team outside of portfolio approach, however a portfolio approach does help manage engagement. </w:t>
            </w:r>
          </w:p>
          <w:p w:rsidR="00C90060" w:rsidRDefault="00644E04" w:rsidP="00644E04">
            <w:pPr>
              <w:rPr>
                <w:rFonts w:asciiTheme="minorHAnsi" w:hAnsiTheme="minorHAnsi" w:cstheme="minorHAnsi"/>
              </w:rPr>
            </w:pPr>
            <w:r>
              <w:rPr>
                <w:rFonts w:asciiTheme="minorHAnsi" w:hAnsiTheme="minorHAnsi" w:cstheme="minorHAnsi"/>
              </w:rPr>
              <w:t xml:space="preserve"> </w:t>
            </w:r>
          </w:p>
          <w:p w:rsidR="00644E04" w:rsidRDefault="00644E04" w:rsidP="00644E04">
            <w:pPr>
              <w:rPr>
                <w:rFonts w:asciiTheme="minorHAnsi" w:hAnsiTheme="minorHAnsi" w:cstheme="minorHAnsi"/>
              </w:rPr>
            </w:pPr>
            <w:r>
              <w:rPr>
                <w:rFonts w:asciiTheme="minorHAnsi" w:hAnsiTheme="minorHAnsi" w:cstheme="minorHAnsi"/>
              </w:rPr>
              <w:t>The portfolios are as follows:</w:t>
            </w:r>
          </w:p>
          <w:p w:rsidR="00644E04" w:rsidRDefault="00644E04" w:rsidP="00644E04">
            <w:pPr>
              <w:rPr>
                <w:rFonts w:asciiTheme="minorHAnsi" w:hAnsiTheme="minorHAnsi" w:cstheme="minorHAnsi"/>
              </w:rPr>
            </w:pPr>
          </w:p>
          <w:p w:rsidR="00644E04" w:rsidRDefault="00644E04" w:rsidP="00644E04">
            <w:pPr>
              <w:pStyle w:val="NormalWeb"/>
              <w:shd w:val="clear" w:color="auto" w:fill="FFFFFF"/>
              <w:spacing w:line="255" w:lineRule="atLeast"/>
              <w:rPr>
                <w:rFonts w:asciiTheme="minorHAnsi" w:hAnsiTheme="minorHAnsi" w:cstheme="minorHAnsi"/>
                <w:sz w:val="22"/>
                <w:szCs w:val="21"/>
                <w:lang w:val="en"/>
              </w:rPr>
            </w:pPr>
            <w:r w:rsidRPr="00F45B15">
              <w:rPr>
                <w:rStyle w:val="Strong"/>
                <w:rFonts w:asciiTheme="minorHAnsi" w:hAnsiTheme="minorHAnsi" w:cstheme="minorHAnsi"/>
                <w:sz w:val="22"/>
                <w:szCs w:val="21"/>
                <w:lang w:val="en"/>
              </w:rPr>
              <w:t>Estates:</w:t>
            </w:r>
            <w:r w:rsidRPr="00F45B15">
              <w:rPr>
                <w:rFonts w:asciiTheme="minorHAnsi" w:hAnsiTheme="minorHAnsi" w:cstheme="minorHAnsi"/>
                <w:sz w:val="22"/>
                <w:szCs w:val="21"/>
                <w:lang w:val="en"/>
              </w:rPr>
              <w:t xml:space="preserve"> Graham Clarke (</w:t>
            </w:r>
            <w:r w:rsidR="00B74537">
              <w:rPr>
                <w:rFonts w:asciiTheme="minorHAnsi" w:hAnsiTheme="minorHAnsi" w:cstheme="minorHAnsi"/>
                <w:sz w:val="22"/>
                <w:szCs w:val="21"/>
                <w:lang w:val="en"/>
              </w:rPr>
              <w:t>HRA Director</w:t>
            </w:r>
            <w:r w:rsidRPr="00F45B15">
              <w:rPr>
                <w:rFonts w:asciiTheme="minorHAnsi" w:hAnsiTheme="minorHAnsi" w:cstheme="minorHAnsi"/>
                <w:sz w:val="22"/>
                <w:szCs w:val="21"/>
                <w:lang w:val="en"/>
              </w:rPr>
              <w:t xml:space="preserve"> lead Debbie Corrigan</w:t>
            </w:r>
            <w:r w:rsidR="00B74537">
              <w:rPr>
                <w:rFonts w:asciiTheme="minorHAnsi" w:hAnsiTheme="minorHAnsi" w:cstheme="minorHAnsi"/>
                <w:sz w:val="22"/>
                <w:szCs w:val="21"/>
                <w:lang w:val="en"/>
              </w:rPr>
              <w:t xml:space="preserve"> – </w:t>
            </w:r>
            <w:r w:rsidR="00CD39A3">
              <w:rPr>
                <w:rFonts w:asciiTheme="minorHAnsi" w:hAnsiTheme="minorHAnsi" w:cstheme="minorHAnsi"/>
                <w:i/>
                <w:sz w:val="22"/>
                <w:szCs w:val="21"/>
                <w:lang w:val="en"/>
              </w:rPr>
              <w:t>propose change to Teresa Allen if portfolio remains</w:t>
            </w:r>
            <w:r w:rsidRPr="00F45B15">
              <w:rPr>
                <w:rFonts w:asciiTheme="minorHAnsi" w:hAnsiTheme="minorHAnsi" w:cstheme="minorHAnsi"/>
                <w:sz w:val="22"/>
                <w:szCs w:val="21"/>
                <w:lang w:val="en"/>
              </w:rPr>
              <w:t>)</w:t>
            </w:r>
          </w:p>
          <w:p w:rsidR="00644E04" w:rsidRPr="00F45B15" w:rsidRDefault="00644E04" w:rsidP="00644E04">
            <w:pPr>
              <w:pStyle w:val="NormalWeb"/>
              <w:shd w:val="clear" w:color="auto" w:fill="FFFFFF"/>
              <w:spacing w:line="255" w:lineRule="atLeast"/>
              <w:rPr>
                <w:rFonts w:asciiTheme="minorHAnsi" w:hAnsiTheme="minorHAnsi" w:cstheme="minorHAnsi"/>
                <w:sz w:val="22"/>
                <w:szCs w:val="21"/>
                <w:lang w:val="en"/>
              </w:rPr>
            </w:pPr>
          </w:p>
          <w:p w:rsidR="00644E04" w:rsidRDefault="00644E04" w:rsidP="00644E04">
            <w:pPr>
              <w:pStyle w:val="NormalWeb"/>
              <w:shd w:val="clear" w:color="auto" w:fill="FFFFFF"/>
              <w:spacing w:line="255" w:lineRule="atLeast"/>
              <w:rPr>
                <w:rFonts w:asciiTheme="minorHAnsi" w:hAnsiTheme="minorHAnsi" w:cstheme="minorHAnsi"/>
                <w:sz w:val="22"/>
                <w:szCs w:val="21"/>
                <w:lang w:val="en"/>
              </w:rPr>
            </w:pPr>
            <w:r w:rsidRPr="00F45B15">
              <w:rPr>
                <w:rStyle w:val="Strong"/>
                <w:rFonts w:asciiTheme="minorHAnsi" w:hAnsiTheme="minorHAnsi" w:cstheme="minorHAnsi"/>
                <w:sz w:val="22"/>
                <w:szCs w:val="21"/>
                <w:lang w:val="en"/>
              </w:rPr>
              <w:t>Consistency of Ethical Review:</w:t>
            </w:r>
            <w:r w:rsidRPr="00F45B15">
              <w:rPr>
                <w:rFonts w:asciiTheme="minorHAnsi" w:hAnsiTheme="minorHAnsi" w:cstheme="minorHAnsi"/>
                <w:sz w:val="22"/>
                <w:szCs w:val="21"/>
                <w:lang w:val="en"/>
              </w:rPr>
              <w:t xml:space="preserve"> Nalin Thakkar (</w:t>
            </w:r>
            <w:r w:rsidR="00B74537">
              <w:rPr>
                <w:rFonts w:asciiTheme="minorHAnsi" w:hAnsiTheme="minorHAnsi" w:cstheme="minorHAnsi"/>
                <w:sz w:val="22"/>
                <w:szCs w:val="21"/>
                <w:lang w:val="en"/>
              </w:rPr>
              <w:t>HRA Director</w:t>
            </w:r>
            <w:r w:rsidRPr="00F45B15">
              <w:rPr>
                <w:rFonts w:asciiTheme="minorHAnsi" w:hAnsiTheme="minorHAnsi" w:cstheme="minorHAnsi"/>
                <w:sz w:val="22"/>
                <w:szCs w:val="21"/>
                <w:lang w:val="en"/>
              </w:rPr>
              <w:t xml:space="preserve"> lead Joan Kirkbride)</w:t>
            </w:r>
          </w:p>
          <w:p w:rsidR="00644E04" w:rsidRPr="00F45B15" w:rsidRDefault="00644E04" w:rsidP="00644E04">
            <w:pPr>
              <w:pStyle w:val="NormalWeb"/>
              <w:shd w:val="clear" w:color="auto" w:fill="FFFFFF"/>
              <w:spacing w:line="255" w:lineRule="atLeast"/>
              <w:rPr>
                <w:rFonts w:asciiTheme="minorHAnsi" w:hAnsiTheme="minorHAnsi" w:cstheme="minorHAnsi"/>
                <w:sz w:val="22"/>
                <w:szCs w:val="21"/>
                <w:lang w:val="en"/>
              </w:rPr>
            </w:pPr>
          </w:p>
          <w:p w:rsidR="00644E04" w:rsidRDefault="00644E04" w:rsidP="00644E04">
            <w:pPr>
              <w:pStyle w:val="NormalWeb"/>
              <w:shd w:val="clear" w:color="auto" w:fill="FFFFFF"/>
              <w:spacing w:line="255" w:lineRule="atLeast"/>
              <w:rPr>
                <w:rFonts w:asciiTheme="minorHAnsi" w:hAnsiTheme="minorHAnsi" w:cstheme="minorHAnsi"/>
                <w:sz w:val="22"/>
                <w:szCs w:val="21"/>
                <w:lang w:val="en"/>
              </w:rPr>
            </w:pPr>
            <w:r w:rsidRPr="00F45B15">
              <w:rPr>
                <w:rStyle w:val="Strong"/>
                <w:rFonts w:asciiTheme="minorHAnsi" w:hAnsiTheme="minorHAnsi" w:cstheme="minorHAnsi"/>
                <w:sz w:val="22"/>
                <w:szCs w:val="21"/>
                <w:lang w:val="en"/>
              </w:rPr>
              <w:t>Transparency:</w:t>
            </w:r>
            <w:r w:rsidRPr="00F45B15">
              <w:rPr>
                <w:rFonts w:asciiTheme="minorHAnsi" w:hAnsiTheme="minorHAnsi" w:cstheme="minorHAnsi"/>
                <w:sz w:val="22"/>
                <w:szCs w:val="21"/>
                <w:lang w:val="en"/>
              </w:rPr>
              <w:t xml:space="preserve"> Allison Jeynes-Ellis (</w:t>
            </w:r>
            <w:r w:rsidR="00B74537">
              <w:rPr>
                <w:rFonts w:asciiTheme="minorHAnsi" w:hAnsiTheme="minorHAnsi" w:cstheme="minorHAnsi"/>
                <w:sz w:val="22"/>
                <w:szCs w:val="21"/>
                <w:lang w:val="en"/>
              </w:rPr>
              <w:t>HRA Director</w:t>
            </w:r>
            <w:r w:rsidRPr="00F45B15">
              <w:rPr>
                <w:rFonts w:asciiTheme="minorHAnsi" w:hAnsiTheme="minorHAnsi" w:cstheme="minorHAnsi"/>
                <w:sz w:val="22"/>
                <w:szCs w:val="21"/>
                <w:lang w:val="en"/>
              </w:rPr>
              <w:t xml:space="preserve"> lead Tom Smith)</w:t>
            </w:r>
          </w:p>
          <w:p w:rsidR="00644E04" w:rsidRPr="00F45B15" w:rsidRDefault="00644E04" w:rsidP="00644E04">
            <w:pPr>
              <w:pStyle w:val="NormalWeb"/>
              <w:shd w:val="clear" w:color="auto" w:fill="FFFFFF"/>
              <w:spacing w:line="255" w:lineRule="atLeast"/>
              <w:rPr>
                <w:rFonts w:asciiTheme="minorHAnsi" w:hAnsiTheme="minorHAnsi" w:cstheme="minorHAnsi"/>
                <w:sz w:val="22"/>
                <w:szCs w:val="21"/>
                <w:lang w:val="en"/>
              </w:rPr>
            </w:pPr>
          </w:p>
          <w:p w:rsidR="00644E04" w:rsidRDefault="00644E04" w:rsidP="00644E04">
            <w:pPr>
              <w:pStyle w:val="NormalWeb"/>
              <w:shd w:val="clear" w:color="auto" w:fill="FFFFFF"/>
              <w:spacing w:line="255" w:lineRule="atLeast"/>
              <w:rPr>
                <w:rFonts w:asciiTheme="minorHAnsi" w:hAnsiTheme="minorHAnsi" w:cstheme="minorHAnsi"/>
                <w:sz w:val="22"/>
                <w:szCs w:val="21"/>
                <w:lang w:val="en"/>
              </w:rPr>
            </w:pPr>
            <w:r w:rsidRPr="00F45B15">
              <w:rPr>
                <w:rStyle w:val="Strong"/>
                <w:rFonts w:asciiTheme="minorHAnsi" w:hAnsiTheme="minorHAnsi" w:cstheme="minorHAnsi"/>
                <w:sz w:val="22"/>
                <w:szCs w:val="21"/>
                <w:lang w:val="en"/>
              </w:rPr>
              <w:t xml:space="preserve">ISO9001: </w:t>
            </w:r>
            <w:r w:rsidRPr="00F45B15">
              <w:rPr>
                <w:rFonts w:asciiTheme="minorHAnsi" w:hAnsiTheme="minorHAnsi" w:cstheme="minorHAnsi"/>
                <w:sz w:val="22"/>
                <w:szCs w:val="21"/>
                <w:lang w:val="en"/>
              </w:rPr>
              <w:t>Jonathan Montgomery (</w:t>
            </w:r>
            <w:r w:rsidR="00B74537">
              <w:rPr>
                <w:rFonts w:asciiTheme="minorHAnsi" w:hAnsiTheme="minorHAnsi" w:cstheme="minorHAnsi"/>
                <w:sz w:val="22"/>
                <w:szCs w:val="21"/>
                <w:lang w:val="en"/>
              </w:rPr>
              <w:t>HRA Director</w:t>
            </w:r>
            <w:r w:rsidRPr="00F45B15">
              <w:rPr>
                <w:rFonts w:asciiTheme="minorHAnsi" w:hAnsiTheme="minorHAnsi" w:cstheme="minorHAnsi"/>
                <w:sz w:val="22"/>
                <w:szCs w:val="21"/>
                <w:lang w:val="en"/>
              </w:rPr>
              <w:t xml:space="preserve"> lead Tom Smith</w:t>
            </w:r>
            <w:r w:rsidR="00830D74">
              <w:rPr>
                <w:rFonts w:asciiTheme="minorHAnsi" w:hAnsiTheme="minorHAnsi" w:cstheme="minorHAnsi"/>
                <w:sz w:val="22"/>
                <w:szCs w:val="21"/>
                <w:lang w:val="en"/>
              </w:rPr>
              <w:t xml:space="preserve"> – </w:t>
            </w:r>
            <w:r w:rsidR="00830D74" w:rsidRPr="00830D74">
              <w:rPr>
                <w:rFonts w:asciiTheme="minorHAnsi" w:hAnsiTheme="minorHAnsi" w:cstheme="minorHAnsi"/>
                <w:i/>
                <w:sz w:val="22"/>
                <w:szCs w:val="21"/>
                <w:lang w:val="en"/>
              </w:rPr>
              <w:t xml:space="preserve">propose change to Stephen Tebbutt if </w:t>
            </w:r>
            <w:r w:rsidR="00830D74">
              <w:rPr>
                <w:rFonts w:asciiTheme="minorHAnsi" w:hAnsiTheme="minorHAnsi" w:cstheme="minorHAnsi"/>
                <w:i/>
                <w:sz w:val="22"/>
                <w:szCs w:val="21"/>
                <w:lang w:val="en"/>
              </w:rPr>
              <w:t>portfolio remains</w:t>
            </w:r>
            <w:r w:rsidRPr="00F45B15">
              <w:rPr>
                <w:rFonts w:asciiTheme="minorHAnsi" w:hAnsiTheme="minorHAnsi" w:cstheme="minorHAnsi"/>
                <w:sz w:val="22"/>
                <w:szCs w:val="21"/>
                <w:lang w:val="en"/>
              </w:rPr>
              <w:t>)</w:t>
            </w:r>
          </w:p>
          <w:p w:rsidR="00644E04" w:rsidRPr="00F45B15" w:rsidRDefault="00644E04" w:rsidP="00644E04">
            <w:pPr>
              <w:pStyle w:val="NormalWeb"/>
              <w:shd w:val="clear" w:color="auto" w:fill="FFFFFF"/>
              <w:spacing w:line="255" w:lineRule="atLeast"/>
              <w:rPr>
                <w:rFonts w:asciiTheme="minorHAnsi" w:hAnsiTheme="minorHAnsi" w:cstheme="minorHAnsi"/>
                <w:sz w:val="22"/>
                <w:szCs w:val="21"/>
                <w:lang w:val="en"/>
              </w:rPr>
            </w:pPr>
          </w:p>
          <w:p w:rsidR="00644E04" w:rsidRDefault="00644E04" w:rsidP="00644E04">
            <w:pPr>
              <w:pStyle w:val="NormalWeb"/>
              <w:shd w:val="clear" w:color="auto" w:fill="FFFFFF"/>
              <w:spacing w:line="255" w:lineRule="atLeast"/>
              <w:rPr>
                <w:rFonts w:asciiTheme="minorHAnsi" w:hAnsiTheme="minorHAnsi" w:cstheme="minorHAnsi"/>
                <w:sz w:val="22"/>
                <w:szCs w:val="21"/>
                <w:lang w:val="en"/>
              </w:rPr>
            </w:pPr>
            <w:r w:rsidRPr="00F45B15">
              <w:rPr>
                <w:rStyle w:val="Strong"/>
                <w:rFonts w:asciiTheme="minorHAnsi" w:hAnsiTheme="minorHAnsi" w:cstheme="minorHAnsi"/>
                <w:sz w:val="22"/>
                <w:szCs w:val="21"/>
                <w:lang w:val="en"/>
              </w:rPr>
              <w:t>Programme Management Office:</w:t>
            </w:r>
            <w:r w:rsidRPr="00F45B15">
              <w:rPr>
                <w:rFonts w:asciiTheme="minorHAnsi" w:hAnsiTheme="minorHAnsi" w:cstheme="minorHAnsi"/>
                <w:sz w:val="22"/>
                <w:szCs w:val="21"/>
                <w:lang w:val="en"/>
              </w:rPr>
              <w:t xml:space="preserve"> Deirdre Kelly (</w:t>
            </w:r>
            <w:r w:rsidR="00B74537">
              <w:rPr>
                <w:rFonts w:asciiTheme="minorHAnsi" w:hAnsiTheme="minorHAnsi" w:cstheme="minorHAnsi"/>
                <w:sz w:val="22"/>
                <w:szCs w:val="21"/>
                <w:lang w:val="en"/>
              </w:rPr>
              <w:t>HRA Director</w:t>
            </w:r>
            <w:r w:rsidRPr="00F45B15">
              <w:rPr>
                <w:rFonts w:asciiTheme="minorHAnsi" w:hAnsiTheme="minorHAnsi" w:cstheme="minorHAnsi"/>
                <w:sz w:val="22"/>
                <w:szCs w:val="21"/>
                <w:lang w:val="en"/>
              </w:rPr>
              <w:t xml:space="preserve"> lead Ian Cook)</w:t>
            </w:r>
          </w:p>
          <w:p w:rsidR="00644E04" w:rsidRPr="00F45B15" w:rsidRDefault="00644E04" w:rsidP="00644E04">
            <w:pPr>
              <w:pStyle w:val="NormalWeb"/>
              <w:shd w:val="clear" w:color="auto" w:fill="FFFFFF"/>
              <w:spacing w:line="255" w:lineRule="atLeast"/>
              <w:rPr>
                <w:rFonts w:asciiTheme="minorHAnsi" w:hAnsiTheme="minorHAnsi" w:cstheme="minorHAnsi"/>
                <w:sz w:val="22"/>
                <w:szCs w:val="21"/>
                <w:lang w:val="en"/>
              </w:rPr>
            </w:pPr>
          </w:p>
          <w:p w:rsidR="00644E04" w:rsidRDefault="00644E04" w:rsidP="00644E04">
            <w:pPr>
              <w:pStyle w:val="NormalWeb"/>
              <w:shd w:val="clear" w:color="auto" w:fill="FFFFFF"/>
              <w:spacing w:line="255" w:lineRule="atLeast"/>
              <w:rPr>
                <w:rFonts w:asciiTheme="minorHAnsi" w:hAnsiTheme="minorHAnsi" w:cstheme="minorHAnsi"/>
                <w:sz w:val="22"/>
                <w:szCs w:val="21"/>
                <w:lang w:val="en"/>
              </w:rPr>
            </w:pPr>
            <w:r w:rsidRPr="00F45B15">
              <w:rPr>
                <w:rStyle w:val="Strong"/>
                <w:rFonts w:asciiTheme="minorHAnsi" w:hAnsiTheme="minorHAnsi" w:cstheme="minorHAnsi"/>
                <w:sz w:val="22"/>
                <w:szCs w:val="21"/>
                <w:lang w:val="en"/>
              </w:rPr>
              <w:t>Public and Patient Involvement:</w:t>
            </w:r>
            <w:r w:rsidRPr="00F45B15">
              <w:rPr>
                <w:rFonts w:asciiTheme="minorHAnsi" w:hAnsiTheme="minorHAnsi" w:cstheme="minorHAnsi"/>
                <w:sz w:val="22"/>
                <w:szCs w:val="21"/>
                <w:lang w:val="en"/>
              </w:rPr>
              <w:t xml:space="preserve"> Deirdre Kelly (</w:t>
            </w:r>
            <w:r w:rsidR="00B74537">
              <w:rPr>
                <w:rFonts w:asciiTheme="minorHAnsi" w:hAnsiTheme="minorHAnsi" w:cstheme="minorHAnsi"/>
                <w:sz w:val="22"/>
                <w:szCs w:val="21"/>
                <w:lang w:val="en"/>
              </w:rPr>
              <w:t>HRA Director</w:t>
            </w:r>
            <w:r w:rsidR="00B74537" w:rsidRPr="00F45B15">
              <w:rPr>
                <w:rFonts w:asciiTheme="minorHAnsi" w:hAnsiTheme="minorHAnsi" w:cstheme="minorHAnsi"/>
                <w:sz w:val="22"/>
                <w:szCs w:val="21"/>
                <w:lang w:val="en"/>
              </w:rPr>
              <w:t xml:space="preserve"> </w:t>
            </w:r>
            <w:r w:rsidRPr="00F45B15">
              <w:rPr>
                <w:rFonts w:asciiTheme="minorHAnsi" w:hAnsiTheme="minorHAnsi" w:cstheme="minorHAnsi"/>
                <w:sz w:val="22"/>
                <w:szCs w:val="21"/>
                <w:lang w:val="en"/>
              </w:rPr>
              <w:t>lead Ian Cook)</w:t>
            </w:r>
          </w:p>
          <w:p w:rsidR="00644E04" w:rsidRPr="00F45B15" w:rsidRDefault="00644E04" w:rsidP="00644E04">
            <w:pPr>
              <w:pStyle w:val="NormalWeb"/>
              <w:shd w:val="clear" w:color="auto" w:fill="FFFFFF"/>
              <w:spacing w:line="255" w:lineRule="atLeast"/>
              <w:rPr>
                <w:rFonts w:asciiTheme="minorHAnsi" w:hAnsiTheme="minorHAnsi" w:cstheme="minorHAnsi"/>
                <w:sz w:val="22"/>
                <w:szCs w:val="21"/>
                <w:lang w:val="en"/>
              </w:rPr>
            </w:pPr>
          </w:p>
          <w:p w:rsidR="00644E04" w:rsidRPr="00F45B15" w:rsidRDefault="00644E04" w:rsidP="00644E04">
            <w:pPr>
              <w:pStyle w:val="NormalWeb"/>
              <w:shd w:val="clear" w:color="auto" w:fill="FFFFFF"/>
              <w:spacing w:line="255" w:lineRule="atLeast"/>
              <w:rPr>
                <w:rFonts w:asciiTheme="minorHAnsi" w:hAnsiTheme="minorHAnsi" w:cstheme="minorHAnsi"/>
                <w:sz w:val="22"/>
                <w:szCs w:val="21"/>
                <w:lang w:val="en"/>
              </w:rPr>
            </w:pPr>
            <w:r w:rsidRPr="00F45B15">
              <w:rPr>
                <w:rStyle w:val="Strong"/>
                <w:rFonts w:asciiTheme="minorHAnsi" w:hAnsiTheme="minorHAnsi" w:cstheme="minorHAnsi"/>
                <w:sz w:val="22"/>
                <w:szCs w:val="21"/>
                <w:lang w:val="en"/>
              </w:rPr>
              <w:t>Advice and Guidance:</w:t>
            </w:r>
            <w:r w:rsidRPr="00F45B15">
              <w:rPr>
                <w:rFonts w:asciiTheme="minorHAnsi" w:hAnsiTheme="minorHAnsi" w:cstheme="minorHAnsi"/>
                <w:sz w:val="22"/>
                <w:szCs w:val="21"/>
                <w:lang w:val="en"/>
              </w:rPr>
              <w:t xml:space="preserve"> Nalin Thakkar (</w:t>
            </w:r>
            <w:r w:rsidR="00B74537">
              <w:rPr>
                <w:rFonts w:asciiTheme="minorHAnsi" w:hAnsiTheme="minorHAnsi" w:cstheme="minorHAnsi"/>
                <w:sz w:val="22"/>
                <w:szCs w:val="21"/>
                <w:lang w:val="en"/>
              </w:rPr>
              <w:t>HRA Director</w:t>
            </w:r>
            <w:r w:rsidRPr="00F45B15">
              <w:rPr>
                <w:rFonts w:asciiTheme="minorHAnsi" w:hAnsiTheme="minorHAnsi" w:cstheme="minorHAnsi"/>
                <w:sz w:val="22"/>
                <w:szCs w:val="21"/>
                <w:lang w:val="en"/>
              </w:rPr>
              <w:t xml:space="preserve"> lead Janet Messer)</w:t>
            </w:r>
          </w:p>
          <w:p w:rsidR="00644E04" w:rsidRDefault="00644E04" w:rsidP="00B74537">
            <w:pPr>
              <w:rPr>
                <w:rFonts w:asciiTheme="minorHAnsi" w:hAnsiTheme="minorHAnsi" w:cstheme="minorHAnsi"/>
              </w:rPr>
            </w:pPr>
          </w:p>
          <w:p w:rsidR="00295872" w:rsidRDefault="00295872" w:rsidP="00B74537">
            <w:pPr>
              <w:rPr>
                <w:rFonts w:asciiTheme="minorHAnsi" w:hAnsiTheme="minorHAnsi" w:cstheme="minorHAnsi"/>
              </w:rPr>
            </w:pPr>
            <w:r>
              <w:rPr>
                <w:rFonts w:asciiTheme="minorHAnsi" w:hAnsiTheme="minorHAnsi" w:cstheme="minorHAnsi"/>
              </w:rPr>
              <w:t>In addition to the portfolios the NEDs will also be picking up the following areas of interest:</w:t>
            </w:r>
          </w:p>
          <w:p w:rsidR="00295872" w:rsidRDefault="00295872" w:rsidP="00295872">
            <w:pPr>
              <w:pStyle w:val="ListParagraph"/>
              <w:numPr>
                <w:ilvl w:val="0"/>
                <w:numId w:val="45"/>
              </w:numPr>
              <w:rPr>
                <w:rFonts w:asciiTheme="minorHAnsi" w:hAnsiTheme="minorHAnsi" w:cstheme="minorHAnsi"/>
              </w:rPr>
            </w:pPr>
            <w:r>
              <w:rPr>
                <w:rFonts w:asciiTheme="minorHAnsi" w:hAnsiTheme="minorHAnsi" w:cstheme="minorHAnsi"/>
              </w:rPr>
              <w:t>GC - Supporting Board on increasing focus on risk</w:t>
            </w:r>
          </w:p>
          <w:p w:rsidR="00295872" w:rsidRPr="00295872" w:rsidRDefault="00295872" w:rsidP="00295872">
            <w:pPr>
              <w:pStyle w:val="ListParagraph"/>
              <w:numPr>
                <w:ilvl w:val="0"/>
                <w:numId w:val="45"/>
              </w:numPr>
              <w:rPr>
                <w:rFonts w:asciiTheme="minorHAnsi" w:hAnsiTheme="minorHAnsi" w:cstheme="minorHAnsi"/>
              </w:rPr>
            </w:pPr>
            <w:r>
              <w:rPr>
                <w:rFonts w:asciiTheme="minorHAnsi" w:hAnsiTheme="minorHAnsi" w:cstheme="minorHAnsi"/>
              </w:rPr>
              <w:t>AJE – Supporting JMo on Board development</w:t>
            </w:r>
          </w:p>
          <w:p w:rsidR="00295872" w:rsidRDefault="00295872" w:rsidP="00295872">
            <w:pPr>
              <w:pStyle w:val="ListParagraph"/>
              <w:numPr>
                <w:ilvl w:val="0"/>
                <w:numId w:val="45"/>
              </w:numPr>
              <w:rPr>
                <w:rFonts w:asciiTheme="minorHAnsi" w:hAnsiTheme="minorHAnsi" w:cstheme="minorHAnsi"/>
              </w:rPr>
            </w:pPr>
            <w:r>
              <w:rPr>
                <w:rFonts w:asciiTheme="minorHAnsi" w:hAnsiTheme="minorHAnsi" w:cstheme="minorHAnsi"/>
              </w:rPr>
              <w:t>DK – Raising Concerns policy – Freedom To Speak Up Guardian</w:t>
            </w:r>
          </w:p>
          <w:p w:rsidR="00295872" w:rsidRPr="00295872" w:rsidRDefault="00295872" w:rsidP="00295872">
            <w:pPr>
              <w:pStyle w:val="ListParagraph"/>
              <w:numPr>
                <w:ilvl w:val="0"/>
                <w:numId w:val="45"/>
              </w:numPr>
              <w:rPr>
                <w:rFonts w:asciiTheme="minorHAnsi" w:hAnsiTheme="minorHAnsi" w:cstheme="minorHAnsi"/>
              </w:rPr>
            </w:pPr>
            <w:r>
              <w:rPr>
                <w:rFonts w:asciiTheme="minorHAnsi" w:hAnsiTheme="minorHAnsi" w:cstheme="minorHAnsi"/>
              </w:rPr>
              <w:t>NT – Consideration of Higher Education experiences of research and gathering feedback</w:t>
            </w:r>
          </w:p>
          <w:p w:rsidR="00295872" w:rsidRPr="00644E04" w:rsidRDefault="00295872" w:rsidP="00B74537">
            <w:pPr>
              <w:rPr>
                <w:rFonts w:asciiTheme="minorHAnsi" w:hAnsiTheme="minorHAnsi" w:cstheme="minorHAnsi"/>
              </w:rPr>
            </w:pPr>
          </w:p>
        </w:tc>
      </w:tr>
      <w:tr w:rsidR="00352595" w:rsidRPr="00C90060" w:rsidTr="009E18CA">
        <w:tc>
          <w:tcPr>
            <w:tcW w:w="3085" w:type="dxa"/>
          </w:tcPr>
          <w:p w:rsidR="00352595" w:rsidRDefault="00352595" w:rsidP="00352595">
            <w:pPr>
              <w:rPr>
                <w:rFonts w:asciiTheme="minorHAnsi" w:hAnsiTheme="minorHAnsi" w:cstheme="minorHAnsi"/>
                <w:b/>
              </w:rPr>
            </w:pPr>
            <w:r>
              <w:rPr>
                <w:rFonts w:asciiTheme="minorHAnsi" w:hAnsiTheme="minorHAnsi" w:cstheme="minorHAnsi"/>
                <w:b/>
              </w:rPr>
              <w:lastRenderedPageBreak/>
              <w:t>Lead reviewer (if applicable):</w:t>
            </w:r>
          </w:p>
          <w:p w:rsidR="00352595" w:rsidRDefault="00352595" w:rsidP="009E18CA">
            <w:pPr>
              <w:rPr>
                <w:rFonts w:asciiTheme="minorHAnsi" w:hAnsiTheme="minorHAnsi" w:cstheme="minorHAnsi"/>
                <w:b/>
              </w:rPr>
            </w:pPr>
          </w:p>
        </w:tc>
        <w:tc>
          <w:tcPr>
            <w:tcW w:w="5954" w:type="dxa"/>
          </w:tcPr>
          <w:p w:rsidR="00352595" w:rsidRPr="003624CC" w:rsidRDefault="00644E04" w:rsidP="003624CC">
            <w:pPr>
              <w:rPr>
                <w:rFonts w:asciiTheme="minorHAnsi" w:hAnsiTheme="minorHAnsi" w:cstheme="minorHAnsi"/>
                <w:i/>
              </w:rPr>
            </w:pPr>
            <w:r>
              <w:rPr>
                <w:rFonts w:asciiTheme="minorHAnsi" w:hAnsiTheme="minorHAnsi" w:cstheme="minorHAnsi"/>
                <w:i/>
              </w:rPr>
              <w:t>N/A</w:t>
            </w:r>
          </w:p>
        </w:tc>
      </w:tr>
      <w:tr w:rsidR="0000688A" w:rsidRPr="00C90060" w:rsidTr="009E18CA">
        <w:tc>
          <w:tcPr>
            <w:tcW w:w="3085" w:type="dxa"/>
          </w:tcPr>
          <w:p w:rsidR="00C90060" w:rsidRDefault="0000688A" w:rsidP="00C90060">
            <w:pPr>
              <w:rPr>
                <w:rFonts w:asciiTheme="minorHAnsi" w:hAnsiTheme="minorHAnsi" w:cstheme="minorHAnsi"/>
                <w:b/>
              </w:rPr>
            </w:pPr>
            <w:r w:rsidRPr="00C90060">
              <w:rPr>
                <w:rFonts w:asciiTheme="minorHAnsi" w:hAnsiTheme="minorHAnsi" w:cstheme="minorHAnsi"/>
                <w:b/>
              </w:rPr>
              <w:t>Suitable for wider circulation?</w:t>
            </w:r>
          </w:p>
          <w:p w:rsidR="00C90060" w:rsidRPr="00C90060" w:rsidRDefault="00C90060" w:rsidP="00C90060">
            <w:pPr>
              <w:rPr>
                <w:rFonts w:asciiTheme="minorHAnsi" w:hAnsiTheme="minorHAnsi" w:cstheme="minorHAnsi"/>
                <w:b/>
              </w:rPr>
            </w:pPr>
          </w:p>
        </w:tc>
        <w:tc>
          <w:tcPr>
            <w:tcW w:w="5954" w:type="dxa"/>
          </w:tcPr>
          <w:p w:rsidR="00F51E3D" w:rsidRPr="00644E04" w:rsidRDefault="00644E04" w:rsidP="003624CC">
            <w:pPr>
              <w:rPr>
                <w:rFonts w:asciiTheme="minorHAnsi" w:hAnsiTheme="minorHAnsi" w:cstheme="minorHAnsi"/>
              </w:rPr>
            </w:pPr>
            <w:r w:rsidRPr="00644E04">
              <w:rPr>
                <w:rFonts w:asciiTheme="minorHAnsi" w:hAnsiTheme="minorHAnsi" w:cstheme="minorHAnsi"/>
              </w:rPr>
              <w:t>Yes</w:t>
            </w:r>
          </w:p>
        </w:tc>
      </w:tr>
      <w:tr w:rsidR="00C90060" w:rsidRPr="00C90060" w:rsidTr="009E18CA">
        <w:tc>
          <w:tcPr>
            <w:tcW w:w="3085" w:type="dxa"/>
          </w:tcPr>
          <w:p w:rsidR="00C90060" w:rsidRPr="00C90060" w:rsidRDefault="00C90060" w:rsidP="009E18CA">
            <w:pPr>
              <w:rPr>
                <w:rFonts w:asciiTheme="minorHAnsi" w:hAnsiTheme="minorHAnsi" w:cstheme="minorHAnsi"/>
                <w:b/>
              </w:rPr>
            </w:pPr>
            <w:r>
              <w:rPr>
                <w:rFonts w:asciiTheme="minorHAnsi" w:hAnsiTheme="minorHAnsi" w:cstheme="minorHAnsi"/>
                <w:b/>
              </w:rPr>
              <w:t>Time required for item:</w:t>
            </w:r>
          </w:p>
        </w:tc>
        <w:tc>
          <w:tcPr>
            <w:tcW w:w="5954" w:type="dxa"/>
          </w:tcPr>
          <w:p w:rsidR="009E18CA" w:rsidRPr="00644E04" w:rsidRDefault="00644E04" w:rsidP="003624CC">
            <w:pPr>
              <w:rPr>
                <w:rFonts w:asciiTheme="minorHAnsi" w:hAnsiTheme="minorHAnsi" w:cstheme="minorHAnsi"/>
              </w:rPr>
            </w:pPr>
            <w:r w:rsidRPr="00644E04">
              <w:rPr>
                <w:rFonts w:asciiTheme="minorHAnsi" w:hAnsiTheme="minorHAnsi" w:cstheme="minorHAnsi"/>
              </w:rPr>
              <w:t>5 mins</w:t>
            </w:r>
          </w:p>
          <w:p w:rsidR="003624CC" w:rsidRPr="00644E04" w:rsidRDefault="003624CC" w:rsidP="003624CC">
            <w:pPr>
              <w:rPr>
                <w:rFonts w:asciiTheme="minorHAnsi" w:hAnsiTheme="minorHAnsi" w:cstheme="minorHAnsi"/>
              </w:rPr>
            </w:pPr>
          </w:p>
        </w:tc>
      </w:tr>
    </w:tbl>
    <w:p w:rsidR="00E93D47" w:rsidRPr="00C90060" w:rsidRDefault="00E93D47" w:rsidP="00E93D47">
      <w:pPr>
        <w:spacing w:after="0"/>
        <w:rPr>
          <w:rFonts w:asciiTheme="minorHAnsi" w:hAnsiTheme="minorHAnsi" w:cstheme="minorHAnsi"/>
          <w:b/>
        </w:rPr>
      </w:pPr>
    </w:p>
    <w:tbl>
      <w:tblPr>
        <w:tblStyle w:val="TableGrid"/>
        <w:tblW w:w="0" w:type="auto"/>
        <w:shd w:val="clear" w:color="auto" w:fill="D9D9D9" w:themeFill="background1" w:themeFillShade="D9"/>
        <w:tblLook w:val="04A0" w:firstRow="1" w:lastRow="0" w:firstColumn="1" w:lastColumn="0" w:noHBand="0" w:noVBand="1"/>
      </w:tblPr>
      <w:tblGrid>
        <w:gridCol w:w="3085"/>
        <w:gridCol w:w="1202"/>
        <w:gridCol w:w="3690"/>
        <w:gridCol w:w="1062"/>
      </w:tblGrid>
      <w:tr w:rsidR="00E93D47" w:rsidRPr="00C90060" w:rsidTr="009E18CA">
        <w:tc>
          <w:tcPr>
            <w:tcW w:w="3085" w:type="dxa"/>
            <w:vMerge w:val="restart"/>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Recommendation / Proposed Actions:</w:t>
            </w:r>
          </w:p>
          <w:p w:rsidR="00E93D47" w:rsidRPr="00C90060" w:rsidRDefault="00E93D47" w:rsidP="00BD0800">
            <w:pPr>
              <w:rPr>
                <w:rFonts w:asciiTheme="minorHAnsi" w:hAnsiTheme="minorHAnsi" w:cstheme="minorHAnsi"/>
                <w:b/>
              </w:rPr>
            </w:pPr>
          </w:p>
        </w:tc>
        <w:tc>
          <w:tcPr>
            <w:tcW w:w="4892" w:type="dxa"/>
            <w:gridSpan w:val="2"/>
            <w:shd w:val="clear" w:color="auto" w:fill="D9D9D9" w:themeFill="background1" w:themeFillShade="D9"/>
          </w:tcPr>
          <w:p w:rsidR="00E93D47" w:rsidRPr="00C90060" w:rsidRDefault="00352595" w:rsidP="00BD0800">
            <w:pPr>
              <w:rPr>
                <w:rFonts w:asciiTheme="minorHAnsi" w:hAnsiTheme="minorHAnsi" w:cstheme="minorHAnsi"/>
                <w:b/>
              </w:rPr>
            </w:pPr>
            <w:r>
              <w:rPr>
                <w:rFonts w:asciiTheme="minorHAnsi" w:hAnsiTheme="minorHAnsi" w:cstheme="minorHAnsi"/>
                <w:b/>
              </w:rPr>
              <w:t>To a</w:t>
            </w:r>
            <w:r w:rsidR="00E93D47" w:rsidRPr="00C90060">
              <w:rPr>
                <w:rFonts w:asciiTheme="minorHAnsi" w:hAnsiTheme="minorHAnsi" w:cstheme="minorHAnsi"/>
                <w:b/>
              </w:rPr>
              <w:t>pprove</w:t>
            </w:r>
          </w:p>
        </w:tc>
        <w:tc>
          <w:tcPr>
            <w:tcW w:w="1062" w:type="dxa"/>
            <w:shd w:val="clear" w:color="auto" w:fill="auto"/>
          </w:tcPr>
          <w:p w:rsidR="00E93D47" w:rsidRPr="00C90060" w:rsidRDefault="00644E04" w:rsidP="00BD0800">
            <w:pPr>
              <w:rPr>
                <w:rFonts w:asciiTheme="minorHAnsi" w:hAnsiTheme="minorHAnsi" w:cstheme="minorHAnsi"/>
                <w:b/>
              </w:rPr>
            </w:pPr>
            <w:r>
              <w:rPr>
                <w:rFonts w:asciiTheme="minorHAnsi" w:hAnsiTheme="minorHAnsi" w:cstheme="minorHAnsi"/>
                <w:b/>
              </w:rPr>
              <w:t>x</w:t>
            </w:r>
          </w:p>
        </w:tc>
      </w:tr>
      <w:tr w:rsidR="00E93D47" w:rsidRPr="00C90060" w:rsidTr="009E18CA">
        <w:tc>
          <w:tcPr>
            <w:tcW w:w="3085" w:type="dxa"/>
            <w:vMerge/>
            <w:shd w:val="clear" w:color="auto" w:fill="D9D9D9" w:themeFill="background1" w:themeFillShade="D9"/>
          </w:tcPr>
          <w:p w:rsidR="00E93D47" w:rsidRPr="00C90060" w:rsidRDefault="00E93D47" w:rsidP="00BD0800">
            <w:pPr>
              <w:rPr>
                <w:rFonts w:asciiTheme="minorHAnsi" w:hAnsiTheme="minorHAnsi" w:cstheme="minorHAnsi"/>
                <w:b/>
              </w:rPr>
            </w:pPr>
          </w:p>
        </w:tc>
        <w:tc>
          <w:tcPr>
            <w:tcW w:w="4892" w:type="dxa"/>
            <w:gridSpan w:val="2"/>
            <w:shd w:val="clear" w:color="auto" w:fill="D9D9D9" w:themeFill="background1" w:themeFillShade="D9"/>
          </w:tcPr>
          <w:p w:rsidR="00E93D47" w:rsidRPr="00C90060" w:rsidRDefault="00352595" w:rsidP="00352595">
            <w:pPr>
              <w:rPr>
                <w:rFonts w:asciiTheme="minorHAnsi" w:hAnsiTheme="minorHAnsi" w:cstheme="minorHAnsi"/>
                <w:b/>
              </w:rPr>
            </w:pPr>
            <w:r>
              <w:rPr>
                <w:rFonts w:asciiTheme="minorHAnsi" w:hAnsiTheme="minorHAnsi" w:cstheme="minorHAnsi"/>
                <w:b/>
              </w:rPr>
              <w:t>For information / t</w:t>
            </w:r>
            <w:r w:rsidR="00E93D47" w:rsidRPr="00C90060">
              <w:rPr>
                <w:rFonts w:asciiTheme="minorHAnsi" w:hAnsiTheme="minorHAnsi" w:cstheme="minorHAnsi"/>
                <w:b/>
              </w:rPr>
              <w:t xml:space="preserve">o </w:t>
            </w:r>
            <w:r>
              <w:rPr>
                <w:rFonts w:asciiTheme="minorHAnsi" w:hAnsiTheme="minorHAnsi" w:cstheme="minorHAnsi"/>
                <w:b/>
              </w:rPr>
              <w:t>n</w:t>
            </w:r>
            <w:r w:rsidR="00E93D47" w:rsidRPr="00C90060">
              <w:rPr>
                <w:rFonts w:asciiTheme="minorHAnsi" w:hAnsiTheme="minorHAnsi" w:cstheme="minorHAnsi"/>
                <w:b/>
              </w:rPr>
              <w:t>ote</w:t>
            </w:r>
          </w:p>
        </w:tc>
        <w:tc>
          <w:tcPr>
            <w:tcW w:w="1062" w:type="dxa"/>
            <w:shd w:val="clear" w:color="auto" w:fill="auto"/>
          </w:tcPr>
          <w:p w:rsidR="00E93D47" w:rsidRPr="00C90060" w:rsidRDefault="00E93D47" w:rsidP="00BD0800">
            <w:pPr>
              <w:rPr>
                <w:rFonts w:asciiTheme="minorHAnsi" w:hAnsiTheme="minorHAnsi" w:cstheme="minorHAnsi"/>
                <w:b/>
              </w:rPr>
            </w:pPr>
          </w:p>
        </w:tc>
      </w:tr>
      <w:tr w:rsidR="008B043D" w:rsidRPr="00C90060" w:rsidTr="009E18CA">
        <w:tc>
          <w:tcPr>
            <w:tcW w:w="3085" w:type="dxa"/>
            <w:vMerge/>
            <w:shd w:val="clear" w:color="auto" w:fill="D9D9D9" w:themeFill="background1" w:themeFillShade="D9"/>
          </w:tcPr>
          <w:p w:rsidR="008B043D" w:rsidRPr="00C90060" w:rsidRDefault="008B043D" w:rsidP="00BD0800">
            <w:pPr>
              <w:rPr>
                <w:rFonts w:asciiTheme="minorHAnsi" w:hAnsiTheme="minorHAnsi" w:cstheme="minorHAnsi"/>
                <w:b/>
              </w:rPr>
            </w:pPr>
          </w:p>
        </w:tc>
        <w:tc>
          <w:tcPr>
            <w:tcW w:w="4892" w:type="dxa"/>
            <w:gridSpan w:val="2"/>
            <w:shd w:val="clear" w:color="auto" w:fill="D9D9D9" w:themeFill="background1" w:themeFillShade="D9"/>
          </w:tcPr>
          <w:p w:rsidR="008B043D" w:rsidRPr="00C90060" w:rsidRDefault="00352595" w:rsidP="00BD0800">
            <w:pPr>
              <w:rPr>
                <w:rFonts w:asciiTheme="minorHAnsi" w:hAnsiTheme="minorHAnsi" w:cstheme="minorHAnsi"/>
                <w:b/>
              </w:rPr>
            </w:pPr>
            <w:r>
              <w:rPr>
                <w:rFonts w:asciiTheme="minorHAnsi" w:hAnsiTheme="minorHAnsi" w:cstheme="minorHAnsi"/>
                <w:b/>
              </w:rPr>
              <w:t>For d</w:t>
            </w:r>
            <w:r w:rsidR="008B043D" w:rsidRPr="00C90060">
              <w:rPr>
                <w:rFonts w:asciiTheme="minorHAnsi" w:hAnsiTheme="minorHAnsi" w:cstheme="minorHAnsi"/>
                <w:b/>
              </w:rPr>
              <w:t>iscussion</w:t>
            </w:r>
          </w:p>
        </w:tc>
        <w:tc>
          <w:tcPr>
            <w:tcW w:w="1062" w:type="dxa"/>
            <w:shd w:val="clear" w:color="auto" w:fill="auto"/>
          </w:tcPr>
          <w:p w:rsidR="008B043D" w:rsidRPr="00C90060" w:rsidRDefault="008B043D" w:rsidP="00BD0800">
            <w:pPr>
              <w:rPr>
                <w:rFonts w:asciiTheme="minorHAnsi" w:hAnsiTheme="minorHAnsi" w:cstheme="minorHAnsi"/>
                <w:b/>
              </w:rPr>
            </w:pPr>
          </w:p>
        </w:tc>
      </w:tr>
      <w:tr w:rsidR="00E93D47" w:rsidRPr="00C90060" w:rsidTr="009E18CA">
        <w:tc>
          <w:tcPr>
            <w:tcW w:w="3085" w:type="dxa"/>
            <w:vMerge/>
            <w:shd w:val="clear" w:color="auto" w:fill="D9D9D9" w:themeFill="background1" w:themeFillShade="D9"/>
          </w:tcPr>
          <w:p w:rsidR="00E93D47" w:rsidRPr="00C90060" w:rsidRDefault="00E93D47" w:rsidP="00BD0800">
            <w:pPr>
              <w:rPr>
                <w:rFonts w:asciiTheme="minorHAnsi" w:hAnsiTheme="minorHAnsi" w:cstheme="minorHAnsi"/>
                <w:b/>
              </w:rPr>
            </w:pPr>
          </w:p>
        </w:tc>
        <w:tc>
          <w:tcPr>
            <w:tcW w:w="1202" w:type="dxa"/>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Comments</w:t>
            </w:r>
          </w:p>
        </w:tc>
        <w:tc>
          <w:tcPr>
            <w:tcW w:w="4752" w:type="dxa"/>
            <w:gridSpan w:val="2"/>
            <w:shd w:val="clear" w:color="auto" w:fill="auto"/>
          </w:tcPr>
          <w:p w:rsidR="00E93D47" w:rsidRPr="00C90060" w:rsidRDefault="00E93D47" w:rsidP="00BD0800">
            <w:pPr>
              <w:rPr>
                <w:rFonts w:asciiTheme="minorHAnsi" w:hAnsiTheme="minorHAnsi" w:cstheme="minorHAnsi"/>
                <w:b/>
              </w:rPr>
            </w:pPr>
          </w:p>
          <w:p w:rsidR="00E93D47" w:rsidRPr="00C90060" w:rsidRDefault="00E93D47" w:rsidP="00BD0800">
            <w:pPr>
              <w:rPr>
                <w:rFonts w:asciiTheme="minorHAnsi" w:hAnsiTheme="minorHAnsi" w:cstheme="minorHAnsi"/>
                <w:b/>
              </w:rPr>
            </w:pPr>
          </w:p>
          <w:p w:rsidR="00E93D47" w:rsidRPr="00C90060" w:rsidRDefault="00E93D47" w:rsidP="00BD0800">
            <w:pPr>
              <w:rPr>
                <w:rFonts w:asciiTheme="minorHAnsi" w:hAnsiTheme="minorHAnsi" w:cstheme="minorHAnsi"/>
                <w:b/>
              </w:rPr>
            </w:pPr>
          </w:p>
        </w:tc>
      </w:tr>
    </w:tbl>
    <w:p w:rsidR="00E93D47" w:rsidRPr="00C90060" w:rsidRDefault="00E93D47" w:rsidP="00E93D47">
      <w:pPr>
        <w:tabs>
          <w:tab w:val="left" w:pos="1980"/>
        </w:tabs>
        <w:spacing w:after="0" w:line="240" w:lineRule="auto"/>
        <w:rPr>
          <w:rFonts w:asciiTheme="minorHAnsi" w:hAnsiTheme="minorHAnsi" w:cstheme="minorHAnsi"/>
          <w:b/>
        </w:rPr>
      </w:pPr>
    </w:p>
    <w:tbl>
      <w:tblPr>
        <w:tblStyle w:val="TableGrid"/>
        <w:tblW w:w="0" w:type="auto"/>
        <w:tblLook w:val="04A0" w:firstRow="1" w:lastRow="0" w:firstColumn="1" w:lastColumn="0" w:noHBand="0" w:noVBand="1"/>
      </w:tblPr>
      <w:tblGrid>
        <w:gridCol w:w="2628"/>
        <w:gridCol w:w="6411"/>
      </w:tblGrid>
      <w:tr w:rsidR="00151DBF" w:rsidRPr="00C90060" w:rsidTr="009E18CA">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Name:</w:t>
            </w:r>
          </w:p>
          <w:p w:rsidR="00151DBF" w:rsidRPr="00C90060" w:rsidRDefault="00151DBF" w:rsidP="00AE2C5E">
            <w:pPr>
              <w:rPr>
                <w:rFonts w:asciiTheme="minorHAnsi" w:hAnsiTheme="minorHAnsi" w:cstheme="minorHAnsi"/>
                <w:b/>
              </w:rPr>
            </w:pPr>
          </w:p>
        </w:tc>
        <w:tc>
          <w:tcPr>
            <w:tcW w:w="6411" w:type="dxa"/>
          </w:tcPr>
          <w:p w:rsidR="00151DBF" w:rsidRPr="00C90060" w:rsidRDefault="00644E04" w:rsidP="00AE2C5E">
            <w:pPr>
              <w:rPr>
                <w:rFonts w:asciiTheme="minorHAnsi" w:hAnsiTheme="minorHAnsi" w:cstheme="minorHAnsi"/>
              </w:rPr>
            </w:pPr>
            <w:r>
              <w:rPr>
                <w:rFonts w:asciiTheme="minorHAnsi" w:hAnsiTheme="minorHAnsi" w:cstheme="minorHAnsi"/>
              </w:rPr>
              <w:t>Stephen Tebbutt</w:t>
            </w:r>
          </w:p>
          <w:p w:rsidR="00151DBF" w:rsidRPr="00C90060" w:rsidRDefault="00151DBF" w:rsidP="00AE2C5E">
            <w:pPr>
              <w:rPr>
                <w:rFonts w:asciiTheme="minorHAnsi" w:hAnsiTheme="minorHAnsi" w:cstheme="minorHAnsi"/>
              </w:rPr>
            </w:pPr>
          </w:p>
        </w:tc>
      </w:tr>
      <w:tr w:rsidR="00151DBF" w:rsidRPr="00C90060" w:rsidTr="009E18CA">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Job Title:</w:t>
            </w:r>
          </w:p>
          <w:p w:rsidR="00151DBF" w:rsidRPr="00C90060" w:rsidRDefault="00151DBF" w:rsidP="00AE2C5E">
            <w:pPr>
              <w:rPr>
                <w:rFonts w:asciiTheme="minorHAnsi" w:hAnsiTheme="minorHAnsi" w:cstheme="minorHAnsi"/>
                <w:b/>
              </w:rPr>
            </w:pPr>
          </w:p>
        </w:tc>
        <w:tc>
          <w:tcPr>
            <w:tcW w:w="6411" w:type="dxa"/>
          </w:tcPr>
          <w:p w:rsidR="00151DBF" w:rsidRPr="00C90060" w:rsidRDefault="00644E04" w:rsidP="00AE2C5E">
            <w:pPr>
              <w:rPr>
                <w:rFonts w:asciiTheme="minorHAnsi" w:hAnsiTheme="minorHAnsi" w:cstheme="minorHAnsi"/>
              </w:rPr>
            </w:pPr>
            <w:r>
              <w:rPr>
                <w:rFonts w:asciiTheme="minorHAnsi" w:hAnsiTheme="minorHAnsi" w:cstheme="minorHAnsi"/>
              </w:rPr>
              <w:t>Head of Corporate Governance</w:t>
            </w:r>
          </w:p>
          <w:p w:rsidR="00151DBF" w:rsidRPr="00C90060" w:rsidRDefault="00151DBF" w:rsidP="00AE2C5E">
            <w:pPr>
              <w:rPr>
                <w:rFonts w:asciiTheme="minorHAnsi" w:hAnsiTheme="minorHAnsi" w:cstheme="minorHAnsi"/>
              </w:rPr>
            </w:pPr>
          </w:p>
        </w:tc>
      </w:tr>
      <w:tr w:rsidR="00151DBF" w:rsidRPr="00C90060" w:rsidTr="009E18CA">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Date:</w:t>
            </w:r>
          </w:p>
          <w:p w:rsidR="00151DBF" w:rsidRPr="00C90060" w:rsidRDefault="00151DBF" w:rsidP="00AE2C5E">
            <w:pPr>
              <w:rPr>
                <w:rFonts w:asciiTheme="minorHAnsi" w:hAnsiTheme="minorHAnsi" w:cstheme="minorHAnsi"/>
                <w:b/>
              </w:rPr>
            </w:pPr>
          </w:p>
        </w:tc>
        <w:tc>
          <w:tcPr>
            <w:tcW w:w="6411" w:type="dxa"/>
          </w:tcPr>
          <w:p w:rsidR="00151DBF" w:rsidRPr="00C90060" w:rsidRDefault="00644E04" w:rsidP="00AE2C5E">
            <w:pPr>
              <w:rPr>
                <w:rFonts w:asciiTheme="minorHAnsi" w:hAnsiTheme="minorHAnsi" w:cstheme="minorHAnsi"/>
              </w:rPr>
            </w:pPr>
            <w:r>
              <w:rPr>
                <w:rFonts w:asciiTheme="minorHAnsi" w:hAnsiTheme="minorHAnsi" w:cstheme="minorHAnsi"/>
              </w:rPr>
              <w:t>25/08/2016</w:t>
            </w:r>
          </w:p>
          <w:p w:rsidR="00151DBF" w:rsidRPr="00C90060" w:rsidRDefault="00151DBF" w:rsidP="00AE2C5E">
            <w:pPr>
              <w:rPr>
                <w:rFonts w:asciiTheme="minorHAnsi" w:hAnsiTheme="minorHAnsi" w:cstheme="minorHAnsi"/>
              </w:rPr>
            </w:pPr>
          </w:p>
        </w:tc>
      </w:tr>
    </w:tbl>
    <w:p w:rsidR="00151DBF" w:rsidRPr="00C90060" w:rsidRDefault="00151DBF" w:rsidP="0021347A">
      <w:pPr>
        <w:rPr>
          <w:rFonts w:asciiTheme="minorHAnsi" w:hAnsiTheme="minorHAnsi" w:cstheme="minorHAnsi"/>
          <w:b/>
        </w:rPr>
      </w:pPr>
    </w:p>
    <w:sectPr w:rsidR="00151DBF" w:rsidRPr="00C90060" w:rsidSect="00F51E3D">
      <w:headerReference w:type="default" r:id="rId9"/>
      <w:footerReference w:type="default" r:id="rId10"/>
      <w:headerReference w:type="first" r:id="rId11"/>
      <w:footerReference w:type="first" r:id="rId12"/>
      <w:pgSz w:w="11907" w:h="16840" w:code="9"/>
      <w:pgMar w:top="1134" w:right="850" w:bottom="1134" w:left="1560" w:header="567" w:footer="7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0ED" w:rsidRDefault="00A330ED" w:rsidP="006B5376">
      <w:pPr>
        <w:spacing w:after="0" w:line="240" w:lineRule="auto"/>
      </w:pPr>
      <w:r>
        <w:separator/>
      </w:r>
    </w:p>
  </w:endnote>
  <w:endnote w:type="continuationSeparator" w:id="0">
    <w:p w:rsidR="00A330ED" w:rsidRDefault="00A330ED" w:rsidP="006B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60" w:rsidRDefault="00C90060" w:rsidP="00C90060">
    <w:pPr>
      <w:pStyle w:val="Footer"/>
      <w:ind w:left="-142" w:firstLine="862"/>
      <w:rPr>
        <w:sz w:val="18"/>
        <w:szCs w:val="18"/>
      </w:rPr>
    </w:pPr>
    <w:r w:rsidRPr="00C90060">
      <w:rPr>
        <w:rFonts w:asciiTheme="minorHAnsi" w:hAnsiTheme="minorHAnsi" w:cstheme="minorHAnsi"/>
        <w:noProof/>
        <w:sz w:val="18"/>
        <w:szCs w:val="18"/>
        <w:lang w:eastAsia="en-GB"/>
      </w:rPr>
      <w:drawing>
        <wp:anchor distT="0" distB="0" distL="114300" distR="114300" simplePos="0" relativeHeight="251659264" behindDoc="1" locked="0" layoutInCell="1" allowOverlap="1" wp14:anchorId="6B7AB9C8" wp14:editId="5E360D6A">
          <wp:simplePos x="0" y="0"/>
          <wp:positionH relativeFrom="column">
            <wp:posOffset>-122237</wp:posOffset>
          </wp:positionH>
          <wp:positionV relativeFrom="paragraph">
            <wp:posOffset>-84773</wp:posOffset>
          </wp:positionV>
          <wp:extent cx="361950" cy="358775"/>
          <wp:effectExtent l="77787" t="74613" r="77788" b="77787"/>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A-Graphic-144.psd"/>
                  <pic:cNvPicPr/>
                </pic:nvPicPr>
                <pic:blipFill>
                  <a:blip r:embed="rId1">
                    <a:extLst>
                      <a:ext uri="{28A0092B-C50C-407E-A947-70E740481C1C}">
                        <a14:useLocalDpi xmlns:a14="http://schemas.microsoft.com/office/drawing/2010/main" val="0"/>
                      </a:ext>
                    </a:extLst>
                  </a:blip>
                  <a:stretch>
                    <a:fillRect/>
                  </a:stretch>
                </pic:blipFill>
                <pic:spPr>
                  <a:xfrm rot="2718273">
                    <a:off x="0" y="0"/>
                    <a:ext cx="361950" cy="358775"/>
                  </a:xfrm>
                  <a:prstGeom prst="rect">
                    <a:avLst/>
                  </a:prstGeom>
                </pic:spPr>
              </pic:pic>
            </a:graphicData>
          </a:graphic>
          <wp14:sizeRelH relativeFrom="page">
            <wp14:pctWidth>0</wp14:pctWidth>
          </wp14:sizeRelH>
          <wp14:sizeRelV relativeFrom="page">
            <wp14:pctHeight>0</wp14:pctHeight>
          </wp14:sizeRelV>
        </wp:anchor>
      </w:drawing>
    </w:r>
    <w:r w:rsidRPr="00C90060">
      <w:rPr>
        <w:rFonts w:asciiTheme="minorHAnsi" w:hAnsiTheme="minorHAnsi" w:cstheme="minorHAnsi"/>
        <w:noProof/>
        <w:sz w:val="18"/>
        <w:szCs w:val="18"/>
        <w:lang w:eastAsia="en-GB"/>
      </w:rPr>
      <mc:AlternateContent>
        <mc:Choice Requires="wps">
          <w:drawing>
            <wp:anchor distT="0" distB="0" distL="114300" distR="114300" simplePos="0" relativeHeight="251660288" behindDoc="0" locked="0" layoutInCell="1" allowOverlap="1" wp14:anchorId="5AAD7A97" wp14:editId="4C44DFF3">
              <wp:simplePos x="0" y="0"/>
              <wp:positionH relativeFrom="column">
                <wp:posOffset>310515</wp:posOffset>
              </wp:positionH>
              <wp:positionV relativeFrom="paragraph">
                <wp:posOffset>104775</wp:posOffset>
              </wp:positionV>
              <wp:extent cx="56673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5667375"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5pt,8.25pt" to="470.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" strokecolor="#f79646 [3209]" strokeweight="2pt"/>
          </w:pict>
        </mc:Fallback>
      </mc:AlternateContent>
    </w:r>
  </w:p>
  <w:p w:rsidR="00C90060" w:rsidRPr="00C90060" w:rsidRDefault="00C90060" w:rsidP="00C90060">
    <w:pPr>
      <w:pStyle w:val="Footer"/>
      <w:ind w:left="-142" w:firstLine="862"/>
      <w:rPr>
        <w:rFonts w:asciiTheme="minorHAnsi" w:hAnsiTheme="minorHAnsi" w:cstheme="minorHAnsi"/>
        <w:sz w:val="18"/>
        <w:szCs w:val="18"/>
      </w:rPr>
    </w:pPr>
    <w:r>
      <w:rPr>
        <w:rFonts w:asciiTheme="minorHAnsi" w:hAnsiTheme="minorHAnsi" w:cstheme="minorHAnsi"/>
        <w:sz w:val="18"/>
        <w:szCs w:val="18"/>
      </w:rPr>
      <w:t>EMT Cover Sheet (</w:t>
    </w:r>
    <w:r w:rsidR="00352595">
      <w:rPr>
        <w:rFonts w:asciiTheme="minorHAnsi" w:hAnsiTheme="minorHAnsi" w:cstheme="minorHAnsi"/>
        <w:sz w:val="18"/>
        <w:szCs w:val="18"/>
      </w:rPr>
      <w:t>January 2016</w:t>
    </w:r>
    <w:r>
      <w:rPr>
        <w:rFonts w:asciiTheme="minorHAnsi" w:hAnsiTheme="minorHAnsi" w:cstheme="minorHAns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E3D" w:rsidRDefault="00F51E3D" w:rsidP="00F51E3D">
    <w:pPr>
      <w:pStyle w:val="Footer"/>
      <w:ind w:left="-142" w:firstLine="862"/>
      <w:rPr>
        <w:sz w:val="18"/>
        <w:szCs w:val="18"/>
      </w:rPr>
    </w:pPr>
    <w:r w:rsidRPr="00C90060">
      <w:rPr>
        <w:rFonts w:asciiTheme="minorHAnsi" w:hAnsiTheme="minorHAnsi" w:cstheme="minorHAnsi"/>
        <w:noProof/>
        <w:sz w:val="18"/>
        <w:szCs w:val="18"/>
        <w:lang w:eastAsia="en-GB"/>
      </w:rPr>
      <w:drawing>
        <wp:anchor distT="0" distB="0" distL="114300" distR="114300" simplePos="0" relativeHeight="251662336" behindDoc="1" locked="0" layoutInCell="1" allowOverlap="1" wp14:anchorId="530F259C" wp14:editId="0722B0C2">
          <wp:simplePos x="0" y="0"/>
          <wp:positionH relativeFrom="column">
            <wp:posOffset>-122237</wp:posOffset>
          </wp:positionH>
          <wp:positionV relativeFrom="paragraph">
            <wp:posOffset>-84773</wp:posOffset>
          </wp:positionV>
          <wp:extent cx="361950" cy="358775"/>
          <wp:effectExtent l="77787" t="74613" r="77788" b="77787"/>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A-Graphic-144.psd"/>
                  <pic:cNvPicPr/>
                </pic:nvPicPr>
                <pic:blipFill>
                  <a:blip r:embed="rId1">
                    <a:extLst>
                      <a:ext uri="{28A0092B-C50C-407E-A947-70E740481C1C}">
                        <a14:useLocalDpi xmlns:a14="http://schemas.microsoft.com/office/drawing/2010/main" val="0"/>
                      </a:ext>
                    </a:extLst>
                  </a:blip>
                  <a:stretch>
                    <a:fillRect/>
                  </a:stretch>
                </pic:blipFill>
                <pic:spPr>
                  <a:xfrm rot="2718273">
                    <a:off x="0" y="0"/>
                    <a:ext cx="361950" cy="358775"/>
                  </a:xfrm>
                  <a:prstGeom prst="rect">
                    <a:avLst/>
                  </a:prstGeom>
                </pic:spPr>
              </pic:pic>
            </a:graphicData>
          </a:graphic>
          <wp14:sizeRelH relativeFrom="page">
            <wp14:pctWidth>0</wp14:pctWidth>
          </wp14:sizeRelH>
          <wp14:sizeRelV relativeFrom="page">
            <wp14:pctHeight>0</wp14:pctHeight>
          </wp14:sizeRelV>
        </wp:anchor>
      </w:drawing>
    </w:r>
    <w:r w:rsidRPr="00C90060">
      <w:rPr>
        <w:rFonts w:asciiTheme="minorHAnsi" w:hAnsiTheme="minorHAnsi" w:cstheme="minorHAnsi"/>
        <w:noProof/>
        <w:sz w:val="18"/>
        <w:szCs w:val="18"/>
        <w:lang w:eastAsia="en-GB"/>
      </w:rPr>
      <mc:AlternateContent>
        <mc:Choice Requires="wps">
          <w:drawing>
            <wp:anchor distT="0" distB="0" distL="114300" distR="114300" simplePos="0" relativeHeight="251663360" behindDoc="0" locked="0" layoutInCell="1" allowOverlap="1" wp14:anchorId="58E3C935" wp14:editId="35AAE214">
              <wp:simplePos x="0" y="0"/>
              <wp:positionH relativeFrom="column">
                <wp:posOffset>310515</wp:posOffset>
              </wp:positionH>
              <wp:positionV relativeFrom="paragraph">
                <wp:posOffset>104775</wp:posOffset>
              </wp:positionV>
              <wp:extent cx="56673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667375"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5pt,8.25pt" to="470.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" strokecolor="#f79646 [3209]" strokeweight="2pt"/>
          </w:pict>
        </mc:Fallback>
      </mc:AlternateContent>
    </w:r>
  </w:p>
  <w:p w:rsidR="00F51E3D" w:rsidRPr="00C90060" w:rsidRDefault="00F51E3D" w:rsidP="00F51E3D">
    <w:pPr>
      <w:pStyle w:val="Footer"/>
      <w:ind w:left="-142" w:firstLine="862"/>
      <w:rPr>
        <w:rFonts w:asciiTheme="minorHAnsi" w:hAnsiTheme="minorHAnsi" w:cstheme="minorHAnsi"/>
        <w:sz w:val="18"/>
        <w:szCs w:val="18"/>
      </w:rPr>
    </w:pPr>
    <w:r>
      <w:rPr>
        <w:rFonts w:asciiTheme="minorHAnsi" w:hAnsiTheme="minorHAnsi" w:cstheme="minorHAnsi"/>
        <w:sz w:val="18"/>
        <w:szCs w:val="18"/>
      </w:rPr>
      <w:t>EMT Cover Sheet (January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0ED" w:rsidRDefault="00A330ED" w:rsidP="006B5376">
      <w:pPr>
        <w:spacing w:after="0" w:line="240" w:lineRule="auto"/>
      </w:pPr>
      <w:r>
        <w:separator/>
      </w:r>
    </w:p>
  </w:footnote>
  <w:footnote w:type="continuationSeparator" w:id="0">
    <w:p w:rsidR="00A330ED" w:rsidRDefault="00A330ED" w:rsidP="006B5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E16" w:rsidRDefault="001B0E16" w:rsidP="00E068B3">
    <w:pPr>
      <w:pStyle w:val="Header"/>
      <w:ind w:left="-720" w:right="-718"/>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E3D" w:rsidRDefault="00F51E3D" w:rsidP="00F51E3D">
    <w:pPr>
      <w:pStyle w:val="Header"/>
      <w:jc w:val="right"/>
    </w:pPr>
    <w:r>
      <w:rPr>
        <w:rFonts w:cs="Arial"/>
        <w:b/>
        <w:noProof/>
        <w:lang w:eastAsia="en-GB"/>
      </w:rPr>
      <w:drawing>
        <wp:inline distT="0" distB="0" distL="0" distR="0" wp14:anchorId="6A85CD94" wp14:editId="2A2C9F7A">
          <wp:extent cx="2964211" cy="581025"/>
          <wp:effectExtent l="0" t="0" r="0" b="0"/>
          <wp:docPr id="4" name="Picture 4"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1" cstate="print"/>
                  <a:srcRect/>
                  <a:stretch>
                    <a:fillRect/>
                  </a:stretch>
                </pic:blipFill>
                <pic:spPr bwMode="auto">
                  <a:xfrm>
                    <a:off x="0" y="0"/>
                    <a:ext cx="2986468" cy="5853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B93"/>
    <w:multiLevelType w:val="hybridMultilevel"/>
    <w:tmpl w:val="2012BE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3A7CE6"/>
    <w:multiLevelType w:val="hybridMultilevel"/>
    <w:tmpl w:val="7082B23A"/>
    <w:lvl w:ilvl="0" w:tplc="25E2A7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8A6B26"/>
    <w:multiLevelType w:val="hybridMultilevel"/>
    <w:tmpl w:val="9A74B9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3A781E"/>
    <w:multiLevelType w:val="hybridMultilevel"/>
    <w:tmpl w:val="83327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1100F2"/>
    <w:multiLevelType w:val="hybridMultilevel"/>
    <w:tmpl w:val="0276E586"/>
    <w:lvl w:ilvl="0" w:tplc="F0022F2C">
      <w:start w:val="1"/>
      <w:numFmt w:val="bullet"/>
      <w:lvlText w:val=""/>
      <w:lvlJc w:val="left"/>
      <w:pPr>
        <w:ind w:left="1440" w:hanging="360"/>
      </w:pPr>
      <w:rPr>
        <w:rFonts w:ascii="Symbol" w:hAnsi="Symbol" w:hint="default"/>
        <w:color w:val="1F497D" w:themeColor="text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0374AA6"/>
    <w:multiLevelType w:val="hybridMultilevel"/>
    <w:tmpl w:val="230008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22401BD4"/>
    <w:multiLevelType w:val="hybridMultilevel"/>
    <w:tmpl w:val="F8B00C20"/>
    <w:lvl w:ilvl="0" w:tplc="7B38A2A4">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2A3539"/>
    <w:multiLevelType w:val="multilevel"/>
    <w:tmpl w:val="0E8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85439E"/>
    <w:multiLevelType w:val="hybridMultilevel"/>
    <w:tmpl w:val="7A3265A2"/>
    <w:lvl w:ilvl="0" w:tplc="7F683F1E">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C44695"/>
    <w:multiLevelType w:val="hybridMultilevel"/>
    <w:tmpl w:val="F4C0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D41D10"/>
    <w:multiLevelType w:val="hybridMultilevel"/>
    <w:tmpl w:val="B4943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89451B"/>
    <w:multiLevelType w:val="hybridMultilevel"/>
    <w:tmpl w:val="D31EA3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371766"/>
    <w:multiLevelType w:val="hybridMultilevel"/>
    <w:tmpl w:val="C50AB4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3160224"/>
    <w:multiLevelType w:val="hybridMultilevel"/>
    <w:tmpl w:val="5B24E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422268"/>
    <w:multiLevelType w:val="hybridMultilevel"/>
    <w:tmpl w:val="661A68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654D8E"/>
    <w:multiLevelType w:val="hybridMultilevel"/>
    <w:tmpl w:val="E79E2F4C"/>
    <w:lvl w:ilvl="0" w:tplc="7F683F1E">
      <w:start w:val="1"/>
      <w:numFmt w:val="bullet"/>
      <w:lvlText w:val=""/>
      <w:lvlJc w:val="left"/>
      <w:pPr>
        <w:ind w:left="825" w:hanging="360"/>
      </w:pPr>
      <w:rPr>
        <w:rFonts w:ascii="Symbol" w:hAnsi="Symbol" w:hint="default"/>
        <w:color w:val="1F497D" w:themeColor="text2"/>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6">
    <w:nsid w:val="357F1373"/>
    <w:multiLevelType w:val="multilevel"/>
    <w:tmpl w:val="8CDA0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5E7D30"/>
    <w:multiLevelType w:val="hybridMultilevel"/>
    <w:tmpl w:val="C2F4BA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FF1AEC"/>
    <w:multiLevelType w:val="hybridMultilevel"/>
    <w:tmpl w:val="1F9AB3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6F5D47"/>
    <w:multiLevelType w:val="hybridMultilevel"/>
    <w:tmpl w:val="4E347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D05C6F"/>
    <w:multiLevelType w:val="hybridMultilevel"/>
    <w:tmpl w:val="8D847C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A838EF"/>
    <w:multiLevelType w:val="hybridMultilevel"/>
    <w:tmpl w:val="DB8621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3E26815"/>
    <w:multiLevelType w:val="multilevel"/>
    <w:tmpl w:val="73C8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941DAC"/>
    <w:multiLevelType w:val="hybridMultilevel"/>
    <w:tmpl w:val="F5C2C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C879F0"/>
    <w:multiLevelType w:val="hybridMultilevel"/>
    <w:tmpl w:val="9CD29A98"/>
    <w:lvl w:ilvl="0" w:tplc="7F683F1E">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4DE434C"/>
    <w:multiLevelType w:val="hybridMultilevel"/>
    <w:tmpl w:val="CCD49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C00A1A"/>
    <w:multiLevelType w:val="hybridMultilevel"/>
    <w:tmpl w:val="5CF20B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7500C2B"/>
    <w:multiLevelType w:val="multilevel"/>
    <w:tmpl w:val="FB88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035F8E"/>
    <w:multiLevelType w:val="hybridMultilevel"/>
    <w:tmpl w:val="4E9872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8C72CAB"/>
    <w:multiLevelType w:val="hybridMultilevel"/>
    <w:tmpl w:val="CDD8677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496C094C"/>
    <w:multiLevelType w:val="hybridMultilevel"/>
    <w:tmpl w:val="FC32D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20433AD"/>
    <w:multiLevelType w:val="hybridMultilevel"/>
    <w:tmpl w:val="8806D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60127AC"/>
    <w:multiLevelType w:val="hybridMultilevel"/>
    <w:tmpl w:val="381C07C2"/>
    <w:lvl w:ilvl="0" w:tplc="F24CDA6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41799A"/>
    <w:multiLevelType w:val="hybridMultilevel"/>
    <w:tmpl w:val="9108651E"/>
    <w:lvl w:ilvl="0" w:tplc="08090003">
      <w:start w:val="1"/>
      <w:numFmt w:val="bullet"/>
      <w:lvlText w:val="o"/>
      <w:lvlJc w:val="left"/>
      <w:pPr>
        <w:ind w:left="825" w:hanging="360"/>
      </w:pPr>
      <w:rPr>
        <w:rFonts w:ascii="Courier New" w:hAnsi="Courier New" w:cs="Courier New"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4">
    <w:nsid w:val="5E10605B"/>
    <w:multiLevelType w:val="hybridMultilevel"/>
    <w:tmpl w:val="66A09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0BD795D"/>
    <w:multiLevelType w:val="multilevel"/>
    <w:tmpl w:val="64824F70"/>
    <w:lvl w:ilvl="0">
      <w:start w:val="1"/>
      <w:numFmt w:val="decimal"/>
      <w:lvlText w:val="%1."/>
      <w:lvlJc w:val="left"/>
      <w:pPr>
        <w:ind w:left="360" w:hanging="360"/>
      </w:pPr>
      <w:rPr>
        <w:rFonts w:hint="default"/>
        <w:b/>
      </w:rPr>
    </w:lvl>
    <w:lvl w:ilvl="1">
      <w:start w:val="1"/>
      <w:numFmt w:val="decimal"/>
      <w:lvlText w:val="%1.%2."/>
      <w:lvlJc w:val="left"/>
      <w:pPr>
        <w:ind w:left="1008" w:hanging="576"/>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14" w:hanging="734"/>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67F6B8C"/>
    <w:multiLevelType w:val="hybridMultilevel"/>
    <w:tmpl w:val="746256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BAB5832"/>
    <w:multiLevelType w:val="hybridMultilevel"/>
    <w:tmpl w:val="9CBA11CE"/>
    <w:lvl w:ilvl="0" w:tplc="F24CDA6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77351A"/>
    <w:multiLevelType w:val="hybridMultilevel"/>
    <w:tmpl w:val="DF74FFBC"/>
    <w:lvl w:ilvl="0" w:tplc="7F683F1E">
      <w:start w:val="1"/>
      <w:numFmt w:val="bullet"/>
      <w:lvlText w:val=""/>
      <w:lvlJc w:val="left"/>
      <w:pPr>
        <w:ind w:left="1080" w:hanging="360"/>
      </w:pPr>
      <w:rPr>
        <w:rFonts w:ascii="Symbol" w:hAnsi="Symbol" w:hint="default"/>
        <w:color w:val="1F497D" w:themeColor="text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2BB48A3"/>
    <w:multiLevelType w:val="multilevel"/>
    <w:tmpl w:val="D78ED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0036DD"/>
    <w:multiLevelType w:val="hybridMultilevel"/>
    <w:tmpl w:val="1032D0E8"/>
    <w:lvl w:ilvl="0" w:tplc="CD1AD5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3E0CBD"/>
    <w:multiLevelType w:val="hybridMultilevel"/>
    <w:tmpl w:val="1DDCFD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2E0DD3"/>
    <w:multiLevelType w:val="hybridMultilevel"/>
    <w:tmpl w:val="16DEB0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A7649B8"/>
    <w:multiLevelType w:val="hybridMultilevel"/>
    <w:tmpl w:val="C7A833C0"/>
    <w:lvl w:ilvl="0" w:tplc="7F683F1E">
      <w:start w:val="1"/>
      <w:numFmt w:val="bullet"/>
      <w:lvlText w:val=""/>
      <w:lvlJc w:val="left"/>
      <w:pPr>
        <w:ind w:left="720" w:hanging="360"/>
      </w:pPr>
      <w:rPr>
        <w:rFonts w:ascii="Symbol" w:hAnsi="Symbol"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37"/>
  </w:num>
  <w:num w:numId="4">
    <w:abstractNumId w:val="13"/>
  </w:num>
  <w:num w:numId="5">
    <w:abstractNumId w:val="25"/>
  </w:num>
  <w:num w:numId="6">
    <w:abstractNumId w:val="3"/>
  </w:num>
  <w:num w:numId="7">
    <w:abstractNumId w:val="31"/>
  </w:num>
  <w:num w:numId="8">
    <w:abstractNumId w:val="32"/>
  </w:num>
  <w:num w:numId="9">
    <w:abstractNumId w:val="34"/>
  </w:num>
  <w:num w:numId="10">
    <w:abstractNumId w:val="30"/>
  </w:num>
  <w:num w:numId="11">
    <w:abstractNumId w:val="0"/>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21"/>
  </w:num>
  <w:num w:numId="15">
    <w:abstractNumId w:val="9"/>
  </w:num>
  <w:num w:numId="16">
    <w:abstractNumId w:val="23"/>
  </w:num>
  <w:num w:numId="17">
    <w:abstractNumId w:val="28"/>
  </w:num>
  <w:num w:numId="18">
    <w:abstractNumId w:val="2"/>
  </w:num>
  <w:num w:numId="19">
    <w:abstractNumId w:val="17"/>
  </w:num>
  <w:num w:numId="20">
    <w:abstractNumId w:val="26"/>
  </w:num>
  <w:num w:numId="21">
    <w:abstractNumId w:val="36"/>
  </w:num>
  <w:num w:numId="22">
    <w:abstractNumId w:val="19"/>
  </w:num>
  <w:num w:numId="23">
    <w:abstractNumId w:val="22"/>
  </w:num>
  <w:num w:numId="24">
    <w:abstractNumId w:val="7"/>
  </w:num>
  <w:num w:numId="25">
    <w:abstractNumId w:val="27"/>
  </w:num>
  <w:num w:numId="26">
    <w:abstractNumId w:val="39"/>
  </w:num>
  <w:num w:numId="27">
    <w:abstractNumId w:val="16"/>
  </w:num>
  <w:num w:numId="28">
    <w:abstractNumId w:val="33"/>
  </w:num>
  <w:num w:numId="29">
    <w:abstractNumId w:val="29"/>
  </w:num>
  <w:num w:numId="30">
    <w:abstractNumId w:val="12"/>
  </w:num>
  <w:num w:numId="31">
    <w:abstractNumId w:val="38"/>
  </w:num>
  <w:num w:numId="32">
    <w:abstractNumId w:val="15"/>
  </w:num>
  <w:num w:numId="33">
    <w:abstractNumId w:val="24"/>
  </w:num>
  <w:num w:numId="34">
    <w:abstractNumId w:val="43"/>
  </w:num>
  <w:num w:numId="35">
    <w:abstractNumId w:val="6"/>
  </w:num>
  <w:num w:numId="36">
    <w:abstractNumId w:val="8"/>
  </w:num>
  <w:num w:numId="37">
    <w:abstractNumId w:val="4"/>
  </w:num>
  <w:num w:numId="38">
    <w:abstractNumId w:val="18"/>
  </w:num>
  <w:num w:numId="39">
    <w:abstractNumId w:val="11"/>
  </w:num>
  <w:num w:numId="40">
    <w:abstractNumId w:val="14"/>
  </w:num>
  <w:num w:numId="41">
    <w:abstractNumId w:val="42"/>
  </w:num>
  <w:num w:numId="4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35"/>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C2"/>
    <w:rsid w:val="00002037"/>
    <w:rsid w:val="0000688A"/>
    <w:rsid w:val="0001520F"/>
    <w:rsid w:val="0001579B"/>
    <w:rsid w:val="00031E55"/>
    <w:rsid w:val="00032018"/>
    <w:rsid w:val="00034690"/>
    <w:rsid w:val="00077FB8"/>
    <w:rsid w:val="000805FF"/>
    <w:rsid w:val="00080CB0"/>
    <w:rsid w:val="00082E02"/>
    <w:rsid w:val="00087C21"/>
    <w:rsid w:val="000A13D1"/>
    <w:rsid w:val="000A7C2C"/>
    <w:rsid w:val="000C027C"/>
    <w:rsid w:val="000C44EF"/>
    <w:rsid w:val="000C6B29"/>
    <w:rsid w:val="000D0F34"/>
    <w:rsid w:val="000D6A51"/>
    <w:rsid w:val="000E55E7"/>
    <w:rsid w:val="000E5A1B"/>
    <w:rsid w:val="000E6A39"/>
    <w:rsid w:val="000F2666"/>
    <w:rsid w:val="000F40ED"/>
    <w:rsid w:val="000F5FA5"/>
    <w:rsid w:val="00100687"/>
    <w:rsid w:val="0011564E"/>
    <w:rsid w:val="00122C95"/>
    <w:rsid w:val="001459D0"/>
    <w:rsid w:val="00151DBF"/>
    <w:rsid w:val="00156D64"/>
    <w:rsid w:val="00161566"/>
    <w:rsid w:val="00162E33"/>
    <w:rsid w:val="00162EEA"/>
    <w:rsid w:val="00170438"/>
    <w:rsid w:val="00170E54"/>
    <w:rsid w:val="001803BF"/>
    <w:rsid w:val="00187B85"/>
    <w:rsid w:val="001B0E16"/>
    <w:rsid w:val="001C3D40"/>
    <w:rsid w:val="001C3FF9"/>
    <w:rsid w:val="001C5EE1"/>
    <w:rsid w:val="001D0C9D"/>
    <w:rsid w:val="001D339E"/>
    <w:rsid w:val="001D41F3"/>
    <w:rsid w:val="001D451F"/>
    <w:rsid w:val="001D4C53"/>
    <w:rsid w:val="002015B9"/>
    <w:rsid w:val="002017F5"/>
    <w:rsid w:val="00202CE8"/>
    <w:rsid w:val="00204034"/>
    <w:rsid w:val="0021347A"/>
    <w:rsid w:val="00217EFA"/>
    <w:rsid w:val="0022151D"/>
    <w:rsid w:val="002226BE"/>
    <w:rsid w:val="002270EC"/>
    <w:rsid w:val="00236D2B"/>
    <w:rsid w:val="002528F0"/>
    <w:rsid w:val="002551D9"/>
    <w:rsid w:val="00255B6D"/>
    <w:rsid w:val="0026003B"/>
    <w:rsid w:val="00267CD4"/>
    <w:rsid w:val="0027131C"/>
    <w:rsid w:val="0027616F"/>
    <w:rsid w:val="0028249D"/>
    <w:rsid w:val="00295872"/>
    <w:rsid w:val="002A389A"/>
    <w:rsid w:val="002B1574"/>
    <w:rsid w:val="002B20F2"/>
    <w:rsid w:val="002D06F6"/>
    <w:rsid w:val="002E5F0F"/>
    <w:rsid w:val="002E609D"/>
    <w:rsid w:val="002F3E34"/>
    <w:rsid w:val="002F3ECA"/>
    <w:rsid w:val="002F6947"/>
    <w:rsid w:val="002F73AF"/>
    <w:rsid w:val="00301A1D"/>
    <w:rsid w:val="00306495"/>
    <w:rsid w:val="003064F9"/>
    <w:rsid w:val="00306B55"/>
    <w:rsid w:val="0031367E"/>
    <w:rsid w:val="0032284B"/>
    <w:rsid w:val="0033263A"/>
    <w:rsid w:val="00336062"/>
    <w:rsid w:val="003447CD"/>
    <w:rsid w:val="00346669"/>
    <w:rsid w:val="00352595"/>
    <w:rsid w:val="00360E64"/>
    <w:rsid w:val="003620D2"/>
    <w:rsid w:val="00362136"/>
    <w:rsid w:val="003624CC"/>
    <w:rsid w:val="0036304E"/>
    <w:rsid w:val="00363763"/>
    <w:rsid w:val="00372EDD"/>
    <w:rsid w:val="00374989"/>
    <w:rsid w:val="003858FE"/>
    <w:rsid w:val="003869D0"/>
    <w:rsid w:val="003904AA"/>
    <w:rsid w:val="003A29DC"/>
    <w:rsid w:val="003A5BF1"/>
    <w:rsid w:val="003A7557"/>
    <w:rsid w:val="003A79F8"/>
    <w:rsid w:val="003C1EAC"/>
    <w:rsid w:val="003D39CC"/>
    <w:rsid w:val="003D54B1"/>
    <w:rsid w:val="003F6CC2"/>
    <w:rsid w:val="00416CDE"/>
    <w:rsid w:val="0042325B"/>
    <w:rsid w:val="00423CD3"/>
    <w:rsid w:val="00427AD7"/>
    <w:rsid w:val="00433C05"/>
    <w:rsid w:val="00443F1A"/>
    <w:rsid w:val="004562B7"/>
    <w:rsid w:val="00460A2D"/>
    <w:rsid w:val="00460A98"/>
    <w:rsid w:val="00472A5C"/>
    <w:rsid w:val="004806AB"/>
    <w:rsid w:val="00482B2C"/>
    <w:rsid w:val="00491A07"/>
    <w:rsid w:val="004960CF"/>
    <w:rsid w:val="004B078F"/>
    <w:rsid w:val="004B3B6C"/>
    <w:rsid w:val="004E5A9A"/>
    <w:rsid w:val="004F7AF1"/>
    <w:rsid w:val="00502585"/>
    <w:rsid w:val="00510C14"/>
    <w:rsid w:val="00512FBB"/>
    <w:rsid w:val="00521B16"/>
    <w:rsid w:val="00542C0A"/>
    <w:rsid w:val="005476DE"/>
    <w:rsid w:val="00547B8B"/>
    <w:rsid w:val="00564BD1"/>
    <w:rsid w:val="005714D1"/>
    <w:rsid w:val="00575297"/>
    <w:rsid w:val="00580C3F"/>
    <w:rsid w:val="0058409E"/>
    <w:rsid w:val="00595956"/>
    <w:rsid w:val="005A2C41"/>
    <w:rsid w:val="005A3354"/>
    <w:rsid w:val="005A3581"/>
    <w:rsid w:val="005A39BD"/>
    <w:rsid w:val="005B08B2"/>
    <w:rsid w:val="005B0D4A"/>
    <w:rsid w:val="005B2887"/>
    <w:rsid w:val="005B2E0F"/>
    <w:rsid w:val="005B486A"/>
    <w:rsid w:val="005B56AB"/>
    <w:rsid w:val="005B60F8"/>
    <w:rsid w:val="005C7E23"/>
    <w:rsid w:val="005D0C13"/>
    <w:rsid w:val="005D7F75"/>
    <w:rsid w:val="005E241C"/>
    <w:rsid w:val="005F4D7F"/>
    <w:rsid w:val="00611EC3"/>
    <w:rsid w:val="00631534"/>
    <w:rsid w:val="00632573"/>
    <w:rsid w:val="0063397F"/>
    <w:rsid w:val="00644E04"/>
    <w:rsid w:val="006501B4"/>
    <w:rsid w:val="00650770"/>
    <w:rsid w:val="0065384C"/>
    <w:rsid w:val="00661712"/>
    <w:rsid w:val="00662C00"/>
    <w:rsid w:val="006727FE"/>
    <w:rsid w:val="00673D95"/>
    <w:rsid w:val="0067520E"/>
    <w:rsid w:val="00676851"/>
    <w:rsid w:val="00683C84"/>
    <w:rsid w:val="006A3631"/>
    <w:rsid w:val="006A7595"/>
    <w:rsid w:val="006B5376"/>
    <w:rsid w:val="006B7A8D"/>
    <w:rsid w:val="006C5258"/>
    <w:rsid w:val="006D039A"/>
    <w:rsid w:val="006D1922"/>
    <w:rsid w:val="006D37A9"/>
    <w:rsid w:val="006D515A"/>
    <w:rsid w:val="006E07C7"/>
    <w:rsid w:val="006F0655"/>
    <w:rsid w:val="006F77AB"/>
    <w:rsid w:val="00703B1A"/>
    <w:rsid w:val="00704C22"/>
    <w:rsid w:val="00705F0F"/>
    <w:rsid w:val="00706270"/>
    <w:rsid w:val="00710AEF"/>
    <w:rsid w:val="00717BF6"/>
    <w:rsid w:val="00717E0A"/>
    <w:rsid w:val="00731474"/>
    <w:rsid w:val="007607A8"/>
    <w:rsid w:val="00767841"/>
    <w:rsid w:val="0079459F"/>
    <w:rsid w:val="007958A5"/>
    <w:rsid w:val="0079675F"/>
    <w:rsid w:val="00797B27"/>
    <w:rsid w:val="007A5239"/>
    <w:rsid w:val="007B7BA3"/>
    <w:rsid w:val="007C07BD"/>
    <w:rsid w:val="007C256C"/>
    <w:rsid w:val="007C4842"/>
    <w:rsid w:val="007C7004"/>
    <w:rsid w:val="007D0D13"/>
    <w:rsid w:val="007D276C"/>
    <w:rsid w:val="007E3127"/>
    <w:rsid w:val="007E5587"/>
    <w:rsid w:val="007E74F4"/>
    <w:rsid w:val="007F12BE"/>
    <w:rsid w:val="007F504E"/>
    <w:rsid w:val="007F507E"/>
    <w:rsid w:val="008143C8"/>
    <w:rsid w:val="00816718"/>
    <w:rsid w:val="00816EB4"/>
    <w:rsid w:val="00817A65"/>
    <w:rsid w:val="0082258E"/>
    <w:rsid w:val="00826978"/>
    <w:rsid w:val="00827C28"/>
    <w:rsid w:val="00830C27"/>
    <w:rsid w:val="00830D74"/>
    <w:rsid w:val="008323E4"/>
    <w:rsid w:val="008335DB"/>
    <w:rsid w:val="008350EA"/>
    <w:rsid w:val="00836222"/>
    <w:rsid w:val="00840A31"/>
    <w:rsid w:val="008423AA"/>
    <w:rsid w:val="0084279E"/>
    <w:rsid w:val="00843505"/>
    <w:rsid w:val="008535D2"/>
    <w:rsid w:val="008565F8"/>
    <w:rsid w:val="00861F26"/>
    <w:rsid w:val="00863E23"/>
    <w:rsid w:val="00867070"/>
    <w:rsid w:val="00874ABA"/>
    <w:rsid w:val="00874ECF"/>
    <w:rsid w:val="008835B9"/>
    <w:rsid w:val="00896585"/>
    <w:rsid w:val="008A46B0"/>
    <w:rsid w:val="008B043D"/>
    <w:rsid w:val="008B1A24"/>
    <w:rsid w:val="008B20CB"/>
    <w:rsid w:val="008B293F"/>
    <w:rsid w:val="008B56B4"/>
    <w:rsid w:val="008C4D96"/>
    <w:rsid w:val="008C747A"/>
    <w:rsid w:val="008D2FE3"/>
    <w:rsid w:val="008D32BF"/>
    <w:rsid w:val="008D4BB4"/>
    <w:rsid w:val="008E32BA"/>
    <w:rsid w:val="008E46BD"/>
    <w:rsid w:val="008E5A91"/>
    <w:rsid w:val="00900E09"/>
    <w:rsid w:val="00904D95"/>
    <w:rsid w:val="00913886"/>
    <w:rsid w:val="009202AF"/>
    <w:rsid w:val="00923299"/>
    <w:rsid w:val="00925CE3"/>
    <w:rsid w:val="009262E2"/>
    <w:rsid w:val="00926728"/>
    <w:rsid w:val="0092702E"/>
    <w:rsid w:val="00930E67"/>
    <w:rsid w:val="00933BD8"/>
    <w:rsid w:val="009374AE"/>
    <w:rsid w:val="00944CAC"/>
    <w:rsid w:val="009451B5"/>
    <w:rsid w:val="009467D1"/>
    <w:rsid w:val="00947CF3"/>
    <w:rsid w:val="00947D2C"/>
    <w:rsid w:val="0095537A"/>
    <w:rsid w:val="00962326"/>
    <w:rsid w:val="009708DE"/>
    <w:rsid w:val="0098103F"/>
    <w:rsid w:val="00986DBB"/>
    <w:rsid w:val="00987871"/>
    <w:rsid w:val="00995D46"/>
    <w:rsid w:val="00996564"/>
    <w:rsid w:val="009A1D17"/>
    <w:rsid w:val="009A35FA"/>
    <w:rsid w:val="009B7ADC"/>
    <w:rsid w:val="009D119A"/>
    <w:rsid w:val="009E18CA"/>
    <w:rsid w:val="009E5183"/>
    <w:rsid w:val="009F234C"/>
    <w:rsid w:val="009F3946"/>
    <w:rsid w:val="009F44FD"/>
    <w:rsid w:val="00A0218A"/>
    <w:rsid w:val="00A06B20"/>
    <w:rsid w:val="00A10A0A"/>
    <w:rsid w:val="00A13804"/>
    <w:rsid w:val="00A262B0"/>
    <w:rsid w:val="00A330ED"/>
    <w:rsid w:val="00A34004"/>
    <w:rsid w:val="00A43609"/>
    <w:rsid w:val="00A43714"/>
    <w:rsid w:val="00A469FD"/>
    <w:rsid w:val="00A55FD0"/>
    <w:rsid w:val="00A71B66"/>
    <w:rsid w:val="00A732F1"/>
    <w:rsid w:val="00A73CFB"/>
    <w:rsid w:val="00A85692"/>
    <w:rsid w:val="00A9292C"/>
    <w:rsid w:val="00A95157"/>
    <w:rsid w:val="00AA288A"/>
    <w:rsid w:val="00AA5F0C"/>
    <w:rsid w:val="00AB7764"/>
    <w:rsid w:val="00AC2BA5"/>
    <w:rsid w:val="00AC3ED9"/>
    <w:rsid w:val="00AC7807"/>
    <w:rsid w:val="00AF2B98"/>
    <w:rsid w:val="00AF3C6E"/>
    <w:rsid w:val="00B101D8"/>
    <w:rsid w:val="00B1110F"/>
    <w:rsid w:val="00B12EAF"/>
    <w:rsid w:val="00B16BC1"/>
    <w:rsid w:val="00B42EAA"/>
    <w:rsid w:val="00B43424"/>
    <w:rsid w:val="00B463BC"/>
    <w:rsid w:val="00B50AE2"/>
    <w:rsid w:val="00B560AF"/>
    <w:rsid w:val="00B623D5"/>
    <w:rsid w:val="00B62482"/>
    <w:rsid w:val="00B671AF"/>
    <w:rsid w:val="00B711BA"/>
    <w:rsid w:val="00B71708"/>
    <w:rsid w:val="00B74537"/>
    <w:rsid w:val="00B75CDC"/>
    <w:rsid w:val="00B83C5D"/>
    <w:rsid w:val="00BA15CF"/>
    <w:rsid w:val="00BB19A7"/>
    <w:rsid w:val="00BB245B"/>
    <w:rsid w:val="00BC0B48"/>
    <w:rsid w:val="00BC3A08"/>
    <w:rsid w:val="00BF5379"/>
    <w:rsid w:val="00C04153"/>
    <w:rsid w:val="00C15CC6"/>
    <w:rsid w:val="00C24C6C"/>
    <w:rsid w:val="00C265FE"/>
    <w:rsid w:val="00C36837"/>
    <w:rsid w:val="00C40072"/>
    <w:rsid w:val="00C42D0D"/>
    <w:rsid w:val="00C458CC"/>
    <w:rsid w:val="00C53126"/>
    <w:rsid w:val="00C56E47"/>
    <w:rsid w:val="00C5789F"/>
    <w:rsid w:val="00C665C4"/>
    <w:rsid w:val="00C8111C"/>
    <w:rsid w:val="00C815C1"/>
    <w:rsid w:val="00C81AD5"/>
    <w:rsid w:val="00C90060"/>
    <w:rsid w:val="00C91983"/>
    <w:rsid w:val="00C928CF"/>
    <w:rsid w:val="00C941B8"/>
    <w:rsid w:val="00CA3A21"/>
    <w:rsid w:val="00CB16AC"/>
    <w:rsid w:val="00CB32FA"/>
    <w:rsid w:val="00CC7EC2"/>
    <w:rsid w:val="00CC7F68"/>
    <w:rsid w:val="00CD103F"/>
    <w:rsid w:val="00CD39A3"/>
    <w:rsid w:val="00CD6526"/>
    <w:rsid w:val="00CD7943"/>
    <w:rsid w:val="00CE51E2"/>
    <w:rsid w:val="00CE7EDE"/>
    <w:rsid w:val="00D244E5"/>
    <w:rsid w:val="00D506D1"/>
    <w:rsid w:val="00D53754"/>
    <w:rsid w:val="00D605E8"/>
    <w:rsid w:val="00D63E02"/>
    <w:rsid w:val="00D64CB6"/>
    <w:rsid w:val="00D87EE4"/>
    <w:rsid w:val="00DA1D6D"/>
    <w:rsid w:val="00DA683A"/>
    <w:rsid w:val="00DA6C5D"/>
    <w:rsid w:val="00DB1E6D"/>
    <w:rsid w:val="00DD4232"/>
    <w:rsid w:val="00DD7F46"/>
    <w:rsid w:val="00DE0B36"/>
    <w:rsid w:val="00DE44FD"/>
    <w:rsid w:val="00DF5E7E"/>
    <w:rsid w:val="00E068B3"/>
    <w:rsid w:val="00E06BF1"/>
    <w:rsid w:val="00E11B46"/>
    <w:rsid w:val="00E2595E"/>
    <w:rsid w:val="00E348B8"/>
    <w:rsid w:val="00E36F0A"/>
    <w:rsid w:val="00E42813"/>
    <w:rsid w:val="00E42F83"/>
    <w:rsid w:val="00E57FBC"/>
    <w:rsid w:val="00E64FA8"/>
    <w:rsid w:val="00E75234"/>
    <w:rsid w:val="00E80305"/>
    <w:rsid w:val="00E84A0A"/>
    <w:rsid w:val="00E86368"/>
    <w:rsid w:val="00E87161"/>
    <w:rsid w:val="00E93D47"/>
    <w:rsid w:val="00E9533B"/>
    <w:rsid w:val="00EA73C0"/>
    <w:rsid w:val="00EB1CFA"/>
    <w:rsid w:val="00EC6545"/>
    <w:rsid w:val="00ED723B"/>
    <w:rsid w:val="00ED7497"/>
    <w:rsid w:val="00EE200F"/>
    <w:rsid w:val="00EE3EEA"/>
    <w:rsid w:val="00EE4784"/>
    <w:rsid w:val="00EE5E52"/>
    <w:rsid w:val="00EF1675"/>
    <w:rsid w:val="00EF1E64"/>
    <w:rsid w:val="00EF3A3D"/>
    <w:rsid w:val="00EF727C"/>
    <w:rsid w:val="00F126A6"/>
    <w:rsid w:val="00F13444"/>
    <w:rsid w:val="00F207D7"/>
    <w:rsid w:val="00F227F0"/>
    <w:rsid w:val="00F51E3D"/>
    <w:rsid w:val="00F568DC"/>
    <w:rsid w:val="00F650DF"/>
    <w:rsid w:val="00F76AFA"/>
    <w:rsid w:val="00F87165"/>
    <w:rsid w:val="00F923E9"/>
    <w:rsid w:val="00F93F96"/>
    <w:rsid w:val="00F94FDD"/>
    <w:rsid w:val="00FA23B7"/>
    <w:rsid w:val="00FB340F"/>
    <w:rsid w:val="00FB7CAB"/>
    <w:rsid w:val="00FD3BB3"/>
    <w:rsid w:val="00FD420C"/>
    <w:rsid w:val="00FE1450"/>
    <w:rsid w:val="00FF6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8B56B4"/>
    <w:pPr>
      <w:numPr>
        <w:numId w:val="43"/>
      </w:numPr>
      <w:spacing w:before="120" w:after="0"/>
    </w:pPr>
    <w:rPr>
      <w:rFonts w:eastAsia="Calibri" w:cs="Arial"/>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 w:type="character" w:styleId="Strong">
    <w:name w:val="Strong"/>
    <w:basedOn w:val="DefaultParagraphFont"/>
    <w:uiPriority w:val="22"/>
    <w:qFormat/>
    <w:rsid w:val="00644E04"/>
    <w:rPr>
      <w:b/>
      <w:bCs/>
      <w:sz w:val="24"/>
      <w:szCs w:val="24"/>
      <w:bdr w:val="none" w:sz="0" w:space="0" w:color="auto" w:frame="1"/>
      <w:vertAlign w:val="baseline"/>
    </w:rPr>
  </w:style>
  <w:style w:type="paragraph" w:styleId="NormalWeb">
    <w:name w:val="Normal (Web)"/>
    <w:basedOn w:val="Normal"/>
    <w:uiPriority w:val="99"/>
    <w:semiHidden/>
    <w:unhideWhenUsed/>
    <w:rsid w:val="00644E04"/>
    <w:pPr>
      <w:spacing w:after="0" w:line="240" w:lineRule="auto"/>
      <w:textAlignment w:val="baseline"/>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8B56B4"/>
    <w:pPr>
      <w:numPr>
        <w:numId w:val="43"/>
      </w:numPr>
      <w:spacing w:before="120" w:after="0"/>
    </w:pPr>
    <w:rPr>
      <w:rFonts w:eastAsia="Calibri" w:cs="Arial"/>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 w:type="character" w:styleId="Strong">
    <w:name w:val="Strong"/>
    <w:basedOn w:val="DefaultParagraphFont"/>
    <w:uiPriority w:val="22"/>
    <w:qFormat/>
    <w:rsid w:val="00644E04"/>
    <w:rPr>
      <w:b/>
      <w:bCs/>
      <w:sz w:val="24"/>
      <w:szCs w:val="24"/>
      <w:bdr w:val="none" w:sz="0" w:space="0" w:color="auto" w:frame="1"/>
      <w:vertAlign w:val="baseline"/>
    </w:rPr>
  </w:style>
  <w:style w:type="paragraph" w:styleId="NormalWeb">
    <w:name w:val="Normal (Web)"/>
    <w:basedOn w:val="Normal"/>
    <w:uiPriority w:val="99"/>
    <w:semiHidden/>
    <w:unhideWhenUsed/>
    <w:rsid w:val="00644E04"/>
    <w:pPr>
      <w:spacing w:after="0" w:line="240" w:lineRule="auto"/>
      <w:textAlignment w:val="baseline"/>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1197">
      <w:bodyDiv w:val="1"/>
      <w:marLeft w:val="0"/>
      <w:marRight w:val="0"/>
      <w:marTop w:val="0"/>
      <w:marBottom w:val="0"/>
      <w:divBdr>
        <w:top w:val="none" w:sz="0" w:space="0" w:color="auto"/>
        <w:left w:val="none" w:sz="0" w:space="0" w:color="auto"/>
        <w:bottom w:val="none" w:sz="0" w:space="0" w:color="auto"/>
        <w:right w:val="none" w:sz="0" w:space="0" w:color="auto"/>
      </w:divBdr>
    </w:div>
    <w:div w:id="269239466">
      <w:bodyDiv w:val="1"/>
      <w:marLeft w:val="0"/>
      <w:marRight w:val="0"/>
      <w:marTop w:val="0"/>
      <w:marBottom w:val="0"/>
      <w:divBdr>
        <w:top w:val="none" w:sz="0" w:space="0" w:color="auto"/>
        <w:left w:val="none" w:sz="0" w:space="0" w:color="auto"/>
        <w:bottom w:val="none" w:sz="0" w:space="0" w:color="auto"/>
        <w:right w:val="none" w:sz="0" w:space="0" w:color="auto"/>
      </w:divBdr>
    </w:div>
    <w:div w:id="682364509">
      <w:bodyDiv w:val="1"/>
      <w:marLeft w:val="0"/>
      <w:marRight w:val="0"/>
      <w:marTop w:val="0"/>
      <w:marBottom w:val="0"/>
      <w:divBdr>
        <w:top w:val="none" w:sz="0" w:space="0" w:color="auto"/>
        <w:left w:val="none" w:sz="0" w:space="0" w:color="auto"/>
        <w:bottom w:val="none" w:sz="0" w:space="0" w:color="auto"/>
        <w:right w:val="none" w:sz="0" w:space="0" w:color="auto"/>
      </w:divBdr>
    </w:div>
    <w:div w:id="1024139145">
      <w:bodyDiv w:val="1"/>
      <w:marLeft w:val="0"/>
      <w:marRight w:val="0"/>
      <w:marTop w:val="0"/>
      <w:marBottom w:val="0"/>
      <w:divBdr>
        <w:top w:val="none" w:sz="0" w:space="0" w:color="auto"/>
        <w:left w:val="none" w:sz="0" w:space="0" w:color="auto"/>
        <w:bottom w:val="none" w:sz="0" w:space="0" w:color="auto"/>
        <w:right w:val="none" w:sz="0" w:space="0" w:color="auto"/>
      </w:divBdr>
      <w:divsChild>
        <w:div w:id="1180660519">
          <w:marLeft w:val="0"/>
          <w:marRight w:val="0"/>
          <w:marTop w:val="100"/>
          <w:marBottom w:val="100"/>
          <w:divBdr>
            <w:top w:val="none" w:sz="0" w:space="0" w:color="auto"/>
            <w:left w:val="none" w:sz="0" w:space="0" w:color="auto"/>
            <w:bottom w:val="none" w:sz="0" w:space="0" w:color="auto"/>
            <w:right w:val="none" w:sz="0" w:space="0" w:color="auto"/>
          </w:divBdr>
          <w:divsChild>
            <w:div w:id="980573089">
              <w:marLeft w:val="0"/>
              <w:marRight w:val="0"/>
              <w:marTop w:val="0"/>
              <w:marBottom w:val="150"/>
              <w:divBdr>
                <w:top w:val="none" w:sz="0" w:space="0" w:color="auto"/>
                <w:left w:val="none" w:sz="0" w:space="0" w:color="auto"/>
                <w:bottom w:val="none" w:sz="0" w:space="0" w:color="auto"/>
                <w:right w:val="none" w:sz="0" w:space="0" w:color="auto"/>
              </w:divBdr>
              <w:divsChild>
                <w:div w:id="624430045">
                  <w:marLeft w:val="0"/>
                  <w:marRight w:val="0"/>
                  <w:marTop w:val="390"/>
                  <w:marBottom w:val="0"/>
                  <w:divBdr>
                    <w:top w:val="none" w:sz="0" w:space="0" w:color="auto"/>
                    <w:left w:val="none" w:sz="0" w:space="0" w:color="auto"/>
                    <w:bottom w:val="none" w:sz="0" w:space="0" w:color="auto"/>
                    <w:right w:val="none" w:sz="0" w:space="0" w:color="auto"/>
                  </w:divBdr>
                  <w:divsChild>
                    <w:div w:id="897207759">
                      <w:marLeft w:val="0"/>
                      <w:marRight w:val="0"/>
                      <w:marTop w:val="0"/>
                      <w:marBottom w:val="0"/>
                      <w:divBdr>
                        <w:top w:val="none" w:sz="0" w:space="0" w:color="auto"/>
                        <w:left w:val="none" w:sz="0" w:space="0" w:color="auto"/>
                        <w:bottom w:val="none" w:sz="0" w:space="0" w:color="auto"/>
                        <w:right w:val="none" w:sz="0" w:space="0" w:color="auto"/>
                      </w:divBdr>
                      <w:divsChild>
                        <w:div w:id="1265847326">
                          <w:marLeft w:val="0"/>
                          <w:marRight w:val="0"/>
                          <w:marTop w:val="0"/>
                          <w:marBottom w:val="0"/>
                          <w:divBdr>
                            <w:top w:val="none" w:sz="0" w:space="0" w:color="auto"/>
                            <w:left w:val="none" w:sz="0" w:space="0" w:color="auto"/>
                            <w:bottom w:val="none" w:sz="0" w:space="0" w:color="auto"/>
                            <w:right w:val="none" w:sz="0" w:space="0" w:color="auto"/>
                          </w:divBdr>
                          <w:divsChild>
                            <w:div w:id="1970817110">
                              <w:marLeft w:val="0"/>
                              <w:marRight w:val="0"/>
                              <w:marTop w:val="0"/>
                              <w:marBottom w:val="0"/>
                              <w:divBdr>
                                <w:top w:val="none" w:sz="0" w:space="0" w:color="auto"/>
                                <w:left w:val="none" w:sz="0" w:space="0" w:color="auto"/>
                                <w:bottom w:val="none" w:sz="0" w:space="0" w:color="auto"/>
                                <w:right w:val="none" w:sz="0" w:space="0" w:color="auto"/>
                              </w:divBdr>
                            </w:div>
                            <w:div w:id="816725865">
                              <w:marLeft w:val="0"/>
                              <w:marRight w:val="0"/>
                              <w:marTop w:val="0"/>
                              <w:marBottom w:val="0"/>
                              <w:divBdr>
                                <w:top w:val="none" w:sz="0" w:space="0" w:color="auto"/>
                                <w:left w:val="none" w:sz="0" w:space="0" w:color="auto"/>
                                <w:bottom w:val="none" w:sz="0" w:space="0" w:color="auto"/>
                                <w:right w:val="none" w:sz="0" w:space="0" w:color="auto"/>
                              </w:divBdr>
                            </w:div>
                          </w:divsChild>
                        </w:div>
                        <w:div w:id="267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61659">
                  <w:marLeft w:val="0"/>
                  <w:marRight w:val="0"/>
                  <w:marTop w:val="225"/>
                  <w:marBottom w:val="225"/>
                  <w:divBdr>
                    <w:top w:val="none" w:sz="0" w:space="0" w:color="auto"/>
                    <w:left w:val="none" w:sz="0" w:space="0" w:color="auto"/>
                    <w:bottom w:val="none" w:sz="0" w:space="0" w:color="auto"/>
                    <w:right w:val="none" w:sz="0" w:space="0" w:color="auto"/>
                  </w:divBdr>
                  <w:divsChild>
                    <w:div w:id="1619601053">
                      <w:marLeft w:val="0"/>
                      <w:marRight w:val="0"/>
                      <w:marTop w:val="0"/>
                      <w:marBottom w:val="0"/>
                      <w:divBdr>
                        <w:top w:val="none" w:sz="0" w:space="0" w:color="auto"/>
                        <w:left w:val="none" w:sz="0" w:space="0" w:color="auto"/>
                        <w:bottom w:val="none" w:sz="0" w:space="0" w:color="auto"/>
                        <w:right w:val="none" w:sz="0" w:space="0" w:color="auto"/>
                      </w:divBdr>
                      <w:divsChild>
                        <w:div w:id="214463462">
                          <w:marLeft w:val="0"/>
                          <w:marRight w:val="0"/>
                          <w:marTop w:val="0"/>
                          <w:marBottom w:val="0"/>
                          <w:divBdr>
                            <w:top w:val="none" w:sz="0" w:space="0" w:color="auto"/>
                            <w:left w:val="none" w:sz="0" w:space="0" w:color="auto"/>
                            <w:bottom w:val="none" w:sz="0" w:space="0" w:color="auto"/>
                            <w:right w:val="none" w:sz="0" w:space="0" w:color="auto"/>
                          </w:divBdr>
                          <w:divsChild>
                            <w:div w:id="1956592608">
                              <w:marLeft w:val="0"/>
                              <w:marRight w:val="0"/>
                              <w:marTop w:val="0"/>
                              <w:marBottom w:val="0"/>
                              <w:divBdr>
                                <w:top w:val="none" w:sz="0" w:space="0" w:color="auto"/>
                                <w:left w:val="none" w:sz="0" w:space="0" w:color="auto"/>
                                <w:bottom w:val="none" w:sz="0" w:space="0" w:color="auto"/>
                                <w:right w:val="none" w:sz="0" w:space="0" w:color="auto"/>
                              </w:divBdr>
                              <w:divsChild>
                                <w:div w:id="224489956">
                                  <w:marLeft w:val="0"/>
                                  <w:marRight w:val="0"/>
                                  <w:marTop w:val="0"/>
                                  <w:marBottom w:val="0"/>
                                  <w:divBdr>
                                    <w:top w:val="none" w:sz="0" w:space="0" w:color="auto"/>
                                    <w:left w:val="none" w:sz="0" w:space="0" w:color="auto"/>
                                    <w:bottom w:val="none" w:sz="0" w:space="0" w:color="auto"/>
                                    <w:right w:val="none" w:sz="0" w:space="0" w:color="auto"/>
                                  </w:divBdr>
                                  <w:divsChild>
                                    <w:div w:id="738601335">
                                      <w:marLeft w:val="0"/>
                                      <w:marRight w:val="0"/>
                                      <w:marTop w:val="0"/>
                                      <w:marBottom w:val="0"/>
                                      <w:divBdr>
                                        <w:top w:val="none" w:sz="0" w:space="0" w:color="auto"/>
                                        <w:left w:val="none" w:sz="0" w:space="0" w:color="auto"/>
                                        <w:bottom w:val="none" w:sz="0" w:space="0" w:color="auto"/>
                                        <w:right w:val="none" w:sz="0" w:space="0" w:color="auto"/>
                                      </w:divBdr>
                                    </w:div>
                                    <w:div w:id="632564722">
                                      <w:marLeft w:val="0"/>
                                      <w:marRight w:val="0"/>
                                      <w:marTop w:val="0"/>
                                      <w:marBottom w:val="0"/>
                                      <w:divBdr>
                                        <w:top w:val="none" w:sz="0" w:space="0" w:color="auto"/>
                                        <w:left w:val="none" w:sz="0" w:space="0" w:color="auto"/>
                                        <w:bottom w:val="none" w:sz="0" w:space="0" w:color="auto"/>
                                        <w:right w:val="none" w:sz="0" w:space="0" w:color="auto"/>
                                      </w:divBdr>
                                    </w:div>
                                    <w:div w:id="2122139571">
                                      <w:marLeft w:val="0"/>
                                      <w:marRight w:val="0"/>
                                      <w:marTop w:val="0"/>
                                      <w:marBottom w:val="0"/>
                                      <w:divBdr>
                                        <w:top w:val="none" w:sz="0" w:space="0" w:color="auto"/>
                                        <w:left w:val="none" w:sz="0" w:space="0" w:color="auto"/>
                                        <w:bottom w:val="none" w:sz="0" w:space="0" w:color="auto"/>
                                        <w:right w:val="none" w:sz="0" w:space="0" w:color="auto"/>
                                      </w:divBdr>
                                    </w:div>
                                    <w:div w:id="11761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16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30829205">
      <w:bodyDiv w:val="1"/>
      <w:marLeft w:val="0"/>
      <w:marRight w:val="0"/>
      <w:marTop w:val="0"/>
      <w:marBottom w:val="0"/>
      <w:divBdr>
        <w:top w:val="none" w:sz="0" w:space="0" w:color="auto"/>
        <w:left w:val="none" w:sz="0" w:space="0" w:color="auto"/>
        <w:bottom w:val="none" w:sz="0" w:space="0" w:color="auto"/>
        <w:right w:val="none" w:sz="0" w:space="0" w:color="auto"/>
      </w:divBdr>
    </w:div>
    <w:div w:id="1461873307">
      <w:bodyDiv w:val="1"/>
      <w:marLeft w:val="0"/>
      <w:marRight w:val="0"/>
      <w:marTop w:val="0"/>
      <w:marBottom w:val="0"/>
      <w:divBdr>
        <w:top w:val="none" w:sz="0" w:space="0" w:color="auto"/>
        <w:left w:val="none" w:sz="0" w:space="0" w:color="auto"/>
        <w:bottom w:val="none" w:sz="0" w:space="0" w:color="auto"/>
        <w:right w:val="none" w:sz="0" w:space="0" w:color="auto"/>
      </w:divBdr>
    </w:div>
    <w:div w:id="1513031427">
      <w:bodyDiv w:val="1"/>
      <w:marLeft w:val="0"/>
      <w:marRight w:val="0"/>
      <w:marTop w:val="0"/>
      <w:marBottom w:val="0"/>
      <w:divBdr>
        <w:top w:val="none" w:sz="0" w:space="0" w:color="auto"/>
        <w:left w:val="none" w:sz="0" w:space="0" w:color="auto"/>
        <w:bottom w:val="none" w:sz="0" w:space="0" w:color="auto"/>
        <w:right w:val="none" w:sz="0" w:space="0" w:color="auto"/>
      </w:divBdr>
    </w:div>
    <w:div w:id="18450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FA45399-442A-4888-9137-E63C9A565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Wisely</dc:creator>
  <cp:lastModifiedBy>Steve Tebbutt</cp:lastModifiedBy>
  <cp:revision>7</cp:revision>
  <cp:lastPrinted>2013-01-08T15:55:00Z</cp:lastPrinted>
  <dcterms:created xsi:type="dcterms:W3CDTF">2016-08-25T14:30:00Z</dcterms:created>
  <dcterms:modified xsi:type="dcterms:W3CDTF">2016-09-15T08:58:00Z</dcterms:modified>
</cp:coreProperties>
</file>