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3521C" w14:textId="77777777" w:rsidR="00063DEC" w:rsidRPr="004275C9" w:rsidRDefault="00063DEC" w:rsidP="00C16D74">
      <w:pPr>
        <w:rPr>
          <w:rFonts w:ascii="Calibri" w:hAnsi="Calibri" w:cs="Calibri"/>
          <w:b/>
          <w:sz w:val="24"/>
          <w:u w:val="single"/>
        </w:rPr>
      </w:pPr>
    </w:p>
    <w:p w14:paraId="0F367A1E" w14:textId="364CCEC3" w:rsidR="00693E42" w:rsidRPr="004275C9" w:rsidRDefault="00693E42" w:rsidP="00693E42">
      <w:pPr>
        <w:jc w:val="center"/>
        <w:rPr>
          <w:rFonts w:ascii="Calibri" w:hAnsi="Calibri" w:cs="Calibri"/>
          <w:b/>
          <w:sz w:val="24"/>
          <w:u w:val="single"/>
        </w:rPr>
      </w:pPr>
      <w:r w:rsidRPr="004275C9">
        <w:rPr>
          <w:rFonts w:ascii="Calibri" w:hAnsi="Calibri" w:cs="Calibri"/>
          <w:b/>
          <w:sz w:val="24"/>
          <w:u w:val="single"/>
        </w:rPr>
        <w:t xml:space="preserve">Clinical Trial </w:t>
      </w:r>
      <w:r w:rsidR="00607C32" w:rsidRPr="004275C9">
        <w:rPr>
          <w:rFonts w:ascii="Calibri" w:hAnsi="Calibri" w:cs="Calibri"/>
          <w:b/>
          <w:sz w:val="24"/>
          <w:u w:val="single"/>
        </w:rPr>
        <w:t xml:space="preserve">Registration </w:t>
      </w:r>
      <w:r w:rsidR="00D75B91" w:rsidRPr="004275C9">
        <w:rPr>
          <w:rFonts w:ascii="Calibri" w:hAnsi="Calibri" w:cs="Calibri"/>
          <w:b/>
          <w:sz w:val="24"/>
          <w:u w:val="single"/>
        </w:rPr>
        <w:t>Report</w:t>
      </w:r>
    </w:p>
    <w:p w14:paraId="685B0C97" w14:textId="3AD302CA" w:rsidR="007D14CD" w:rsidRPr="004275C9" w:rsidRDefault="00433EF2" w:rsidP="00693E42">
      <w:pPr>
        <w:jc w:val="center"/>
        <w:rPr>
          <w:rFonts w:ascii="Calibri" w:hAnsi="Calibri" w:cs="Calibri"/>
          <w:b/>
          <w:sz w:val="24"/>
          <w:u w:val="single"/>
        </w:rPr>
      </w:pPr>
      <w:r>
        <w:rPr>
          <w:rFonts w:ascii="Calibri" w:hAnsi="Calibri" w:cs="Calibri"/>
          <w:b/>
          <w:sz w:val="24"/>
          <w:u w:val="single"/>
        </w:rPr>
        <w:t>April</w:t>
      </w:r>
      <w:r w:rsidR="00607C32" w:rsidRPr="004275C9">
        <w:rPr>
          <w:rFonts w:ascii="Calibri" w:hAnsi="Calibri" w:cs="Calibri"/>
          <w:b/>
          <w:sz w:val="24"/>
          <w:u w:val="single"/>
        </w:rPr>
        <w:t xml:space="preserve"> 2016</w:t>
      </w:r>
    </w:p>
    <w:p w14:paraId="3BA1DE74" w14:textId="77777777" w:rsidR="00693E42" w:rsidRPr="004275C9" w:rsidRDefault="00693E42" w:rsidP="00F74E7D">
      <w:pPr>
        <w:jc w:val="center"/>
        <w:rPr>
          <w:rFonts w:ascii="Calibri" w:hAnsi="Calibri" w:cs="Calibri"/>
          <w:sz w:val="24"/>
        </w:rPr>
      </w:pPr>
    </w:p>
    <w:p w14:paraId="2292F1E1" w14:textId="72004FE1" w:rsidR="0048433B" w:rsidRPr="00177758" w:rsidRDefault="0048433B" w:rsidP="00177758">
      <w:pPr>
        <w:pStyle w:val="ListParagraph"/>
        <w:numPr>
          <w:ilvl w:val="0"/>
          <w:numId w:val="23"/>
        </w:numPr>
        <w:rPr>
          <w:rFonts w:ascii="Calibri" w:hAnsi="Calibri" w:cs="Calibri"/>
          <w:b/>
          <w:sz w:val="24"/>
        </w:rPr>
      </w:pPr>
      <w:r w:rsidRPr="00177758">
        <w:rPr>
          <w:rFonts w:ascii="Calibri" w:hAnsi="Calibri" w:cs="Calibri"/>
          <w:b/>
          <w:sz w:val="24"/>
        </w:rPr>
        <w:t>Background</w:t>
      </w:r>
    </w:p>
    <w:p w14:paraId="7A560420" w14:textId="77777777" w:rsidR="0048433B" w:rsidRPr="00AB6515" w:rsidRDefault="0048433B" w:rsidP="0048433B">
      <w:pPr>
        <w:jc w:val="both"/>
        <w:rPr>
          <w:rFonts w:ascii="Calibri" w:hAnsi="Calibri" w:cs="Calibri"/>
          <w:sz w:val="24"/>
        </w:rPr>
      </w:pPr>
      <w:r w:rsidRPr="00AB6515">
        <w:rPr>
          <w:rFonts w:ascii="Calibri" w:hAnsi="Calibri" w:cs="Calibri"/>
          <w:sz w:val="24"/>
        </w:rPr>
        <w:t xml:space="preserve">Since October 2013, it has been a condition of the favourable ethical opinion for clinical trials (as defined by the first 4 categories on the IRAS form) to be registered on a publicly accessible database, no later than 6 weeks after recruitment of the first participant into the trial. The HRA recognises that ethical and moral obligations of researchers and researcher sponsors set out a best practice standard for all health research to be registered.  In addition to this, Clinical Trials of Medicinal Products (CTIMPs) are legally required to be registered under the current European Clinical Trials regulations, and UK Clinical Trial legislation. Although this legislation has specific exemption for Phase 1 </w:t>
      </w:r>
      <w:proofErr w:type="gramStart"/>
      <w:r w:rsidRPr="00AB6515">
        <w:rPr>
          <w:rFonts w:ascii="Calibri" w:hAnsi="Calibri" w:cs="Calibri"/>
          <w:sz w:val="24"/>
        </w:rPr>
        <w:t>trials</w:t>
      </w:r>
      <w:proofErr w:type="gramEnd"/>
      <w:r w:rsidRPr="00AB6515">
        <w:rPr>
          <w:rFonts w:ascii="Calibri" w:hAnsi="Calibri" w:cs="Calibri"/>
          <w:sz w:val="24"/>
        </w:rPr>
        <w:t xml:space="preserve"> involving healthy volunteers. </w:t>
      </w:r>
    </w:p>
    <w:p w14:paraId="50E93317" w14:textId="77777777" w:rsidR="0048433B" w:rsidRPr="00AB6515" w:rsidRDefault="0048433B" w:rsidP="0048433B">
      <w:pPr>
        <w:jc w:val="both"/>
        <w:rPr>
          <w:rFonts w:ascii="Calibri" w:hAnsi="Calibri" w:cs="Calibri"/>
          <w:sz w:val="24"/>
        </w:rPr>
      </w:pPr>
      <w:r w:rsidRPr="00AB6515">
        <w:rPr>
          <w:rFonts w:ascii="Calibri" w:hAnsi="Calibri" w:cs="Calibri"/>
          <w:sz w:val="24"/>
        </w:rPr>
        <w:t>The HRA recognises that in certain circumstances, such as where details of the clinical trials could be considered commercially confidential, deferral of registration would be acceptable. A simple deferral mechanism was therefore put in place. This allows sponsors to request, on a trial by trial basis, for an agreed deferral to registration, with the expectation that assurance is given that the trial will be registered when no longer commercially confidential or immediately should the trial be terminated early for safety reasons.</w:t>
      </w:r>
    </w:p>
    <w:p w14:paraId="222257EB" w14:textId="77777777" w:rsidR="00607C32" w:rsidRPr="00AB6515" w:rsidRDefault="00607C32" w:rsidP="0048433B">
      <w:pPr>
        <w:jc w:val="both"/>
        <w:rPr>
          <w:rFonts w:ascii="Calibri" w:hAnsi="Calibri" w:cs="Calibri"/>
          <w:sz w:val="24"/>
        </w:rPr>
      </w:pPr>
    </w:p>
    <w:p w14:paraId="72777628" w14:textId="699DDFED" w:rsidR="00B154BB" w:rsidRPr="00177758" w:rsidRDefault="00E67CA3" w:rsidP="00177758">
      <w:pPr>
        <w:pStyle w:val="ListParagraph"/>
        <w:numPr>
          <w:ilvl w:val="0"/>
          <w:numId w:val="23"/>
        </w:numPr>
        <w:rPr>
          <w:rFonts w:ascii="Calibri" w:hAnsi="Calibri" w:cs="Calibri"/>
          <w:b/>
          <w:sz w:val="24"/>
        </w:rPr>
      </w:pPr>
      <w:r w:rsidRPr="00177758">
        <w:rPr>
          <w:rFonts w:ascii="Calibri" w:hAnsi="Calibri" w:cs="Calibri"/>
          <w:b/>
          <w:sz w:val="24"/>
        </w:rPr>
        <w:t>Method</w:t>
      </w:r>
    </w:p>
    <w:p w14:paraId="499CFF81" w14:textId="2B73C59F" w:rsidR="00693E42" w:rsidRPr="00AB6515" w:rsidRDefault="00693E42" w:rsidP="003424A9">
      <w:pPr>
        <w:jc w:val="both"/>
        <w:rPr>
          <w:rFonts w:ascii="Calibri" w:hAnsi="Calibri" w:cs="Calibri"/>
          <w:sz w:val="24"/>
        </w:rPr>
      </w:pPr>
      <w:r w:rsidRPr="00AB6515">
        <w:rPr>
          <w:rFonts w:ascii="Calibri" w:hAnsi="Calibri" w:cs="Calibri"/>
          <w:sz w:val="24"/>
        </w:rPr>
        <w:t xml:space="preserve">CTIMPs, with the exception of Phase 1 trials involving healthy volunteers, are </w:t>
      </w:r>
      <w:r w:rsidR="00D75B91" w:rsidRPr="00AB6515">
        <w:rPr>
          <w:rFonts w:ascii="Calibri" w:hAnsi="Calibri" w:cs="Calibri"/>
          <w:sz w:val="24"/>
        </w:rPr>
        <w:t xml:space="preserve">always </w:t>
      </w:r>
      <w:r w:rsidRPr="00AB6515">
        <w:rPr>
          <w:rFonts w:ascii="Calibri" w:hAnsi="Calibri" w:cs="Calibri"/>
          <w:sz w:val="24"/>
        </w:rPr>
        <w:t xml:space="preserve">registered on the EU clinical trials register via EudraCT </w:t>
      </w:r>
      <w:r w:rsidR="00D75B91" w:rsidRPr="00AB6515">
        <w:rPr>
          <w:rFonts w:ascii="Calibri" w:hAnsi="Calibri" w:cs="Calibri"/>
          <w:sz w:val="24"/>
        </w:rPr>
        <w:t xml:space="preserve">and it can therefore be assumed that all CTIMPs have been registered and the monitoring therefore covers </w:t>
      </w:r>
      <w:r w:rsidR="00B154BB" w:rsidRPr="00AB6515">
        <w:rPr>
          <w:rFonts w:ascii="Calibri" w:hAnsi="Calibri" w:cs="Calibri"/>
          <w:sz w:val="24"/>
        </w:rPr>
        <w:t xml:space="preserve">other </w:t>
      </w:r>
      <w:r w:rsidR="00D75B91" w:rsidRPr="00AB6515">
        <w:rPr>
          <w:rFonts w:ascii="Calibri" w:hAnsi="Calibri" w:cs="Calibri"/>
          <w:sz w:val="24"/>
        </w:rPr>
        <w:t xml:space="preserve">clinical trials </w:t>
      </w:r>
      <w:r w:rsidR="00607C32" w:rsidRPr="00AB6515">
        <w:rPr>
          <w:rFonts w:ascii="Calibri" w:hAnsi="Calibri" w:cs="Calibri"/>
          <w:sz w:val="24"/>
        </w:rPr>
        <w:t xml:space="preserve">and </w:t>
      </w:r>
      <w:r w:rsidR="00F74E7D" w:rsidRPr="00AB6515">
        <w:rPr>
          <w:rFonts w:ascii="Calibri" w:hAnsi="Calibri" w:cs="Calibri"/>
          <w:sz w:val="24"/>
        </w:rPr>
        <w:t>Phase 1 trial</w:t>
      </w:r>
      <w:r w:rsidR="00607C32" w:rsidRPr="00AB6515">
        <w:rPr>
          <w:rFonts w:ascii="Calibri" w:hAnsi="Calibri" w:cs="Calibri"/>
          <w:sz w:val="24"/>
        </w:rPr>
        <w:t>s</w:t>
      </w:r>
      <w:r w:rsidR="00F74E7D" w:rsidRPr="00AB6515">
        <w:rPr>
          <w:rFonts w:ascii="Calibri" w:hAnsi="Calibri" w:cs="Calibri"/>
          <w:sz w:val="24"/>
        </w:rPr>
        <w:t xml:space="preserve"> involving healthy volunteers</w:t>
      </w:r>
      <w:r w:rsidR="00B154BB" w:rsidRPr="00AB6515">
        <w:rPr>
          <w:rFonts w:ascii="Calibri" w:hAnsi="Calibri" w:cs="Calibri"/>
          <w:sz w:val="24"/>
        </w:rPr>
        <w:t>.</w:t>
      </w:r>
    </w:p>
    <w:p w14:paraId="5F1F8FD9" w14:textId="598802BC" w:rsidR="007F39FA" w:rsidRPr="00AB6515" w:rsidRDefault="007F39FA" w:rsidP="003424A9">
      <w:pPr>
        <w:jc w:val="both"/>
        <w:rPr>
          <w:rFonts w:ascii="Calibri" w:hAnsi="Calibri" w:cs="Calibri"/>
          <w:sz w:val="24"/>
        </w:rPr>
      </w:pPr>
      <w:r w:rsidRPr="00AB6515">
        <w:rPr>
          <w:rFonts w:ascii="Calibri" w:hAnsi="Calibri" w:cs="Calibri"/>
          <w:sz w:val="24"/>
        </w:rPr>
        <w:t>For the first phase of the monitoring, p</w:t>
      </w:r>
      <w:r w:rsidR="00F74E7D" w:rsidRPr="00AB6515">
        <w:rPr>
          <w:rFonts w:ascii="Calibri" w:hAnsi="Calibri" w:cs="Calibri"/>
          <w:sz w:val="24"/>
        </w:rPr>
        <w:t>ublicly accessible d</w:t>
      </w:r>
      <w:r w:rsidR="00C054BF" w:rsidRPr="00AB6515">
        <w:rPr>
          <w:rFonts w:ascii="Calibri" w:hAnsi="Calibri" w:cs="Calibri"/>
          <w:sz w:val="24"/>
        </w:rPr>
        <w:t>atabases</w:t>
      </w:r>
      <w:r w:rsidR="00D43301" w:rsidRPr="00AB6515">
        <w:rPr>
          <w:rFonts w:ascii="Calibri" w:hAnsi="Calibri" w:cs="Calibri"/>
          <w:sz w:val="24"/>
        </w:rPr>
        <w:t xml:space="preserve"> (</w:t>
      </w:r>
      <w:r w:rsidR="00F74E7D" w:rsidRPr="00AB6515">
        <w:rPr>
          <w:rFonts w:ascii="Calibri" w:hAnsi="Calibri" w:cs="Calibri"/>
          <w:sz w:val="24"/>
        </w:rPr>
        <w:t xml:space="preserve">primarily </w:t>
      </w:r>
      <w:r w:rsidR="00D43301" w:rsidRPr="00AB6515">
        <w:rPr>
          <w:rFonts w:ascii="Calibri" w:hAnsi="Calibri" w:cs="Calibri"/>
          <w:sz w:val="24"/>
        </w:rPr>
        <w:t>clinicaltrials.gov and ISRCTN)</w:t>
      </w:r>
      <w:r w:rsidR="00C054BF" w:rsidRPr="00AB6515">
        <w:rPr>
          <w:rFonts w:ascii="Calibri" w:hAnsi="Calibri" w:cs="Calibri"/>
          <w:sz w:val="24"/>
        </w:rPr>
        <w:t xml:space="preserve"> were searched </w:t>
      </w:r>
      <w:r w:rsidR="00195090" w:rsidRPr="00AB6515">
        <w:rPr>
          <w:rFonts w:ascii="Calibri" w:hAnsi="Calibri" w:cs="Calibri"/>
          <w:sz w:val="24"/>
        </w:rPr>
        <w:t xml:space="preserve">via google </w:t>
      </w:r>
      <w:r w:rsidR="00C054BF" w:rsidRPr="00AB6515">
        <w:rPr>
          <w:rFonts w:ascii="Calibri" w:hAnsi="Calibri" w:cs="Calibri"/>
          <w:sz w:val="24"/>
        </w:rPr>
        <w:t>using the full study title and</w:t>
      </w:r>
      <w:r w:rsidR="00F74E7D" w:rsidRPr="00AB6515">
        <w:rPr>
          <w:rFonts w:ascii="Calibri" w:hAnsi="Calibri" w:cs="Calibri"/>
          <w:sz w:val="24"/>
        </w:rPr>
        <w:t>,</w:t>
      </w:r>
      <w:r w:rsidR="00C054BF" w:rsidRPr="00AB6515">
        <w:rPr>
          <w:rFonts w:ascii="Calibri" w:hAnsi="Calibri" w:cs="Calibri"/>
          <w:sz w:val="24"/>
        </w:rPr>
        <w:t xml:space="preserve"> if the trial</w:t>
      </w:r>
      <w:r w:rsidR="00F74E7D" w:rsidRPr="00AB6515">
        <w:rPr>
          <w:rFonts w:ascii="Calibri" w:hAnsi="Calibri" w:cs="Calibri"/>
          <w:sz w:val="24"/>
        </w:rPr>
        <w:t xml:space="preserve"> could not be located using the title</w:t>
      </w:r>
      <w:r w:rsidR="00C054BF" w:rsidRPr="00AB6515">
        <w:rPr>
          <w:rFonts w:ascii="Calibri" w:hAnsi="Calibri" w:cs="Calibri"/>
          <w:sz w:val="24"/>
        </w:rPr>
        <w:t xml:space="preserve">, the REC reference was searched. </w:t>
      </w:r>
      <w:r w:rsidR="00B154BB" w:rsidRPr="00AB6515">
        <w:rPr>
          <w:rFonts w:ascii="Calibri" w:hAnsi="Calibri" w:cs="Calibri"/>
          <w:sz w:val="24"/>
        </w:rPr>
        <w:t xml:space="preserve">The </w:t>
      </w:r>
      <w:r w:rsidRPr="00AB6515">
        <w:rPr>
          <w:rFonts w:ascii="Calibri" w:hAnsi="Calibri" w:cs="Calibri"/>
          <w:sz w:val="24"/>
        </w:rPr>
        <w:t xml:space="preserve">clinical trials monitored were all those listed as a clinical trial on the IRAS form which received a favourable opinion between </w:t>
      </w:r>
      <w:r w:rsidR="00AB6515" w:rsidRPr="00AB6515">
        <w:rPr>
          <w:rFonts w:ascii="Calibri" w:hAnsi="Calibri" w:cs="Calibri"/>
          <w:sz w:val="24"/>
        </w:rPr>
        <w:t xml:space="preserve">1 January 2015 - 30 June 2015 for medical device and ‘other’ clinical trials and from 30 September 2013 - 30 June 2015 for Phase 1 clinical trials. The search was undertaken at the end of August which allowed </w:t>
      </w:r>
      <w:r w:rsidR="007A57D2" w:rsidRPr="00AB6515">
        <w:rPr>
          <w:rFonts w:ascii="Calibri" w:hAnsi="Calibri" w:cs="Calibri"/>
          <w:sz w:val="24"/>
        </w:rPr>
        <w:t xml:space="preserve">7 weeks from the end of the reporting period to the date of the </w:t>
      </w:r>
      <w:r w:rsidR="003F441C" w:rsidRPr="00AB6515">
        <w:rPr>
          <w:rFonts w:ascii="Calibri" w:hAnsi="Calibri" w:cs="Calibri"/>
          <w:sz w:val="24"/>
        </w:rPr>
        <w:t>monitoring</w:t>
      </w:r>
      <w:r w:rsidR="00AB6515" w:rsidRPr="00AB6515">
        <w:rPr>
          <w:rFonts w:ascii="Calibri" w:hAnsi="Calibri" w:cs="Calibri"/>
          <w:sz w:val="24"/>
        </w:rPr>
        <w:t>.</w:t>
      </w:r>
      <w:r w:rsidR="007A57D2" w:rsidRPr="00AB6515">
        <w:rPr>
          <w:rFonts w:ascii="Calibri" w:hAnsi="Calibri" w:cs="Calibri"/>
          <w:sz w:val="24"/>
        </w:rPr>
        <w:t xml:space="preserve"> </w:t>
      </w:r>
      <w:r w:rsidR="00AB6515" w:rsidRPr="00AB6515">
        <w:rPr>
          <w:rFonts w:ascii="Calibri" w:hAnsi="Calibri" w:cs="Calibri"/>
          <w:sz w:val="24"/>
        </w:rPr>
        <w:t>However,</w:t>
      </w:r>
      <w:r w:rsidR="007A57D2" w:rsidRPr="00AB6515">
        <w:rPr>
          <w:rFonts w:ascii="Calibri" w:hAnsi="Calibri" w:cs="Calibri"/>
          <w:sz w:val="24"/>
        </w:rPr>
        <w:t xml:space="preserve"> it</w:t>
      </w:r>
      <w:r w:rsidR="00AB6515" w:rsidRPr="00AB6515">
        <w:rPr>
          <w:rFonts w:ascii="Calibri" w:hAnsi="Calibri" w:cs="Calibri"/>
          <w:sz w:val="24"/>
        </w:rPr>
        <w:t xml:space="preserve"> was accepted that it was</w:t>
      </w:r>
      <w:r w:rsidR="007A57D2" w:rsidRPr="00AB6515">
        <w:rPr>
          <w:rFonts w:ascii="Calibri" w:hAnsi="Calibri" w:cs="Calibri"/>
          <w:sz w:val="24"/>
        </w:rPr>
        <w:t xml:space="preserve"> unlikely studies </w:t>
      </w:r>
      <w:r w:rsidR="00AB6515" w:rsidRPr="00AB6515">
        <w:rPr>
          <w:rFonts w:ascii="Calibri" w:hAnsi="Calibri" w:cs="Calibri"/>
          <w:sz w:val="24"/>
        </w:rPr>
        <w:t>would</w:t>
      </w:r>
      <w:r w:rsidR="007A57D2" w:rsidRPr="00AB6515">
        <w:rPr>
          <w:rFonts w:ascii="Calibri" w:hAnsi="Calibri" w:cs="Calibri"/>
          <w:sz w:val="24"/>
        </w:rPr>
        <w:t xml:space="preserve"> have commenced</w:t>
      </w:r>
      <w:r w:rsidR="00BD3078">
        <w:rPr>
          <w:rFonts w:ascii="Calibri" w:hAnsi="Calibri" w:cs="Calibri"/>
          <w:sz w:val="24"/>
        </w:rPr>
        <w:t xml:space="preserve"> and recruited</w:t>
      </w:r>
      <w:r w:rsidR="007A57D2" w:rsidRPr="00AB6515">
        <w:rPr>
          <w:rFonts w:ascii="Calibri" w:hAnsi="Calibri" w:cs="Calibri"/>
          <w:sz w:val="24"/>
        </w:rPr>
        <w:t xml:space="preserve"> immediately </w:t>
      </w:r>
      <w:r w:rsidR="00AB6515" w:rsidRPr="00AB6515">
        <w:rPr>
          <w:rFonts w:ascii="Calibri" w:hAnsi="Calibri" w:cs="Calibri"/>
          <w:sz w:val="24"/>
        </w:rPr>
        <w:t>after the favourable opinion had</w:t>
      </w:r>
      <w:r w:rsidR="007A57D2" w:rsidRPr="00AB6515">
        <w:rPr>
          <w:rFonts w:ascii="Calibri" w:hAnsi="Calibri" w:cs="Calibri"/>
          <w:sz w:val="24"/>
        </w:rPr>
        <w:t xml:space="preserve"> been issued</w:t>
      </w:r>
      <w:r w:rsidR="00AB6515" w:rsidRPr="00AB6515">
        <w:rPr>
          <w:rFonts w:ascii="Calibri" w:hAnsi="Calibri" w:cs="Calibri"/>
          <w:sz w:val="24"/>
        </w:rPr>
        <w:t xml:space="preserve"> and therefore it was accepted tha</w:t>
      </w:r>
      <w:r w:rsidR="00B07BF1">
        <w:rPr>
          <w:rFonts w:ascii="Calibri" w:hAnsi="Calibri" w:cs="Calibri"/>
          <w:sz w:val="24"/>
        </w:rPr>
        <w:t>t</w:t>
      </w:r>
      <w:r w:rsidR="00AB6515" w:rsidRPr="00AB6515">
        <w:rPr>
          <w:rFonts w:ascii="Calibri" w:hAnsi="Calibri" w:cs="Calibri"/>
          <w:sz w:val="24"/>
        </w:rPr>
        <w:t xml:space="preserve"> not identifying a clinical trial did not necessarily mean that the sponsor was in breach of the condition of the favourable opinion</w:t>
      </w:r>
      <w:r w:rsidR="007A57D2" w:rsidRPr="00AB6515">
        <w:rPr>
          <w:rFonts w:ascii="Calibri" w:hAnsi="Calibri" w:cs="Calibri"/>
          <w:sz w:val="24"/>
        </w:rPr>
        <w:t xml:space="preserve">. </w:t>
      </w:r>
      <w:r w:rsidR="00C054BF" w:rsidRPr="00AB6515">
        <w:rPr>
          <w:rFonts w:ascii="Calibri" w:hAnsi="Calibri" w:cs="Calibri"/>
          <w:sz w:val="24"/>
        </w:rPr>
        <w:t xml:space="preserve">Additionally, in some cases, not finding the trial may have been due to the search method rather than the trial not having been registered. </w:t>
      </w:r>
    </w:p>
    <w:p w14:paraId="44584788" w14:textId="4CEEF93C" w:rsidR="00E67CA3" w:rsidRPr="00AB6515" w:rsidRDefault="00C054BF" w:rsidP="003424A9">
      <w:pPr>
        <w:jc w:val="both"/>
        <w:rPr>
          <w:rFonts w:ascii="Calibri" w:hAnsi="Calibri" w:cs="Calibri"/>
          <w:sz w:val="24"/>
        </w:rPr>
      </w:pPr>
      <w:r w:rsidRPr="00AB6515">
        <w:rPr>
          <w:rFonts w:ascii="Calibri" w:hAnsi="Calibri" w:cs="Calibri"/>
          <w:sz w:val="24"/>
        </w:rPr>
        <w:t xml:space="preserve">The </w:t>
      </w:r>
      <w:r w:rsidR="00AB6515" w:rsidRPr="00AB6515">
        <w:rPr>
          <w:rFonts w:ascii="Calibri" w:hAnsi="Calibri" w:cs="Calibri"/>
          <w:sz w:val="24"/>
        </w:rPr>
        <w:t>second</w:t>
      </w:r>
      <w:r w:rsidRPr="00AB6515">
        <w:rPr>
          <w:rFonts w:ascii="Calibri" w:hAnsi="Calibri" w:cs="Calibri"/>
          <w:sz w:val="24"/>
        </w:rPr>
        <w:t xml:space="preserve"> phase</w:t>
      </w:r>
      <w:r w:rsidR="00AB6515" w:rsidRPr="00AB6515">
        <w:rPr>
          <w:rFonts w:ascii="Calibri" w:hAnsi="Calibri" w:cs="Calibri"/>
          <w:sz w:val="24"/>
        </w:rPr>
        <w:t xml:space="preserve"> which was undertaken December 2015 - January 2016</w:t>
      </w:r>
      <w:r w:rsidRPr="00AB6515">
        <w:rPr>
          <w:rFonts w:ascii="Calibri" w:hAnsi="Calibri" w:cs="Calibri"/>
          <w:sz w:val="24"/>
        </w:rPr>
        <w:t xml:space="preserve"> involve</w:t>
      </w:r>
      <w:r w:rsidR="00AB6515" w:rsidRPr="00AB6515">
        <w:rPr>
          <w:rFonts w:ascii="Calibri" w:hAnsi="Calibri" w:cs="Calibri"/>
          <w:sz w:val="24"/>
        </w:rPr>
        <w:t>d</w:t>
      </w:r>
      <w:r w:rsidR="00177758">
        <w:rPr>
          <w:rFonts w:ascii="Calibri" w:hAnsi="Calibri" w:cs="Calibri"/>
          <w:sz w:val="24"/>
        </w:rPr>
        <w:t xml:space="preserve"> searching databases to see whether the trial could now be located and if not,</w:t>
      </w:r>
      <w:r w:rsidRPr="00AB6515">
        <w:rPr>
          <w:rFonts w:ascii="Calibri" w:hAnsi="Calibri" w:cs="Calibri"/>
          <w:sz w:val="24"/>
        </w:rPr>
        <w:t xml:space="preserve"> writing to sponsors</w:t>
      </w:r>
      <w:r w:rsidR="00AB6515" w:rsidRPr="00AB6515">
        <w:rPr>
          <w:rFonts w:ascii="Calibri" w:hAnsi="Calibri" w:cs="Calibri"/>
          <w:sz w:val="24"/>
        </w:rPr>
        <w:t xml:space="preserve"> and Chief Investigators (for Phase 1 trials the CRO was contacted and not the sponsor)</w:t>
      </w:r>
      <w:r w:rsidRPr="00AB6515">
        <w:rPr>
          <w:rFonts w:ascii="Calibri" w:hAnsi="Calibri" w:cs="Calibri"/>
          <w:sz w:val="24"/>
        </w:rPr>
        <w:t xml:space="preserve"> to request confirmation </w:t>
      </w:r>
      <w:r w:rsidRPr="00AB6515">
        <w:rPr>
          <w:rFonts w:ascii="Calibri" w:hAnsi="Calibri" w:cs="Calibri"/>
          <w:sz w:val="24"/>
        </w:rPr>
        <w:lastRenderedPageBreak/>
        <w:t>of whether the trial has bee</w:t>
      </w:r>
      <w:r w:rsidR="00BD3078">
        <w:rPr>
          <w:rFonts w:ascii="Calibri" w:hAnsi="Calibri" w:cs="Calibri"/>
          <w:sz w:val="24"/>
        </w:rPr>
        <w:t>n registered and if not, what</w:t>
      </w:r>
      <w:r w:rsidRPr="00AB6515">
        <w:rPr>
          <w:rFonts w:ascii="Calibri" w:hAnsi="Calibri" w:cs="Calibri"/>
          <w:sz w:val="24"/>
        </w:rPr>
        <w:t xml:space="preserve"> the reason for this</w:t>
      </w:r>
      <w:r w:rsidR="00BD3078">
        <w:rPr>
          <w:rFonts w:ascii="Calibri" w:hAnsi="Calibri" w:cs="Calibri"/>
          <w:sz w:val="24"/>
        </w:rPr>
        <w:t xml:space="preserve"> was and what</w:t>
      </w:r>
      <w:r w:rsidRPr="00AB6515">
        <w:rPr>
          <w:rFonts w:ascii="Calibri" w:hAnsi="Calibri" w:cs="Calibri"/>
          <w:sz w:val="24"/>
        </w:rPr>
        <w:t xml:space="preserve"> the expectation of the sponsor</w:t>
      </w:r>
      <w:r w:rsidR="00BD3078">
        <w:rPr>
          <w:rFonts w:ascii="Calibri" w:hAnsi="Calibri" w:cs="Calibri"/>
          <w:sz w:val="24"/>
        </w:rPr>
        <w:t xml:space="preserve"> was</w:t>
      </w:r>
      <w:r w:rsidRPr="00AB6515">
        <w:rPr>
          <w:rFonts w:ascii="Calibri" w:hAnsi="Calibri" w:cs="Calibri"/>
          <w:sz w:val="24"/>
        </w:rPr>
        <w:t xml:space="preserve"> in terms of registering the trial.</w:t>
      </w:r>
    </w:p>
    <w:p w14:paraId="2AB0D1C4" w14:textId="78940978" w:rsidR="004275C9" w:rsidRPr="00AB6515" w:rsidRDefault="004275C9" w:rsidP="004275C9">
      <w:pPr>
        <w:rPr>
          <w:rFonts w:ascii="Calibri" w:hAnsi="Calibri" w:cs="Calibri"/>
          <w:sz w:val="24"/>
        </w:rPr>
      </w:pPr>
      <w:r w:rsidRPr="00AB6515">
        <w:rPr>
          <w:rFonts w:ascii="Calibri" w:hAnsi="Calibri" w:cs="Calibri"/>
          <w:sz w:val="24"/>
        </w:rPr>
        <w:t>The e-mail</w:t>
      </w:r>
      <w:r w:rsidR="003F441C" w:rsidRPr="00AB6515">
        <w:rPr>
          <w:rFonts w:ascii="Calibri" w:hAnsi="Calibri" w:cs="Calibri"/>
          <w:sz w:val="24"/>
        </w:rPr>
        <w:t xml:space="preserve"> informed the CI about the monitoring</w:t>
      </w:r>
      <w:r w:rsidRPr="00AB6515">
        <w:rPr>
          <w:rFonts w:ascii="Calibri" w:hAnsi="Calibri" w:cs="Calibri"/>
          <w:sz w:val="24"/>
        </w:rPr>
        <w:t xml:space="preserve"> and asked:</w:t>
      </w:r>
    </w:p>
    <w:p w14:paraId="5C6C157B" w14:textId="77777777" w:rsidR="004275C9" w:rsidRPr="00AB6515" w:rsidRDefault="004275C9" w:rsidP="004275C9">
      <w:pPr>
        <w:pStyle w:val="ListParagraph"/>
        <w:numPr>
          <w:ilvl w:val="0"/>
          <w:numId w:val="19"/>
        </w:numPr>
        <w:rPr>
          <w:rFonts w:ascii="Calibri" w:hAnsi="Calibri" w:cs="Calibri"/>
          <w:sz w:val="24"/>
          <w:szCs w:val="24"/>
        </w:rPr>
      </w:pPr>
      <w:r w:rsidRPr="00AB6515">
        <w:rPr>
          <w:rFonts w:ascii="Calibri" w:hAnsi="Calibri" w:cs="Calibri"/>
          <w:sz w:val="24"/>
          <w:szCs w:val="24"/>
        </w:rPr>
        <w:t xml:space="preserve">Has the clinical trial been registered and if so, to please provide the registration number. </w:t>
      </w:r>
    </w:p>
    <w:p w14:paraId="39810240" w14:textId="77777777" w:rsidR="004275C9" w:rsidRPr="00AB6515" w:rsidRDefault="004275C9" w:rsidP="004275C9">
      <w:pPr>
        <w:pStyle w:val="ListParagraph"/>
        <w:ind w:left="1080"/>
        <w:rPr>
          <w:rFonts w:ascii="Calibri" w:hAnsi="Calibri" w:cs="Calibri"/>
          <w:sz w:val="24"/>
          <w:szCs w:val="24"/>
        </w:rPr>
      </w:pPr>
      <w:proofErr w:type="gramStart"/>
      <w:r w:rsidRPr="00AB6515">
        <w:rPr>
          <w:rFonts w:ascii="Calibri" w:hAnsi="Calibri" w:cs="Calibri"/>
          <w:sz w:val="24"/>
          <w:szCs w:val="24"/>
        </w:rPr>
        <w:t>or</w:t>
      </w:r>
      <w:proofErr w:type="gramEnd"/>
    </w:p>
    <w:p w14:paraId="254020AD" w14:textId="77777777" w:rsidR="004275C9" w:rsidRPr="00AB6515" w:rsidRDefault="004275C9" w:rsidP="004275C9">
      <w:pPr>
        <w:pStyle w:val="ListParagraph"/>
        <w:numPr>
          <w:ilvl w:val="0"/>
          <w:numId w:val="19"/>
        </w:numPr>
        <w:rPr>
          <w:rFonts w:ascii="Calibri" w:hAnsi="Calibri" w:cs="Calibri"/>
          <w:sz w:val="24"/>
          <w:szCs w:val="24"/>
        </w:rPr>
      </w:pPr>
      <w:r w:rsidRPr="00AB6515">
        <w:rPr>
          <w:rFonts w:ascii="Calibri" w:hAnsi="Calibri" w:cs="Calibri"/>
          <w:sz w:val="24"/>
          <w:szCs w:val="24"/>
        </w:rPr>
        <w:t xml:space="preserve">If the clinical trial has not been registered then please provide an explanation of why it was not registered and to confirm when the trial would be registered.  </w:t>
      </w:r>
    </w:p>
    <w:p w14:paraId="7FAD0A51" w14:textId="6376A5FF" w:rsidR="00456DB7" w:rsidRDefault="00456DB7" w:rsidP="00D27A5C">
      <w:pPr>
        <w:rPr>
          <w:rFonts w:ascii="Calibri" w:hAnsi="Calibri" w:cs="Calibri"/>
          <w:sz w:val="24"/>
        </w:rPr>
      </w:pPr>
      <w:r w:rsidRPr="00456DB7">
        <w:rPr>
          <w:rFonts w:ascii="Calibri" w:hAnsi="Calibri" w:cs="Calibri"/>
          <w:sz w:val="24"/>
        </w:rPr>
        <w:t>Where no response was received after the first e-mail, a second e-mail was sent. Where a second e-mail was sent</w:t>
      </w:r>
      <w:r w:rsidR="00177758">
        <w:rPr>
          <w:rFonts w:ascii="Calibri" w:hAnsi="Calibri" w:cs="Calibri"/>
          <w:sz w:val="24"/>
        </w:rPr>
        <w:t xml:space="preserve"> and a response was still not received</w:t>
      </w:r>
      <w:r w:rsidRPr="00456DB7">
        <w:rPr>
          <w:rFonts w:ascii="Calibri" w:hAnsi="Calibri" w:cs="Calibri"/>
          <w:sz w:val="24"/>
        </w:rPr>
        <w:t xml:space="preserve">, a ‘no response’ was recorded after the final date given </w:t>
      </w:r>
      <w:r w:rsidR="00224178">
        <w:rPr>
          <w:rFonts w:ascii="Calibri" w:hAnsi="Calibri" w:cs="Calibri"/>
          <w:sz w:val="24"/>
        </w:rPr>
        <w:t>by which to</w:t>
      </w:r>
      <w:r w:rsidRPr="00456DB7">
        <w:rPr>
          <w:rFonts w:ascii="Calibri" w:hAnsi="Calibri" w:cs="Calibri"/>
          <w:sz w:val="24"/>
        </w:rPr>
        <w:t xml:space="preserve"> respond.</w:t>
      </w:r>
    </w:p>
    <w:p w14:paraId="3A906958" w14:textId="17D26B78" w:rsidR="00AB6515" w:rsidRPr="00AB6515" w:rsidRDefault="00AB6515" w:rsidP="00D27A5C">
      <w:pPr>
        <w:rPr>
          <w:rFonts w:ascii="Calibri" w:hAnsi="Calibri" w:cs="Calibri"/>
          <w:sz w:val="24"/>
          <w:highlight w:val="yellow"/>
        </w:rPr>
      </w:pPr>
      <w:r w:rsidRPr="00AB6515">
        <w:rPr>
          <w:rFonts w:ascii="Calibri" w:hAnsi="Calibri" w:cs="Calibri"/>
          <w:sz w:val="24"/>
        </w:rPr>
        <w:t>The purpose of the exercise was to monitor and report to the HRA Board on the levels of compliance as part of the HRA duties to promote research transparency, duties that are described in the Care Act.</w:t>
      </w:r>
    </w:p>
    <w:p w14:paraId="57C51082" w14:textId="77777777" w:rsidR="00D27A5C" w:rsidRPr="004275C9" w:rsidRDefault="00D27A5C" w:rsidP="004275C9">
      <w:pPr>
        <w:pStyle w:val="ListParagraph"/>
        <w:ind w:left="1080"/>
        <w:rPr>
          <w:rFonts w:ascii="Calibri" w:hAnsi="Calibri" w:cs="Calibri"/>
        </w:rPr>
      </w:pPr>
    </w:p>
    <w:p w14:paraId="2DF3DE22" w14:textId="4B397DD4" w:rsidR="004275C9" w:rsidRPr="00177758" w:rsidRDefault="004275C9" w:rsidP="00177758">
      <w:pPr>
        <w:pStyle w:val="ListParagraph"/>
        <w:numPr>
          <w:ilvl w:val="0"/>
          <w:numId w:val="23"/>
        </w:numPr>
        <w:rPr>
          <w:rFonts w:ascii="Calibri" w:hAnsi="Calibri" w:cs="Calibri"/>
          <w:sz w:val="24"/>
          <w:u w:val="single"/>
        </w:rPr>
      </w:pPr>
      <w:r w:rsidRPr="00177758">
        <w:rPr>
          <w:rFonts w:ascii="Calibri" w:hAnsi="Calibri" w:cs="Calibri"/>
          <w:sz w:val="24"/>
          <w:u w:val="single"/>
        </w:rPr>
        <w:t>The below tables are a breakdown as a comparison to the position in August 2015</w:t>
      </w:r>
    </w:p>
    <w:p w14:paraId="3F1F86F7" w14:textId="12BA2C43" w:rsidR="004275C9" w:rsidRPr="004275C9" w:rsidRDefault="00177758" w:rsidP="00310D13">
      <w:pPr>
        <w:ind w:left="360" w:firstLine="360"/>
        <w:rPr>
          <w:rFonts w:ascii="Calibri" w:hAnsi="Calibri" w:cs="Calibri"/>
        </w:rPr>
      </w:pPr>
      <w:r>
        <w:rPr>
          <w:rFonts w:ascii="Calibri" w:hAnsi="Calibri" w:cs="Calibri"/>
        </w:rPr>
        <w:t>3</w:t>
      </w:r>
      <w:r w:rsidR="00310D13">
        <w:rPr>
          <w:rFonts w:ascii="Calibri" w:hAnsi="Calibri" w:cs="Calibri"/>
        </w:rPr>
        <w:t>.1 Phase 1 Clinical T</w:t>
      </w:r>
      <w:r w:rsidR="004275C9" w:rsidRPr="004275C9">
        <w:rPr>
          <w:rFonts w:ascii="Calibri" w:hAnsi="Calibri" w:cs="Calibri"/>
        </w:rPr>
        <w:t>rials</w:t>
      </w:r>
      <w:r w:rsidR="003044CC">
        <w:rPr>
          <w:rFonts w:ascii="Calibri" w:hAnsi="Calibri" w:cs="Calibri"/>
        </w:rPr>
        <w:t xml:space="preserve"> (monitoring period 30 September 2013 to 30 June 2015)</w:t>
      </w:r>
    </w:p>
    <w:tbl>
      <w:tblPr>
        <w:tblW w:w="9415" w:type="dxa"/>
        <w:tblInd w:w="103" w:type="dxa"/>
        <w:tblLook w:val="04A0" w:firstRow="1" w:lastRow="0" w:firstColumn="1" w:lastColumn="0" w:noHBand="0" w:noVBand="1"/>
      </w:tblPr>
      <w:tblGrid>
        <w:gridCol w:w="6242"/>
        <w:gridCol w:w="771"/>
        <w:gridCol w:w="730"/>
        <w:gridCol w:w="767"/>
        <w:gridCol w:w="905"/>
      </w:tblGrid>
      <w:tr w:rsidR="004275C9" w:rsidRPr="004275C9" w14:paraId="54C89805" w14:textId="77777777" w:rsidTr="00BB4E7D">
        <w:trPr>
          <w:trHeight w:val="300"/>
        </w:trPr>
        <w:tc>
          <w:tcPr>
            <w:tcW w:w="624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tcPr>
          <w:p w14:paraId="7F9D7EDC" w14:textId="77777777" w:rsidR="004275C9" w:rsidRPr="004275C9" w:rsidRDefault="004275C9" w:rsidP="00630EB9">
            <w:pPr>
              <w:spacing w:after="0" w:line="240" w:lineRule="auto"/>
              <w:rPr>
                <w:rFonts w:ascii="Calibri" w:eastAsia="Times New Roman" w:hAnsi="Calibri" w:cs="Calibri"/>
                <w:b/>
                <w:color w:val="000000"/>
                <w:szCs w:val="22"/>
                <w:lang w:eastAsia="en-GB"/>
              </w:rPr>
            </w:pPr>
          </w:p>
        </w:tc>
        <w:tc>
          <w:tcPr>
            <w:tcW w:w="1501" w:type="dxa"/>
            <w:gridSpan w:val="2"/>
            <w:tcBorders>
              <w:top w:val="single" w:sz="4" w:space="0" w:color="auto"/>
              <w:left w:val="nil"/>
              <w:bottom w:val="single" w:sz="4" w:space="0" w:color="auto"/>
              <w:right w:val="single" w:sz="4" w:space="0" w:color="auto"/>
            </w:tcBorders>
            <w:shd w:val="clear" w:color="auto" w:fill="CCC0D9" w:themeFill="accent4" w:themeFillTint="66"/>
            <w:noWrap/>
          </w:tcPr>
          <w:p w14:paraId="5818CD2F" w14:textId="77777777" w:rsidR="004275C9" w:rsidRPr="004275C9" w:rsidRDefault="004275C9" w:rsidP="004275C9">
            <w:pPr>
              <w:spacing w:after="0" w:line="240" w:lineRule="auto"/>
              <w:jc w:val="center"/>
              <w:rPr>
                <w:rFonts w:ascii="Calibri" w:eastAsia="Times New Roman" w:hAnsi="Calibri" w:cs="Calibri"/>
                <w:b/>
                <w:color w:val="000000"/>
                <w:szCs w:val="22"/>
                <w:lang w:eastAsia="en-GB"/>
              </w:rPr>
            </w:pPr>
            <w:r w:rsidRPr="004275C9">
              <w:rPr>
                <w:rFonts w:ascii="Calibri" w:eastAsia="Times New Roman" w:hAnsi="Calibri" w:cs="Calibri"/>
                <w:b/>
                <w:color w:val="000000"/>
                <w:szCs w:val="22"/>
                <w:lang w:eastAsia="en-GB"/>
              </w:rPr>
              <w:t>August 2015</w:t>
            </w:r>
          </w:p>
        </w:tc>
        <w:tc>
          <w:tcPr>
            <w:tcW w:w="1672" w:type="dxa"/>
            <w:gridSpan w:val="2"/>
            <w:tcBorders>
              <w:top w:val="single" w:sz="4" w:space="0" w:color="auto"/>
              <w:left w:val="nil"/>
              <w:bottom w:val="single" w:sz="4" w:space="0" w:color="auto"/>
              <w:right w:val="single" w:sz="4" w:space="0" w:color="auto"/>
            </w:tcBorders>
            <w:shd w:val="clear" w:color="auto" w:fill="CCC0D9" w:themeFill="accent4" w:themeFillTint="66"/>
          </w:tcPr>
          <w:p w14:paraId="4A84694D" w14:textId="77777777" w:rsidR="004275C9" w:rsidRPr="004275C9" w:rsidRDefault="004275C9" w:rsidP="004275C9">
            <w:pPr>
              <w:spacing w:after="0" w:line="240" w:lineRule="auto"/>
              <w:jc w:val="center"/>
              <w:rPr>
                <w:rFonts w:ascii="Calibri" w:eastAsia="Times New Roman" w:hAnsi="Calibri" w:cs="Calibri"/>
                <w:b/>
                <w:color w:val="000000"/>
                <w:szCs w:val="22"/>
                <w:lang w:eastAsia="en-GB"/>
              </w:rPr>
            </w:pPr>
            <w:r w:rsidRPr="004275C9">
              <w:rPr>
                <w:rFonts w:ascii="Calibri" w:eastAsia="Times New Roman" w:hAnsi="Calibri" w:cs="Calibri"/>
                <w:b/>
                <w:color w:val="000000"/>
                <w:szCs w:val="22"/>
                <w:lang w:eastAsia="en-GB"/>
              </w:rPr>
              <w:t>January 2016</w:t>
            </w:r>
          </w:p>
        </w:tc>
      </w:tr>
      <w:tr w:rsidR="004275C9" w:rsidRPr="004275C9" w14:paraId="5015C3EA" w14:textId="77777777" w:rsidTr="00BB4E7D">
        <w:trPr>
          <w:trHeight w:val="404"/>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CEAFC"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Total number of Phase 1 trials with a FO during the reporting period</w:t>
            </w:r>
          </w:p>
        </w:tc>
        <w:tc>
          <w:tcPr>
            <w:tcW w:w="77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94F7FFF" w14:textId="642E8734" w:rsidR="004275C9" w:rsidRPr="004275C9" w:rsidRDefault="00BB4E7D"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331</w:t>
            </w:r>
          </w:p>
        </w:tc>
        <w:tc>
          <w:tcPr>
            <w:tcW w:w="730" w:type="dxa"/>
            <w:tcBorders>
              <w:top w:val="single" w:sz="4" w:space="0" w:color="auto"/>
              <w:left w:val="nil"/>
              <w:bottom w:val="single" w:sz="4" w:space="0" w:color="auto"/>
              <w:right w:val="single" w:sz="4" w:space="0" w:color="auto"/>
            </w:tcBorders>
            <w:shd w:val="clear" w:color="auto" w:fill="D9D9D9" w:themeFill="background1" w:themeFillShade="D9"/>
          </w:tcPr>
          <w:p w14:paraId="49EE00D3" w14:textId="77777777" w:rsidR="004275C9" w:rsidRPr="004275C9" w:rsidRDefault="004275C9" w:rsidP="00630EB9">
            <w:pPr>
              <w:spacing w:after="0" w:line="240" w:lineRule="auto"/>
              <w:rPr>
                <w:rFonts w:ascii="Calibri" w:eastAsia="Times New Roman" w:hAnsi="Calibri" w:cs="Calibri"/>
                <w:color w:val="000000"/>
                <w:szCs w:val="22"/>
                <w:lang w:eastAsia="en-GB"/>
              </w:rPr>
            </w:pPr>
          </w:p>
        </w:tc>
        <w:tc>
          <w:tcPr>
            <w:tcW w:w="767" w:type="dxa"/>
            <w:tcBorders>
              <w:top w:val="single" w:sz="4" w:space="0" w:color="auto"/>
              <w:left w:val="nil"/>
              <w:bottom w:val="single" w:sz="4" w:space="0" w:color="auto"/>
              <w:right w:val="single" w:sz="4" w:space="0" w:color="auto"/>
            </w:tcBorders>
          </w:tcPr>
          <w:p w14:paraId="4AA2786B" w14:textId="6805C1B6" w:rsidR="004275C9" w:rsidRPr="004275C9" w:rsidRDefault="00977204"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331</w:t>
            </w:r>
          </w:p>
        </w:tc>
        <w:tc>
          <w:tcPr>
            <w:tcW w:w="905" w:type="dxa"/>
            <w:tcBorders>
              <w:top w:val="single" w:sz="4" w:space="0" w:color="auto"/>
              <w:left w:val="nil"/>
              <w:bottom w:val="single" w:sz="4" w:space="0" w:color="auto"/>
              <w:right w:val="single" w:sz="4" w:space="0" w:color="auto"/>
            </w:tcBorders>
          </w:tcPr>
          <w:p w14:paraId="55F26B93" w14:textId="77777777" w:rsidR="004275C9" w:rsidRPr="004275C9" w:rsidRDefault="004275C9" w:rsidP="00630EB9">
            <w:pPr>
              <w:spacing w:after="0" w:line="240" w:lineRule="auto"/>
              <w:rPr>
                <w:rFonts w:ascii="Calibri" w:eastAsia="Times New Roman" w:hAnsi="Calibri" w:cs="Calibri"/>
                <w:color w:val="000000"/>
                <w:szCs w:val="22"/>
                <w:lang w:eastAsia="en-GB"/>
              </w:rPr>
            </w:pPr>
          </w:p>
        </w:tc>
      </w:tr>
      <w:tr w:rsidR="004275C9" w:rsidRPr="004275C9" w14:paraId="0153F5F3" w14:textId="77777777" w:rsidTr="00BB4E7D">
        <w:trPr>
          <w:trHeight w:val="300"/>
        </w:trPr>
        <w:tc>
          <w:tcPr>
            <w:tcW w:w="6242" w:type="dxa"/>
            <w:tcBorders>
              <w:top w:val="nil"/>
              <w:left w:val="single" w:sz="4" w:space="0" w:color="auto"/>
              <w:bottom w:val="single" w:sz="4" w:space="0" w:color="auto"/>
              <w:right w:val="single" w:sz="4" w:space="0" w:color="auto"/>
            </w:tcBorders>
            <w:shd w:val="clear" w:color="auto" w:fill="auto"/>
            <w:noWrap/>
            <w:vAlign w:val="bottom"/>
          </w:tcPr>
          <w:p w14:paraId="6E09B5DB"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Total number of Phase 1 trial registered on a publicly accessible database at the time of reporting</w:t>
            </w:r>
          </w:p>
        </w:tc>
        <w:tc>
          <w:tcPr>
            <w:tcW w:w="771" w:type="dxa"/>
            <w:tcBorders>
              <w:top w:val="single" w:sz="4" w:space="0" w:color="auto"/>
              <w:left w:val="nil"/>
              <w:bottom w:val="single" w:sz="4" w:space="0" w:color="auto"/>
              <w:right w:val="single" w:sz="4" w:space="0" w:color="auto"/>
            </w:tcBorders>
            <w:shd w:val="clear" w:color="auto" w:fill="D9D9D9" w:themeFill="background1" w:themeFillShade="D9"/>
            <w:noWrap/>
          </w:tcPr>
          <w:p w14:paraId="05928833"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208</w:t>
            </w:r>
          </w:p>
        </w:tc>
        <w:tc>
          <w:tcPr>
            <w:tcW w:w="730" w:type="dxa"/>
            <w:tcBorders>
              <w:top w:val="single" w:sz="4" w:space="0" w:color="auto"/>
              <w:left w:val="nil"/>
              <w:bottom w:val="single" w:sz="4" w:space="0" w:color="auto"/>
              <w:right w:val="single" w:sz="4" w:space="0" w:color="auto"/>
            </w:tcBorders>
            <w:shd w:val="clear" w:color="auto" w:fill="D9D9D9" w:themeFill="background1" w:themeFillShade="D9"/>
          </w:tcPr>
          <w:p w14:paraId="617FC6BF" w14:textId="22AD953C" w:rsidR="004275C9" w:rsidRPr="004275C9" w:rsidRDefault="00BB4E7D"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63</w:t>
            </w:r>
            <w:r w:rsidR="004275C9" w:rsidRPr="004275C9">
              <w:rPr>
                <w:rFonts w:ascii="Calibri" w:eastAsia="Times New Roman" w:hAnsi="Calibri" w:cs="Calibri"/>
                <w:color w:val="000000"/>
                <w:szCs w:val="22"/>
                <w:lang w:eastAsia="en-GB"/>
              </w:rPr>
              <w:t>%</w:t>
            </w:r>
          </w:p>
        </w:tc>
        <w:tc>
          <w:tcPr>
            <w:tcW w:w="767" w:type="dxa"/>
            <w:tcBorders>
              <w:top w:val="nil"/>
              <w:left w:val="nil"/>
              <w:bottom w:val="single" w:sz="4" w:space="0" w:color="auto"/>
              <w:right w:val="single" w:sz="4" w:space="0" w:color="auto"/>
            </w:tcBorders>
          </w:tcPr>
          <w:p w14:paraId="7DF86C64" w14:textId="05CEA8CD" w:rsidR="004275C9" w:rsidRPr="004275C9" w:rsidRDefault="00977204"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254</w:t>
            </w:r>
          </w:p>
        </w:tc>
        <w:tc>
          <w:tcPr>
            <w:tcW w:w="905" w:type="dxa"/>
            <w:tcBorders>
              <w:top w:val="nil"/>
              <w:left w:val="nil"/>
              <w:bottom w:val="single" w:sz="4" w:space="0" w:color="auto"/>
              <w:right w:val="single" w:sz="4" w:space="0" w:color="auto"/>
            </w:tcBorders>
          </w:tcPr>
          <w:p w14:paraId="3E6344D2"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77%</w:t>
            </w:r>
          </w:p>
        </w:tc>
      </w:tr>
      <w:tr w:rsidR="004275C9" w:rsidRPr="004275C9" w14:paraId="6DE8D72A" w14:textId="77777777" w:rsidTr="00BB4E7D">
        <w:trPr>
          <w:trHeight w:val="300"/>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0D0F0D99"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Of the total number registered, those found on ISRCTN or other</w:t>
            </w:r>
          </w:p>
        </w:tc>
        <w:tc>
          <w:tcPr>
            <w:tcW w:w="77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5896168"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(6)</w:t>
            </w:r>
          </w:p>
        </w:tc>
        <w:tc>
          <w:tcPr>
            <w:tcW w:w="730" w:type="dxa"/>
            <w:tcBorders>
              <w:top w:val="single" w:sz="4" w:space="0" w:color="auto"/>
              <w:left w:val="nil"/>
              <w:bottom w:val="single" w:sz="4" w:space="0" w:color="auto"/>
              <w:right w:val="single" w:sz="4" w:space="0" w:color="auto"/>
            </w:tcBorders>
            <w:shd w:val="clear" w:color="auto" w:fill="D9D9D9" w:themeFill="background1" w:themeFillShade="D9"/>
          </w:tcPr>
          <w:p w14:paraId="526A81F3" w14:textId="0E7B7337" w:rsidR="004275C9" w:rsidRPr="004275C9" w:rsidRDefault="004C59FB"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(3</w:t>
            </w:r>
            <w:r w:rsidR="004275C9" w:rsidRPr="004275C9">
              <w:rPr>
                <w:rFonts w:ascii="Calibri" w:eastAsia="Times New Roman" w:hAnsi="Calibri" w:cs="Calibri"/>
                <w:color w:val="000000"/>
                <w:szCs w:val="22"/>
                <w:lang w:eastAsia="en-GB"/>
              </w:rPr>
              <w:t>%)</w:t>
            </w:r>
          </w:p>
        </w:tc>
        <w:tc>
          <w:tcPr>
            <w:tcW w:w="767" w:type="dxa"/>
            <w:tcBorders>
              <w:top w:val="nil"/>
              <w:left w:val="nil"/>
              <w:bottom w:val="single" w:sz="4" w:space="0" w:color="auto"/>
              <w:right w:val="single" w:sz="4" w:space="0" w:color="auto"/>
            </w:tcBorders>
          </w:tcPr>
          <w:p w14:paraId="5B081B15" w14:textId="786F7CF0" w:rsidR="004275C9" w:rsidRPr="004275C9" w:rsidRDefault="00977204"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(15</w:t>
            </w:r>
            <w:r w:rsidR="004275C9" w:rsidRPr="004275C9">
              <w:rPr>
                <w:rFonts w:ascii="Calibri" w:eastAsia="Times New Roman" w:hAnsi="Calibri" w:cs="Calibri"/>
                <w:color w:val="000000"/>
                <w:szCs w:val="22"/>
                <w:lang w:eastAsia="en-GB"/>
              </w:rPr>
              <w:t>)</w:t>
            </w:r>
          </w:p>
        </w:tc>
        <w:tc>
          <w:tcPr>
            <w:tcW w:w="905" w:type="dxa"/>
            <w:tcBorders>
              <w:top w:val="nil"/>
              <w:left w:val="nil"/>
              <w:bottom w:val="single" w:sz="4" w:space="0" w:color="auto"/>
              <w:right w:val="single" w:sz="4" w:space="0" w:color="auto"/>
            </w:tcBorders>
          </w:tcPr>
          <w:p w14:paraId="6103E804" w14:textId="2DBFC2AC" w:rsidR="004275C9" w:rsidRPr="004275C9" w:rsidRDefault="00977204"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(6</w:t>
            </w:r>
            <w:r w:rsidR="004275C9" w:rsidRPr="004275C9">
              <w:rPr>
                <w:rFonts w:ascii="Calibri" w:eastAsia="Times New Roman" w:hAnsi="Calibri" w:cs="Calibri"/>
                <w:color w:val="000000"/>
                <w:szCs w:val="22"/>
                <w:lang w:eastAsia="en-GB"/>
              </w:rPr>
              <w:t>%)</w:t>
            </w:r>
          </w:p>
        </w:tc>
      </w:tr>
      <w:tr w:rsidR="004275C9" w:rsidRPr="004275C9" w14:paraId="6BDB5BE5" w14:textId="77777777" w:rsidTr="00BB4E7D">
        <w:trPr>
          <w:trHeight w:val="300"/>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18934DD0"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Of the total number registered, those found on clinicaltrials.gov</w:t>
            </w:r>
          </w:p>
        </w:tc>
        <w:tc>
          <w:tcPr>
            <w:tcW w:w="77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61CD916" w14:textId="3A793B70" w:rsidR="004275C9" w:rsidRPr="004275C9" w:rsidRDefault="004C59FB"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(202</w:t>
            </w:r>
            <w:r w:rsidR="004275C9" w:rsidRPr="004275C9">
              <w:rPr>
                <w:rFonts w:ascii="Calibri" w:eastAsia="Times New Roman" w:hAnsi="Calibri" w:cs="Calibri"/>
                <w:color w:val="000000"/>
                <w:szCs w:val="22"/>
                <w:lang w:eastAsia="en-GB"/>
              </w:rPr>
              <w:t>)</w:t>
            </w:r>
          </w:p>
        </w:tc>
        <w:tc>
          <w:tcPr>
            <w:tcW w:w="730" w:type="dxa"/>
            <w:tcBorders>
              <w:top w:val="single" w:sz="4" w:space="0" w:color="auto"/>
              <w:left w:val="nil"/>
              <w:bottom w:val="single" w:sz="4" w:space="0" w:color="auto"/>
              <w:right w:val="single" w:sz="4" w:space="0" w:color="auto"/>
            </w:tcBorders>
            <w:shd w:val="clear" w:color="auto" w:fill="D9D9D9" w:themeFill="background1" w:themeFillShade="D9"/>
          </w:tcPr>
          <w:p w14:paraId="7BC1077E" w14:textId="2C3FFDF3" w:rsidR="004275C9" w:rsidRPr="004275C9" w:rsidRDefault="004C59FB"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(97</w:t>
            </w:r>
            <w:r w:rsidR="004275C9" w:rsidRPr="004275C9">
              <w:rPr>
                <w:rFonts w:ascii="Calibri" w:eastAsia="Times New Roman" w:hAnsi="Calibri" w:cs="Calibri"/>
                <w:color w:val="000000"/>
                <w:szCs w:val="22"/>
                <w:lang w:eastAsia="en-GB"/>
              </w:rPr>
              <w:t>%)</w:t>
            </w:r>
          </w:p>
        </w:tc>
        <w:tc>
          <w:tcPr>
            <w:tcW w:w="767" w:type="dxa"/>
            <w:tcBorders>
              <w:top w:val="nil"/>
              <w:left w:val="nil"/>
              <w:bottom w:val="single" w:sz="4" w:space="0" w:color="auto"/>
              <w:right w:val="single" w:sz="4" w:space="0" w:color="auto"/>
            </w:tcBorders>
          </w:tcPr>
          <w:p w14:paraId="37495932" w14:textId="023FF2EC" w:rsidR="004275C9" w:rsidRPr="004275C9" w:rsidRDefault="00977204"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(239</w:t>
            </w:r>
            <w:r w:rsidR="004275C9" w:rsidRPr="004275C9">
              <w:rPr>
                <w:rFonts w:ascii="Calibri" w:eastAsia="Times New Roman" w:hAnsi="Calibri" w:cs="Calibri"/>
                <w:color w:val="000000"/>
                <w:szCs w:val="22"/>
                <w:lang w:eastAsia="en-GB"/>
              </w:rPr>
              <w:t>)</w:t>
            </w:r>
          </w:p>
        </w:tc>
        <w:tc>
          <w:tcPr>
            <w:tcW w:w="905" w:type="dxa"/>
            <w:tcBorders>
              <w:top w:val="nil"/>
              <w:left w:val="nil"/>
              <w:bottom w:val="single" w:sz="4" w:space="0" w:color="auto"/>
              <w:right w:val="single" w:sz="4" w:space="0" w:color="auto"/>
            </w:tcBorders>
          </w:tcPr>
          <w:p w14:paraId="13EFA6B6" w14:textId="6D82CCA7" w:rsidR="004275C9" w:rsidRPr="004275C9" w:rsidRDefault="004275C9" w:rsidP="00977204">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w:t>
            </w:r>
            <w:r w:rsidR="00977204">
              <w:rPr>
                <w:rFonts w:ascii="Calibri" w:eastAsia="Times New Roman" w:hAnsi="Calibri" w:cs="Calibri"/>
                <w:color w:val="000000"/>
                <w:szCs w:val="22"/>
                <w:lang w:eastAsia="en-GB"/>
              </w:rPr>
              <w:t>94</w:t>
            </w:r>
            <w:r w:rsidRPr="004275C9">
              <w:rPr>
                <w:rFonts w:ascii="Calibri" w:eastAsia="Times New Roman" w:hAnsi="Calibri" w:cs="Calibri"/>
                <w:color w:val="000000"/>
                <w:szCs w:val="22"/>
                <w:lang w:eastAsia="en-GB"/>
              </w:rPr>
              <w:t>%)</w:t>
            </w:r>
          </w:p>
        </w:tc>
      </w:tr>
      <w:tr w:rsidR="004275C9" w:rsidRPr="004275C9" w14:paraId="01F8C752" w14:textId="77777777" w:rsidTr="00BB4E7D">
        <w:trPr>
          <w:trHeight w:val="300"/>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14:paraId="596160D8"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The number of Phase 1 trials where a deferral was allowed</w:t>
            </w:r>
          </w:p>
        </w:tc>
        <w:tc>
          <w:tcPr>
            <w:tcW w:w="77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7CD13AA"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49</w:t>
            </w:r>
          </w:p>
        </w:tc>
        <w:tc>
          <w:tcPr>
            <w:tcW w:w="730" w:type="dxa"/>
            <w:tcBorders>
              <w:top w:val="single" w:sz="4" w:space="0" w:color="auto"/>
              <w:left w:val="nil"/>
              <w:bottom w:val="single" w:sz="4" w:space="0" w:color="auto"/>
              <w:right w:val="single" w:sz="4" w:space="0" w:color="auto"/>
            </w:tcBorders>
            <w:shd w:val="clear" w:color="auto" w:fill="D9D9D9" w:themeFill="background1" w:themeFillShade="D9"/>
          </w:tcPr>
          <w:p w14:paraId="61782863"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15%</w:t>
            </w:r>
          </w:p>
        </w:tc>
        <w:tc>
          <w:tcPr>
            <w:tcW w:w="767" w:type="dxa"/>
            <w:tcBorders>
              <w:top w:val="nil"/>
              <w:left w:val="nil"/>
              <w:bottom w:val="single" w:sz="4" w:space="0" w:color="auto"/>
              <w:right w:val="single" w:sz="4" w:space="0" w:color="auto"/>
            </w:tcBorders>
          </w:tcPr>
          <w:p w14:paraId="59B250AE"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50*</w:t>
            </w:r>
          </w:p>
        </w:tc>
        <w:tc>
          <w:tcPr>
            <w:tcW w:w="905" w:type="dxa"/>
            <w:tcBorders>
              <w:top w:val="nil"/>
              <w:left w:val="nil"/>
              <w:bottom w:val="single" w:sz="4" w:space="0" w:color="auto"/>
              <w:right w:val="single" w:sz="4" w:space="0" w:color="auto"/>
            </w:tcBorders>
          </w:tcPr>
          <w:p w14:paraId="28CE0093"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15%</w:t>
            </w:r>
          </w:p>
        </w:tc>
      </w:tr>
      <w:tr w:rsidR="004275C9" w:rsidRPr="004275C9" w14:paraId="1BD1E01C" w14:textId="77777777" w:rsidTr="00BB4E7D">
        <w:trPr>
          <w:trHeight w:val="300"/>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345F1"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The number of Phase 1 trials that could not be found at the time of reporting (breakdown of response to these below)</w:t>
            </w:r>
          </w:p>
        </w:tc>
        <w:tc>
          <w:tcPr>
            <w:tcW w:w="77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89F0E63"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74</w:t>
            </w:r>
          </w:p>
        </w:tc>
        <w:tc>
          <w:tcPr>
            <w:tcW w:w="730" w:type="dxa"/>
            <w:tcBorders>
              <w:top w:val="single" w:sz="4" w:space="0" w:color="auto"/>
              <w:left w:val="nil"/>
              <w:bottom w:val="single" w:sz="4" w:space="0" w:color="auto"/>
              <w:right w:val="single" w:sz="4" w:space="0" w:color="auto"/>
            </w:tcBorders>
            <w:shd w:val="clear" w:color="auto" w:fill="D9D9D9" w:themeFill="background1" w:themeFillShade="D9"/>
          </w:tcPr>
          <w:p w14:paraId="68F7C2A8" w14:textId="18BF3EEF" w:rsidR="004275C9" w:rsidRPr="004275C9" w:rsidRDefault="004C59FB"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22</w:t>
            </w:r>
            <w:r w:rsidR="004275C9" w:rsidRPr="004275C9">
              <w:rPr>
                <w:rFonts w:ascii="Calibri" w:eastAsia="Times New Roman" w:hAnsi="Calibri" w:cs="Calibri"/>
                <w:color w:val="000000"/>
                <w:szCs w:val="22"/>
                <w:lang w:eastAsia="en-GB"/>
              </w:rPr>
              <w:t>%</w:t>
            </w:r>
          </w:p>
        </w:tc>
        <w:tc>
          <w:tcPr>
            <w:tcW w:w="767" w:type="dxa"/>
            <w:tcBorders>
              <w:top w:val="single" w:sz="4" w:space="0" w:color="auto"/>
              <w:left w:val="nil"/>
              <w:bottom w:val="single" w:sz="4" w:space="0" w:color="auto"/>
              <w:right w:val="single" w:sz="4" w:space="0" w:color="auto"/>
            </w:tcBorders>
          </w:tcPr>
          <w:p w14:paraId="03F386F2" w14:textId="0C5C1B7E" w:rsidR="004275C9" w:rsidRPr="004275C9" w:rsidRDefault="00977204"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27</w:t>
            </w:r>
          </w:p>
        </w:tc>
        <w:tc>
          <w:tcPr>
            <w:tcW w:w="905" w:type="dxa"/>
            <w:tcBorders>
              <w:top w:val="nil"/>
              <w:left w:val="nil"/>
              <w:bottom w:val="single" w:sz="4" w:space="0" w:color="auto"/>
              <w:right w:val="single" w:sz="4" w:space="0" w:color="auto"/>
            </w:tcBorders>
          </w:tcPr>
          <w:p w14:paraId="308C9236"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8%</w:t>
            </w:r>
          </w:p>
        </w:tc>
      </w:tr>
      <w:tr w:rsidR="004275C9" w:rsidRPr="004275C9" w14:paraId="62D6AE4B" w14:textId="77777777" w:rsidTr="00BB4E7D">
        <w:trPr>
          <w:trHeight w:val="300"/>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F5861" w14:textId="51A83310" w:rsidR="004275C9" w:rsidRPr="004275C9" w:rsidRDefault="0085398E" w:rsidP="0085398E">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 xml:space="preserve">Of the </w:t>
            </w:r>
            <w:r>
              <w:rPr>
                <w:rFonts w:ascii="Calibri" w:eastAsia="Times New Roman" w:hAnsi="Calibri" w:cs="Calibri"/>
                <w:color w:val="000000"/>
                <w:szCs w:val="22"/>
                <w:lang w:eastAsia="en-GB"/>
              </w:rPr>
              <w:t>Phase 1 clinical</w:t>
            </w:r>
            <w:r w:rsidRPr="004275C9">
              <w:rPr>
                <w:rFonts w:ascii="Calibri" w:eastAsia="Times New Roman" w:hAnsi="Calibri" w:cs="Calibri"/>
                <w:color w:val="000000"/>
                <w:szCs w:val="22"/>
                <w:lang w:eastAsia="en-GB"/>
              </w:rPr>
              <w:t xml:space="preserve"> trials not found or not known to have registered: </w:t>
            </w:r>
            <w:r w:rsidRPr="004275C9">
              <w:rPr>
                <w:rFonts w:ascii="Calibri" w:eastAsia="Times New Roman" w:hAnsi="Calibri" w:cs="Calibri"/>
                <w:b/>
                <w:color w:val="000000"/>
                <w:szCs w:val="22"/>
                <w:lang w:eastAsia="en-GB"/>
              </w:rPr>
              <w:t>Reply received</w:t>
            </w:r>
          </w:p>
        </w:tc>
        <w:tc>
          <w:tcPr>
            <w:tcW w:w="771" w:type="dxa"/>
            <w:tcBorders>
              <w:top w:val="single" w:sz="4" w:space="0" w:color="auto"/>
              <w:left w:val="nil"/>
              <w:bottom w:val="single" w:sz="4" w:space="0" w:color="auto"/>
              <w:right w:val="single" w:sz="4" w:space="0" w:color="auto"/>
            </w:tcBorders>
            <w:shd w:val="clear" w:color="auto" w:fill="808080" w:themeFill="background1" w:themeFillShade="80"/>
            <w:noWrap/>
          </w:tcPr>
          <w:p w14:paraId="5F3E62A5" w14:textId="77777777" w:rsidR="004275C9" w:rsidRPr="004275C9" w:rsidRDefault="004275C9" w:rsidP="00630EB9">
            <w:pPr>
              <w:spacing w:after="0" w:line="240" w:lineRule="auto"/>
              <w:rPr>
                <w:rFonts w:ascii="Calibri" w:eastAsia="Times New Roman" w:hAnsi="Calibri" w:cs="Calibri"/>
                <w:color w:val="000000"/>
                <w:szCs w:val="22"/>
                <w:lang w:eastAsia="en-GB"/>
              </w:rPr>
            </w:pPr>
          </w:p>
        </w:tc>
        <w:tc>
          <w:tcPr>
            <w:tcW w:w="730" w:type="dxa"/>
            <w:tcBorders>
              <w:top w:val="single" w:sz="4" w:space="0" w:color="auto"/>
              <w:left w:val="nil"/>
              <w:bottom w:val="single" w:sz="4" w:space="0" w:color="auto"/>
              <w:right w:val="single" w:sz="4" w:space="0" w:color="auto"/>
            </w:tcBorders>
            <w:shd w:val="clear" w:color="auto" w:fill="808080" w:themeFill="background1" w:themeFillShade="80"/>
          </w:tcPr>
          <w:p w14:paraId="775B32DF" w14:textId="77777777" w:rsidR="004275C9" w:rsidRPr="004275C9" w:rsidRDefault="004275C9" w:rsidP="00630EB9">
            <w:pPr>
              <w:spacing w:after="0" w:line="240" w:lineRule="auto"/>
              <w:rPr>
                <w:rFonts w:ascii="Calibri" w:eastAsia="Times New Roman" w:hAnsi="Calibri" w:cs="Calibri"/>
                <w:color w:val="000000"/>
                <w:szCs w:val="22"/>
                <w:lang w:eastAsia="en-GB"/>
              </w:rPr>
            </w:pPr>
          </w:p>
        </w:tc>
        <w:tc>
          <w:tcPr>
            <w:tcW w:w="767" w:type="dxa"/>
            <w:tcBorders>
              <w:top w:val="single" w:sz="4" w:space="0" w:color="auto"/>
              <w:left w:val="nil"/>
              <w:bottom w:val="single" w:sz="4" w:space="0" w:color="auto"/>
              <w:right w:val="single" w:sz="4" w:space="0" w:color="auto"/>
            </w:tcBorders>
          </w:tcPr>
          <w:p w14:paraId="00BB9A8A" w14:textId="547FE296" w:rsidR="004275C9" w:rsidRPr="004275C9" w:rsidRDefault="00977204"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17</w:t>
            </w:r>
          </w:p>
        </w:tc>
        <w:tc>
          <w:tcPr>
            <w:tcW w:w="905" w:type="dxa"/>
            <w:tcBorders>
              <w:top w:val="single" w:sz="4" w:space="0" w:color="auto"/>
              <w:left w:val="nil"/>
              <w:bottom w:val="single" w:sz="4" w:space="0" w:color="auto"/>
              <w:right w:val="single" w:sz="4" w:space="0" w:color="auto"/>
            </w:tcBorders>
          </w:tcPr>
          <w:p w14:paraId="38244779" w14:textId="4E2E5C73" w:rsidR="004275C9" w:rsidRPr="004275C9" w:rsidRDefault="003727CD"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(63</w:t>
            </w:r>
            <w:r w:rsidR="004275C9" w:rsidRPr="004275C9">
              <w:rPr>
                <w:rFonts w:ascii="Calibri" w:eastAsia="Times New Roman" w:hAnsi="Calibri" w:cs="Calibri"/>
                <w:color w:val="000000"/>
                <w:szCs w:val="22"/>
                <w:lang w:eastAsia="en-GB"/>
              </w:rPr>
              <w:t>%</w:t>
            </w:r>
            <w:r w:rsidR="00921AD9">
              <w:rPr>
                <w:rFonts w:ascii="Calibri" w:eastAsia="Times New Roman" w:hAnsi="Calibri" w:cs="Calibri"/>
                <w:color w:val="000000"/>
                <w:szCs w:val="22"/>
                <w:lang w:eastAsia="en-GB"/>
              </w:rPr>
              <w:t>)</w:t>
            </w:r>
          </w:p>
        </w:tc>
      </w:tr>
      <w:tr w:rsidR="0085398E" w:rsidRPr="004275C9" w14:paraId="5D54F52E" w14:textId="77777777" w:rsidTr="00BB4E7D">
        <w:trPr>
          <w:trHeight w:val="300"/>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B1046" w14:textId="6AE52893" w:rsidR="0085398E" w:rsidRPr="004275C9" w:rsidRDefault="0085398E" w:rsidP="0085398E">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Of the replies received, those which stated that registration not yet required (</w:t>
            </w:r>
            <w:proofErr w:type="spellStart"/>
            <w:r>
              <w:rPr>
                <w:rFonts w:ascii="Calibri" w:eastAsia="Times New Roman" w:hAnsi="Calibri" w:cs="Calibri"/>
                <w:color w:val="000000"/>
                <w:szCs w:val="22"/>
                <w:lang w:eastAsia="en-GB"/>
              </w:rPr>
              <w:t>e.g</w:t>
            </w:r>
            <w:proofErr w:type="spellEnd"/>
            <w:r>
              <w:rPr>
                <w:rFonts w:ascii="Calibri" w:eastAsia="Times New Roman" w:hAnsi="Calibri" w:cs="Calibri"/>
                <w:color w:val="000000"/>
                <w:szCs w:val="22"/>
                <w:lang w:eastAsia="en-GB"/>
              </w:rPr>
              <w:t xml:space="preserve"> trial not yet recruited / trial not yet started / trial terminated before recruitment commenced)</w:t>
            </w:r>
          </w:p>
        </w:tc>
        <w:tc>
          <w:tcPr>
            <w:tcW w:w="771" w:type="dxa"/>
            <w:tcBorders>
              <w:top w:val="single" w:sz="4" w:space="0" w:color="auto"/>
              <w:left w:val="nil"/>
              <w:bottom w:val="single" w:sz="4" w:space="0" w:color="auto"/>
              <w:right w:val="single" w:sz="4" w:space="0" w:color="auto"/>
            </w:tcBorders>
            <w:shd w:val="clear" w:color="auto" w:fill="808080" w:themeFill="background1" w:themeFillShade="80"/>
            <w:noWrap/>
          </w:tcPr>
          <w:p w14:paraId="14CC3043" w14:textId="77777777" w:rsidR="0085398E" w:rsidRPr="004275C9" w:rsidRDefault="0085398E" w:rsidP="00630EB9">
            <w:pPr>
              <w:spacing w:after="0" w:line="240" w:lineRule="auto"/>
              <w:rPr>
                <w:rFonts w:ascii="Calibri" w:eastAsia="Times New Roman" w:hAnsi="Calibri" w:cs="Calibri"/>
                <w:color w:val="000000"/>
                <w:szCs w:val="22"/>
                <w:lang w:eastAsia="en-GB"/>
              </w:rPr>
            </w:pPr>
          </w:p>
        </w:tc>
        <w:tc>
          <w:tcPr>
            <w:tcW w:w="730" w:type="dxa"/>
            <w:tcBorders>
              <w:top w:val="single" w:sz="4" w:space="0" w:color="auto"/>
              <w:left w:val="nil"/>
              <w:bottom w:val="single" w:sz="4" w:space="0" w:color="auto"/>
              <w:right w:val="single" w:sz="4" w:space="0" w:color="auto"/>
            </w:tcBorders>
            <w:shd w:val="clear" w:color="auto" w:fill="808080" w:themeFill="background1" w:themeFillShade="80"/>
          </w:tcPr>
          <w:p w14:paraId="78644437" w14:textId="77777777" w:rsidR="0085398E" w:rsidRPr="004275C9" w:rsidRDefault="0085398E" w:rsidP="00630EB9">
            <w:pPr>
              <w:spacing w:after="0" w:line="240" w:lineRule="auto"/>
              <w:rPr>
                <w:rFonts w:ascii="Calibri" w:eastAsia="Times New Roman" w:hAnsi="Calibri" w:cs="Calibri"/>
                <w:color w:val="000000"/>
                <w:szCs w:val="22"/>
                <w:lang w:eastAsia="en-GB"/>
              </w:rPr>
            </w:pPr>
          </w:p>
        </w:tc>
        <w:tc>
          <w:tcPr>
            <w:tcW w:w="767" w:type="dxa"/>
            <w:tcBorders>
              <w:top w:val="single" w:sz="4" w:space="0" w:color="auto"/>
              <w:left w:val="nil"/>
              <w:bottom w:val="single" w:sz="4" w:space="0" w:color="auto"/>
              <w:right w:val="single" w:sz="4" w:space="0" w:color="auto"/>
            </w:tcBorders>
          </w:tcPr>
          <w:p w14:paraId="3999F5EE" w14:textId="3F9CF5B2" w:rsidR="0085398E" w:rsidRPr="004275C9" w:rsidRDefault="00921AD9"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5</w:t>
            </w:r>
          </w:p>
        </w:tc>
        <w:tc>
          <w:tcPr>
            <w:tcW w:w="905" w:type="dxa"/>
            <w:tcBorders>
              <w:top w:val="single" w:sz="4" w:space="0" w:color="auto"/>
              <w:left w:val="nil"/>
              <w:bottom w:val="single" w:sz="4" w:space="0" w:color="auto"/>
              <w:right w:val="single" w:sz="4" w:space="0" w:color="auto"/>
            </w:tcBorders>
          </w:tcPr>
          <w:p w14:paraId="627C805A" w14:textId="67CD45FF" w:rsidR="0085398E" w:rsidRPr="004275C9" w:rsidRDefault="003727CD"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(29</w:t>
            </w:r>
            <w:r w:rsidR="00921AD9">
              <w:rPr>
                <w:rFonts w:ascii="Calibri" w:eastAsia="Times New Roman" w:hAnsi="Calibri" w:cs="Calibri"/>
                <w:color w:val="000000"/>
                <w:szCs w:val="22"/>
                <w:lang w:eastAsia="en-GB"/>
              </w:rPr>
              <w:t xml:space="preserve">%) </w:t>
            </w:r>
            <w:r w:rsidR="00921AD9" w:rsidRPr="00921AD9">
              <w:rPr>
                <w:rFonts w:ascii="Calibri" w:eastAsia="Times New Roman" w:hAnsi="Calibri" w:cs="Calibri"/>
                <w:color w:val="000000"/>
                <w:sz w:val="16"/>
                <w:szCs w:val="16"/>
                <w:lang w:eastAsia="en-GB"/>
              </w:rPr>
              <w:t>Of those where reply received</w:t>
            </w:r>
          </w:p>
        </w:tc>
      </w:tr>
      <w:tr w:rsidR="004275C9" w:rsidRPr="004275C9" w14:paraId="39EABC59" w14:textId="77777777" w:rsidTr="00BB4E7D">
        <w:trPr>
          <w:trHeight w:val="300"/>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96788" w14:textId="12B3BDC2" w:rsidR="004275C9" w:rsidRPr="004275C9" w:rsidRDefault="0085398E"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 xml:space="preserve">Of the </w:t>
            </w:r>
            <w:r>
              <w:rPr>
                <w:rFonts w:ascii="Calibri" w:eastAsia="Times New Roman" w:hAnsi="Calibri" w:cs="Calibri"/>
                <w:color w:val="000000"/>
                <w:szCs w:val="22"/>
                <w:lang w:eastAsia="en-GB"/>
              </w:rPr>
              <w:t>Phase 1 clinical</w:t>
            </w:r>
            <w:r w:rsidRPr="004275C9">
              <w:rPr>
                <w:rFonts w:ascii="Calibri" w:eastAsia="Times New Roman" w:hAnsi="Calibri" w:cs="Calibri"/>
                <w:color w:val="000000"/>
                <w:szCs w:val="22"/>
                <w:lang w:eastAsia="en-GB"/>
              </w:rPr>
              <w:t xml:space="preserve"> trials not found or not known to have registered: </w:t>
            </w:r>
            <w:r w:rsidRPr="004275C9">
              <w:rPr>
                <w:rFonts w:ascii="Calibri" w:eastAsia="Times New Roman" w:hAnsi="Calibri" w:cs="Calibri"/>
                <w:b/>
                <w:color w:val="000000"/>
                <w:szCs w:val="22"/>
                <w:lang w:eastAsia="en-GB"/>
              </w:rPr>
              <w:t xml:space="preserve">Reply </w:t>
            </w:r>
            <w:r>
              <w:rPr>
                <w:rFonts w:ascii="Calibri" w:eastAsia="Times New Roman" w:hAnsi="Calibri" w:cs="Calibri"/>
                <w:b/>
                <w:color w:val="000000"/>
                <w:szCs w:val="22"/>
                <w:lang w:eastAsia="en-GB"/>
              </w:rPr>
              <w:t xml:space="preserve">not </w:t>
            </w:r>
            <w:r w:rsidRPr="004275C9">
              <w:rPr>
                <w:rFonts w:ascii="Calibri" w:eastAsia="Times New Roman" w:hAnsi="Calibri" w:cs="Calibri"/>
                <w:b/>
                <w:color w:val="000000"/>
                <w:szCs w:val="22"/>
                <w:lang w:eastAsia="en-GB"/>
              </w:rPr>
              <w:t>received</w:t>
            </w:r>
          </w:p>
        </w:tc>
        <w:tc>
          <w:tcPr>
            <w:tcW w:w="771" w:type="dxa"/>
            <w:tcBorders>
              <w:top w:val="single" w:sz="4" w:space="0" w:color="auto"/>
              <w:left w:val="nil"/>
              <w:bottom w:val="single" w:sz="4" w:space="0" w:color="auto"/>
              <w:right w:val="single" w:sz="4" w:space="0" w:color="auto"/>
            </w:tcBorders>
            <w:shd w:val="clear" w:color="auto" w:fill="808080" w:themeFill="background1" w:themeFillShade="80"/>
            <w:noWrap/>
          </w:tcPr>
          <w:p w14:paraId="7535C902" w14:textId="77777777" w:rsidR="004275C9" w:rsidRPr="004275C9" w:rsidRDefault="004275C9" w:rsidP="00630EB9">
            <w:pPr>
              <w:spacing w:after="0" w:line="240" w:lineRule="auto"/>
              <w:rPr>
                <w:rFonts w:ascii="Calibri" w:eastAsia="Times New Roman" w:hAnsi="Calibri" w:cs="Calibri"/>
                <w:color w:val="000000"/>
                <w:szCs w:val="22"/>
                <w:lang w:eastAsia="en-GB"/>
              </w:rPr>
            </w:pPr>
          </w:p>
        </w:tc>
        <w:tc>
          <w:tcPr>
            <w:tcW w:w="730" w:type="dxa"/>
            <w:tcBorders>
              <w:top w:val="single" w:sz="4" w:space="0" w:color="auto"/>
              <w:left w:val="nil"/>
              <w:bottom w:val="single" w:sz="4" w:space="0" w:color="auto"/>
              <w:right w:val="single" w:sz="4" w:space="0" w:color="auto"/>
            </w:tcBorders>
            <w:shd w:val="clear" w:color="auto" w:fill="808080" w:themeFill="background1" w:themeFillShade="80"/>
          </w:tcPr>
          <w:p w14:paraId="2B6D548E" w14:textId="77777777" w:rsidR="004275C9" w:rsidRPr="004275C9" w:rsidRDefault="004275C9" w:rsidP="00630EB9">
            <w:pPr>
              <w:spacing w:after="0" w:line="240" w:lineRule="auto"/>
              <w:rPr>
                <w:rFonts w:ascii="Calibri" w:eastAsia="Times New Roman" w:hAnsi="Calibri" w:cs="Calibri"/>
                <w:color w:val="000000"/>
                <w:szCs w:val="22"/>
                <w:lang w:eastAsia="en-GB"/>
              </w:rPr>
            </w:pPr>
          </w:p>
        </w:tc>
        <w:tc>
          <w:tcPr>
            <w:tcW w:w="767" w:type="dxa"/>
            <w:tcBorders>
              <w:top w:val="single" w:sz="4" w:space="0" w:color="auto"/>
              <w:left w:val="nil"/>
              <w:bottom w:val="single" w:sz="4" w:space="0" w:color="auto"/>
              <w:right w:val="single" w:sz="4" w:space="0" w:color="auto"/>
            </w:tcBorders>
          </w:tcPr>
          <w:p w14:paraId="1C51849C" w14:textId="77777777" w:rsidR="004275C9" w:rsidRPr="004275C9" w:rsidRDefault="004275C9" w:rsidP="00630EB9">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10</w:t>
            </w:r>
          </w:p>
        </w:tc>
        <w:tc>
          <w:tcPr>
            <w:tcW w:w="905" w:type="dxa"/>
            <w:tcBorders>
              <w:top w:val="single" w:sz="4" w:space="0" w:color="auto"/>
              <w:left w:val="nil"/>
              <w:bottom w:val="single" w:sz="4" w:space="0" w:color="auto"/>
              <w:right w:val="single" w:sz="4" w:space="0" w:color="auto"/>
            </w:tcBorders>
          </w:tcPr>
          <w:p w14:paraId="7E5910E9" w14:textId="1AC2F8FE" w:rsidR="004275C9" w:rsidRPr="004275C9" w:rsidRDefault="00921AD9" w:rsidP="00630EB9">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w:t>
            </w:r>
            <w:r w:rsidR="004275C9" w:rsidRPr="004275C9">
              <w:rPr>
                <w:rFonts w:ascii="Calibri" w:eastAsia="Times New Roman" w:hAnsi="Calibri" w:cs="Calibri"/>
                <w:color w:val="000000"/>
                <w:szCs w:val="22"/>
                <w:lang w:eastAsia="en-GB"/>
              </w:rPr>
              <w:t>3</w:t>
            </w:r>
            <w:r w:rsidR="003727CD">
              <w:rPr>
                <w:rFonts w:ascii="Calibri" w:eastAsia="Times New Roman" w:hAnsi="Calibri" w:cs="Calibri"/>
                <w:color w:val="000000"/>
                <w:szCs w:val="22"/>
                <w:lang w:eastAsia="en-GB"/>
              </w:rPr>
              <w:t>7</w:t>
            </w:r>
            <w:r w:rsidR="004275C9" w:rsidRPr="004275C9">
              <w:rPr>
                <w:rFonts w:ascii="Calibri" w:eastAsia="Times New Roman" w:hAnsi="Calibri" w:cs="Calibri"/>
                <w:color w:val="000000"/>
                <w:szCs w:val="22"/>
                <w:lang w:eastAsia="en-GB"/>
              </w:rPr>
              <w:t>%</w:t>
            </w:r>
            <w:r>
              <w:rPr>
                <w:rFonts w:ascii="Calibri" w:eastAsia="Times New Roman" w:hAnsi="Calibri" w:cs="Calibri"/>
                <w:color w:val="000000"/>
                <w:szCs w:val="22"/>
                <w:lang w:eastAsia="en-GB"/>
              </w:rPr>
              <w:t>)</w:t>
            </w:r>
          </w:p>
        </w:tc>
      </w:tr>
    </w:tbl>
    <w:p w14:paraId="7D4865FD" w14:textId="19702D40" w:rsidR="004275C9" w:rsidRDefault="003727CD" w:rsidP="004275C9">
      <w:pPr>
        <w:rPr>
          <w:rFonts w:ascii="Calibri" w:hAnsi="Calibri" w:cs="Calibri"/>
          <w:sz w:val="18"/>
          <w:szCs w:val="18"/>
        </w:rPr>
      </w:pPr>
      <w:r>
        <w:rPr>
          <w:rFonts w:ascii="Calibri" w:hAnsi="Calibri" w:cs="Calibri"/>
          <w:sz w:val="18"/>
          <w:szCs w:val="18"/>
        </w:rPr>
        <w:t>*</w:t>
      </w:r>
      <w:r w:rsidR="004275C9" w:rsidRPr="004275C9">
        <w:rPr>
          <w:rFonts w:ascii="Calibri" w:hAnsi="Calibri" w:cs="Calibri"/>
          <w:sz w:val="18"/>
          <w:szCs w:val="18"/>
        </w:rPr>
        <w:t xml:space="preserve">Due to a recording error, one trial did have a deferral in place but was not identified at the start of the </w:t>
      </w:r>
      <w:r w:rsidR="003F441C">
        <w:rPr>
          <w:rFonts w:ascii="Calibri" w:hAnsi="Calibri" w:cs="Calibri"/>
          <w:sz w:val="18"/>
          <w:szCs w:val="18"/>
        </w:rPr>
        <w:t>monitoring</w:t>
      </w:r>
    </w:p>
    <w:p w14:paraId="13B162BD" w14:textId="2B8215E0" w:rsidR="004275C9" w:rsidRPr="004275C9" w:rsidRDefault="004275C9" w:rsidP="00EC52E9">
      <w:pPr>
        <w:jc w:val="both"/>
        <w:rPr>
          <w:rFonts w:ascii="Calibri" w:hAnsi="Calibri" w:cs="Calibri"/>
          <w:szCs w:val="22"/>
        </w:rPr>
      </w:pPr>
    </w:p>
    <w:p w14:paraId="31C8F83F" w14:textId="771B8836" w:rsidR="009C17E7" w:rsidRPr="00456DB7" w:rsidRDefault="00177758" w:rsidP="00310D13">
      <w:pPr>
        <w:ind w:firstLine="720"/>
        <w:jc w:val="both"/>
        <w:rPr>
          <w:rFonts w:ascii="Calibri" w:hAnsi="Calibri" w:cs="Calibri"/>
          <w:sz w:val="24"/>
        </w:rPr>
      </w:pPr>
      <w:r>
        <w:rPr>
          <w:rFonts w:ascii="Calibri" w:hAnsi="Calibri" w:cs="Calibri"/>
          <w:sz w:val="24"/>
        </w:rPr>
        <w:t>3</w:t>
      </w:r>
      <w:r w:rsidR="00310D13" w:rsidRPr="00456DB7">
        <w:rPr>
          <w:rFonts w:ascii="Calibri" w:hAnsi="Calibri" w:cs="Calibri"/>
          <w:sz w:val="24"/>
        </w:rPr>
        <w:t xml:space="preserve">.2 </w:t>
      </w:r>
      <w:r w:rsidR="009C17E7" w:rsidRPr="00456DB7">
        <w:rPr>
          <w:rFonts w:ascii="Calibri" w:hAnsi="Calibri" w:cs="Calibri"/>
          <w:sz w:val="24"/>
        </w:rPr>
        <w:t>Medical Device Clinical Trials</w:t>
      </w:r>
      <w:r w:rsidR="00310D13" w:rsidRPr="00456DB7">
        <w:rPr>
          <w:rFonts w:ascii="Calibri" w:hAnsi="Calibri" w:cs="Calibri"/>
          <w:sz w:val="24"/>
        </w:rPr>
        <w:t xml:space="preserve"> (monitoring period 1 January 2015 to 30 June 2015)</w:t>
      </w:r>
    </w:p>
    <w:tbl>
      <w:tblPr>
        <w:tblW w:w="9361" w:type="dxa"/>
        <w:tblInd w:w="103" w:type="dxa"/>
        <w:tblLook w:val="04A0" w:firstRow="1" w:lastRow="0" w:firstColumn="1" w:lastColumn="0" w:noHBand="0" w:noVBand="1"/>
      </w:tblPr>
      <w:tblGrid>
        <w:gridCol w:w="6384"/>
        <w:gridCol w:w="709"/>
        <w:gridCol w:w="730"/>
        <w:gridCol w:w="687"/>
        <w:gridCol w:w="851"/>
      </w:tblGrid>
      <w:tr w:rsidR="004275C9" w:rsidRPr="004275C9" w14:paraId="4C266E5A" w14:textId="77777777" w:rsidTr="0085398E">
        <w:trPr>
          <w:trHeight w:val="300"/>
        </w:trPr>
        <w:tc>
          <w:tcPr>
            <w:tcW w:w="6384"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14:paraId="3A4C5E33" w14:textId="77777777" w:rsidR="004275C9" w:rsidRPr="004275C9" w:rsidRDefault="004275C9" w:rsidP="002655F1">
            <w:pPr>
              <w:spacing w:after="0" w:line="240" w:lineRule="auto"/>
              <w:rPr>
                <w:rFonts w:ascii="Calibri" w:eastAsia="Times New Roman" w:hAnsi="Calibri" w:cs="Calibri"/>
                <w:color w:val="000000"/>
                <w:szCs w:val="22"/>
                <w:lang w:eastAsia="en-GB"/>
              </w:rPr>
            </w:pPr>
          </w:p>
        </w:tc>
        <w:tc>
          <w:tcPr>
            <w:tcW w:w="1439" w:type="dxa"/>
            <w:gridSpan w:val="2"/>
            <w:tcBorders>
              <w:top w:val="single" w:sz="4" w:space="0" w:color="auto"/>
              <w:left w:val="nil"/>
              <w:bottom w:val="single" w:sz="4" w:space="0" w:color="auto"/>
              <w:right w:val="single" w:sz="4" w:space="0" w:color="auto"/>
            </w:tcBorders>
            <w:shd w:val="clear" w:color="auto" w:fill="B2A1C7" w:themeFill="accent4" w:themeFillTint="99"/>
            <w:noWrap/>
          </w:tcPr>
          <w:p w14:paraId="46F28C6E" w14:textId="7D495B27" w:rsidR="004275C9" w:rsidRPr="004275C9" w:rsidRDefault="004275C9" w:rsidP="009C17E7">
            <w:pPr>
              <w:spacing w:after="0" w:line="240" w:lineRule="auto"/>
              <w:jc w:val="center"/>
              <w:rPr>
                <w:rFonts w:ascii="Calibri" w:eastAsia="Times New Roman" w:hAnsi="Calibri" w:cs="Calibri"/>
                <w:b/>
                <w:color w:val="000000"/>
                <w:szCs w:val="22"/>
                <w:lang w:eastAsia="en-GB"/>
              </w:rPr>
            </w:pPr>
            <w:r w:rsidRPr="004275C9">
              <w:rPr>
                <w:rFonts w:ascii="Calibri" w:eastAsia="Times New Roman" w:hAnsi="Calibri" w:cs="Calibri"/>
                <w:b/>
                <w:color w:val="000000"/>
                <w:szCs w:val="22"/>
                <w:lang w:eastAsia="en-GB"/>
              </w:rPr>
              <w:t>August 2015</w:t>
            </w:r>
          </w:p>
        </w:tc>
        <w:tc>
          <w:tcPr>
            <w:tcW w:w="1538" w:type="dxa"/>
            <w:gridSpan w:val="2"/>
            <w:tcBorders>
              <w:top w:val="single" w:sz="4" w:space="0" w:color="auto"/>
              <w:left w:val="nil"/>
              <w:bottom w:val="single" w:sz="4" w:space="0" w:color="auto"/>
              <w:right w:val="single" w:sz="4" w:space="0" w:color="auto"/>
            </w:tcBorders>
            <w:shd w:val="clear" w:color="auto" w:fill="B2A1C7" w:themeFill="accent4" w:themeFillTint="99"/>
          </w:tcPr>
          <w:p w14:paraId="0A6B2992" w14:textId="0018C5B4" w:rsidR="004275C9" w:rsidRPr="004275C9" w:rsidRDefault="004275C9" w:rsidP="009C17E7">
            <w:pPr>
              <w:spacing w:after="0" w:line="240" w:lineRule="auto"/>
              <w:jc w:val="center"/>
              <w:rPr>
                <w:rFonts w:ascii="Calibri" w:eastAsia="Times New Roman" w:hAnsi="Calibri" w:cs="Calibri"/>
                <w:b/>
                <w:color w:val="000000"/>
                <w:szCs w:val="22"/>
                <w:lang w:eastAsia="en-GB"/>
              </w:rPr>
            </w:pPr>
            <w:r w:rsidRPr="004275C9">
              <w:rPr>
                <w:rFonts w:ascii="Calibri" w:eastAsia="Times New Roman" w:hAnsi="Calibri" w:cs="Calibri"/>
                <w:b/>
                <w:color w:val="000000"/>
                <w:szCs w:val="22"/>
                <w:lang w:eastAsia="en-GB"/>
              </w:rPr>
              <w:t>January 2016</w:t>
            </w:r>
          </w:p>
        </w:tc>
      </w:tr>
      <w:tr w:rsidR="009C17E7" w:rsidRPr="004275C9" w14:paraId="4F7349CC" w14:textId="66628FB6" w:rsidTr="00AE208F">
        <w:trPr>
          <w:trHeight w:val="300"/>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BB431" w14:textId="77777777" w:rsidR="009C17E7" w:rsidRPr="004275C9" w:rsidRDefault="009C17E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Total number of medical device trials with a FO during the reporting period</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578C76B1"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169</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tcPr>
          <w:p w14:paraId="42B25BA9"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p>
        </w:tc>
        <w:tc>
          <w:tcPr>
            <w:tcW w:w="687" w:type="dxa"/>
            <w:tcBorders>
              <w:top w:val="single" w:sz="4" w:space="0" w:color="auto"/>
              <w:left w:val="nil"/>
              <w:bottom w:val="single" w:sz="4" w:space="0" w:color="auto"/>
              <w:right w:val="single" w:sz="4" w:space="0" w:color="auto"/>
            </w:tcBorders>
          </w:tcPr>
          <w:p w14:paraId="6E302D67" w14:textId="058F02E0"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169</w:t>
            </w:r>
          </w:p>
        </w:tc>
        <w:tc>
          <w:tcPr>
            <w:tcW w:w="851" w:type="dxa"/>
            <w:tcBorders>
              <w:top w:val="single" w:sz="4" w:space="0" w:color="auto"/>
              <w:left w:val="nil"/>
              <w:bottom w:val="single" w:sz="4" w:space="0" w:color="auto"/>
              <w:right w:val="single" w:sz="4" w:space="0" w:color="auto"/>
            </w:tcBorders>
            <w:shd w:val="clear" w:color="auto" w:fill="auto"/>
          </w:tcPr>
          <w:p w14:paraId="494AC506"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p>
        </w:tc>
      </w:tr>
      <w:tr w:rsidR="009C17E7" w:rsidRPr="004275C9" w14:paraId="4FDCE578" w14:textId="547553B7" w:rsidTr="0085398E">
        <w:trPr>
          <w:trHeight w:val="300"/>
        </w:trPr>
        <w:tc>
          <w:tcPr>
            <w:tcW w:w="6384" w:type="dxa"/>
            <w:tcBorders>
              <w:top w:val="nil"/>
              <w:left w:val="single" w:sz="4" w:space="0" w:color="auto"/>
              <w:bottom w:val="single" w:sz="4" w:space="0" w:color="auto"/>
              <w:right w:val="single" w:sz="4" w:space="0" w:color="auto"/>
            </w:tcBorders>
            <w:shd w:val="clear" w:color="auto" w:fill="auto"/>
            <w:noWrap/>
            <w:vAlign w:val="bottom"/>
          </w:tcPr>
          <w:p w14:paraId="14E2E410" w14:textId="78468B0C" w:rsidR="009C17E7" w:rsidRPr="004275C9" w:rsidRDefault="009C17E7" w:rsidP="003F441C">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 xml:space="preserve">Total number of medical device trials identified on a publicly </w:t>
            </w:r>
            <w:r w:rsidRPr="004275C9">
              <w:rPr>
                <w:rFonts w:ascii="Calibri" w:eastAsia="Times New Roman" w:hAnsi="Calibri" w:cs="Calibri"/>
                <w:color w:val="000000"/>
                <w:szCs w:val="22"/>
                <w:lang w:eastAsia="en-GB"/>
              </w:rPr>
              <w:lastRenderedPageBreak/>
              <w:t xml:space="preserve">accessible database at the end of the </w:t>
            </w:r>
            <w:r w:rsidR="003F441C">
              <w:rPr>
                <w:rFonts w:ascii="Calibri" w:eastAsia="Times New Roman" w:hAnsi="Calibri" w:cs="Calibri"/>
                <w:color w:val="000000"/>
                <w:szCs w:val="22"/>
                <w:lang w:eastAsia="en-GB"/>
              </w:rPr>
              <w:t>monitoring</w:t>
            </w:r>
            <w:r w:rsidRPr="004275C9">
              <w:rPr>
                <w:rFonts w:ascii="Calibri" w:eastAsia="Times New Roman" w:hAnsi="Calibri" w:cs="Calibri"/>
                <w:color w:val="000000"/>
                <w:szCs w:val="22"/>
                <w:lang w:eastAsia="en-GB"/>
              </w:rPr>
              <w:t xml:space="preserve"> period</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cPr>
          <w:p w14:paraId="5F540231"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lastRenderedPageBreak/>
              <w:t>82</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tcPr>
          <w:p w14:paraId="34E4FD79"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48%</w:t>
            </w:r>
          </w:p>
        </w:tc>
        <w:tc>
          <w:tcPr>
            <w:tcW w:w="687" w:type="dxa"/>
            <w:tcBorders>
              <w:top w:val="nil"/>
              <w:left w:val="nil"/>
              <w:bottom w:val="single" w:sz="4" w:space="0" w:color="auto"/>
              <w:right w:val="single" w:sz="4" w:space="0" w:color="auto"/>
            </w:tcBorders>
          </w:tcPr>
          <w:p w14:paraId="341979D5" w14:textId="5A6DEF7D"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144</w:t>
            </w:r>
          </w:p>
        </w:tc>
        <w:tc>
          <w:tcPr>
            <w:tcW w:w="851" w:type="dxa"/>
            <w:tcBorders>
              <w:top w:val="nil"/>
              <w:left w:val="nil"/>
              <w:bottom w:val="single" w:sz="4" w:space="0" w:color="auto"/>
              <w:right w:val="single" w:sz="4" w:space="0" w:color="auto"/>
            </w:tcBorders>
          </w:tcPr>
          <w:p w14:paraId="5063BEDD" w14:textId="7A28B327" w:rsidR="009C17E7" w:rsidRPr="004275C9" w:rsidRDefault="00F26221"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85%</w:t>
            </w:r>
          </w:p>
        </w:tc>
      </w:tr>
      <w:tr w:rsidR="009C17E7" w:rsidRPr="004275C9" w14:paraId="0EE0BF92" w14:textId="1D9E0000" w:rsidTr="0085398E">
        <w:trPr>
          <w:trHeight w:val="300"/>
        </w:trPr>
        <w:tc>
          <w:tcPr>
            <w:tcW w:w="6384" w:type="dxa"/>
            <w:tcBorders>
              <w:top w:val="nil"/>
              <w:left w:val="single" w:sz="4" w:space="0" w:color="auto"/>
              <w:bottom w:val="single" w:sz="4" w:space="0" w:color="auto"/>
              <w:right w:val="single" w:sz="4" w:space="0" w:color="auto"/>
            </w:tcBorders>
            <w:shd w:val="clear" w:color="auto" w:fill="auto"/>
            <w:noWrap/>
            <w:vAlign w:val="bottom"/>
            <w:hideMark/>
          </w:tcPr>
          <w:p w14:paraId="685C169D" w14:textId="77777777" w:rsidR="009C17E7" w:rsidRPr="004275C9" w:rsidRDefault="009C17E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lastRenderedPageBreak/>
              <w:t xml:space="preserve">Of the total number registered, those found on ISRCTN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2FDC8610"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14</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tcPr>
          <w:p w14:paraId="3A0FE569"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(8%)</w:t>
            </w:r>
          </w:p>
        </w:tc>
        <w:tc>
          <w:tcPr>
            <w:tcW w:w="687" w:type="dxa"/>
            <w:tcBorders>
              <w:top w:val="nil"/>
              <w:left w:val="nil"/>
              <w:bottom w:val="single" w:sz="4" w:space="0" w:color="auto"/>
              <w:right w:val="single" w:sz="4" w:space="0" w:color="auto"/>
            </w:tcBorders>
          </w:tcPr>
          <w:p w14:paraId="5172C010" w14:textId="1F1E9E08"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20</w:t>
            </w:r>
          </w:p>
        </w:tc>
        <w:tc>
          <w:tcPr>
            <w:tcW w:w="851" w:type="dxa"/>
            <w:tcBorders>
              <w:top w:val="nil"/>
              <w:left w:val="nil"/>
              <w:bottom w:val="single" w:sz="4" w:space="0" w:color="auto"/>
              <w:right w:val="single" w:sz="4" w:space="0" w:color="auto"/>
            </w:tcBorders>
          </w:tcPr>
          <w:p w14:paraId="3A3F0B44" w14:textId="4D984587" w:rsidR="009C17E7" w:rsidRPr="004275C9" w:rsidRDefault="00F26221"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w:t>
            </w:r>
            <w:r w:rsidR="00224178">
              <w:rPr>
                <w:rFonts w:ascii="Calibri" w:eastAsia="Times New Roman" w:hAnsi="Calibri" w:cs="Calibri"/>
                <w:color w:val="000000"/>
                <w:szCs w:val="22"/>
                <w:lang w:eastAsia="en-GB"/>
              </w:rPr>
              <w:t>12</w:t>
            </w:r>
            <w:r w:rsidRPr="004275C9">
              <w:rPr>
                <w:rFonts w:ascii="Calibri" w:eastAsia="Times New Roman" w:hAnsi="Calibri" w:cs="Calibri"/>
                <w:color w:val="000000"/>
                <w:szCs w:val="22"/>
                <w:lang w:eastAsia="en-GB"/>
              </w:rPr>
              <w:t>%)</w:t>
            </w:r>
          </w:p>
        </w:tc>
      </w:tr>
      <w:tr w:rsidR="009C17E7" w:rsidRPr="004275C9" w14:paraId="2332DCE7" w14:textId="1FA0074C" w:rsidTr="0085398E">
        <w:trPr>
          <w:trHeight w:val="300"/>
        </w:trPr>
        <w:tc>
          <w:tcPr>
            <w:tcW w:w="6384" w:type="dxa"/>
            <w:tcBorders>
              <w:top w:val="nil"/>
              <w:left w:val="single" w:sz="4" w:space="0" w:color="auto"/>
              <w:bottom w:val="single" w:sz="4" w:space="0" w:color="auto"/>
              <w:right w:val="single" w:sz="4" w:space="0" w:color="auto"/>
            </w:tcBorders>
            <w:shd w:val="clear" w:color="auto" w:fill="auto"/>
            <w:noWrap/>
            <w:vAlign w:val="bottom"/>
            <w:hideMark/>
          </w:tcPr>
          <w:p w14:paraId="5F21F005" w14:textId="77777777" w:rsidR="009C17E7" w:rsidRPr="004275C9" w:rsidRDefault="009C17E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Of the total number registered, those found on clinicaltrials.gov</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3401E18F"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68</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tcPr>
          <w:p w14:paraId="4736FA73"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(40%)</w:t>
            </w:r>
          </w:p>
        </w:tc>
        <w:tc>
          <w:tcPr>
            <w:tcW w:w="687" w:type="dxa"/>
            <w:tcBorders>
              <w:top w:val="nil"/>
              <w:left w:val="nil"/>
              <w:bottom w:val="single" w:sz="4" w:space="0" w:color="auto"/>
              <w:right w:val="single" w:sz="4" w:space="0" w:color="auto"/>
            </w:tcBorders>
          </w:tcPr>
          <w:p w14:paraId="5944AF0C" w14:textId="74A16900"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88</w:t>
            </w:r>
          </w:p>
        </w:tc>
        <w:tc>
          <w:tcPr>
            <w:tcW w:w="851" w:type="dxa"/>
            <w:tcBorders>
              <w:top w:val="nil"/>
              <w:left w:val="nil"/>
              <w:bottom w:val="single" w:sz="4" w:space="0" w:color="auto"/>
              <w:right w:val="single" w:sz="4" w:space="0" w:color="auto"/>
            </w:tcBorders>
          </w:tcPr>
          <w:p w14:paraId="3AFC414B" w14:textId="7229CB7B" w:rsidR="009C17E7" w:rsidRPr="004275C9" w:rsidRDefault="00F26221"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w:t>
            </w:r>
            <w:r w:rsidR="00224178">
              <w:rPr>
                <w:rFonts w:ascii="Calibri" w:eastAsia="Times New Roman" w:hAnsi="Calibri" w:cs="Calibri"/>
                <w:color w:val="000000"/>
                <w:szCs w:val="22"/>
                <w:lang w:eastAsia="en-GB"/>
              </w:rPr>
              <w:t>52</w:t>
            </w:r>
            <w:r w:rsidRPr="004275C9">
              <w:rPr>
                <w:rFonts w:ascii="Calibri" w:eastAsia="Times New Roman" w:hAnsi="Calibri" w:cs="Calibri"/>
                <w:color w:val="000000"/>
                <w:szCs w:val="22"/>
                <w:lang w:eastAsia="en-GB"/>
              </w:rPr>
              <w:t>%)</w:t>
            </w:r>
          </w:p>
        </w:tc>
      </w:tr>
      <w:tr w:rsidR="009C17E7" w:rsidRPr="004275C9" w14:paraId="4C65DE70" w14:textId="7A619D3B" w:rsidTr="00066F17">
        <w:trPr>
          <w:trHeight w:val="300"/>
        </w:trPr>
        <w:tc>
          <w:tcPr>
            <w:tcW w:w="6384" w:type="dxa"/>
            <w:tcBorders>
              <w:top w:val="nil"/>
              <w:left w:val="single" w:sz="4" w:space="0" w:color="auto"/>
              <w:bottom w:val="single" w:sz="4" w:space="0" w:color="auto"/>
              <w:right w:val="single" w:sz="4" w:space="0" w:color="auto"/>
            </w:tcBorders>
            <w:shd w:val="clear" w:color="auto" w:fill="auto"/>
            <w:noWrap/>
            <w:vAlign w:val="bottom"/>
            <w:hideMark/>
          </w:tcPr>
          <w:p w14:paraId="71515C90" w14:textId="77777777" w:rsidR="009C17E7" w:rsidRPr="004275C9" w:rsidRDefault="009C17E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Total number of medical device trials not registered but details of the trial could be found on the UKCRN site</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5958E790"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19</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tcPr>
          <w:p w14:paraId="37016AAA" w14:textId="77777777" w:rsidR="009C17E7" w:rsidRPr="004275C9" w:rsidRDefault="009C17E7" w:rsidP="00F2622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11%</w:t>
            </w:r>
          </w:p>
        </w:tc>
        <w:tc>
          <w:tcPr>
            <w:tcW w:w="687" w:type="dxa"/>
            <w:tcBorders>
              <w:top w:val="nil"/>
              <w:left w:val="nil"/>
              <w:bottom w:val="single" w:sz="4" w:space="0" w:color="auto"/>
              <w:right w:val="single" w:sz="4" w:space="0" w:color="auto"/>
            </w:tcBorders>
          </w:tcPr>
          <w:p w14:paraId="0DD9C91D" w14:textId="6F462BDE"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27</w:t>
            </w:r>
          </w:p>
        </w:tc>
        <w:tc>
          <w:tcPr>
            <w:tcW w:w="851" w:type="dxa"/>
            <w:tcBorders>
              <w:top w:val="nil"/>
              <w:left w:val="nil"/>
              <w:bottom w:val="single" w:sz="4" w:space="0" w:color="auto"/>
              <w:right w:val="single" w:sz="4" w:space="0" w:color="auto"/>
            </w:tcBorders>
          </w:tcPr>
          <w:p w14:paraId="77050791" w14:textId="76C345C3" w:rsidR="009C17E7" w:rsidRPr="004275C9" w:rsidRDefault="00F26221"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w:t>
            </w:r>
            <w:r w:rsidR="00224178">
              <w:rPr>
                <w:rFonts w:ascii="Calibri" w:eastAsia="Times New Roman" w:hAnsi="Calibri" w:cs="Calibri"/>
                <w:color w:val="000000"/>
                <w:szCs w:val="22"/>
                <w:lang w:eastAsia="en-GB"/>
              </w:rPr>
              <w:t>16</w:t>
            </w:r>
            <w:r w:rsidRPr="004275C9">
              <w:rPr>
                <w:rFonts w:ascii="Calibri" w:eastAsia="Times New Roman" w:hAnsi="Calibri" w:cs="Calibri"/>
                <w:color w:val="000000"/>
                <w:szCs w:val="22"/>
                <w:lang w:eastAsia="en-GB"/>
              </w:rPr>
              <w:t>%)</w:t>
            </w:r>
          </w:p>
        </w:tc>
      </w:tr>
      <w:tr w:rsidR="009C17E7" w:rsidRPr="004275C9" w14:paraId="5F02DB4E" w14:textId="77777777" w:rsidTr="00066F17">
        <w:trPr>
          <w:trHeight w:val="300"/>
        </w:trPr>
        <w:tc>
          <w:tcPr>
            <w:tcW w:w="6384" w:type="dxa"/>
            <w:tcBorders>
              <w:top w:val="nil"/>
              <w:left w:val="single" w:sz="4" w:space="0" w:color="auto"/>
              <w:bottom w:val="single" w:sz="4" w:space="0" w:color="auto"/>
              <w:right w:val="single" w:sz="4" w:space="0" w:color="auto"/>
            </w:tcBorders>
            <w:shd w:val="clear" w:color="auto" w:fill="auto"/>
            <w:noWrap/>
            <w:vAlign w:val="bottom"/>
          </w:tcPr>
          <w:p w14:paraId="200EDFA5" w14:textId="2DF14DEF" w:rsidR="009C17E7" w:rsidRPr="004275C9" w:rsidRDefault="009C17E7" w:rsidP="009C17E7">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Of the total number registered, those found on researchregistry.com</w:t>
            </w:r>
            <w:r w:rsidR="00864B54">
              <w:rPr>
                <w:rFonts w:ascii="Calibri" w:eastAsia="Times New Roman" w:hAnsi="Calibri" w:cs="Calibri"/>
                <w:color w:val="000000"/>
                <w:szCs w:val="22"/>
                <w:lang w:eastAsia="en-GB"/>
              </w:rPr>
              <w:t>*</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noWrap/>
          </w:tcPr>
          <w:p w14:paraId="75A67F1A"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p>
        </w:tc>
        <w:tc>
          <w:tcPr>
            <w:tcW w:w="730" w:type="dxa"/>
            <w:tcBorders>
              <w:top w:val="single" w:sz="4" w:space="0" w:color="auto"/>
              <w:left w:val="nil"/>
              <w:bottom w:val="single" w:sz="4" w:space="0" w:color="auto"/>
              <w:right w:val="single" w:sz="4" w:space="0" w:color="auto"/>
            </w:tcBorders>
            <w:shd w:val="clear" w:color="auto" w:fill="808080" w:themeFill="background1" w:themeFillShade="80"/>
          </w:tcPr>
          <w:p w14:paraId="0F66F133"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p>
        </w:tc>
        <w:tc>
          <w:tcPr>
            <w:tcW w:w="687" w:type="dxa"/>
            <w:tcBorders>
              <w:top w:val="nil"/>
              <w:left w:val="nil"/>
              <w:bottom w:val="single" w:sz="4" w:space="0" w:color="auto"/>
              <w:right w:val="single" w:sz="4" w:space="0" w:color="auto"/>
            </w:tcBorders>
          </w:tcPr>
          <w:p w14:paraId="7B3FE29A" w14:textId="2E66C3B0"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9</w:t>
            </w:r>
          </w:p>
        </w:tc>
        <w:tc>
          <w:tcPr>
            <w:tcW w:w="851" w:type="dxa"/>
            <w:tcBorders>
              <w:top w:val="nil"/>
              <w:left w:val="nil"/>
              <w:bottom w:val="single" w:sz="4" w:space="0" w:color="auto"/>
              <w:right w:val="single" w:sz="4" w:space="0" w:color="auto"/>
            </w:tcBorders>
          </w:tcPr>
          <w:p w14:paraId="5CE52D2C" w14:textId="1E6BA438" w:rsidR="009C17E7" w:rsidRPr="004275C9" w:rsidRDefault="001D70CA"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w:t>
            </w:r>
            <w:r w:rsidR="00224178">
              <w:rPr>
                <w:rFonts w:ascii="Calibri" w:eastAsia="Times New Roman" w:hAnsi="Calibri" w:cs="Calibri"/>
                <w:color w:val="000000"/>
                <w:szCs w:val="22"/>
                <w:lang w:eastAsia="en-GB"/>
              </w:rPr>
              <w:t>5</w:t>
            </w:r>
            <w:r w:rsidRPr="004275C9">
              <w:rPr>
                <w:rFonts w:ascii="Calibri" w:eastAsia="Times New Roman" w:hAnsi="Calibri" w:cs="Calibri"/>
                <w:color w:val="000000"/>
                <w:szCs w:val="22"/>
                <w:lang w:eastAsia="en-GB"/>
              </w:rPr>
              <w:t>%)</w:t>
            </w:r>
          </w:p>
        </w:tc>
      </w:tr>
      <w:tr w:rsidR="009C17E7" w:rsidRPr="004275C9" w14:paraId="5E2E6505" w14:textId="1700420F" w:rsidTr="00066F17">
        <w:trPr>
          <w:trHeight w:val="300"/>
        </w:trPr>
        <w:tc>
          <w:tcPr>
            <w:tcW w:w="6384" w:type="dxa"/>
            <w:tcBorders>
              <w:top w:val="nil"/>
              <w:left w:val="single" w:sz="4" w:space="0" w:color="auto"/>
              <w:bottom w:val="single" w:sz="4" w:space="0" w:color="auto"/>
              <w:right w:val="single" w:sz="4" w:space="0" w:color="auto"/>
            </w:tcBorders>
            <w:shd w:val="clear" w:color="auto" w:fill="auto"/>
            <w:noWrap/>
            <w:vAlign w:val="bottom"/>
            <w:hideMark/>
          </w:tcPr>
          <w:p w14:paraId="7B1350FD" w14:textId="657DCD17" w:rsidR="009C17E7" w:rsidRPr="004275C9" w:rsidRDefault="009C17E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The number of medical device trials that could not be found or not know to have registered</w:t>
            </w:r>
            <w:r w:rsidR="00921AD9">
              <w:rPr>
                <w:rFonts w:ascii="Calibri" w:eastAsia="Times New Roman" w:hAnsi="Calibri" w:cs="Calibri"/>
                <w:color w:val="000000"/>
                <w:szCs w:val="22"/>
                <w:lang w:eastAsia="en-GB"/>
              </w:rPr>
              <w:t xml:space="preserve">; </w:t>
            </w:r>
            <w:r w:rsidR="00921AD9" w:rsidRPr="00921AD9">
              <w:rPr>
                <w:rFonts w:ascii="Calibri" w:eastAsia="Times New Roman" w:hAnsi="Calibri" w:cs="Calibri"/>
                <w:color w:val="000000"/>
                <w:szCs w:val="22"/>
                <w:lang w:eastAsia="en-GB"/>
              </w:rPr>
              <w:t>(breakdown of response to these below)</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2F17061A"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68</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tcPr>
          <w:p w14:paraId="2151E798"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40%</w:t>
            </w:r>
          </w:p>
        </w:tc>
        <w:tc>
          <w:tcPr>
            <w:tcW w:w="687" w:type="dxa"/>
            <w:tcBorders>
              <w:top w:val="nil"/>
              <w:left w:val="nil"/>
              <w:bottom w:val="single" w:sz="4" w:space="0" w:color="auto"/>
              <w:right w:val="single" w:sz="4" w:space="0" w:color="auto"/>
            </w:tcBorders>
          </w:tcPr>
          <w:p w14:paraId="7FF30101" w14:textId="13EB3AF4"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25</w:t>
            </w:r>
          </w:p>
        </w:tc>
        <w:tc>
          <w:tcPr>
            <w:tcW w:w="851" w:type="dxa"/>
            <w:tcBorders>
              <w:top w:val="nil"/>
              <w:left w:val="nil"/>
              <w:bottom w:val="single" w:sz="4" w:space="0" w:color="auto"/>
              <w:right w:val="single" w:sz="4" w:space="0" w:color="auto"/>
            </w:tcBorders>
          </w:tcPr>
          <w:p w14:paraId="287A6F1D" w14:textId="63556BBF" w:rsidR="009C17E7" w:rsidRPr="004275C9" w:rsidRDefault="001D70CA"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15%</w:t>
            </w:r>
          </w:p>
        </w:tc>
      </w:tr>
      <w:tr w:rsidR="009C17E7" w:rsidRPr="004275C9" w14:paraId="63420802" w14:textId="77777777" w:rsidTr="0085398E">
        <w:trPr>
          <w:trHeight w:val="300"/>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B2968" w14:textId="30A901DC" w:rsidR="009C17E7" w:rsidRPr="004275C9" w:rsidRDefault="009C17E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 xml:space="preserve">Of the medical device trials not found or not known to have registered: </w:t>
            </w:r>
            <w:r w:rsidRPr="004275C9">
              <w:rPr>
                <w:rFonts w:ascii="Calibri" w:eastAsia="Times New Roman" w:hAnsi="Calibri" w:cs="Calibri"/>
                <w:b/>
                <w:color w:val="000000"/>
                <w:szCs w:val="22"/>
                <w:lang w:eastAsia="en-GB"/>
              </w:rPr>
              <w:t>Reply received</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noWrap/>
          </w:tcPr>
          <w:p w14:paraId="39A05179"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p>
        </w:tc>
        <w:tc>
          <w:tcPr>
            <w:tcW w:w="730" w:type="dxa"/>
            <w:tcBorders>
              <w:top w:val="single" w:sz="4" w:space="0" w:color="auto"/>
              <w:left w:val="nil"/>
              <w:bottom w:val="single" w:sz="4" w:space="0" w:color="auto"/>
              <w:right w:val="single" w:sz="4" w:space="0" w:color="auto"/>
            </w:tcBorders>
            <w:shd w:val="clear" w:color="auto" w:fill="808080" w:themeFill="background1" w:themeFillShade="80"/>
          </w:tcPr>
          <w:p w14:paraId="56626EDD"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p>
        </w:tc>
        <w:tc>
          <w:tcPr>
            <w:tcW w:w="687" w:type="dxa"/>
            <w:tcBorders>
              <w:top w:val="single" w:sz="4" w:space="0" w:color="auto"/>
              <w:left w:val="nil"/>
              <w:bottom w:val="single" w:sz="4" w:space="0" w:color="auto"/>
              <w:right w:val="single" w:sz="4" w:space="0" w:color="auto"/>
            </w:tcBorders>
          </w:tcPr>
          <w:p w14:paraId="1944014F" w14:textId="34AE9AA3"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6</w:t>
            </w:r>
          </w:p>
        </w:tc>
        <w:tc>
          <w:tcPr>
            <w:tcW w:w="851" w:type="dxa"/>
            <w:tcBorders>
              <w:top w:val="single" w:sz="4" w:space="0" w:color="auto"/>
              <w:left w:val="nil"/>
              <w:bottom w:val="single" w:sz="4" w:space="0" w:color="auto"/>
              <w:right w:val="single" w:sz="4" w:space="0" w:color="auto"/>
            </w:tcBorders>
          </w:tcPr>
          <w:p w14:paraId="60F2F230" w14:textId="72F35A22" w:rsidR="009C17E7" w:rsidRPr="004275C9" w:rsidRDefault="001D70CA"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(24%)</w:t>
            </w:r>
          </w:p>
        </w:tc>
      </w:tr>
      <w:tr w:rsidR="0085398E" w:rsidRPr="004275C9" w14:paraId="20AB0B46" w14:textId="77777777" w:rsidTr="0085398E">
        <w:trPr>
          <w:trHeight w:val="300"/>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CE490" w14:textId="6C30CF0A" w:rsidR="0085398E" w:rsidRPr="004275C9" w:rsidRDefault="0085398E" w:rsidP="002655F1">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Of the replies received, those which stated that registration not yet required (</w:t>
            </w:r>
            <w:proofErr w:type="spellStart"/>
            <w:r>
              <w:rPr>
                <w:rFonts w:ascii="Calibri" w:eastAsia="Times New Roman" w:hAnsi="Calibri" w:cs="Calibri"/>
                <w:color w:val="000000"/>
                <w:szCs w:val="22"/>
                <w:lang w:eastAsia="en-GB"/>
              </w:rPr>
              <w:t>e.g</w:t>
            </w:r>
            <w:proofErr w:type="spellEnd"/>
            <w:r>
              <w:rPr>
                <w:rFonts w:ascii="Calibri" w:eastAsia="Times New Roman" w:hAnsi="Calibri" w:cs="Calibri"/>
                <w:color w:val="000000"/>
                <w:szCs w:val="22"/>
                <w:lang w:eastAsia="en-GB"/>
              </w:rPr>
              <w:t xml:space="preserve"> trial not yet recruited / trial not yet started / trial terminated before recruitment commenced)</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noWrap/>
          </w:tcPr>
          <w:p w14:paraId="4F6910B3" w14:textId="77777777" w:rsidR="0085398E" w:rsidRPr="004275C9" w:rsidRDefault="0085398E" w:rsidP="009C17E7">
            <w:pPr>
              <w:spacing w:after="0" w:line="240" w:lineRule="auto"/>
              <w:jc w:val="center"/>
              <w:rPr>
                <w:rFonts w:ascii="Calibri" w:eastAsia="Times New Roman" w:hAnsi="Calibri" w:cs="Calibri"/>
                <w:color w:val="000000"/>
                <w:szCs w:val="22"/>
                <w:lang w:eastAsia="en-GB"/>
              </w:rPr>
            </w:pPr>
          </w:p>
        </w:tc>
        <w:tc>
          <w:tcPr>
            <w:tcW w:w="730" w:type="dxa"/>
            <w:tcBorders>
              <w:top w:val="single" w:sz="4" w:space="0" w:color="auto"/>
              <w:left w:val="nil"/>
              <w:bottom w:val="single" w:sz="4" w:space="0" w:color="auto"/>
              <w:right w:val="single" w:sz="4" w:space="0" w:color="auto"/>
            </w:tcBorders>
            <w:shd w:val="clear" w:color="auto" w:fill="808080" w:themeFill="background1" w:themeFillShade="80"/>
          </w:tcPr>
          <w:p w14:paraId="0CB27933" w14:textId="77777777" w:rsidR="0085398E" w:rsidRPr="004275C9" w:rsidRDefault="0085398E" w:rsidP="009C17E7">
            <w:pPr>
              <w:spacing w:after="0" w:line="240" w:lineRule="auto"/>
              <w:jc w:val="center"/>
              <w:rPr>
                <w:rFonts w:ascii="Calibri" w:eastAsia="Times New Roman" w:hAnsi="Calibri" w:cs="Calibri"/>
                <w:color w:val="000000"/>
                <w:szCs w:val="22"/>
                <w:lang w:eastAsia="en-GB"/>
              </w:rPr>
            </w:pPr>
          </w:p>
        </w:tc>
        <w:tc>
          <w:tcPr>
            <w:tcW w:w="687" w:type="dxa"/>
            <w:tcBorders>
              <w:top w:val="single" w:sz="4" w:space="0" w:color="auto"/>
              <w:left w:val="nil"/>
              <w:bottom w:val="single" w:sz="4" w:space="0" w:color="auto"/>
              <w:right w:val="single" w:sz="4" w:space="0" w:color="auto"/>
            </w:tcBorders>
          </w:tcPr>
          <w:p w14:paraId="35E0541F" w14:textId="57F38C0D" w:rsidR="0085398E" w:rsidRPr="004275C9" w:rsidRDefault="00AE208F" w:rsidP="009C17E7">
            <w:pPr>
              <w:spacing w:after="0" w:line="240" w:lineRule="auto"/>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5</w:t>
            </w:r>
          </w:p>
        </w:tc>
        <w:tc>
          <w:tcPr>
            <w:tcW w:w="851" w:type="dxa"/>
            <w:tcBorders>
              <w:top w:val="single" w:sz="4" w:space="0" w:color="auto"/>
              <w:left w:val="nil"/>
              <w:bottom w:val="single" w:sz="4" w:space="0" w:color="auto"/>
              <w:right w:val="single" w:sz="4" w:space="0" w:color="auto"/>
            </w:tcBorders>
          </w:tcPr>
          <w:p w14:paraId="7A0804BF" w14:textId="7DF41560" w:rsidR="0085398E" w:rsidRPr="004275C9" w:rsidRDefault="00AE208F" w:rsidP="009C17E7">
            <w:pPr>
              <w:spacing w:after="0" w:line="240" w:lineRule="auto"/>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(83%)</w:t>
            </w:r>
            <w:r w:rsidRPr="00921AD9">
              <w:rPr>
                <w:rFonts w:ascii="Calibri" w:eastAsia="Times New Roman" w:hAnsi="Calibri" w:cs="Calibri"/>
                <w:color w:val="000000"/>
                <w:sz w:val="16"/>
                <w:szCs w:val="16"/>
                <w:lang w:eastAsia="en-GB"/>
              </w:rPr>
              <w:t xml:space="preserve"> Of those where reply received</w:t>
            </w:r>
            <w:r>
              <w:rPr>
                <w:rFonts w:ascii="Calibri" w:eastAsia="Times New Roman" w:hAnsi="Calibri" w:cs="Calibri"/>
                <w:color w:val="000000"/>
                <w:szCs w:val="22"/>
                <w:lang w:eastAsia="en-GB"/>
              </w:rPr>
              <w:t xml:space="preserve"> </w:t>
            </w:r>
          </w:p>
        </w:tc>
      </w:tr>
      <w:tr w:rsidR="009C17E7" w:rsidRPr="004275C9" w14:paraId="2EE56038" w14:textId="77777777" w:rsidTr="0085398E">
        <w:trPr>
          <w:trHeight w:val="300"/>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79A70" w14:textId="648E46A7" w:rsidR="009C17E7" w:rsidRPr="004275C9" w:rsidRDefault="009C17E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 xml:space="preserve">Of the medical device trials not found or not known to have registered: </w:t>
            </w:r>
            <w:r w:rsidRPr="004275C9">
              <w:rPr>
                <w:rFonts w:ascii="Calibri" w:eastAsia="Times New Roman" w:hAnsi="Calibri" w:cs="Calibri"/>
                <w:b/>
                <w:color w:val="000000"/>
                <w:szCs w:val="22"/>
                <w:lang w:eastAsia="en-GB"/>
              </w:rPr>
              <w:t>No reply received</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noWrap/>
          </w:tcPr>
          <w:p w14:paraId="1CFCAF5A"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p>
        </w:tc>
        <w:tc>
          <w:tcPr>
            <w:tcW w:w="730" w:type="dxa"/>
            <w:tcBorders>
              <w:top w:val="single" w:sz="4" w:space="0" w:color="auto"/>
              <w:left w:val="nil"/>
              <w:bottom w:val="single" w:sz="4" w:space="0" w:color="auto"/>
              <w:right w:val="single" w:sz="4" w:space="0" w:color="auto"/>
            </w:tcBorders>
            <w:shd w:val="clear" w:color="auto" w:fill="808080" w:themeFill="background1" w:themeFillShade="80"/>
          </w:tcPr>
          <w:p w14:paraId="24DFE27E" w14:textId="77777777" w:rsidR="009C17E7" w:rsidRPr="004275C9" w:rsidRDefault="009C17E7" w:rsidP="009C17E7">
            <w:pPr>
              <w:spacing w:after="0" w:line="240" w:lineRule="auto"/>
              <w:jc w:val="center"/>
              <w:rPr>
                <w:rFonts w:ascii="Calibri" w:eastAsia="Times New Roman" w:hAnsi="Calibri" w:cs="Calibri"/>
                <w:color w:val="000000"/>
                <w:szCs w:val="22"/>
                <w:lang w:eastAsia="en-GB"/>
              </w:rPr>
            </w:pPr>
          </w:p>
        </w:tc>
        <w:tc>
          <w:tcPr>
            <w:tcW w:w="687" w:type="dxa"/>
            <w:tcBorders>
              <w:top w:val="single" w:sz="4" w:space="0" w:color="auto"/>
              <w:left w:val="nil"/>
              <w:bottom w:val="single" w:sz="4" w:space="0" w:color="auto"/>
              <w:right w:val="single" w:sz="4" w:space="0" w:color="auto"/>
            </w:tcBorders>
          </w:tcPr>
          <w:p w14:paraId="3C00CA99" w14:textId="296F238D" w:rsidR="009C17E7" w:rsidRPr="004275C9" w:rsidRDefault="009C17E7"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19</w:t>
            </w:r>
          </w:p>
        </w:tc>
        <w:tc>
          <w:tcPr>
            <w:tcW w:w="851" w:type="dxa"/>
            <w:tcBorders>
              <w:top w:val="single" w:sz="4" w:space="0" w:color="auto"/>
              <w:left w:val="nil"/>
              <w:bottom w:val="single" w:sz="4" w:space="0" w:color="auto"/>
              <w:right w:val="single" w:sz="4" w:space="0" w:color="auto"/>
            </w:tcBorders>
          </w:tcPr>
          <w:p w14:paraId="05692CB9" w14:textId="6F88ECDA" w:rsidR="009C17E7" w:rsidRPr="004275C9" w:rsidRDefault="001D70CA" w:rsidP="009C17E7">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(76%)</w:t>
            </w:r>
          </w:p>
        </w:tc>
      </w:tr>
    </w:tbl>
    <w:p w14:paraId="7B0F60F2" w14:textId="55B68EB6" w:rsidR="00BF7E3C" w:rsidRPr="00177758" w:rsidRDefault="00864B54" w:rsidP="00693E42">
      <w:pPr>
        <w:rPr>
          <w:rFonts w:ascii="Calibri" w:hAnsi="Calibri" w:cs="Calibri"/>
          <w:sz w:val="16"/>
          <w:szCs w:val="16"/>
        </w:rPr>
      </w:pPr>
      <w:r w:rsidRPr="00864B54">
        <w:rPr>
          <w:rFonts w:ascii="Calibri" w:hAnsi="Calibri" w:cs="Calibri"/>
          <w:sz w:val="16"/>
          <w:szCs w:val="16"/>
        </w:rPr>
        <w:t>*Re</w:t>
      </w:r>
      <w:r>
        <w:rPr>
          <w:rFonts w:ascii="Calibri" w:hAnsi="Calibri" w:cs="Calibri"/>
          <w:sz w:val="16"/>
          <w:szCs w:val="16"/>
        </w:rPr>
        <w:t>searchregistry.com is a relatively new database which was not included in the list of advisable databases pre August 2015</w:t>
      </w:r>
    </w:p>
    <w:p w14:paraId="0CC6ABF5" w14:textId="64CC5B72" w:rsidR="00BB7617" w:rsidRPr="00864B54" w:rsidRDefault="00177758" w:rsidP="00310D13">
      <w:pPr>
        <w:ind w:left="720"/>
        <w:rPr>
          <w:rFonts w:ascii="Calibri" w:hAnsi="Calibri" w:cs="Calibri"/>
          <w:sz w:val="24"/>
        </w:rPr>
      </w:pPr>
      <w:r>
        <w:rPr>
          <w:rFonts w:ascii="Calibri" w:hAnsi="Calibri" w:cs="Calibri"/>
          <w:sz w:val="24"/>
        </w:rPr>
        <w:t>3</w:t>
      </w:r>
      <w:r w:rsidR="00310D13" w:rsidRPr="00864B54">
        <w:rPr>
          <w:rFonts w:ascii="Calibri" w:hAnsi="Calibri" w:cs="Calibri"/>
          <w:sz w:val="24"/>
        </w:rPr>
        <w:t xml:space="preserve">.3 </w:t>
      </w:r>
      <w:r w:rsidR="00BB7617" w:rsidRPr="00864B54">
        <w:rPr>
          <w:rFonts w:ascii="Calibri" w:hAnsi="Calibri" w:cs="Calibri"/>
          <w:sz w:val="24"/>
        </w:rPr>
        <w:t xml:space="preserve">Clinical Trials other than </w:t>
      </w:r>
      <w:r w:rsidR="00310D13" w:rsidRPr="00864B54">
        <w:rPr>
          <w:rFonts w:ascii="Calibri" w:hAnsi="Calibri" w:cs="Calibri"/>
          <w:sz w:val="24"/>
        </w:rPr>
        <w:t>CTIMPs or Medical Device trials (monitoring period 1 January 2015 to 30 June 2015)</w:t>
      </w:r>
    </w:p>
    <w:tbl>
      <w:tblPr>
        <w:tblW w:w="9361" w:type="dxa"/>
        <w:tblInd w:w="103" w:type="dxa"/>
        <w:tblLook w:val="04A0" w:firstRow="1" w:lastRow="0" w:firstColumn="1" w:lastColumn="0" w:noHBand="0" w:noVBand="1"/>
      </w:tblPr>
      <w:tblGrid>
        <w:gridCol w:w="6384"/>
        <w:gridCol w:w="709"/>
        <w:gridCol w:w="730"/>
        <w:gridCol w:w="687"/>
        <w:gridCol w:w="851"/>
      </w:tblGrid>
      <w:tr w:rsidR="008C0339" w:rsidRPr="004275C9" w14:paraId="5DFAFDB4" w14:textId="77777777" w:rsidTr="00177758">
        <w:trPr>
          <w:trHeight w:val="300"/>
        </w:trPr>
        <w:tc>
          <w:tcPr>
            <w:tcW w:w="6384"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tcPr>
          <w:p w14:paraId="6B8A9EE0" w14:textId="77777777" w:rsidR="008C0339" w:rsidRPr="004275C9" w:rsidRDefault="008C0339" w:rsidP="008C0339">
            <w:pPr>
              <w:spacing w:after="0" w:line="240" w:lineRule="auto"/>
              <w:jc w:val="center"/>
              <w:rPr>
                <w:rFonts w:ascii="Calibri" w:eastAsia="Times New Roman" w:hAnsi="Calibri" w:cs="Calibri"/>
                <w:color w:val="000000"/>
                <w:szCs w:val="22"/>
                <w:lang w:eastAsia="en-GB"/>
              </w:rPr>
            </w:pPr>
          </w:p>
        </w:tc>
        <w:tc>
          <w:tcPr>
            <w:tcW w:w="1439" w:type="dxa"/>
            <w:gridSpan w:val="2"/>
            <w:tcBorders>
              <w:top w:val="single" w:sz="4" w:space="0" w:color="auto"/>
              <w:left w:val="nil"/>
              <w:bottom w:val="single" w:sz="4" w:space="0" w:color="auto"/>
              <w:right w:val="single" w:sz="4" w:space="0" w:color="auto"/>
            </w:tcBorders>
            <w:shd w:val="clear" w:color="auto" w:fill="B2A1C7" w:themeFill="accent4" w:themeFillTint="99"/>
            <w:noWrap/>
          </w:tcPr>
          <w:p w14:paraId="0D93F491" w14:textId="20519E9A" w:rsidR="008C0339" w:rsidRPr="008C0339" w:rsidRDefault="008C0339" w:rsidP="008C0339">
            <w:pPr>
              <w:spacing w:after="0" w:line="240" w:lineRule="auto"/>
              <w:jc w:val="center"/>
              <w:rPr>
                <w:rFonts w:ascii="Calibri" w:eastAsia="Times New Roman" w:hAnsi="Calibri" w:cs="Calibri"/>
                <w:b/>
                <w:color w:val="000000"/>
                <w:szCs w:val="22"/>
                <w:lang w:eastAsia="en-GB"/>
              </w:rPr>
            </w:pPr>
            <w:r w:rsidRPr="008C0339">
              <w:rPr>
                <w:rFonts w:ascii="Calibri" w:eastAsia="Times New Roman" w:hAnsi="Calibri" w:cs="Calibri"/>
                <w:b/>
                <w:color w:val="000000"/>
                <w:szCs w:val="22"/>
                <w:lang w:eastAsia="en-GB"/>
              </w:rPr>
              <w:t>August 2015</w:t>
            </w:r>
          </w:p>
        </w:tc>
        <w:tc>
          <w:tcPr>
            <w:tcW w:w="1538" w:type="dxa"/>
            <w:gridSpan w:val="2"/>
            <w:tcBorders>
              <w:top w:val="single" w:sz="4" w:space="0" w:color="auto"/>
              <w:left w:val="nil"/>
              <w:bottom w:val="single" w:sz="4" w:space="0" w:color="auto"/>
              <w:right w:val="single" w:sz="4" w:space="0" w:color="auto"/>
            </w:tcBorders>
            <w:shd w:val="clear" w:color="auto" w:fill="B2A1C7" w:themeFill="accent4" w:themeFillTint="99"/>
          </w:tcPr>
          <w:p w14:paraId="048784B6" w14:textId="763E2C12" w:rsidR="008C0339" w:rsidRPr="008C0339" w:rsidRDefault="008C0339" w:rsidP="008C0339">
            <w:pPr>
              <w:spacing w:after="0" w:line="240" w:lineRule="auto"/>
              <w:jc w:val="center"/>
              <w:rPr>
                <w:rFonts w:ascii="Calibri" w:eastAsia="Times New Roman" w:hAnsi="Calibri" w:cs="Calibri"/>
                <w:b/>
                <w:color w:val="000000"/>
                <w:szCs w:val="22"/>
                <w:lang w:eastAsia="en-GB"/>
              </w:rPr>
            </w:pPr>
            <w:r w:rsidRPr="008C0339">
              <w:rPr>
                <w:rFonts w:ascii="Calibri" w:eastAsia="Times New Roman" w:hAnsi="Calibri" w:cs="Calibri"/>
                <w:b/>
                <w:color w:val="000000"/>
                <w:szCs w:val="22"/>
                <w:lang w:eastAsia="en-GB"/>
              </w:rPr>
              <w:t>January 2016</w:t>
            </w:r>
          </w:p>
        </w:tc>
      </w:tr>
      <w:tr w:rsidR="00BB7617" w:rsidRPr="004275C9" w14:paraId="19E19005" w14:textId="6333FD14" w:rsidTr="00AE208F">
        <w:trPr>
          <w:trHeight w:val="300"/>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9A1D" w14:textId="77777777" w:rsidR="00BB7617" w:rsidRPr="004275C9" w:rsidRDefault="00BB761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Total number of other trials with a FO during the reporting period</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1D8828A6" w14:textId="77777777" w:rsidR="00BB7617" w:rsidRPr="004275C9" w:rsidRDefault="00BB7617"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300</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tcPr>
          <w:p w14:paraId="0B8C212E" w14:textId="77777777" w:rsidR="00BB7617" w:rsidRPr="004275C9" w:rsidRDefault="00BB7617" w:rsidP="000E28CC">
            <w:pPr>
              <w:spacing w:after="0" w:line="240" w:lineRule="auto"/>
              <w:jc w:val="center"/>
              <w:rPr>
                <w:rFonts w:ascii="Calibri" w:eastAsia="Times New Roman" w:hAnsi="Calibri" w:cs="Calibri"/>
                <w:color w:val="000000"/>
                <w:szCs w:val="22"/>
                <w:lang w:eastAsia="en-GB"/>
              </w:rPr>
            </w:pPr>
          </w:p>
        </w:tc>
        <w:tc>
          <w:tcPr>
            <w:tcW w:w="687" w:type="dxa"/>
            <w:tcBorders>
              <w:top w:val="single" w:sz="4" w:space="0" w:color="auto"/>
              <w:left w:val="nil"/>
              <w:bottom w:val="single" w:sz="4" w:space="0" w:color="auto"/>
              <w:right w:val="single" w:sz="4" w:space="0" w:color="auto"/>
            </w:tcBorders>
          </w:tcPr>
          <w:p w14:paraId="5C80C566" w14:textId="7603D062" w:rsidR="00BB7617" w:rsidRPr="004275C9" w:rsidRDefault="000E28CC"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300</w:t>
            </w:r>
          </w:p>
        </w:tc>
        <w:tc>
          <w:tcPr>
            <w:tcW w:w="851" w:type="dxa"/>
            <w:tcBorders>
              <w:top w:val="single" w:sz="4" w:space="0" w:color="auto"/>
              <w:left w:val="nil"/>
              <w:bottom w:val="single" w:sz="4" w:space="0" w:color="auto"/>
              <w:right w:val="single" w:sz="4" w:space="0" w:color="auto"/>
            </w:tcBorders>
            <w:shd w:val="clear" w:color="auto" w:fill="auto"/>
          </w:tcPr>
          <w:p w14:paraId="5321D1CA" w14:textId="77777777" w:rsidR="00BB7617" w:rsidRPr="004275C9" w:rsidRDefault="00BB7617" w:rsidP="000E28CC">
            <w:pPr>
              <w:spacing w:after="0" w:line="240" w:lineRule="auto"/>
              <w:jc w:val="center"/>
              <w:rPr>
                <w:rFonts w:ascii="Calibri" w:eastAsia="Times New Roman" w:hAnsi="Calibri" w:cs="Calibri"/>
                <w:color w:val="000000"/>
                <w:szCs w:val="22"/>
                <w:lang w:eastAsia="en-GB"/>
              </w:rPr>
            </w:pPr>
          </w:p>
        </w:tc>
      </w:tr>
      <w:tr w:rsidR="00BB7617" w:rsidRPr="004275C9" w14:paraId="792B5E6C" w14:textId="537A1643" w:rsidTr="00AE208F">
        <w:trPr>
          <w:trHeight w:val="300"/>
        </w:trPr>
        <w:tc>
          <w:tcPr>
            <w:tcW w:w="6384" w:type="dxa"/>
            <w:tcBorders>
              <w:top w:val="nil"/>
              <w:left w:val="single" w:sz="4" w:space="0" w:color="auto"/>
              <w:bottom w:val="single" w:sz="4" w:space="0" w:color="auto"/>
              <w:right w:val="single" w:sz="4" w:space="0" w:color="auto"/>
            </w:tcBorders>
            <w:shd w:val="clear" w:color="auto" w:fill="auto"/>
            <w:noWrap/>
            <w:vAlign w:val="bottom"/>
          </w:tcPr>
          <w:p w14:paraId="7D5ECD08" w14:textId="77777777" w:rsidR="00BB7617" w:rsidRPr="004275C9" w:rsidRDefault="00BB761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Total number of other trials found on a publicly accessible database</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cPr>
          <w:p w14:paraId="38EC951B" w14:textId="77777777" w:rsidR="00BB7617" w:rsidRPr="004275C9" w:rsidRDefault="00BB7617"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144</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tcPr>
          <w:p w14:paraId="6721078B" w14:textId="77777777" w:rsidR="00BB7617" w:rsidRPr="004275C9" w:rsidRDefault="00BB7617"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48%</w:t>
            </w:r>
          </w:p>
        </w:tc>
        <w:tc>
          <w:tcPr>
            <w:tcW w:w="687" w:type="dxa"/>
            <w:tcBorders>
              <w:top w:val="nil"/>
              <w:left w:val="nil"/>
              <w:bottom w:val="single" w:sz="4" w:space="0" w:color="auto"/>
              <w:right w:val="single" w:sz="4" w:space="0" w:color="auto"/>
            </w:tcBorders>
          </w:tcPr>
          <w:p w14:paraId="0DB4E70D" w14:textId="0B5E3F82" w:rsidR="00BB7617" w:rsidRPr="004275C9" w:rsidRDefault="000E28CC"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240</w:t>
            </w:r>
          </w:p>
        </w:tc>
        <w:tc>
          <w:tcPr>
            <w:tcW w:w="851" w:type="dxa"/>
            <w:tcBorders>
              <w:top w:val="nil"/>
              <w:left w:val="nil"/>
              <w:bottom w:val="single" w:sz="4" w:space="0" w:color="auto"/>
              <w:right w:val="single" w:sz="4" w:space="0" w:color="auto"/>
            </w:tcBorders>
          </w:tcPr>
          <w:p w14:paraId="7010A7F9" w14:textId="4540B419" w:rsidR="00BB7617" w:rsidRPr="004275C9" w:rsidRDefault="00F26221"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80%</w:t>
            </w:r>
          </w:p>
        </w:tc>
      </w:tr>
      <w:tr w:rsidR="00BB7617" w:rsidRPr="004275C9" w14:paraId="15B69175" w14:textId="4A08FBE2" w:rsidTr="00AE208F">
        <w:trPr>
          <w:trHeight w:val="300"/>
        </w:trPr>
        <w:tc>
          <w:tcPr>
            <w:tcW w:w="6384" w:type="dxa"/>
            <w:tcBorders>
              <w:top w:val="nil"/>
              <w:left w:val="single" w:sz="4" w:space="0" w:color="auto"/>
              <w:bottom w:val="single" w:sz="4" w:space="0" w:color="auto"/>
              <w:right w:val="single" w:sz="4" w:space="0" w:color="auto"/>
            </w:tcBorders>
            <w:shd w:val="clear" w:color="auto" w:fill="auto"/>
            <w:noWrap/>
            <w:vAlign w:val="bottom"/>
            <w:hideMark/>
          </w:tcPr>
          <w:p w14:paraId="0FD249E7" w14:textId="77777777" w:rsidR="00BB7617" w:rsidRPr="004275C9" w:rsidRDefault="00BB761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 xml:space="preserve">Of the total number registered, those found on ISRCTN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1169CF5B" w14:textId="77777777" w:rsidR="00BB7617" w:rsidRPr="004275C9" w:rsidRDefault="00BB7617"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75</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tcPr>
          <w:p w14:paraId="23447E86" w14:textId="77777777" w:rsidR="00BB7617" w:rsidRPr="004275C9" w:rsidRDefault="00BB7617"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(25%)</w:t>
            </w:r>
          </w:p>
        </w:tc>
        <w:tc>
          <w:tcPr>
            <w:tcW w:w="687" w:type="dxa"/>
            <w:tcBorders>
              <w:top w:val="nil"/>
              <w:left w:val="nil"/>
              <w:bottom w:val="single" w:sz="4" w:space="0" w:color="auto"/>
              <w:right w:val="single" w:sz="4" w:space="0" w:color="auto"/>
            </w:tcBorders>
          </w:tcPr>
          <w:p w14:paraId="55B3F3D4" w14:textId="39B7141A" w:rsidR="00BB7617" w:rsidRPr="004275C9" w:rsidRDefault="000E28CC"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86</w:t>
            </w:r>
          </w:p>
        </w:tc>
        <w:tc>
          <w:tcPr>
            <w:tcW w:w="851" w:type="dxa"/>
            <w:tcBorders>
              <w:top w:val="nil"/>
              <w:left w:val="nil"/>
              <w:bottom w:val="single" w:sz="4" w:space="0" w:color="auto"/>
              <w:right w:val="single" w:sz="4" w:space="0" w:color="auto"/>
            </w:tcBorders>
          </w:tcPr>
          <w:p w14:paraId="739DE6FA" w14:textId="2D5A65E2" w:rsidR="00BB7617" w:rsidRPr="004275C9" w:rsidRDefault="00F26221"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(36%)</w:t>
            </w:r>
          </w:p>
        </w:tc>
      </w:tr>
      <w:tr w:rsidR="00BB7617" w:rsidRPr="004275C9" w14:paraId="0A357998" w14:textId="0BB2F24B" w:rsidTr="00AE208F">
        <w:trPr>
          <w:trHeight w:val="300"/>
        </w:trPr>
        <w:tc>
          <w:tcPr>
            <w:tcW w:w="6384" w:type="dxa"/>
            <w:tcBorders>
              <w:top w:val="nil"/>
              <w:left w:val="single" w:sz="4" w:space="0" w:color="auto"/>
              <w:bottom w:val="single" w:sz="4" w:space="0" w:color="auto"/>
              <w:right w:val="single" w:sz="4" w:space="0" w:color="auto"/>
            </w:tcBorders>
            <w:shd w:val="clear" w:color="auto" w:fill="auto"/>
            <w:noWrap/>
            <w:vAlign w:val="bottom"/>
            <w:hideMark/>
          </w:tcPr>
          <w:p w14:paraId="17F6E084" w14:textId="77777777" w:rsidR="00BB7617" w:rsidRPr="004275C9" w:rsidRDefault="00BB761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Of the total number registered, those found on clinicaltrials.gov</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750FE577" w14:textId="77777777" w:rsidR="00BB7617" w:rsidRPr="004275C9" w:rsidRDefault="00BB7617"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69</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tcPr>
          <w:p w14:paraId="7DE30B4D" w14:textId="77777777" w:rsidR="00BB7617" w:rsidRPr="004275C9" w:rsidRDefault="00BB7617"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(23%)</w:t>
            </w:r>
          </w:p>
        </w:tc>
        <w:tc>
          <w:tcPr>
            <w:tcW w:w="687" w:type="dxa"/>
            <w:tcBorders>
              <w:top w:val="nil"/>
              <w:left w:val="nil"/>
              <w:bottom w:val="single" w:sz="4" w:space="0" w:color="auto"/>
              <w:right w:val="single" w:sz="4" w:space="0" w:color="auto"/>
            </w:tcBorders>
          </w:tcPr>
          <w:p w14:paraId="6B05E941" w14:textId="3F8AF3ED" w:rsidR="00BB7617" w:rsidRPr="004275C9" w:rsidRDefault="000E28CC"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94</w:t>
            </w:r>
          </w:p>
        </w:tc>
        <w:tc>
          <w:tcPr>
            <w:tcW w:w="851" w:type="dxa"/>
            <w:tcBorders>
              <w:top w:val="nil"/>
              <w:left w:val="nil"/>
              <w:bottom w:val="single" w:sz="4" w:space="0" w:color="auto"/>
              <w:right w:val="single" w:sz="4" w:space="0" w:color="auto"/>
            </w:tcBorders>
          </w:tcPr>
          <w:p w14:paraId="5CD263CA" w14:textId="59E2BF9A" w:rsidR="00BB7617" w:rsidRPr="004275C9" w:rsidRDefault="00F26221"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(39%)</w:t>
            </w:r>
          </w:p>
        </w:tc>
      </w:tr>
      <w:tr w:rsidR="00BB7617" w:rsidRPr="004275C9" w14:paraId="7EC985F4" w14:textId="0E4B1BEB" w:rsidTr="00AE208F">
        <w:trPr>
          <w:trHeight w:val="300"/>
        </w:trPr>
        <w:tc>
          <w:tcPr>
            <w:tcW w:w="6384" w:type="dxa"/>
            <w:tcBorders>
              <w:top w:val="nil"/>
              <w:left w:val="single" w:sz="4" w:space="0" w:color="auto"/>
              <w:bottom w:val="single" w:sz="4" w:space="0" w:color="auto"/>
              <w:right w:val="single" w:sz="4" w:space="0" w:color="auto"/>
            </w:tcBorders>
            <w:shd w:val="clear" w:color="auto" w:fill="auto"/>
            <w:noWrap/>
            <w:vAlign w:val="bottom"/>
            <w:hideMark/>
          </w:tcPr>
          <w:p w14:paraId="40866FFF" w14:textId="77777777" w:rsidR="00BB7617" w:rsidRPr="004275C9" w:rsidRDefault="00BB761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Total number of other trials not registered but details of the trial could be found on the UKCRN site</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008350D3" w14:textId="77777777" w:rsidR="00BB7617" w:rsidRPr="004275C9" w:rsidRDefault="00BB7617"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36</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tcPr>
          <w:p w14:paraId="14F7BAE4" w14:textId="77777777" w:rsidR="00BB7617" w:rsidRPr="004275C9" w:rsidRDefault="00BB7617" w:rsidP="000E28CC">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12%</w:t>
            </w:r>
          </w:p>
        </w:tc>
        <w:tc>
          <w:tcPr>
            <w:tcW w:w="687" w:type="dxa"/>
            <w:tcBorders>
              <w:top w:val="nil"/>
              <w:left w:val="nil"/>
              <w:bottom w:val="single" w:sz="4" w:space="0" w:color="auto"/>
              <w:right w:val="single" w:sz="4" w:space="0" w:color="auto"/>
            </w:tcBorders>
          </w:tcPr>
          <w:p w14:paraId="727AD08C" w14:textId="50BC93B4" w:rsidR="00BB7617" w:rsidRPr="004275C9" w:rsidRDefault="000E28CC"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48</w:t>
            </w:r>
          </w:p>
        </w:tc>
        <w:tc>
          <w:tcPr>
            <w:tcW w:w="851" w:type="dxa"/>
            <w:tcBorders>
              <w:top w:val="nil"/>
              <w:left w:val="nil"/>
              <w:bottom w:val="single" w:sz="4" w:space="0" w:color="auto"/>
              <w:right w:val="single" w:sz="4" w:space="0" w:color="auto"/>
            </w:tcBorders>
          </w:tcPr>
          <w:p w14:paraId="6C9F8451" w14:textId="00036653" w:rsidR="00BB7617" w:rsidRPr="004275C9" w:rsidRDefault="00F26221"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(20%)</w:t>
            </w:r>
          </w:p>
        </w:tc>
      </w:tr>
      <w:tr w:rsidR="000E28CC" w:rsidRPr="004275C9" w14:paraId="26DBEECA" w14:textId="77777777" w:rsidTr="00AE208F">
        <w:trPr>
          <w:trHeight w:val="300"/>
        </w:trPr>
        <w:tc>
          <w:tcPr>
            <w:tcW w:w="6384" w:type="dxa"/>
            <w:tcBorders>
              <w:top w:val="nil"/>
              <w:left w:val="single" w:sz="4" w:space="0" w:color="auto"/>
              <w:bottom w:val="single" w:sz="4" w:space="0" w:color="auto"/>
              <w:right w:val="single" w:sz="4" w:space="0" w:color="auto"/>
            </w:tcBorders>
            <w:shd w:val="clear" w:color="auto" w:fill="auto"/>
            <w:noWrap/>
            <w:vAlign w:val="bottom"/>
          </w:tcPr>
          <w:p w14:paraId="1C0076C9" w14:textId="28C40D30" w:rsidR="000E28CC" w:rsidRPr="004275C9" w:rsidRDefault="000E28CC"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Of the total number registered, those found on researchregistry.com</w:t>
            </w:r>
            <w:r w:rsidR="00864B54">
              <w:rPr>
                <w:rFonts w:ascii="Calibri" w:eastAsia="Times New Roman" w:hAnsi="Calibri" w:cs="Calibri"/>
                <w:color w:val="000000"/>
                <w:szCs w:val="22"/>
                <w:lang w:eastAsia="en-GB"/>
              </w:rPr>
              <w:t>*</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noWrap/>
          </w:tcPr>
          <w:p w14:paraId="58D9D0DD" w14:textId="77777777" w:rsidR="000E28CC" w:rsidRPr="004275C9" w:rsidRDefault="000E28CC" w:rsidP="000E28CC">
            <w:pPr>
              <w:spacing w:after="0" w:line="240" w:lineRule="auto"/>
              <w:jc w:val="center"/>
              <w:rPr>
                <w:rFonts w:ascii="Calibri" w:eastAsia="Times New Roman" w:hAnsi="Calibri" w:cs="Calibri"/>
                <w:color w:val="000000"/>
                <w:szCs w:val="22"/>
                <w:lang w:eastAsia="en-GB"/>
              </w:rPr>
            </w:pPr>
          </w:p>
        </w:tc>
        <w:tc>
          <w:tcPr>
            <w:tcW w:w="730" w:type="dxa"/>
            <w:tcBorders>
              <w:top w:val="single" w:sz="4" w:space="0" w:color="auto"/>
              <w:left w:val="nil"/>
              <w:bottom w:val="single" w:sz="4" w:space="0" w:color="auto"/>
              <w:right w:val="single" w:sz="4" w:space="0" w:color="auto"/>
            </w:tcBorders>
            <w:shd w:val="clear" w:color="auto" w:fill="808080" w:themeFill="background1" w:themeFillShade="80"/>
          </w:tcPr>
          <w:p w14:paraId="372E91F1" w14:textId="77777777" w:rsidR="000E28CC" w:rsidRPr="004275C9" w:rsidRDefault="000E28CC" w:rsidP="000E28CC">
            <w:pPr>
              <w:spacing w:after="0" w:line="240" w:lineRule="auto"/>
              <w:rPr>
                <w:rFonts w:ascii="Calibri" w:eastAsia="Times New Roman" w:hAnsi="Calibri" w:cs="Calibri"/>
                <w:color w:val="000000"/>
                <w:szCs w:val="22"/>
                <w:lang w:eastAsia="en-GB"/>
              </w:rPr>
            </w:pPr>
          </w:p>
        </w:tc>
        <w:tc>
          <w:tcPr>
            <w:tcW w:w="687" w:type="dxa"/>
            <w:tcBorders>
              <w:top w:val="nil"/>
              <w:left w:val="nil"/>
              <w:bottom w:val="single" w:sz="4" w:space="0" w:color="auto"/>
              <w:right w:val="single" w:sz="4" w:space="0" w:color="auto"/>
            </w:tcBorders>
          </w:tcPr>
          <w:p w14:paraId="10A1945C" w14:textId="72B44275" w:rsidR="000E28CC" w:rsidRPr="004275C9" w:rsidRDefault="000E28CC"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11</w:t>
            </w:r>
          </w:p>
        </w:tc>
        <w:tc>
          <w:tcPr>
            <w:tcW w:w="851" w:type="dxa"/>
            <w:tcBorders>
              <w:top w:val="nil"/>
              <w:left w:val="nil"/>
              <w:bottom w:val="single" w:sz="4" w:space="0" w:color="auto"/>
              <w:right w:val="single" w:sz="4" w:space="0" w:color="auto"/>
            </w:tcBorders>
          </w:tcPr>
          <w:p w14:paraId="21C53DAE" w14:textId="46D2E7CE" w:rsidR="000E28CC" w:rsidRPr="004275C9" w:rsidRDefault="00F26221"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(5%)</w:t>
            </w:r>
          </w:p>
        </w:tc>
      </w:tr>
      <w:tr w:rsidR="00066F17" w:rsidRPr="004275C9" w14:paraId="2040724E" w14:textId="77777777" w:rsidTr="00AE208F">
        <w:trPr>
          <w:trHeight w:val="300"/>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6199B" w14:textId="0F8EA783" w:rsidR="00066F17" w:rsidRPr="004275C9" w:rsidRDefault="00066F17" w:rsidP="002655F1">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German clinical trials database</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noWrap/>
          </w:tcPr>
          <w:p w14:paraId="49812CBE" w14:textId="77777777" w:rsidR="00066F17" w:rsidRPr="004275C9" w:rsidRDefault="00066F17" w:rsidP="000E28CC">
            <w:pPr>
              <w:spacing w:after="0" w:line="240" w:lineRule="auto"/>
              <w:jc w:val="center"/>
              <w:rPr>
                <w:rFonts w:ascii="Calibri" w:eastAsia="Times New Roman" w:hAnsi="Calibri" w:cs="Calibri"/>
                <w:color w:val="000000"/>
                <w:szCs w:val="22"/>
                <w:lang w:eastAsia="en-GB"/>
              </w:rPr>
            </w:pPr>
          </w:p>
        </w:tc>
        <w:tc>
          <w:tcPr>
            <w:tcW w:w="730" w:type="dxa"/>
            <w:tcBorders>
              <w:top w:val="single" w:sz="4" w:space="0" w:color="auto"/>
              <w:left w:val="nil"/>
              <w:bottom w:val="single" w:sz="4" w:space="0" w:color="auto"/>
              <w:right w:val="single" w:sz="4" w:space="0" w:color="auto"/>
            </w:tcBorders>
            <w:shd w:val="clear" w:color="auto" w:fill="808080" w:themeFill="background1" w:themeFillShade="80"/>
          </w:tcPr>
          <w:p w14:paraId="7B9E6244" w14:textId="77777777" w:rsidR="00066F17" w:rsidRPr="004275C9" w:rsidRDefault="00066F17" w:rsidP="000E28CC">
            <w:pPr>
              <w:spacing w:after="0" w:line="240" w:lineRule="auto"/>
              <w:jc w:val="center"/>
              <w:rPr>
                <w:rFonts w:ascii="Calibri" w:eastAsia="Times New Roman" w:hAnsi="Calibri" w:cs="Calibri"/>
                <w:color w:val="000000"/>
                <w:szCs w:val="22"/>
                <w:lang w:eastAsia="en-GB"/>
              </w:rPr>
            </w:pPr>
          </w:p>
        </w:tc>
        <w:tc>
          <w:tcPr>
            <w:tcW w:w="687" w:type="dxa"/>
            <w:tcBorders>
              <w:top w:val="single" w:sz="4" w:space="0" w:color="auto"/>
              <w:left w:val="nil"/>
              <w:bottom w:val="single" w:sz="4" w:space="0" w:color="auto"/>
              <w:right w:val="single" w:sz="4" w:space="0" w:color="auto"/>
            </w:tcBorders>
          </w:tcPr>
          <w:p w14:paraId="062CC477" w14:textId="6EBCFC3E" w:rsidR="00066F17" w:rsidRPr="004275C9" w:rsidRDefault="00066F17" w:rsidP="000E28CC">
            <w:pPr>
              <w:spacing w:after="0" w:line="240" w:lineRule="auto"/>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1</w:t>
            </w:r>
          </w:p>
        </w:tc>
        <w:tc>
          <w:tcPr>
            <w:tcW w:w="851" w:type="dxa"/>
            <w:tcBorders>
              <w:top w:val="single" w:sz="4" w:space="0" w:color="auto"/>
              <w:left w:val="nil"/>
              <w:bottom w:val="single" w:sz="4" w:space="0" w:color="auto"/>
              <w:right w:val="single" w:sz="4" w:space="0" w:color="auto"/>
            </w:tcBorders>
          </w:tcPr>
          <w:p w14:paraId="7E79C326" w14:textId="6325C471" w:rsidR="00066F17" w:rsidRPr="004275C9" w:rsidRDefault="00066F17" w:rsidP="000E28CC">
            <w:pPr>
              <w:spacing w:after="0" w:line="240" w:lineRule="auto"/>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(0.5%)</w:t>
            </w:r>
          </w:p>
        </w:tc>
      </w:tr>
      <w:tr w:rsidR="00BB7617" w:rsidRPr="004275C9" w14:paraId="1991EBE9" w14:textId="3EA40233" w:rsidTr="00AE208F">
        <w:trPr>
          <w:trHeight w:val="300"/>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4ECA3" w14:textId="3B573B32" w:rsidR="00BB7617" w:rsidRPr="004275C9" w:rsidRDefault="00BB7617"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The number of other trials that could not be found</w:t>
            </w:r>
            <w:r w:rsidR="000E28CC" w:rsidRPr="004275C9">
              <w:rPr>
                <w:rFonts w:ascii="Calibri" w:eastAsia="Times New Roman" w:hAnsi="Calibri" w:cs="Calibri"/>
                <w:color w:val="000000"/>
                <w:szCs w:val="22"/>
                <w:lang w:eastAsia="en-GB"/>
              </w:rPr>
              <w:t xml:space="preserve"> or not known to have registered</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6796DA97" w14:textId="77777777" w:rsidR="00BB7617" w:rsidRPr="004275C9" w:rsidRDefault="00BB7617"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120</w:t>
            </w:r>
          </w:p>
        </w:tc>
        <w:tc>
          <w:tcPr>
            <w:tcW w:w="730" w:type="dxa"/>
            <w:tcBorders>
              <w:top w:val="single" w:sz="4" w:space="0" w:color="auto"/>
              <w:left w:val="nil"/>
              <w:bottom w:val="single" w:sz="4" w:space="0" w:color="auto"/>
              <w:right w:val="single" w:sz="4" w:space="0" w:color="auto"/>
            </w:tcBorders>
            <w:shd w:val="clear" w:color="auto" w:fill="BFBFBF" w:themeFill="background1" w:themeFillShade="BF"/>
          </w:tcPr>
          <w:p w14:paraId="214CC799" w14:textId="77777777" w:rsidR="00BB7617" w:rsidRPr="004275C9" w:rsidRDefault="00BB7617"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40%</w:t>
            </w:r>
          </w:p>
        </w:tc>
        <w:tc>
          <w:tcPr>
            <w:tcW w:w="687" w:type="dxa"/>
            <w:tcBorders>
              <w:top w:val="single" w:sz="4" w:space="0" w:color="auto"/>
              <w:left w:val="nil"/>
              <w:bottom w:val="single" w:sz="4" w:space="0" w:color="auto"/>
              <w:right w:val="single" w:sz="4" w:space="0" w:color="auto"/>
            </w:tcBorders>
          </w:tcPr>
          <w:p w14:paraId="34F53239" w14:textId="7226D2EB" w:rsidR="00BB7617" w:rsidRPr="004275C9" w:rsidRDefault="000E28CC"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60</w:t>
            </w:r>
          </w:p>
        </w:tc>
        <w:tc>
          <w:tcPr>
            <w:tcW w:w="851" w:type="dxa"/>
            <w:tcBorders>
              <w:top w:val="single" w:sz="4" w:space="0" w:color="auto"/>
              <w:left w:val="nil"/>
              <w:bottom w:val="single" w:sz="4" w:space="0" w:color="auto"/>
              <w:right w:val="single" w:sz="4" w:space="0" w:color="auto"/>
            </w:tcBorders>
          </w:tcPr>
          <w:p w14:paraId="3D948A6D" w14:textId="11B9CDD7" w:rsidR="00BB7617" w:rsidRPr="004275C9" w:rsidRDefault="000E28CC"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20%</w:t>
            </w:r>
          </w:p>
        </w:tc>
      </w:tr>
      <w:tr w:rsidR="000E28CC" w:rsidRPr="004275C9" w14:paraId="1D9D3DD9" w14:textId="77777777" w:rsidTr="00AE208F">
        <w:trPr>
          <w:trHeight w:val="300"/>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1B2AB" w14:textId="76D88233" w:rsidR="000E28CC" w:rsidRPr="004275C9" w:rsidRDefault="000E28CC" w:rsidP="002655F1">
            <w:pPr>
              <w:spacing w:after="0" w:line="240" w:lineRule="auto"/>
              <w:rPr>
                <w:rFonts w:ascii="Calibri" w:eastAsia="Times New Roman" w:hAnsi="Calibri" w:cs="Calibri"/>
                <w:b/>
                <w:color w:val="000000"/>
                <w:szCs w:val="22"/>
                <w:lang w:eastAsia="en-GB"/>
              </w:rPr>
            </w:pPr>
            <w:r w:rsidRPr="004275C9">
              <w:rPr>
                <w:rFonts w:ascii="Calibri" w:eastAsia="Times New Roman" w:hAnsi="Calibri" w:cs="Calibri"/>
                <w:color w:val="000000"/>
                <w:szCs w:val="22"/>
                <w:lang w:eastAsia="en-GB"/>
              </w:rPr>
              <w:t xml:space="preserve">Of the other clinical trials not found or not known to have registered: </w:t>
            </w:r>
            <w:r w:rsidRPr="004275C9">
              <w:rPr>
                <w:rFonts w:ascii="Calibri" w:eastAsia="Times New Roman" w:hAnsi="Calibri" w:cs="Calibri"/>
                <w:b/>
                <w:color w:val="000000"/>
                <w:szCs w:val="22"/>
                <w:lang w:eastAsia="en-GB"/>
              </w:rPr>
              <w:t>Reply received</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noWrap/>
          </w:tcPr>
          <w:p w14:paraId="53800EE8" w14:textId="77777777" w:rsidR="000E28CC" w:rsidRPr="004275C9" w:rsidRDefault="000E28CC" w:rsidP="000E28CC">
            <w:pPr>
              <w:spacing w:after="0" w:line="240" w:lineRule="auto"/>
              <w:jc w:val="center"/>
              <w:rPr>
                <w:rFonts w:ascii="Calibri" w:eastAsia="Times New Roman" w:hAnsi="Calibri" w:cs="Calibri"/>
                <w:color w:val="000000"/>
                <w:szCs w:val="22"/>
                <w:lang w:eastAsia="en-GB"/>
              </w:rPr>
            </w:pPr>
          </w:p>
        </w:tc>
        <w:tc>
          <w:tcPr>
            <w:tcW w:w="730" w:type="dxa"/>
            <w:tcBorders>
              <w:top w:val="single" w:sz="4" w:space="0" w:color="auto"/>
              <w:left w:val="nil"/>
              <w:bottom w:val="single" w:sz="4" w:space="0" w:color="auto"/>
              <w:right w:val="single" w:sz="4" w:space="0" w:color="auto"/>
            </w:tcBorders>
            <w:shd w:val="clear" w:color="auto" w:fill="808080" w:themeFill="background1" w:themeFillShade="80"/>
          </w:tcPr>
          <w:p w14:paraId="72C8AA60" w14:textId="77777777" w:rsidR="000E28CC" w:rsidRPr="004275C9" w:rsidRDefault="000E28CC" w:rsidP="000E28CC">
            <w:pPr>
              <w:spacing w:after="0" w:line="240" w:lineRule="auto"/>
              <w:jc w:val="center"/>
              <w:rPr>
                <w:rFonts w:ascii="Calibri" w:eastAsia="Times New Roman" w:hAnsi="Calibri" w:cs="Calibri"/>
                <w:color w:val="000000"/>
                <w:szCs w:val="22"/>
                <w:lang w:eastAsia="en-GB"/>
              </w:rPr>
            </w:pPr>
          </w:p>
        </w:tc>
        <w:tc>
          <w:tcPr>
            <w:tcW w:w="687" w:type="dxa"/>
            <w:tcBorders>
              <w:top w:val="single" w:sz="4" w:space="0" w:color="auto"/>
              <w:left w:val="nil"/>
              <w:bottom w:val="single" w:sz="4" w:space="0" w:color="auto"/>
              <w:right w:val="single" w:sz="4" w:space="0" w:color="auto"/>
            </w:tcBorders>
          </w:tcPr>
          <w:p w14:paraId="173D2BC0" w14:textId="7C3C4624" w:rsidR="000E28CC" w:rsidRPr="004275C9" w:rsidRDefault="000E28CC"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33</w:t>
            </w:r>
          </w:p>
        </w:tc>
        <w:tc>
          <w:tcPr>
            <w:tcW w:w="851" w:type="dxa"/>
            <w:tcBorders>
              <w:top w:val="single" w:sz="4" w:space="0" w:color="auto"/>
              <w:left w:val="nil"/>
              <w:bottom w:val="single" w:sz="4" w:space="0" w:color="auto"/>
              <w:right w:val="single" w:sz="4" w:space="0" w:color="auto"/>
            </w:tcBorders>
          </w:tcPr>
          <w:p w14:paraId="20C4166E" w14:textId="50999427" w:rsidR="000E28CC" w:rsidRPr="004275C9" w:rsidRDefault="000E28CC"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(55%)</w:t>
            </w:r>
          </w:p>
        </w:tc>
      </w:tr>
      <w:tr w:rsidR="0085398E" w:rsidRPr="004275C9" w14:paraId="5D9EFAAE" w14:textId="77777777" w:rsidTr="00AE208F">
        <w:trPr>
          <w:trHeight w:val="300"/>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FB0D9" w14:textId="2FA3023A" w:rsidR="0085398E" w:rsidRPr="004275C9" w:rsidRDefault="0085398E" w:rsidP="002655F1">
            <w:pPr>
              <w:spacing w:after="0" w:line="240" w:lineRule="auto"/>
              <w:rPr>
                <w:rFonts w:ascii="Calibri" w:eastAsia="Times New Roman" w:hAnsi="Calibri" w:cs="Calibri"/>
                <w:color w:val="000000"/>
                <w:szCs w:val="22"/>
                <w:lang w:eastAsia="en-GB"/>
              </w:rPr>
            </w:pPr>
            <w:r w:rsidRPr="0085398E">
              <w:rPr>
                <w:rFonts w:ascii="Calibri" w:eastAsia="Times New Roman" w:hAnsi="Calibri" w:cs="Calibri"/>
                <w:color w:val="000000"/>
                <w:szCs w:val="22"/>
                <w:lang w:eastAsia="en-GB"/>
              </w:rPr>
              <w:t>Of the replies received, those which stated that registration not yet required (</w:t>
            </w:r>
            <w:proofErr w:type="spellStart"/>
            <w:r w:rsidRPr="0085398E">
              <w:rPr>
                <w:rFonts w:ascii="Calibri" w:eastAsia="Times New Roman" w:hAnsi="Calibri" w:cs="Calibri"/>
                <w:color w:val="000000"/>
                <w:szCs w:val="22"/>
                <w:lang w:eastAsia="en-GB"/>
              </w:rPr>
              <w:t>e.g</w:t>
            </w:r>
            <w:proofErr w:type="spellEnd"/>
            <w:r w:rsidRPr="0085398E">
              <w:rPr>
                <w:rFonts w:ascii="Calibri" w:eastAsia="Times New Roman" w:hAnsi="Calibri" w:cs="Calibri"/>
                <w:color w:val="000000"/>
                <w:szCs w:val="22"/>
                <w:lang w:eastAsia="en-GB"/>
              </w:rPr>
              <w:t xml:space="preserve"> trial not yet recruited / trial not yet started / trial terminated before recruitment commenced)</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noWrap/>
          </w:tcPr>
          <w:p w14:paraId="21E05A5D" w14:textId="77777777" w:rsidR="0085398E" w:rsidRPr="004275C9" w:rsidRDefault="0085398E" w:rsidP="000E28CC">
            <w:pPr>
              <w:spacing w:after="0" w:line="240" w:lineRule="auto"/>
              <w:jc w:val="center"/>
              <w:rPr>
                <w:rFonts w:ascii="Calibri" w:eastAsia="Times New Roman" w:hAnsi="Calibri" w:cs="Calibri"/>
                <w:color w:val="000000"/>
                <w:szCs w:val="22"/>
                <w:lang w:eastAsia="en-GB"/>
              </w:rPr>
            </w:pPr>
          </w:p>
        </w:tc>
        <w:tc>
          <w:tcPr>
            <w:tcW w:w="730" w:type="dxa"/>
            <w:tcBorders>
              <w:top w:val="single" w:sz="4" w:space="0" w:color="auto"/>
              <w:left w:val="nil"/>
              <w:bottom w:val="single" w:sz="4" w:space="0" w:color="auto"/>
              <w:right w:val="single" w:sz="4" w:space="0" w:color="auto"/>
            </w:tcBorders>
            <w:shd w:val="clear" w:color="auto" w:fill="808080" w:themeFill="background1" w:themeFillShade="80"/>
          </w:tcPr>
          <w:p w14:paraId="36F759FB" w14:textId="77777777" w:rsidR="0085398E" w:rsidRPr="004275C9" w:rsidRDefault="0085398E" w:rsidP="000E28CC">
            <w:pPr>
              <w:spacing w:after="0" w:line="240" w:lineRule="auto"/>
              <w:jc w:val="center"/>
              <w:rPr>
                <w:rFonts w:ascii="Calibri" w:eastAsia="Times New Roman" w:hAnsi="Calibri" w:cs="Calibri"/>
                <w:color w:val="000000"/>
                <w:szCs w:val="22"/>
                <w:lang w:eastAsia="en-GB"/>
              </w:rPr>
            </w:pPr>
          </w:p>
        </w:tc>
        <w:tc>
          <w:tcPr>
            <w:tcW w:w="687" w:type="dxa"/>
            <w:tcBorders>
              <w:top w:val="single" w:sz="4" w:space="0" w:color="auto"/>
              <w:left w:val="nil"/>
              <w:bottom w:val="single" w:sz="4" w:space="0" w:color="auto"/>
              <w:right w:val="single" w:sz="4" w:space="0" w:color="auto"/>
            </w:tcBorders>
          </w:tcPr>
          <w:p w14:paraId="4A43D4DD" w14:textId="3AEE0EE0" w:rsidR="0085398E" w:rsidRPr="004275C9" w:rsidRDefault="00066F17" w:rsidP="000E28CC">
            <w:pPr>
              <w:spacing w:after="0" w:line="240" w:lineRule="auto"/>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9</w:t>
            </w:r>
          </w:p>
        </w:tc>
        <w:tc>
          <w:tcPr>
            <w:tcW w:w="851" w:type="dxa"/>
            <w:tcBorders>
              <w:top w:val="single" w:sz="4" w:space="0" w:color="auto"/>
              <w:left w:val="nil"/>
              <w:bottom w:val="single" w:sz="4" w:space="0" w:color="auto"/>
              <w:right w:val="single" w:sz="4" w:space="0" w:color="auto"/>
            </w:tcBorders>
          </w:tcPr>
          <w:p w14:paraId="274A0498" w14:textId="753265A7" w:rsidR="0085398E" w:rsidRPr="004275C9" w:rsidRDefault="00066F17" w:rsidP="000E28CC">
            <w:pPr>
              <w:spacing w:after="0" w:line="240" w:lineRule="auto"/>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(27%)</w:t>
            </w:r>
            <w:r w:rsidRPr="00921AD9">
              <w:rPr>
                <w:rFonts w:ascii="Calibri" w:eastAsia="Times New Roman" w:hAnsi="Calibri" w:cs="Calibri"/>
                <w:color w:val="000000"/>
                <w:sz w:val="16"/>
                <w:szCs w:val="16"/>
                <w:lang w:eastAsia="en-GB"/>
              </w:rPr>
              <w:t xml:space="preserve"> Of those where reply received</w:t>
            </w:r>
          </w:p>
        </w:tc>
      </w:tr>
      <w:tr w:rsidR="000E28CC" w:rsidRPr="004275C9" w14:paraId="5078A654" w14:textId="77777777" w:rsidTr="00AE208F">
        <w:trPr>
          <w:trHeight w:val="300"/>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C1DCF" w14:textId="4B725539" w:rsidR="000E28CC" w:rsidRPr="004275C9" w:rsidRDefault="000E28CC" w:rsidP="002655F1">
            <w:pPr>
              <w:spacing w:after="0" w:line="240" w:lineRule="auto"/>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 xml:space="preserve">Of the other clinical trials not found or not known to have registered: </w:t>
            </w:r>
            <w:r w:rsidRPr="004275C9">
              <w:rPr>
                <w:rFonts w:ascii="Calibri" w:eastAsia="Times New Roman" w:hAnsi="Calibri" w:cs="Calibri"/>
                <w:b/>
                <w:color w:val="000000"/>
                <w:szCs w:val="22"/>
                <w:lang w:eastAsia="en-GB"/>
              </w:rPr>
              <w:t>Reply not received</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noWrap/>
          </w:tcPr>
          <w:p w14:paraId="292066EB" w14:textId="77777777" w:rsidR="000E28CC" w:rsidRPr="004275C9" w:rsidRDefault="000E28CC" w:rsidP="000E28CC">
            <w:pPr>
              <w:spacing w:after="0" w:line="240" w:lineRule="auto"/>
              <w:jc w:val="center"/>
              <w:rPr>
                <w:rFonts w:ascii="Calibri" w:eastAsia="Times New Roman" w:hAnsi="Calibri" w:cs="Calibri"/>
                <w:color w:val="000000"/>
                <w:szCs w:val="22"/>
                <w:lang w:eastAsia="en-GB"/>
              </w:rPr>
            </w:pPr>
          </w:p>
        </w:tc>
        <w:tc>
          <w:tcPr>
            <w:tcW w:w="730" w:type="dxa"/>
            <w:tcBorders>
              <w:top w:val="single" w:sz="4" w:space="0" w:color="auto"/>
              <w:left w:val="nil"/>
              <w:bottom w:val="single" w:sz="4" w:space="0" w:color="auto"/>
              <w:right w:val="single" w:sz="4" w:space="0" w:color="auto"/>
            </w:tcBorders>
            <w:shd w:val="clear" w:color="auto" w:fill="808080" w:themeFill="background1" w:themeFillShade="80"/>
          </w:tcPr>
          <w:p w14:paraId="5B18FB3E" w14:textId="77777777" w:rsidR="000E28CC" w:rsidRPr="004275C9" w:rsidRDefault="000E28CC" w:rsidP="000E28CC">
            <w:pPr>
              <w:spacing w:after="0" w:line="240" w:lineRule="auto"/>
              <w:jc w:val="center"/>
              <w:rPr>
                <w:rFonts w:ascii="Calibri" w:eastAsia="Times New Roman" w:hAnsi="Calibri" w:cs="Calibri"/>
                <w:color w:val="000000"/>
                <w:szCs w:val="22"/>
                <w:lang w:eastAsia="en-GB"/>
              </w:rPr>
            </w:pPr>
          </w:p>
        </w:tc>
        <w:tc>
          <w:tcPr>
            <w:tcW w:w="687" w:type="dxa"/>
            <w:tcBorders>
              <w:top w:val="single" w:sz="4" w:space="0" w:color="auto"/>
              <w:left w:val="nil"/>
              <w:bottom w:val="single" w:sz="4" w:space="0" w:color="auto"/>
              <w:right w:val="single" w:sz="4" w:space="0" w:color="auto"/>
            </w:tcBorders>
          </w:tcPr>
          <w:p w14:paraId="686B6A5D" w14:textId="2F5BDC7F" w:rsidR="000E28CC" w:rsidRPr="004275C9" w:rsidRDefault="000E28CC"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27</w:t>
            </w:r>
          </w:p>
        </w:tc>
        <w:tc>
          <w:tcPr>
            <w:tcW w:w="851" w:type="dxa"/>
            <w:tcBorders>
              <w:top w:val="single" w:sz="4" w:space="0" w:color="auto"/>
              <w:left w:val="nil"/>
              <w:bottom w:val="single" w:sz="4" w:space="0" w:color="auto"/>
              <w:right w:val="single" w:sz="4" w:space="0" w:color="auto"/>
            </w:tcBorders>
          </w:tcPr>
          <w:p w14:paraId="7BDC60C0" w14:textId="4F33CFDA" w:rsidR="000E28CC" w:rsidRPr="004275C9" w:rsidRDefault="000E28CC" w:rsidP="000E28CC">
            <w:pPr>
              <w:spacing w:after="0" w:line="240" w:lineRule="auto"/>
              <w:jc w:val="center"/>
              <w:rPr>
                <w:rFonts w:ascii="Calibri" w:eastAsia="Times New Roman" w:hAnsi="Calibri" w:cs="Calibri"/>
                <w:color w:val="000000"/>
                <w:szCs w:val="22"/>
                <w:lang w:eastAsia="en-GB"/>
              </w:rPr>
            </w:pPr>
            <w:r w:rsidRPr="004275C9">
              <w:rPr>
                <w:rFonts w:ascii="Calibri" w:eastAsia="Times New Roman" w:hAnsi="Calibri" w:cs="Calibri"/>
                <w:color w:val="000000"/>
                <w:szCs w:val="22"/>
                <w:lang w:eastAsia="en-GB"/>
              </w:rPr>
              <w:t>(45%)</w:t>
            </w:r>
          </w:p>
        </w:tc>
      </w:tr>
    </w:tbl>
    <w:p w14:paraId="19FCDBF9" w14:textId="2E519632" w:rsidR="009C17E7" w:rsidRPr="00F665AA" w:rsidRDefault="00864B54" w:rsidP="00693E42">
      <w:pPr>
        <w:rPr>
          <w:rFonts w:ascii="Calibri" w:hAnsi="Calibri" w:cs="Calibri"/>
          <w:sz w:val="16"/>
          <w:szCs w:val="16"/>
        </w:rPr>
      </w:pPr>
      <w:r w:rsidRPr="00864B54">
        <w:rPr>
          <w:rFonts w:ascii="Calibri" w:hAnsi="Calibri" w:cs="Calibri"/>
          <w:sz w:val="16"/>
          <w:szCs w:val="16"/>
        </w:rPr>
        <w:t>*Re</w:t>
      </w:r>
      <w:r>
        <w:rPr>
          <w:rFonts w:ascii="Calibri" w:hAnsi="Calibri" w:cs="Calibri"/>
          <w:sz w:val="16"/>
          <w:szCs w:val="16"/>
        </w:rPr>
        <w:t>searchregistry.com is a relatively new database which was not included in the list of advisable databases pre August 2015</w:t>
      </w:r>
    </w:p>
    <w:p w14:paraId="405BCDC1" w14:textId="77777777" w:rsidR="00BB4E7D" w:rsidRDefault="00BB4E7D" w:rsidP="00BB4E7D">
      <w:pPr>
        <w:pStyle w:val="ListParagraph"/>
        <w:rPr>
          <w:rFonts w:ascii="Calibri" w:hAnsi="Calibri" w:cs="Calibri"/>
          <w:b/>
        </w:rPr>
      </w:pPr>
    </w:p>
    <w:p w14:paraId="1CF140E7" w14:textId="77777777" w:rsidR="00BB4E7D" w:rsidRDefault="00BB4E7D" w:rsidP="00BB4E7D">
      <w:pPr>
        <w:pStyle w:val="ListParagraph"/>
        <w:rPr>
          <w:rFonts w:ascii="Calibri" w:hAnsi="Calibri" w:cs="Calibri"/>
          <w:b/>
        </w:rPr>
      </w:pPr>
    </w:p>
    <w:p w14:paraId="6E53A4F3" w14:textId="77777777" w:rsidR="00BB4E7D" w:rsidRDefault="00BB4E7D" w:rsidP="00BB4E7D">
      <w:pPr>
        <w:pStyle w:val="ListParagraph"/>
        <w:rPr>
          <w:rFonts w:ascii="Calibri" w:hAnsi="Calibri" w:cs="Calibri"/>
          <w:b/>
        </w:rPr>
      </w:pPr>
    </w:p>
    <w:p w14:paraId="148F9D20" w14:textId="524EB00A" w:rsidR="009C17E7" w:rsidRPr="00177758" w:rsidRDefault="009C17E7" w:rsidP="00177758">
      <w:pPr>
        <w:pStyle w:val="ListParagraph"/>
        <w:numPr>
          <w:ilvl w:val="0"/>
          <w:numId w:val="23"/>
        </w:numPr>
        <w:rPr>
          <w:rFonts w:ascii="Calibri" w:hAnsi="Calibri" w:cs="Calibri"/>
          <w:b/>
        </w:rPr>
      </w:pPr>
      <w:r w:rsidRPr="00177758">
        <w:rPr>
          <w:rFonts w:ascii="Calibri" w:hAnsi="Calibri" w:cs="Calibri"/>
          <w:b/>
        </w:rPr>
        <w:t>Summary of comments received</w:t>
      </w:r>
      <w:r w:rsidR="008A725E" w:rsidRPr="00177758">
        <w:rPr>
          <w:rFonts w:ascii="Calibri" w:hAnsi="Calibri" w:cs="Calibri"/>
          <w:b/>
        </w:rPr>
        <w:t xml:space="preserve"> (all clinical trials)</w:t>
      </w:r>
    </w:p>
    <w:tbl>
      <w:tblPr>
        <w:tblStyle w:val="TableGrid"/>
        <w:tblW w:w="0" w:type="auto"/>
        <w:tblLook w:val="04A0" w:firstRow="1" w:lastRow="0" w:firstColumn="1" w:lastColumn="0" w:noHBand="0" w:noVBand="1"/>
      </w:tblPr>
      <w:tblGrid>
        <w:gridCol w:w="4219"/>
        <w:gridCol w:w="5969"/>
      </w:tblGrid>
      <w:tr w:rsidR="008A725E" w:rsidRPr="004275C9" w14:paraId="11C6E983" w14:textId="77777777" w:rsidTr="006F76E7">
        <w:tc>
          <w:tcPr>
            <w:tcW w:w="4219" w:type="dxa"/>
          </w:tcPr>
          <w:p w14:paraId="3A57FB35" w14:textId="7AD88B23" w:rsidR="008A725E" w:rsidRPr="004275C9" w:rsidRDefault="008A725E" w:rsidP="00693E42">
            <w:pPr>
              <w:rPr>
                <w:rFonts w:ascii="Calibri" w:hAnsi="Calibri" w:cs="Calibri"/>
                <w:szCs w:val="22"/>
              </w:rPr>
            </w:pPr>
            <w:r w:rsidRPr="004275C9">
              <w:rPr>
                <w:rFonts w:ascii="Calibri" w:hAnsi="Calibri" w:cs="Calibri"/>
                <w:b/>
                <w:szCs w:val="22"/>
                <w:u w:val="single"/>
              </w:rPr>
              <w:lastRenderedPageBreak/>
              <w:t>Responses received from applicants</w:t>
            </w:r>
            <w:r w:rsidRPr="004275C9">
              <w:rPr>
                <w:rFonts w:ascii="Calibri" w:hAnsi="Calibri" w:cs="Calibri"/>
                <w:szCs w:val="22"/>
              </w:rPr>
              <w:t xml:space="preserve"> </w:t>
            </w:r>
            <w:r w:rsidRPr="004275C9">
              <w:rPr>
                <w:rFonts w:ascii="Calibri" w:hAnsi="Calibri" w:cs="Calibri"/>
                <w:sz w:val="16"/>
                <w:szCs w:val="16"/>
              </w:rPr>
              <w:t>(These are generalised comments rather than direct quotes as similar responses were received by different applicants)</w:t>
            </w:r>
          </w:p>
        </w:tc>
        <w:tc>
          <w:tcPr>
            <w:tcW w:w="5969" w:type="dxa"/>
          </w:tcPr>
          <w:p w14:paraId="5C4D0508" w14:textId="56F9CB7C" w:rsidR="008A725E" w:rsidRPr="004275C9" w:rsidRDefault="008A725E" w:rsidP="00E37316">
            <w:pPr>
              <w:rPr>
                <w:rFonts w:ascii="Calibri" w:hAnsi="Calibri" w:cs="Calibri"/>
                <w:szCs w:val="22"/>
              </w:rPr>
            </w:pPr>
            <w:r w:rsidRPr="004275C9">
              <w:rPr>
                <w:rFonts w:ascii="Calibri" w:hAnsi="Calibri" w:cs="Calibri"/>
                <w:b/>
                <w:szCs w:val="22"/>
                <w:u w:val="single"/>
              </w:rPr>
              <w:t>Our response</w:t>
            </w:r>
            <w:r w:rsidR="00E37316" w:rsidRPr="004275C9">
              <w:rPr>
                <w:rFonts w:ascii="Calibri" w:hAnsi="Calibri" w:cs="Calibri"/>
                <w:szCs w:val="22"/>
              </w:rPr>
              <w:t xml:space="preserve"> </w:t>
            </w:r>
            <w:r w:rsidR="00E37316" w:rsidRPr="004275C9">
              <w:rPr>
                <w:rFonts w:ascii="Calibri" w:hAnsi="Calibri" w:cs="Calibri"/>
                <w:sz w:val="16"/>
                <w:szCs w:val="16"/>
              </w:rPr>
              <w:t>(These are generalised comments rather than direct quotes as responses were specifically responding to the comment received)</w:t>
            </w:r>
          </w:p>
        </w:tc>
      </w:tr>
      <w:tr w:rsidR="008A725E" w:rsidRPr="004275C9" w14:paraId="6497ADFA" w14:textId="3BA1CEC8" w:rsidTr="006F76E7">
        <w:tc>
          <w:tcPr>
            <w:tcW w:w="4219" w:type="dxa"/>
          </w:tcPr>
          <w:p w14:paraId="620E95DA" w14:textId="6BCE04F1" w:rsidR="008A725E" w:rsidRPr="004275C9" w:rsidRDefault="008A725E" w:rsidP="00693E42">
            <w:pPr>
              <w:rPr>
                <w:rFonts w:ascii="Calibri" w:hAnsi="Calibri" w:cs="Calibri"/>
                <w:szCs w:val="22"/>
              </w:rPr>
            </w:pPr>
            <w:r w:rsidRPr="004275C9">
              <w:rPr>
                <w:rFonts w:ascii="Calibri" w:hAnsi="Calibri" w:cs="Calibri"/>
                <w:szCs w:val="22"/>
              </w:rPr>
              <w:t>This is a clinical trial being undertaken for academic purposes so we don’t need to register</w:t>
            </w:r>
            <w:r w:rsidR="00E37316" w:rsidRPr="004275C9">
              <w:rPr>
                <w:rFonts w:ascii="Calibri" w:hAnsi="Calibri" w:cs="Calibri"/>
                <w:szCs w:val="22"/>
              </w:rPr>
              <w:t>.</w:t>
            </w:r>
          </w:p>
        </w:tc>
        <w:tc>
          <w:tcPr>
            <w:tcW w:w="5969" w:type="dxa"/>
          </w:tcPr>
          <w:p w14:paraId="4986A63F" w14:textId="605EB825" w:rsidR="008A725E" w:rsidRPr="004275C9" w:rsidRDefault="008A725E" w:rsidP="00693E42">
            <w:pPr>
              <w:rPr>
                <w:rFonts w:ascii="Calibri" w:hAnsi="Calibri" w:cs="Calibri"/>
                <w:szCs w:val="22"/>
              </w:rPr>
            </w:pPr>
            <w:r w:rsidRPr="004275C9">
              <w:rPr>
                <w:rFonts w:ascii="Calibri" w:hAnsi="Calibri" w:cs="Calibri"/>
                <w:szCs w:val="22"/>
              </w:rPr>
              <w:t xml:space="preserve">The expectation to register applies to all clinical trials and does not differentiate between academic and </w:t>
            </w:r>
            <w:proofErr w:type="spellStart"/>
            <w:r w:rsidRPr="004275C9">
              <w:rPr>
                <w:rFonts w:ascii="Calibri" w:hAnsi="Calibri" w:cs="Calibri"/>
                <w:szCs w:val="22"/>
              </w:rPr>
              <w:t>non academic</w:t>
            </w:r>
            <w:proofErr w:type="spellEnd"/>
            <w:r w:rsidRPr="004275C9">
              <w:rPr>
                <w:rFonts w:ascii="Calibri" w:hAnsi="Calibri" w:cs="Calibri"/>
                <w:szCs w:val="22"/>
              </w:rPr>
              <w:t xml:space="preserve"> research. </w:t>
            </w:r>
          </w:p>
        </w:tc>
      </w:tr>
      <w:tr w:rsidR="008A725E" w:rsidRPr="004275C9" w14:paraId="7D596759" w14:textId="4DA4A5B0" w:rsidTr="006F76E7">
        <w:tc>
          <w:tcPr>
            <w:tcW w:w="4219" w:type="dxa"/>
          </w:tcPr>
          <w:p w14:paraId="29FA2B3C" w14:textId="0F1F0BB5" w:rsidR="008A725E" w:rsidRPr="004275C9" w:rsidRDefault="008A725E" w:rsidP="00693E42">
            <w:pPr>
              <w:rPr>
                <w:rFonts w:ascii="Calibri" w:hAnsi="Calibri" w:cs="Calibri"/>
                <w:szCs w:val="22"/>
              </w:rPr>
            </w:pPr>
            <w:r w:rsidRPr="004275C9">
              <w:rPr>
                <w:rFonts w:ascii="Calibri" w:hAnsi="Calibri" w:cs="Calibri"/>
                <w:szCs w:val="22"/>
              </w:rPr>
              <w:t>We have been advised by our R&amp;D department</w:t>
            </w:r>
            <w:r w:rsidR="00181428">
              <w:rPr>
                <w:rFonts w:ascii="Calibri" w:hAnsi="Calibri" w:cs="Calibri"/>
                <w:szCs w:val="22"/>
              </w:rPr>
              <w:t xml:space="preserve"> that we don’t need to register</w:t>
            </w:r>
            <w:r w:rsidRPr="004275C9">
              <w:rPr>
                <w:rFonts w:ascii="Calibri" w:hAnsi="Calibri" w:cs="Calibri"/>
                <w:szCs w:val="22"/>
              </w:rPr>
              <w:t xml:space="preserve"> (this usually related to the nature of the study being considered either non clinical or </w:t>
            </w:r>
            <w:proofErr w:type="spellStart"/>
            <w:r w:rsidRPr="004275C9">
              <w:rPr>
                <w:rFonts w:ascii="Calibri" w:hAnsi="Calibri" w:cs="Calibri"/>
                <w:szCs w:val="22"/>
              </w:rPr>
              <w:t>non interventional</w:t>
            </w:r>
            <w:proofErr w:type="spellEnd"/>
            <w:r w:rsidRPr="004275C9">
              <w:rPr>
                <w:rFonts w:ascii="Calibri" w:hAnsi="Calibri" w:cs="Calibri"/>
                <w:szCs w:val="22"/>
              </w:rPr>
              <w:t>)</w:t>
            </w:r>
            <w:r w:rsidR="00E37316" w:rsidRPr="004275C9">
              <w:rPr>
                <w:rFonts w:ascii="Calibri" w:hAnsi="Calibri" w:cs="Calibri"/>
                <w:szCs w:val="22"/>
              </w:rPr>
              <w:t>.</w:t>
            </w:r>
          </w:p>
        </w:tc>
        <w:tc>
          <w:tcPr>
            <w:tcW w:w="5969" w:type="dxa"/>
          </w:tcPr>
          <w:p w14:paraId="407532DE" w14:textId="469152A4" w:rsidR="008A725E" w:rsidRPr="004275C9" w:rsidRDefault="008A725E" w:rsidP="00693E42">
            <w:pPr>
              <w:rPr>
                <w:rFonts w:ascii="Calibri" w:hAnsi="Calibri" w:cs="Calibri"/>
                <w:szCs w:val="22"/>
              </w:rPr>
            </w:pPr>
            <w:r w:rsidRPr="004275C9">
              <w:rPr>
                <w:rFonts w:ascii="Calibri" w:hAnsi="Calibri" w:cs="Calibri"/>
                <w:szCs w:val="22"/>
              </w:rPr>
              <w:t xml:space="preserve">The expectation to register applies to all clinical trials (as defined by the first 4 study categories in Q2 of the IRAS filter page) and this is a condition of the favourable opinion, as stated in the final opinion letter. </w:t>
            </w:r>
            <w:r w:rsidR="00E37316" w:rsidRPr="004275C9">
              <w:rPr>
                <w:rFonts w:ascii="Calibri" w:hAnsi="Calibri" w:cs="Calibri"/>
                <w:szCs w:val="22"/>
              </w:rPr>
              <w:t xml:space="preserve">Any advice given which is contrary to this is not in accordance with the HRA position. </w:t>
            </w:r>
          </w:p>
        </w:tc>
      </w:tr>
      <w:tr w:rsidR="008A725E" w:rsidRPr="004275C9" w14:paraId="2029A850" w14:textId="6B2D57FF" w:rsidTr="006F76E7">
        <w:tc>
          <w:tcPr>
            <w:tcW w:w="4219" w:type="dxa"/>
          </w:tcPr>
          <w:p w14:paraId="69DEB744" w14:textId="57EDD67C" w:rsidR="008A725E" w:rsidRPr="004275C9" w:rsidRDefault="008A725E" w:rsidP="00693E42">
            <w:pPr>
              <w:rPr>
                <w:rFonts w:ascii="Calibri" w:hAnsi="Calibri" w:cs="Calibri"/>
                <w:szCs w:val="22"/>
              </w:rPr>
            </w:pPr>
            <w:r w:rsidRPr="004275C9">
              <w:rPr>
                <w:rFonts w:ascii="Calibri" w:hAnsi="Calibri" w:cs="Calibri"/>
                <w:szCs w:val="22"/>
              </w:rPr>
              <w:t>We stated on the IRAS form that we were not planning to register and the REC accepted this so we do not have to register</w:t>
            </w:r>
            <w:r w:rsidR="00E37316" w:rsidRPr="004275C9">
              <w:rPr>
                <w:rFonts w:ascii="Calibri" w:hAnsi="Calibri" w:cs="Calibri"/>
                <w:szCs w:val="22"/>
              </w:rPr>
              <w:t xml:space="preserve"> this clinical trial. </w:t>
            </w:r>
          </w:p>
        </w:tc>
        <w:tc>
          <w:tcPr>
            <w:tcW w:w="5969" w:type="dxa"/>
          </w:tcPr>
          <w:p w14:paraId="4595BA50" w14:textId="16B4C47B" w:rsidR="008A725E" w:rsidRPr="004275C9" w:rsidRDefault="00E37316" w:rsidP="00E37316">
            <w:pPr>
              <w:rPr>
                <w:rFonts w:ascii="Calibri" w:hAnsi="Calibri" w:cs="Calibri"/>
                <w:szCs w:val="22"/>
              </w:rPr>
            </w:pPr>
            <w:r w:rsidRPr="004275C9">
              <w:rPr>
                <w:rFonts w:ascii="Calibri" w:hAnsi="Calibri" w:cs="Calibri"/>
                <w:szCs w:val="22"/>
              </w:rPr>
              <w:t xml:space="preserve">The final opinion letter did state that registration of the clinical trial was a condition of the favourable opinion; this is a standard condition. As the final opinion letter which you received did not specifically state that the REC had agreed that there was no expectation to register this clinical trial, the standard condition to register is expected to be complied with. </w:t>
            </w:r>
          </w:p>
        </w:tc>
      </w:tr>
      <w:tr w:rsidR="008A725E" w:rsidRPr="004275C9" w14:paraId="775AF346" w14:textId="1C195F77" w:rsidTr="006F76E7">
        <w:tc>
          <w:tcPr>
            <w:tcW w:w="4219" w:type="dxa"/>
          </w:tcPr>
          <w:p w14:paraId="792ABB28" w14:textId="6F44C5DB" w:rsidR="008A725E" w:rsidRPr="004275C9" w:rsidRDefault="00181428" w:rsidP="00693E42">
            <w:pPr>
              <w:rPr>
                <w:rFonts w:ascii="Calibri" w:hAnsi="Calibri" w:cs="Calibri"/>
                <w:szCs w:val="22"/>
              </w:rPr>
            </w:pPr>
            <w:r>
              <w:rPr>
                <w:rFonts w:ascii="Calibri" w:hAnsi="Calibri" w:cs="Calibri"/>
                <w:szCs w:val="22"/>
              </w:rPr>
              <w:t>We did not know</w:t>
            </w:r>
            <w:r w:rsidR="008A725E" w:rsidRPr="004275C9">
              <w:rPr>
                <w:rFonts w:ascii="Calibri" w:hAnsi="Calibri" w:cs="Calibri"/>
                <w:szCs w:val="22"/>
              </w:rPr>
              <w:t xml:space="preserve"> that we needed to register</w:t>
            </w:r>
          </w:p>
        </w:tc>
        <w:tc>
          <w:tcPr>
            <w:tcW w:w="5969" w:type="dxa"/>
          </w:tcPr>
          <w:p w14:paraId="1B99D757" w14:textId="77777777" w:rsidR="00E37316" w:rsidRPr="004275C9" w:rsidRDefault="00E37316" w:rsidP="00693E42">
            <w:pPr>
              <w:rPr>
                <w:rFonts w:ascii="Calibri" w:hAnsi="Calibri" w:cs="Calibri"/>
                <w:szCs w:val="22"/>
              </w:rPr>
            </w:pPr>
            <w:r w:rsidRPr="004275C9">
              <w:rPr>
                <w:rFonts w:ascii="Calibri" w:hAnsi="Calibri" w:cs="Calibri"/>
                <w:szCs w:val="22"/>
              </w:rPr>
              <w:t xml:space="preserve">Please refer to the final opinion letter which you received. </w:t>
            </w:r>
          </w:p>
          <w:p w14:paraId="147007E3" w14:textId="2941A22C" w:rsidR="008A725E" w:rsidRPr="004275C9" w:rsidRDefault="00E37316" w:rsidP="00693E42">
            <w:pPr>
              <w:rPr>
                <w:rFonts w:ascii="Calibri" w:hAnsi="Calibri" w:cs="Calibri"/>
                <w:szCs w:val="22"/>
              </w:rPr>
            </w:pPr>
            <w:r w:rsidRPr="004275C9">
              <w:rPr>
                <w:rFonts w:ascii="Calibri" w:hAnsi="Calibri" w:cs="Calibri"/>
                <w:szCs w:val="22"/>
              </w:rPr>
              <w:t xml:space="preserve">This letter states that registration of clinical trials (as defined by the first 4 study categories in Q2 of the IRAS filter page) is a standard condition of the favourable opinion. </w:t>
            </w:r>
          </w:p>
        </w:tc>
      </w:tr>
      <w:tr w:rsidR="008A725E" w:rsidRPr="004275C9" w14:paraId="195E7D57" w14:textId="28EB5706" w:rsidTr="006F76E7">
        <w:tc>
          <w:tcPr>
            <w:tcW w:w="4219" w:type="dxa"/>
          </w:tcPr>
          <w:p w14:paraId="7733CD78" w14:textId="4CA238CB" w:rsidR="008A725E" w:rsidRPr="004275C9" w:rsidRDefault="008A725E" w:rsidP="00693E42">
            <w:pPr>
              <w:rPr>
                <w:rFonts w:ascii="Calibri" w:hAnsi="Calibri" w:cs="Calibri"/>
                <w:szCs w:val="22"/>
              </w:rPr>
            </w:pPr>
            <w:r w:rsidRPr="004275C9">
              <w:rPr>
                <w:rFonts w:ascii="Calibri" w:hAnsi="Calibri" w:cs="Calibri"/>
                <w:szCs w:val="22"/>
              </w:rPr>
              <w:t>We have no funding available for registration so we didn’t do it</w:t>
            </w:r>
          </w:p>
        </w:tc>
        <w:tc>
          <w:tcPr>
            <w:tcW w:w="5969" w:type="dxa"/>
          </w:tcPr>
          <w:p w14:paraId="67764690" w14:textId="5143CB2D" w:rsidR="008A725E" w:rsidRPr="004275C9" w:rsidRDefault="00E37316" w:rsidP="00693E42">
            <w:pPr>
              <w:rPr>
                <w:rFonts w:ascii="Calibri" w:hAnsi="Calibri" w:cs="Calibri"/>
                <w:szCs w:val="22"/>
              </w:rPr>
            </w:pPr>
            <w:r w:rsidRPr="004275C9">
              <w:rPr>
                <w:rFonts w:ascii="Calibri" w:hAnsi="Calibri" w:cs="Calibri"/>
                <w:szCs w:val="22"/>
              </w:rPr>
              <w:t xml:space="preserve">There is no cost attached to registering a clinical trial on certain databases, </w:t>
            </w:r>
            <w:proofErr w:type="spellStart"/>
            <w:r w:rsidRPr="004275C9">
              <w:rPr>
                <w:rFonts w:ascii="Calibri" w:hAnsi="Calibri" w:cs="Calibri"/>
                <w:szCs w:val="22"/>
              </w:rPr>
              <w:t>e.g</w:t>
            </w:r>
            <w:proofErr w:type="spellEnd"/>
            <w:r w:rsidRPr="004275C9">
              <w:rPr>
                <w:rFonts w:ascii="Calibri" w:hAnsi="Calibri" w:cs="Calibri"/>
                <w:szCs w:val="22"/>
              </w:rPr>
              <w:t xml:space="preserve"> </w:t>
            </w:r>
            <w:hyperlink r:id="rId9" w:history="1">
              <w:r w:rsidRPr="004275C9">
                <w:rPr>
                  <w:rStyle w:val="Hyperlink"/>
                  <w:rFonts w:ascii="Calibri" w:hAnsi="Calibri" w:cs="Calibri"/>
                  <w:szCs w:val="22"/>
                </w:rPr>
                <w:t>www.researchregistry.com</w:t>
              </w:r>
            </w:hyperlink>
            <w:r w:rsidRPr="004275C9">
              <w:rPr>
                <w:rFonts w:ascii="Calibri" w:hAnsi="Calibri" w:cs="Calibri"/>
                <w:szCs w:val="22"/>
              </w:rPr>
              <w:t xml:space="preserve">  </w:t>
            </w:r>
          </w:p>
        </w:tc>
      </w:tr>
      <w:tr w:rsidR="008A725E" w:rsidRPr="004275C9" w14:paraId="38CAE474" w14:textId="3F7DE3CB" w:rsidTr="006F76E7">
        <w:tc>
          <w:tcPr>
            <w:tcW w:w="4219" w:type="dxa"/>
          </w:tcPr>
          <w:p w14:paraId="58FB391D" w14:textId="2FC3EA82" w:rsidR="008A725E" w:rsidRPr="004275C9" w:rsidRDefault="008A725E" w:rsidP="00693E42">
            <w:pPr>
              <w:rPr>
                <w:rFonts w:ascii="Calibri" w:hAnsi="Calibri" w:cs="Calibri"/>
                <w:szCs w:val="22"/>
              </w:rPr>
            </w:pPr>
            <w:r w:rsidRPr="004275C9">
              <w:rPr>
                <w:rFonts w:ascii="Calibri" w:hAnsi="Calibri" w:cs="Calibri"/>
                <w:szCs w:val="22"/>
              </w:rPr>
              <w:t>Our study was not actually a clinical trial (although a clinical trial study category had been selected on IRAS)</w:t>
            </w:r>
          </w:p>
        </w:tc>
        <w:tc>
          <w:tcPr>
            <w:tcW w:w="5969" w:type="dxa"/>
          </w:tcPr>
          <w:p w14:paraId="5B98C8A6" w14:textId="2487989B" w:rsidR="008A725E" w:rsidRPr="004275C9" w:rsidRDefault="00E37316" w:rsidP="00693E42">
            <w:pPr>
              <w:rPr>
                <w:rFonts w:ascii="Calibri" w:hAnsi="Calibri" w:cs="Calibri"/>
                <w:szCs w:val="22"/>
              </w:rPr>
            </w:pPr>
            <w:r w:rsidRPr="004275C9">
              <w:rPr>
                <w:rFonts w:ascii="Calibri" w:hAnsi="Calibri" w:cs="Calibri"/>
                <w:szCs w:val="22"/>
              </w:rPr>
              <w:t xml:space="preserve">As a clinical trial category was selected for Q2 on the IRAS filter page, it is expected that the study is registered on a publicly accessible database. </w:t>
            </w:r>
          </w:p>
        </w:tc>
      </w:tr>
      <w:tr w:rsidR="008A725E" w:rsidRPr="004275C9" w14:paraId="6DDBF583" w14:textId="0F566359" w:rsidTr="006F76E7">
        <w:tc>
          <w:tcPr>
            <w:tcW w:w="4219" w:type="dxa"/>
          </w:tcPr>
          <w:p w14:paraId="5AAB0497" w14:textId="211A7FA5" w:rsidR="008A725E" w:rsidRPr="004275C9" w:rsidRDefault="006F76E7" w:rsidP="006F76E7">
            <w:pPr>
              <w:rPr>
                <w:rFonts w:ascii="Calibri" w:hAnsi="Calibri" w:cs="Calibri"/>
                <w:szCs w:val="22"/>
              </w:rPr>
            </w:pPr>
            <w:r w:rsidRPr="004275C9">
              <w:rPr>
                <w:rFonts w:ascii="Calibri" w:hAnsi="Calibri" w:cs="Calibri"/>
                <w:szCs w:val="22"/>
              </w:rPr>
              <w:t xml:space="preserve">This study is registered on our Trust / University website </w:t>
            </w:r>
          </w:p>
        </w:tc>
        <w:tc>
          <w:tcPr>
            <w:tcW w:w="5969" w:type="dxa"/>
          </w:tcPr>
          <w:p w14:paraId="002DF50C" w14:textId="1D0CDBED" w:rsidR="008A725E" w:rsidRPr="004275C9" w:rsidRDefault="00181428" w:rsidP="00693E42">
            <w:pPr>
              <w:rPr>
                <w:rFonts w:ascii="Calibri" w:hAnsi="Calibri" w:cs="Calibri"/>
                <w:szCs w:val="22"/>
              </w:rPr>
            </w:pPr>
            <w:r>
              <w:rPr>
                <w:rFonts w:ascii="Calibri" w:hAnsi="Calibri" w:cs="Calibri"/>
                <w:szCs w:val="22"/>
              </w:rPr>
              <w:t xml:space="preserve">This does not comply with the condition to register the clinical trial as it </w:t>
            </w:r>
            <w:r w:rsidRPr="00181428">
              <w:rPr>
                <w:rFonts w:ascii="Calibri" w:hAnsi="Calibri" w:cs="Calibri"/>
                <w:szCs w:val="22"/>
              </w:rPr>
              <w:t>does not contain the information fields to meet the World Health Organisation (WHO) requirements for a trial registry.</w:t>
            </w:r>
          </w:p>
        </w:tc>
      </w:tr>
      <w:tr w:rsidR="008A725E" w:rsidRPr="004275C9" w14:paraId="3A9204C2" w14:textId="7E1E8B2C" w:rsidTr="006F76E7">
        <w:tc>
          <w:tcPr>
            <w:tcW w:w="4219" w:type="dxa"/>
          </w:tcPr>
          <w:p w14:paraId="2A668892" w14:textId="115DD20A" w:rsidR="008A725E" w:rsidRPr="004275C9" w:rsidRDefault="00181428" w:rsidP="00693E42">
            <w:pPr>
              <w:rPr>
                <w:rFonts w:ascii="Calibri" w:hAnsi="Calibri" w:cs="Calibri"/>
                <w:szCs w:val="22"/>
              </w:rPr>
            </w:pPr>
            <w:r>
              <w:rPr>
                <w:rFonts w:ascii="Calibri" w:hAnsi="Calibri" w:cs="Calibri"/>
                <w:szCs w:val="22"/>
              </w:rPr>
              <w:t xml:space="preserve">The research summary is published on the HRA website. </w:t>
            </w:r>
          </w:p>
        </w:tc>
        <w:tc>
          <w:tcPr>
            <w:tcW w:w="5969" w:type="dxa"/>
          </w:tcPr>
          <w:p w14:paraId="74CE1191" w14:textId="76C0A70F" w:rsidR="008A725E" w:rsidRPr="004275C9" w:rsidRDefault="00181428" w:rsidP="00693E42">
            <w:pPr>
              <w:rPr>
                <w:rFonts w:ascii="Calibri" w:hAnsi="Calibri" w:cs="Calibri"/>
                <w:szCs w:val="22"/>
              </w:rPr>
            </w:pPr>
            <w:r w:rsidRPr="00181428">
              <w:rPr>
                <w:rFonts w:ascii="Calibri" w:hAnsi="Calibri" w:cs="Calibri"/>
                <w:szCs w:val="22"/>
              </w:rPr>
              <w:t>This does not comply with the condition to register the clinical trial as it does not contain the information fields to meet the World Health Organisation (WHO) requirements for a trial registry.</w:t>
            </w:r>
          </w:p>
        </w:tc>
      </w:tr>
    </w:tbl>
    <w:p w14:paraId="48ADDA9B" w14:textId="77777777" w:rsidR="009C17E7" w:rsidRDefault="009C17E7" w:rsidP="00693E42">
      <w:pPr>
        <w:rPr>
          <w:rFonts w:ascii="Calibri" w:hAnsi="Calibri" w:cs="Calibri"/>
          <w:b/>
          <w:sz w:val="32"/>
          <w:szCs w:val="32"/>
        </w:rPr>
      </w:pPr>
    </w:p>
    <w:p w14:paraId="7E52B840" w14:textId="69A90913" w:rsidR="00100770" w:rsidRPr="00177758" w:rsidRDefault="003044CC" w:rsidP="00177758">
      <w:pPr>
        <w:pStyle w:val="ListParagraph"/>
        <w:numPr>
          <w:ilvl w:val="0"/>
          <w:numId w:val="23"/>
        </w:numPr>
        <w:rPr>
          <w:rFonts w:ascii="Calibri" w:hAnsi="Calibri" w:cs="Calibri"/>
          <w:b/>
          <w:sz w:val="24"/>
        </w:rPr>
      </w:pPr>
      <w:r w:rsidRPr="00177758">
        <w:rPr>
          <w:rFonts w:ascii="Calibri" w:hAnsi="Calibri" w:cs="Calibri"/>
          <w:b/>
          <w:sz w:val="24"/>
        </w:rPr>
        <w:t xml:space="preserve">Observations and </w:t>
      </w:r>
      <w:r w:rsidR="00AA1AC4" w:rsidRPr="00177758">
        <w:rPr>
          <w:rFonts w:ascii="Calibri" w:hAnsi="Calibri" w:cs="Calibri"/>
          <w:b/>
          <w:sz w:val="24"/>
        </w:rPr>
        <w:t>Recommendations</w:t>
      </w:r>
    </w:p>
    <w:p w14:paraId="58DBFC76" w14:textId="77777777" w:rsidR="00177758" w:rsidRPr="00177758" w:rsidRDefault="00177758" w:rsidP="00177758">
      <w:pPr>
        <w:pStyle w:val="ListParagraph"/>
        <w:rPr>
          <w:rFonts w:ascii="Calibri" w:hAnsi="Calibri" w:cs="Calibri"/>
          <w:sz w:val="24"/>
        </w:rPr>
      </w:pPr>
    </w:p>
    <w:p w14:paraId="254F54AC" w14:textId="2F9D6C22" w:rsidR="003044CC" w:rsidRDefault="00D820CE" w:rsidP="00D820CE">
      <w:pPr>
        <w:pStyle w:val="ListParagraph"/>
        <w:numPr>
          <w:ilvl w:val="0"/>
          <w:numId w:val="22"/>
        </w:numPr>
        <w:rPr>
          <w:rFonts w:ascii="Calibri" w:hAnsi="Calibri" w:cs="Calibri"/>
        </w:rPr>
      </w:pPr>
      <w:r w:rsidRPr="00D820CE">
        <w:rPr>
          <w:rFonts w:ascii="Calibri" w:hAnsi="Calibri" w:cs="Calibri"/>
        </w:rPr>
        <w:t>A</w:t>
      </w:r>
      <w:r>
        <w:rPr>
          <w:rFonts w:ascii="Calibri" w:hAnsi="Calibri" w:cs="Calibri"/>
        </w:rPr>
        <w:t>lmost a</w:t>
      </w:r>
      <w:r w:rsidRPr="00D820CE">
        <w:rPr>
          <w:rFonts w:ascii="Calibri" w:hAnsi="Calibri" w:cs="Calibri"/>
        </w:rPr>
        <w:t>ll of the</w:t>
      </w:r>
      <w:r>
        <w:rPr>
          <w:rFonts w:ascii="Calibri" w:hAnsi="Calibri" w:cs="Calibri"/>
        </w:rPr>
        <w:t xml:space="preserve"> clinical trials which were not identified on a publicly accessible database in August 2015 and are now recorded as registered were registered due to being contacted as part of this </w:t>
      </w:r>
      <w:r>
        <w:rPr>
          <w:rFonts w:ascii="Calibri" w:hAnsi="Calibri" w:cs="Calibri"/>
        </w:rPr>
        <w:lastRenderedPageBreak/>
        <w:t xml:space="preserve">project. </w:t>
      </w:r>
      <w:r w:rsidR="00AA1AC4">
        <w:rPr>
          <w:rFonts w:ascii="Calibri" w:hAnsi="Calibri" w:cs="Calibri"/>
        </w:rPr>
        <w:t xml:space="preserve">This piece of work has therefore been the catalyst for registration in many cases as the clinical trials would not have been registered if contact had not been made by the HRA. </w:t>
      </w:r>
    </w:p>
    <w:p w14:paraId="4242303A" w14:textId="4796C92F" w:rsidR="004E6F92" w:rsidRPr="004E6F92" w:rsidRDefault="004E6F92" w:rsidP="004E6F92">
      <w:pPr>
        <w:pStyle w:val="ListParagraph"/>
        <w:numPr>
          <w:ilvl w:val="0"/>
          <w:numId w:val="22"/>
        </w:numPr>
        <w:rPr>
          <w:rFonts w:ascii="Calibri" w:hAnsi="Calibri" w:cs="Calibri"/>
        </w:rPr>
      </w:pPr>
      <w:r w:rsidRPr="004E6F92">
        <w:rPr>
          <w:rFonts w:ascii="Calibri" w:hAnsi="Calibri" w:cs="Calibri"/>
        </w:rPr>
        <w:t xml:space="preserve">A number of responses received to say that they did intend to register and would confirm when complete but no response received within the monitoring period. </w:t>
      </w:r>
    </w:p>
    <w:p w14:paraId="2287B87C" w14:textId="1653EA40" w:rsidR="00224178" w:rsidRDefault="00D820CE" w:rsidP="00224178">
      <w:pPr>
        <w:pStyle w:val="ListParagraph"/>
        <w:numPr>
          <w:ilvl w:val="0"/>
          <w:numId w:val="22"/>
        </w:numPr>
        <w:rPr>
          <w:rFonts w:ascii="Calibri" w:hAnsi="Calibri" w:cs="Calibri"/>
        </w:rPr>
      </w:pPr>
      <w:r>
        <w:rPr>
          <w:rFonts w:ascii="Calibri" w:hAnsi="Calibri" w:cs="Calibri"/>
        </w:rPr>
        <w:t xml:space="preserve">A large number of individuals (actual number unknown) </w:t>
      </w:r>
      <w:r w:rsidR="009C40DA">
        <w:rPr>
          <w:rFonts w:ascii="Calibri" w:hAnsi="Calibri" w:cs="Calibri"/>
        </w:rPr>
        <w:t>telephoned</w:t>
      </w:r>
      <w:r>
        <w:rPr>
          <w:rFonts w:ascii="Calibri" w:hAnsi="Calibri" w:cs="Calibri"/>
        </w:rPr>
        <w:t xml:space="preserve"> Catherine Blewett, HRA Improvement and Liaison Manager, to query what was being asked. It was</w:t>
      </w:r>
      <w:r w:rsidR="008D0C45">
        <w:rPr>
          <w:rFonts w:ascii="Calibri" w:hAnsi="Calibri" w:cs="Calibri"/>
        </w:rPr>
        <w:t xml:space="preserve"> evident from these discussions that there was a significant lack of understanding in regards to the standard condition to register clinical trials. </w:t>
      </w:r>
      <w:r w:rsidR="00224178" w:rsidRPr="00224178">
        <w:rPr>
          <w:rFonts w:ascii="Calibri" w:hAnsi="Calibri" w:cs="Calibri"/>
        </w:rPr>
        <w:t>All those who telephoned Catherine to discuss registration did agree to register the clinical trial once the condition had been clarified and/or they were advised that there were proportionate mechanisms to register clinical trials available.</w:t>
      </w:r>
    </w:p>
    <w:p w14:paraId="5E6E3DAE" w14:textId="25703BA4" w:rsidR="00D820CE" w:rsidRDefault="00224178" w:rsidP="00224178">
      <w:pPr>
        <w:pStyle w:val="ListParagraph"/>
        <w:numPr>
          <w:ilvl w:val="1"/>
          <w:numId w:val="22"/>
        </w:numPr>
        <w:rPr>
          <w:rFonts w:ascii="Calibri" w:hAnsi="Calibri" w:cs="Calibri"/>
        </w:rPr>
      </w:pPr>
      <w:r w:rsidRPr="00224178">
        <w:rPr>
          <w:rFonts w:ascii="Calibri" w:hAnsi="Calibri" w:cs="Calibri"/>
          <w:b/>
        </w:rPr>
        <w:t>Recommendation</w:t>
      </w:r>
      <w:r>
        <w:rPr>
          <w:rFonts w:ascii="Calibri" w:hAnsi="Calibri" w:cs="Calibri"/>
        </w:rPr>
        <w:t xml:space="preserve"> - </w:t>
      </w:r>
      <w:r w:rsidR="008D0C45">
        <w:rPr>
          <w:rFonts w:ascii="Calibri" w:hAnsi="Calibri" w:cs="Calibri"/>
        </w:rPr>
        <w:t xml:space="preserve">Further work </w:t>
      </w:r>
      <w:r>
        <w:rPr>
          <w:rFonts w:ascii="Calibri" w:hAnsi="Calibri" w:cs="Calibri"/>
        </w:rPr>
        <w:t>to be</w:t>
      </w:r>
      <w:r w:rsidR="008D0C45">
        <w:rPr>
          <w:rFonts w:ascii="Calibri" w:hAnsi="Calibri" w:cs="Calibri"/>
        </w:rPr>
        <w:t xml:space="preserve"> undertaken to improve the understanding and definition of the condition to register clinical trials. </w:t>
      </w:r>
    </w:p>
    <w:p w14:paraId="2C4E55CB" w14:textId="77777777" w:rsidR="00224178" w:rsidRDefault="008D0C45" w:rsidP="00D820CE">
      <w:pPr>
        <w:pStyle w:val="ListParagraph"/>
        <w:numPr>
          <w:ilvl w:val="0"/>
          <w:numId w:val="22"/>
        </w:numPr>
        <w:rPr>
          <w:rFonts w:ascii="Calibri" w:hAnsi="Calibri" w:cs="Calibri"/>
        </w:rPr>
      </w:pPr>
      <w:r>
        <w:rPr>
          <w:rFonts w:ascii="Calibri" w:hAnsi="Calibri" w:cs="Calibri"/>
        </w:rPr>
        <w:t xml:space="preserve">A number of individuals referred to advice (incorrect or inaccurate advice) which they had been given by an R&amp;D department within the NHS Trust or University. </w:t>
      </w:r>
    </w:p>
    <w:p w14:paraId="305A61CB" w14:textId="6E0229AE" w:rsidR="008D0C45" w:rsidRDefault="00224178" w:rsidP="00224178">
      <w:pPr>
        <w:pStyle w:val="ListParagraph"/>
        <w:numPr>
          <w:ilvl w:val="1"/>
          <w:numId w:val="22"/>
        </w:numPr>
        <w:rPr>
          <w:rFonts w:ascii="Calibri" w:hAnsi="Calibri" w:cs="Calibri"/>
        </w:rPr>
      </w:pPr>
      <w:r w:rsidRPr="00224178">
        <w:rPr>
          <w:rFonts w:ascii="Calibri" w:hAnsi="Calibri" w:cs="Calibri"/>
          <w:b/>
        </w:rPr>
        <w:t>Recommendation</w:t>
      </w:r>
      <w:r>
        <w:rPr>
          <w:rFonts w:ascii="Calibri" w:hAnsi="Calibri" w:cs="Calibri"/>
        </w:rPr>
        <w:t xml:space="preserve"> - </w:t>
      </w:r>
      <w:r w:rsidR="008D0C45">
        <w:rPr>
          <w:rFonts w:ascii="Calibri" w:hAnsi="Calibri" w:cs="Calibri"/>
        </w:rPr>
        <w:t xml:space="preserve">Further work is advisable to target R&amp;D departments to ensure that understanding at this level is accurate and that appropriate advice is therefore being given. This is particularly important as </w:t>
      </w:r>
      <w:r w:rsidR="00AA1AC4">
        <w:rPr>
          <w:rFonts w:ascii="Calibri" w:hAnsi="Calibri" w:cs="Calibri"/>
        </w:rPr>
        <w:t>R&amp;D departments are</w:t>
      </w:r>
      <w:r w:rsidR="008D0C45">
        <w:rPr>
          <w:rFonts w:ascii="Calibri" w:hAnsi="Calibri" w:cs="Calibri"/>
        </w:rPr>
        <w:t xml:space="preserve"> often the first place individuals will go to seek advice. </w:t>
      </w:r>
    </w:p>
    <w:p w14:paraId="6CA9169F" w14:textId="77777777" w:rsidR="00E6318F" w:rsidRDefault="00E6318F" w:rsidP="00E6318F">
      <w:pPr>
        <w:pStyle w:val="ListParagraph"/>
        <w:rPr>
          <w:rFonts w:ascii="Calibri" w:hAnsi="Calibri" w:cs="Calibri"/>
        </w:rPr>
      </w:pPr>
    </w:p>
    <w:p w14:paraId="7782E29D" w14:textId="54B746FE" w:rsidR="00E6318F" w:rsidRDefault="00E6318F" w:rsidP="00E6318F">
      <w:pPr>
        <w:pStyle w:val="ListParagraph"/>
        <w:numPr>
          <w:ilvl w:val="0"/>
          <w:numId w:val="23"/>
        </w:numPr>
        <w:rPr>
          <w:rFonts w:ascii="Calibri" w:hAnsi="Calibri" w:cs="Calibri"/>
          <w:b/>
        </w:rPr>
      </w:pPr>
      <w:r w:rsidRPr="00E6318F">
        <w:rPr>
          <w:rFonts w:ascii="Calibri" w:hAnsi="Calibri" w:cs="Calibri"/>
          <w:b/>
        </w:rPr>
        <w:t>Next steps</w:t>
      </w:r>
    </w:p>
    <w:p w14:paraId="1BF3A073" w14:textId="341E60DB" w:rsidR="00E6318F" w:rsidRDefault="00E6318F" w:rsidP="00E6318F">
      <w:pPr>
        <w:pStyle w:val="ListParagraph"/>
        <w:rPr>
          <w:rFonts w:ascii="Calibri" w:hAnsi="Calibri" w:cs="Calibri"/>
        </w:rPr>
      </w:pPr>
      <w:r>
        <w:rPr>
          <w:rFonts w:ascii="Calibri" w:hAnsi="Calibri" w:cs="Calibri"/>
        </w:rPr>
        <w:t>The oversight of clinical trial registration has now transferred from the operations directorate to the Quality Standards directorate under Tom Smith.</w:t>
      </w:r>
      <w:r w:rsidR="00E366AB">
        <w:rPr>
          <w:rFonts w:ascii="Calibri" w:hAnsi="Calibri" w:cs="Calibri"/>
        </w:rPr>
        <w:t xml:space="preserve"> No additional resource is anticipated for this work.</w:t>
      </w:r>
    </w:p>
    <w:p w14:paraId="5AE6951B" w14:textId="77777777" w:rsidR="00E6318F" w:rsidRDefault="00E6318F" w:rsidP="00E6318F">
      <w:pPr>
        <w:pStyle w:val="ListParagraph"/>
        <w:rPr>
          <w:rFonts w:ascii="Calibri" w:hAnsi="Calibri" w:cs="Calibri"/>
        </w:rPr>
      </w:pPr>
      <w:r>
        <w:rPr>
          <w:rFonts w:ascii="Calibri" w:hAnsi="Calibri" w:cs="Calibri"/>
        </w:rPr>
        <w:t xml:space="preserve">EMT is asked to </w:t>
      </w:r>
      <w:proofErr w:type="gramStart"/>
      <w:r>
        <w:rPr>
          <w:rFonts w:ascii="Calibri" w:hAnsi="Calibri" w:cs="Calibri"/>
        </w:rPr>
        <w:t>advise</w:t>
      </w:r>
      <w:proofErr w:type="gramEnd"/>
      <w:r>
        <w:rPr>
          <w:rFonts w:ascii="Calibri" w:hAnsi="Calibri" w:cs="Calibri"/>
        </w:rPr>
        <w:t xml:space="preserve"> on how this work should be taken forward based on the following options.</w:t>
      </w:r>
    </w:p>
    <w:p w14:paraId="4913FDDD" w14:textId="77777777" w:rsidR="00D55FAB" w:rsidRPr="00433EF2" w:rsidRDefault="00E6318F" w:rsidP="00D55FAB">
      <w:pPr>
        <w:pStyle w:val="ListParagraph"/>
        <w:numPr>
          <w:ilvl w:val="0"/>
          <w:numId w:val="24"/>
        </w:numPr>
        <w:rPr>
          <w:rFonts w:ascii="Calibri" w:hAnsi="Calibri" w:cs="Calibri"/>
          <w:b/>
        </w:rPr>
      </w:pPr>
      <w:r w:rsidRPr="00433EF2">
        <w:rPr>
          <w:rFonts w:ascii="Calibri" w:hAnsi="Calibri" w:cs="Calibri"/>
          <w:b/>
        </w:rPr>
        <w:t xml:space="preserve">Snapshot review periodically </w:t>
      </w:r>
      <w:bookmarkStart w:id="0" w:name="_GoBack"/>
      <w:bookmarkEnd w:id="0"/>
    </w:p>
    <w:p w14:paraId="69D51C12" w14:textId="4D86E2FD" w:rsidR="00E6318F" w:rsidRPr="00D55FAB" w:rsidRDefault="00E6318F" w:rsidP="00D55FAB">
      <w:pPr>
        <w:pStyle w:val="ListParagraph"/>
        <w:ind w:left="1125"/>
        <w:rPr>
          <w:rFonts w:ascii="Calibri" w:hAnsi="Calibri" w:cs="Calibri"/>
        </w:rPr>
      </w:pPr>
      <w:r w:rsidRPr="00D55FAB">
        <w:rPr>
          <w:rFonts w:ascii="Calibri" w:hAnsi="Calibri" w:cs="Calibri"/>
        </w:rPr>
        <w:t>This option would involve undertaking the piece of work as described in this paper on a regular basis (suggest every 6 months). Thi</w:t>
      </w:r>
      <w:r w:rsidR="007F6EC7" w:rsidRPr="00D55FAB">
        <w:rPr>
          <w:rFonts w:ascii="Calibri" w:hAnsi="Calibri" w:cs="Calibri"/>
        </w:rPr>
        <w:t>s would require checking against all clinical trials (except CTIMPs) which receive a favourable opinion for a 6 month period and also following up any trials not found after a further 6-8 months (some staggering would mean initial checks and following up i</w:t>
      </w:r>
      <w:r w:rsidR="00224178">
        <w:rPr>
          <w:rFonts w:ascii="Calibri" w:hAnsi="Calibri" w:cs="Calibri"/>
        </w:rPr>
        <w:t xml:space="preserve">s not at the same time) If any administrative measures </w:t>
      </w:r>
      <w:r w:rsidR="007F6EC7" w:rsidRPr="00D55FAB">
        <w:rPr>
          <w:rFonts w:ascii="Calibri" w:hAnsi="Calibri" w:cs="Calibri"/>
        </w:rPr>
        <w:t xml:space="preserve">are being considered for </w:t>
      </w:r>
      <w:proofErr w:type="spellStart"/>
      <w:r w:rsidR="007F6EC7" w:rsidRPr="00D55FAB">
        <w:rPr>
          <w:rFonts w:ascii="Calibri" w:hAnsi="Calibri" w:cs="Calibri"/>
        </w:rPr>
        <w:t>non compliance</w:t>
      </w:r>
      <w:proofErr w:type="spellEnd"/>
      <w:r w:rsidR="007F6EC7" w:rsidRPr="00D55FAB">
        <w:rPr>
          <w:rFonts w:ascii="Calibri" w:hAnsi="Calibri" w:cs="Calibri"/>
        </w:rPr>
        <w:t>, there would need to be a 100% sample to ensure fairness.</w:t>
      </w:r>
    </w:p>
    <w:p w14:paraId="1EE8279B" w14:textId="14BA7B24" w:rsidR="007F6EC7" w:rsidRPr="00E6318F" w:rsidRDefault="007F6EC7" w:rsidP="00E6318F">
      <w:pPr>
        <w:ind w:left="1125"/>
        <w:rPr>
          <w:rFonts w:ascii="Calibri" w:hAnsi="Calibri" w:cs="Calibri"/>
        </w:rPr>
      </w:pPr>
      <w:r>
        <w:rPr>
          <w:rFonts w:ascii="Calibri" w:hAnsi="Calibri" w:cs="Calibri"/>
        </w:rPr>
        <w:t xml:space="preserve">As clinical trials commence at different time periods after ethical review, there is no guarantee that by the time of the initial check and also the follow up check that the trial has commenced/recruited. It may therefore be necessary to undertake some residual monitoring of those trials over a longer period. </w:t>
      </w:r>
    </w:p>
    <w:p w14:paraId="7DCC359E" w14:textId="27F4E302" w:rsidR="00E6318F" w:rsidRPr="00433EF2" w:rsidRDefault="00E6318F" w:rsidP="00E6318F">
      <w:pPr>
        <w:pStyle w:val="ListParagraph"/>
        <w:numPr>
          <w:ilvl w:val="0"/>
          <w:numId w:val="24"/>
        </w:numPr>
        <w:rPr>
          <w:rFonts w:ascii="Calibri" w:hAnsi="Calibri" w:cs="Calibri"/>
          <w:b/>
        </w:rPr>
      </w:pPr>
      <w:r w:rsidRPr="00433EF2">
        <w:rPr>
          <w:rFonts w:ascii="Calibri" w:hAnsi="Calibri" w:cs="Calibri"/>
          <w:b/>
        </w:rPr>
        <w:t>Continuous monitoring by quality standards</w:t>
      </w:r>
    </w:p>
    <w:p w14:paraId="773CE8E2" w14:textId="22ACF200" w:rsidR="007F6EC7" w:rsidRDefault="007F6EC7" w:rsidP="007F6EC7">
      <w:pPr>
        <w:pStyle w:val="ListParagraph"/>
        <w:ind w:left="1125"/>
        <w:rPr>
          <w:rFonts w:ascii="Calibri" w:hAnsi="Calibri" w:cs="Calibri"/>
        </w:rPr>
      </w:pPr>
      <w:r>
        <w:rPr>
          <w:rFonts w:ascii="Calibri" w:hAnsi="Calibri" w:cs="Calibri"/>
        </w:rPr>
        <w:t>This option would involve all clinical trials being monitored on an ongoing basis.</w:t>
      </w:r>
      <w:r w:rsidR="00D55FAB">
        <w:rPr>
          <w:rFonts w:ascii="Calibri" w:hAnsi="Calibri" w:cs="Calibri"/>
        </w:rPr>
        <w:t xml:space="preserve"> As clinical trials commence at different periods after ethical review it is difficult to suggest a timeframe between a clinical trial receiving a favourable ethical opinion and checking the registration status. This may result in a significant amount of time checking and following up on clinical trials which have not yet commenced/recruited and therefore there is no requirement to have registered the clinical trial at that time. </w:t>
      </w:r>
    </w:p>
    <w:p w14:paraId="7E1C8A5C" w14:textId="78B599AB" w:rsidR="00E6318F" w:rsidRPr="00433EF2" w:rsidRDefault="00E6318F" w:rsidP="00E6318F">
      <w:pPr>
        <w:pStyle w:val="ListParagraph"/>
        <w:numPr>
          <w:ilvl w:val="0"/>
          <w:numId w:val="24"/>
        </w:numPr>
        <w:rPr>
          <w:rFonts w:ascii="Calibri" w:hAnsi="Calibri" w:cs="Calibri"/>
          <w:b/>
        </w:rPr>
      </w:pPr>
      <w:r w:rsidRPr="00433EF2">
        <w:rPr>
          <w:rFonts w:ascii="Calibri" w:hAnsi="Calibri" w:cs="Calibri"/>
          <w:b/>
        </w:rPr>
        <w:t>Continuous monitoring by REC service</w:t>
      </w:r>
    </w:p>
    <w:p w14:paraId="5FCC9D53" w14:textId="0D28FE95" w:rsidR="00D55FAB" w:rsidRPr="00E6318F" w:rsidRDefault="00D55FAB" w:rsidP="00D55FAB">
      <w:pPr>
        <w:pStyle w:val="ListParagraph"/>
        <w:ind w:left="1125"/>
        <w:rPr>
          <w:rFonts w:ascii="Calibri" w:hAnsi="Calibri" w:cs="Calibri"/>
        </w:rPr>
      </w:pPr>
      <w:r>
        <w:rPr>
          <w:rFonts w:ascii="Calibri" w:hAnsi="Calibri" w:cs="Calibri"/>
        </w:rPr>
        <w:lastRenderedPageBreak/>
        <w:t xml:space="preserve">This option would involve monitoring the registration status of clinical trials via currently established REC reporting mechanisms, </w:t>
      </w:r>
      <w:proofErr w:type="spellStart"/>
      <w:r>
        <w:rPr>
          <w:rFonts w:ascii="Calibri" w:hAnsi="Calibri" w:cs="Calibri"/>
        </w:rPr>
        <w:t>e.g</w:t>
      </w:r>
      <w:proofErr w:type="spellEnd"/>
      <w:r>
        <w:rPr>
          <w:rFonts w:ascii="Calibri" w:hAnsi="Calibri" w:cs="Calibri"/>
        </w:rPr>
        <w:t xml:space="preserve"> annual progress reporting or substantial amendments. The benefit of this is that these reporting routes will confirm whether the trial has commenced/recruited and therefore whether registration is required. However, it is currently recognised that compliance with annual progress reporting is questionable as reports are often not received and there is no guarantee that a trial will require a substantial amendment. </w:t>
      </w:r>
    </w:p>
    <w:sectPr w:rsidR="00D55FAB" w:rsidRPr="00E6318F" w:rsidSect="00BA53C2">
      <w:headerReference w:type="even" r:id="rId10"/>
      <w:headerReference w:type="default" r:id="rId11"/>
      <w:footerReference w:type="default" r:id="rId12"/>
      <w:headerReference w:type="first" r:id="rId13"/>
      <w:footerReference w:type="first" r:id="rId14"/>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9AE7E" w14:textId="77777777" w:rsidR="001C60DA" w:rsidRDefault="001C60DA" w:rsidP="00234F6D">
      <w:r>
        <w:separator/>
      </w:r>
    </w:p>
  </w:endnote>
  <w:endnote w:type="continuationSeparator" w:id="0">
    <w:p w14:paraId="66B9DC39" w14:textId="77777777" w:rsidR="001C60DA" w:rsidRDefault="001C60DA"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18409"/>
      <w:docPartObj>
        <w:docPartGallery w:val="Page Numbers (Bottom of Page)"/>
        <w:docPartUnique/>
      </w:docPartObj>
    </w:sdtPr>
    <w:sdtEndPr>
      <w:rPr>
        <w:noProof/>
      </w:rPr>
    </w:sdtEndPr>
    <w:sdtContent>
      <w:p w14:paraId="0197AAB6" w14:textId="7771B9AA" w:rsidR="003C2EEA" w:rsidRDefault="003C2EEA">
        <w:pPr>
          <w:pStyle w:val="Footer"/>
          <w:jc w:val="right"/>
        </w:pPr>
        <w:r>
          <w:fldChar w:fldCharType="begin"/>
        </w:r>
        <w:r>
          <w:instrText xml:space="preserve"> PAGE   \* MERGEFORMAT </w:instrText>
        </w:r>
        <w:r>
          <w:fldChar w:fldCharType="separate"/>
        </w:r>
        <w:r w:rsidR="00E366AB">
          <w:rPr>
            <w:noProof/>
          </w:rPr>
          <w:t>2</w:t>
        </w:r>
        <w:r>
          <w:rPr>
            <w:noProof/>
          </w:rPr>
          <w:fldChar w:fldCharType="end"/>
        </w:r>
      </w:p>
    </w:sdtContent>
  </w:sdt>
  <w:p w14:paraId="30437931" w14:textId="77FEB5F7" w:rsidR="005F7C56" w:rsidRDefault="005F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A712" w14:textId="78453EC4" w:rsidR="005F7C56" w:rsidRDefault="000C7CF4">
    <w:pPr>
      <w:pStyle w:val="Footer"/>
    </w:pPr>
    <w:r>
      <w:rPr>
        <w:noProof/>
        <w:lang w:eastAsia="en-GB"/>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" strokecolor="#f79646 [3209]" strokeweight="2pt"/>
          </w:pict>
        </mc:Fallback>
      </mc:AlternateContent>
    </w:r>
    <w:r w:rsidR="005F7C56">
      <w:rPr>
        <w:noProof/>
        <w:lang w:eastAsia="en-GB"/>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26E1A" w14:textId="77777777" w:rsidR="001C60DA" w:rsidRDefault="001C60DA" w:rsidP="00234F6D">
      <w:r>
        <w:separator/>
      </w:r>
    </w:p>
  </w:footnote>
  <w:footnote w:type="continuationSeparator" w:id="0">
    <w:p w14:paraId="6A048448" w14:textId="77777777" w:rsidR="001C60DA" w:rsidRDefault="001C60DA"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CEBFD" w14:textId="123D2A68" w:rsidR="00F051AB" w:rsidRDefault="00E366AB">
    <w:pPr>
      <w:pStyle w:val="Header"/>
    </w:pPr>
    <w:r>
      <w:rPr>
        <w:noProof/>
      </w:rPr>
      <w:pict w14:anchorId="480F6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6079" o:spid="_x0000_s2050" type="#_x0000_t136" style="position:absolute;margin-left:0;margin-top:0;width:502.1pt;height:200.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D51B" w14:textId="0D8BE576" w:rsidR="005F7C56" w:rsidRDefault="00E366AB">
    <w:pPr>
      <w:pStyle w:val="Header"/>
    </w:pPr>
    <w:r>
      <w:rPr>
        <w:noProof/>
      </w:rPr>
      <w:pict w14:anchorId="7C67A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6080" o:spid="_x0000_s2051" type="#_x0000_t136" style="position:absolute;margin-left:0;margin-top:0;width:502.1pt;height:200.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F7C56">
      <w:rPr>
        <w:noProof/>
        <w:lang w:eastAsia="en-GB"/>
      </w:rPr>
      <w:drawing>
        <wp:anchor distT="0" distB="0" distL="114300" distR="114300" simplePos="0" relativeHeight="251661312" behindDoc="0" locked="0" layoutInCell="1" allowOverlap="1" wp14:anchorId="725A8C99" wp14:editId="37E0D1A6">
          <wp:simplePos x="0" y="0"/>
          <wp:positionH relativeFrom="column">
            <wp:posOffset>4158615</wp:posOffset>
          </wp:positionH>
          <wp:positionV relativeFrom="paragraph">
            <wp:posOffset>6985</wp:posOffset>
          </wp:positionV>
          <wp:extent cx="2171065" cy="5378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r w:rsidR="00C658CA">
      <w:t>Clinical Trial Registration_V1.4</w:t>
    </w:r>
    <w:r w:rsidR="00433EF2">
      <w:t xml:space="preserve"> </w:t>
    </w:r>
    <w:r w:rsidR="00C658CA">
      <w:t>July</w:t>
    </w:r>
    <w:r w:rsidR="00433EF2">
      <w:t xml:space="preserve"> 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7375DE14" w:rsidR="005F7C56" w:rsidRPr="00234F6D" w:rsidRDefault="00E366AB" w:rsidP="00BE008E">
    <w:r>
      <w:rPr>
        <w:noProof/>
      </w:rPr>
      <w:pict w14:anchorId="58EF6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6078" o:spid="_x0000_s2049" type="#_x0000_t136" style="position:absolute;margin-left:0;margin-top:0;width:502.1pt;height:200.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F7C56">
      <w:rPr>
        <w:noProof/>
        <w:lang w:eastAsia="en-GB"/>
      </w:rPr>
      <w:drawing>
        <wp:anchor distT="0" distB="0" distL="114300" distR="114300" simplePos="0" relativeHeight="251662336" behindDoc="0" locked="0" layoutInCell="1" allowOverlap="1" wp14:anchorId="01A422FA" wp14:editId="693F32AC">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0B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D066EA"/>
    <w:lvl w:ilvl="0">
      <w:start w:val="1"/>
      <w:numFmt w:val="decimal"/>
      <w:lvlText w:val="%1."/>
      <w:lvlJc w:val="left"/>
      <w:pPr>
        <w:tabs>
          <w:tab w:val="num" w:pos="1492"/>
        </w:tabs>
        <w:ind w:left="1492" w:hanging="360"/>
      </w:pPr>
    </w:lvl>
  </w:abstractNum>
  <w:abstractNum w:abstractNumId="2">
    <w:nsid w:val="FFFFFF7D"/>
    <w:multiLevelType w:val="singleLevel"/>
    <w:tmpl w:val="385A558E"/>
    <w:lvl w:ilvl="0">
      <w:start w:val="1"/>
      <w:numFmt w:val="decimal"/>
      <w:lvlText w:val="%1."/>
      <w:lvlJc w:val="left"/>
      <w:pPr>
        <w:tabs>
          <w:tab w:val="num" w:pos="1209"/>
        </w:tabs>
        <w:ind w:left="1209" w:hanging="360"/>
      </w:pPr>
    </w:lvl>
  </w:abstractNum>
  <w:abstractNum w:abstractNumId="3">
    <w:nsid w:val="FFFFFF7E"/>
    <w:multiLevelType w:val="singleLevel"/>
    <w:tmpl w:val="B2947186"/>
    <w:lvl w:ilvl="0">
      <w:start w:val="1"/>
      <w:numFmt w:val="decimal"/>
      <w:lvlText w:val="%1."/>
      <w:lvlJc w:val="left"/>
      <w:pPr>
        <w:tabs>
          <w:tab w:val="num" w:pos="926"/>
        </w:tabs>
        <w:ind w:left="926" w:hanging="360"/>
      </w:pPr>
    </w:lvl>
  </w:abstractNum>
  <w:abstractNum w:abstractNumId="4">
    <w:nsid w:val="FFFFFF7F"/>
    <w:multiLevelType w:val="singleLevel"/>
    <w:tmpl w:val="BC824456"/>
    <w:lvl w:ilvl="0">
      <w:start w:val="1"/>
      <w:numFmt w:val="decimal"/>
      <w:lvlText w:val="%1."/>
      <w:lvlJc w:val="left"/>
      <w:pPr>
        <w:tabs>
          <w:tab w:val="num" w:pos="643"/>
        </w:tabs>
        <w:ind w:left="643" w:hanging="360"/>
      </w:pPr>
    </w:lvl>
  </w:abstractNum>
  <w:abstractNum w:abstractNumId="5">
    <w:nsid w:val="FFFFFF80"/>
    <w:multiLevelType w:val="singleLevel"/>
    <w:tmpl w:val="AD66CB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D6ED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6888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71E79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BC297C"/>
    <w:lvl w:ilvl="0">
      <w:start w:val="1"/>
      <w:numFmt w:val="decimal"/>
      <w:lvlText w:val="%1."/>
      <w:lvlJc w:val="left"/>
      <w:pPr>
        <w:tabs>
          <w:tab w:val="num" w:pos="360"/>
        </w:tabs>
        <w:ind w:left="360" w:hanging="360"/>
      </w:pPr>
    </w:lvl>
  </w:abstractNum>
  <w:abstractNum w:abstractNumId="10">
    <w:nsid w:val="FFFFFF89"/>
    <w:multiLevelType w:val="singleLevel"/>
    <w:tmpl w:val="0C3CB3EC"/>
    <w:lvl w:ilvl="0">
      <w:start w:val="1"/>
      <w:numFmt w:val="bullet"/>
      <w:lvlText w:val=""/>
      <w:lvlJc w:val="left"/>
      <w:pPr>
        <w:tabs>
          <w:tab w:val="num" w:pos="360"/>
        </w:tabs>
        <w:ind w:left="360" w:hanging="360"/>
      </w:pPr>
      <w:rPr>
        <w:rFonts w:ascii="Symbol" w:hAnsi="Symbol" w:hint="default"/>
      </w:rPr>
    </w:lvl>
  </w:abstractNum>
  <w:abstractNum w:abstractNumId="11">
    <w:nsid w:val="002669BB"/>
    <w:multiLevelType w:val="hybridMultilevel"/>
    <w:tmpl w:val="2A080052"/>
    <w:lvl w:ilvl="0" w:tplc="08090015">
      <w:start w:val="1"/>
      <w:numFmt w:val="upperLetter"/>
      <w:lvlText w:val="%1."/>
      <w:lvlJc w:val="left"/>
      <w:pPr>
        <w:ind w:left="1069" w:hanging="360"/>
      </w:pPr>
      <w:rPr>
        <w:rFonts w:hint="default"/>
      </w:r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2">
    <w:nsid w:val="079754F1"/>
    <w:multiLevelType w:val="hybridMultilevel"/>
    <w:tmpl w:val="C2B6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0518B8"/>
    <w:multiLevelType w:val="hybridMultilevel"/>
    <w:tmpl w:val="2064D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292336"/>
    <w:multiLevelType w:val="hybridMultilevel"/>
    <w:tmpl w:val="0FFCA274"/>
    <w:lvl w:ilvl="0" w:tplc="B2F054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513771B"/>
    <w:multiLevelType w:val="hybridMultilevel"/>
    <w:tmpl w:val="F4E22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E1087F"/>
    <w:multiLevelType w:val="hybridMultilevel"/>
    <w:tmpl w:val="EA3CBCF4"/>
    <w:lvl w:ilvl="0" w:tplc="726029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996098D"/>
    <w:multiLevelType w:val="hybridMultilevel"/>
    <w:tmpl w:val="2AFE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AA4E08"/>
    <w:multiLevelType w:val="hybridMultilevel"/>
    <w:tmpl w:val="8BE6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4E03D7"/>
    <w:multiLevelType w:val="hybridMultilevel"/>
    <w:tmpl w:val="6284F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53223D"/>
    <w:multiLevelType w:val="hybridMultilevel"/>
    <w:tmpl w:val="5BFAF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836735"/>
    <w:multiLevelType w:val="hybridMultilevel"/>
    <w:tmpl w:val="4EC2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640578"/>
    <w:multiLevelType w:val="hybridMultilevel"/>
    <w:tmpl w:val="EE38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9068E0"/>
    <w:multiLevelType w:val="hybridMultilevel"/>
    <w:tmpl w:val="1B2C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9"/>
  </w:num>
  <w:num w:numId="6">
    <w:abstractNumId w:val="4"/>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18"/>
  </w:num>
  <w:num w:numId="15">
    <w:abstractNumId w:val="15"/>
  </w:num>
  <w:num w:numId="16">
    <w:abstractNumId w:val="14"/>
  </w:num>
  <w:num w:numId="17">
    <w:abstractNumId w:val="19"/>
  </w:num>
  <w:num w:numId="18">
    <w:abstractNumId w:val="12"/>
  </w:num>
  <w:num w:numId="19">
    <w:abstractNumId w:val="16"/>
  </w:num>
  <w:num w:numId="20">
    <w:abstractNumId w:val="23"/>
  </w:num>
  <w:num w:numId="21">
    <w:abstractNumId w:val="22"/>
  </w:num>
  <w:num w:numId="22">
    <w:abstractNumId w:val="20"/>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41A38"/>
    <w:rsid w:val="00063DEC"/>
    <w:rsid w:val="00066F17"/>
    <w:rsid w:val="00076F16"/>
    <w:rsid w:val="000C531C"/>
    <w:rsid w:val="000C7CF4"/>
    <w:rsid w:val="000E28CC"/>
    <w:rsid w:val="00100770"/>
    <w:rsid w:val="001444A7"/>
    <w:rsid w:val="0015745D"/>
    <w:rsid w:val="00177758"/>
    <w:rsid w:val="00181428"/>
    <w:rsid w:val="00191996"/>
    <w:rsid w:val="00195090"/>
    <w:rsid w:val="001B16DC"/>
    <w:rsid w:val="001B41C4"/>
    <w:rsid w:val="001C60DA"/>
    <w:rsid w:val="001C7D3F"/>
    <w:rsid w:val="001D300D"/>
    <w:rsid w:val="001D70CA"/>
    <w:rsid w:val="002126E2"/>
    <w:rsid w:val="002208B1"/>
    <w:rsid w:val="00224178"/>
    <w:rsid w:val="00234F6D"/>
    <w:rsid w:val="00236E57"/>
    <w:rsid w:val="0025206E"/>
    <w:rsid w:val="002676B7"/>
    <w:rsid w:val="002B1CB1"/>
    <w:rsid w:val="002C75AC"/>
    <w:rsid w:val="002D5BF5"/>
    <w:rsid w:val="003044CC"/>
    <w:rsid w:val="00310D13"/>
    <w:rsid w:val="003424A9"/>
    <w:rsid w:val="00350036"/>
    <w:rsid w:val="003727CD"/>
    <w:rsid w:val="00373AEE"/>
    <w:rsid w:val="00377742"/>
    <w:rsid w:val="00381946"/>
    <w:rsid w:val="003A1578"/>
    <w:rsid w:val="003C2EEA"/>
    <w:rsid w:val="003E5CA2"/>
    <w:rsid w:val="003F441C"/>
    <w:rsid w:val="00411D67"/>
    <w:rsid w:val="004275C9"/>
    <w:rsid w:val="00433EF2"/>
    <w:rsid w:val="0044745A"/>
    <w:rsid w:val="00456DB7"/>
    <w:rsid w:val="0046376B"/>
    <w:rsid w:val="00481008"/>
    <w:rsid w:val="0048433B"/>
    <w:rsid w:val="004C59FB"/>
    <w:rsid w:val="004D1E50"/>
    <w:rsid w:val="004D42DF"/>
    <w:rsid w:val="004E268E"/>
    <w:rsid w:val="004E6F92"/>
    <w:rsid w:val="005032DC"/>
    <w:rsid w:val="00572D27"/>
    <w:rsid w:val="005D12F5"/>
    <w:rsid w:val="005F7C56"/>
    <w:rsid w:val="00607C32"/>
    <w:rsid w:val="00654173"/>
    <w:rsid w:val="0067778A"/>
    <w:rsid w:val="00693E42"/>
    <w:rsid w:val="006F76E7"/>
    <w:rsid w:val="00720A5D"/>
    <w:rsid w:val="00743411"/>
    <w:rsid w:val="00753946"/>
    <w:rsid w:val="0079344B"/>
    <w:rsid w:val="007A57D2"/>
    <w:rsid w:val="007C5B52"/>
    <w:rsid w:val="007D14CD"/>
    <w:rsid w:val="007E6F1A"/>
    <w:rsid w:val="007F3187"/>
    <w:rsid w:val="007F39FA"/>
    <w:rsid w:val="007F6EC7"/>
    <w:rsid w:val="007F7C65"/>
    <w:rsid w:val="0081047C"/>
    <w:rsid w:val="0085398E"/>
    <w:rsid w:val="00864B54"/>
    <w:rsid w:val="00880C3E"/>
    <w:rsid w:val="008A725E"/>
    <w:rsid w:val="008C0339"/>
    <w:rsid w:val="008C3919"/>
    <w:rsid w:val="008D0C45"/>
    <w:rsid w:val="008F0C9F"/>
    <w:rsid w:val="008F7008"/>
    <w:rsid w:val="00900FD4"/>
    <w:rsid w:val="00903C63"/>
    <w:rsid w:val="00921AD9"/>
    <w:rsid w:val="0097432C"/>
    <w:rsid w:val="00977204"/>
    <w:rsid w:val="00983566"/>
    <w:rsid w:val="009C17E7"/>
    <w:rsid w:val="009C22B2"/>
    <w:rsid w:val="009C40DA"/>
    <w:rsid w:val="009D4336"/>
    <w:rsid w:val="00A13F7C"/>
    <w:rsid w:val="00A40045"/>
    <w:rsid w:val="00A70359"/>
    <w:rsid w:val="00A966D1"/>
    <w:rsid w:val="00AA1AC4"/>
    <w:rsid w:val="00AB6515"/>
    <w:rsid w:val="00AD1ABA"/>
    <w:rsid w:val="00AE208F"/>
    <w:rsid w:val="00AE26F2"/>
    <w:rsid w:val="00AF48E1"/>
    <w:rsid w:val="00B07BF1"/>
    <w:rsid w:val="00B154BB"/>
    <w:rsid w:val="00B17F61"/>
    <w:rsid w:val="00B3519C"/>
    <w:rsid w:val="00B678E1"/>
    <w:rsid w:val="00B678FD"/>
    <w:rsid w:val="00B75230"/>
    <w:rsid w:val="00B90470"/>
    <w:rsid w:val="00BA53C2"/>
    <w:rsid w:val="00BB4679"/>
    <w:rsid w:val="00BB4E7D"/>
    <w:rsid w:val="00BB7617"/>
    <w:rsid w:val="00BD3078"/>
    <w:rsid w:val="00BE008E"/>
    <w:rsid w:val="00BF7E3C"/>
    <w:rsid w:val="00C054BF"/>
    <w:rsid w:val="00C16D74"/>
    <w:rsid w:val="00C25B41"/>
    <w:rsid w:val="00C47D48"/>
    <w:rsid w:val="00C5704F"/>
    <w:rsid w:val="00C61B86"/>
    <w:rsid w:val="00C658CA"/>
    <w:rsid w:val="00C83281"/>
    <w:rsid w:val="00C83FDB"/>
    <w:rsid w:val="00C84257"/>
    <w:rsid w:val="00C949D1"/>
    <w:rsid w:val="00CB2B1E"/>
    <w:rsid w:val="00CD631E"/>
    <w:rsid w:val="00CE060B"/>
    <w:rsid w:val="00CE39A3"/>
    <w:rsid w:val="00D10D33"/>
    <w:rsid w:val="00D27A5C"/>
    <w:rsid w:val="00D43301"/>
    <w:rsid w:val="00D5595B"/>
    <w:rsid w:val="00D55FAB"/>
    <w:rsid w:val="00D706FE"/>
    <w:rsid w:val="00D75B91"/>
    <w:rsid w:val="00D768F2"/>
    <w:rsid w:val="00D820CE"/>
    <w:rsid w:val="00D91008"/>
    <w:rsid w:val="00D95319"/>
    <w:rsid w:val="00DA6A8F"/>
    <w:rsid w:val="00DB7C49"/>
    <w:rsid w:val="00E12A6F"/>
    <w:rsid w:val="00E365A2"/>
    <w:rsid w:val="00E366AB"/>
    <w:rsid w:val="00E37316"/>
    <w:rsid w:val="00E6318F"/>
    <w:rsid w:val="00E67CA3"/>
    <w:rsid w:val="00E94CA1"/>
    <w:rsid w:val="00E96D46"/>
    <w:rsid w:val="00EC52E9"/>
    <w:rsid w:val="00F00B17"/>
    <w:rsid w:val="00F051AB"/>
    <w:rsid w:val="00F26221"/>
    <w:rsid w:val="00F665AA"/>
    <w:rsid w:val="00F74E7D"/>
    <w:rsid w:val="00F8269C"/>
    <w:rsid w:val="00F91FBF"/>
    <w:rsid w:val="00FA0A14"/>
    <w:rsid w:val="00FE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1C7D3F"/>
    <w:rPr>
      <w:sz w:val="16"/>
      <w:szCs w:val="16"/>
    </w:rPr>
  </w:style>
  <w:style w:type="paragraph" w:styleId="CommentText">
    <w:name w:val="annotation text"/>
    <w:basedOn w:val="Normal"/>
    <w:link w:val="CommentTextChar"/>
    <w:uiPriority w:val="99"/>
    <w:semiHidden/>
    <w:unhideWhenUsed/>
    <w:rsid w:val="001C7D3F"/>
    <w:pPr>
      <w:spacing w:line="240" w:lineRule="auto"/>
    </w:pPr>
    <w:rPr>
      <w:sz w:val="20"/>
      <w:szCs w:val="20"/>
    </w:rPr>
  </w:style>
  <w:style w:type="character" w:customStyle="1" w:styleId="CommentTextChar">
    <w:name w:val="Comment Text Char"/>
    <w:basedOn w:val="DefaultParagraphFont"/>
    <w:link w:val="CommentText"/>
    <w:uiPriority w:val="99"/>
    <w:semiHidden/>
    <w:rsid w:val="001C7D3F"/>
    <w:rPr>
      <w:sz w:val="20"/>
      <w:szCs w:val="20"/>
      <w:lang w:val="en-GB"/>
    </w:rPr>
  </w:style>
  <w:style w:type="paragraph" w:styleId="CommentSubject">
    <w:name w:val="annotation subject"/>
    <w:basedOn w:val="CommentText"/>
    <w:next w:val="CommentText"/>
    <w:link w:val="CommentSubjectChar"/>
    <w:uiPriority w:val="99"/>
    <w:semiHidden/>
    <w:unhideWhenUsed/>
    <w:rsid w:val="001C7D3F"/>
    <w:rPr>
      <w:b/>
      <w:bCs/>
    </w:rPr>
  </w:style>
  <w:style w:type="character" w:customStyle="1" w:styleId="CommentSubjectChar">
    <w:name w:val="Comment Subject Char"/>
    <w:basedOn w:val="CommentTextChar"/>
    <w:link w:val="CommentSubject"/>
    <w:uiPriority w:val="99"/>
    <w:semiHidden/>
    <w:rsid w:val="001C7D3F"/>
    <w:rPr>
      <w:b/>
      <w:bCs/>
      <w:sz w:val="20"/>
      <w:szCs w:val="20"/>
      <w:lang w:val="en-GB"/>
    </w:rPr>
  </w:style>
  <w:style w:type="paragraph" w:styleId="FootnoteText">
    <w:name w:val="footnote text"/>
    <w:basedOn w:val="Normal"/>
    <w:link w:val="FootnoteTextChar"/>
    <w:uiPriority w:val="99"/>
    <w:semiHidden/>
    <w:unhideWhenUsed/>
    <w:rsid w:val="00AD1A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BA"/>
    <w:rPr>
      <w:sz w:val="20"/>
      <w:szCs w:val="20"/>
      <w:lang w:val="en-GB"/>
    </w:rPr>
  </w:style>
  <w:style w:type="character" w:styleId="FootnoteReference">
    <w:name w:val="footnote reference"/>
    <w:basedOn w:val="DefaultParagraphFont"/>
    <w:uiPriority w:val="99"/>
    <w:semiHidden/>
    <w:unhideWhenUsed/>
    <w:rsid w:val="00AD1A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1C7D3F"/>
    <w:rPr>
      <w:sz w:val="16"/>
      <w:szCs w:val="16"/>
    </w:rPr>
  </w:style>
  <w:style w:type="paragraph" w:styleId="CommentText">
    <w:name w:val="annotation text"/>
    <w:basedOn w:val="Normal"/>
    <w:link w:val="CommentTextChar"/>
    <w:uiPriority w:val="99"/>
    <w:semiHidden/>
    <w:unhideWhenUsed/>
    <w:rsid w:val="001C7D3F"/>
    <w:pPr>
      <w:spacing w:line="240" w:lineRule="auto"/>
    </w:pPr>
    <w:rPr>
      <w:sz w:val="20"/>
      <w:szCs w:val="20"/>
    </w:rPr>
  </w:style>
  <w:style w:type="character" w:customStyle="1" w:styleId="CommentTextChar">
    <w:name w:val="Comment Text Char"/>
    <w:basedOn w:val="DefaultParagraphFont"/>
    <w:link w:val="CommentText"/>
    <w:uiPriority w:val="99"/>
    <w:semiHidden/>
    <w:rsid w:val="001C7D3F"/>
    <w:rPr>
      <w:sz w:val="20"/>
      <w:szCs w:val="20"/>
      <w:lang w:val="en-GB"/>
    </w:rPr>
  </w:style>
  <w:style w:type="paragraph" w:styleId="CommentSubject">
    <w:name w:val="annotation subject"/>
    <w:basedOn w:val="CommentText"/>
    <w:next w:val="CommentText"/>
    <w:link w:val="CommentSubjectChar"/>
    <w:uiPriority w:val="99"/>
    <w:semiHidden/>
    <w:unhideWhenUsed/>
    <w:rsid w:val="001C7D3F"/>
    <w:rPr>
      <w:b/>
      <w:bCs/>
    </w:rPr>
  </w:style>
  <w:style w:type="character" w:customStyle="1" w:styleId="CommentSubjectChar">
    <w:name w:val="Comment Subject Char"/>
    <w:basedOn w:val="CommentTextChar"/>
    <w:link w:val="CommentSubject"/>
    <w:uiPriority w:val="99"/>
    <w:semiHidden/>
    <w:rsid w:val="001C7D3F"/>
    <w:rPr>
      <w:b/>
      <w:bCs/>
      <w:sz w:val="20"/>
      <w:szCs w:val="20"/>
      <w:lang w:val="en-GB"/>
    </w:rPr>
  </w:style>
  <w:style w:type="paragraph" w:styleId="FootnoteText">
    <w:name w:val="footnote text"/>
    <w:basedOn w:val="Normal"/>
    <w:link w:val="FootnoteTextChar"/>
    <w:uiPriority w:val="99"/>
    <w:semiHidden/>
    <w:unhideWhenUsed/>
    <w:rsid w:val="00AD1A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BA"/>
    <w:rPr>
      <w:sz w:val="20"/>
      <w:szCs w:val="20"/>
      <w:lang w:val="en-GB"/>
    </w:rPr>
  </w:style>
  <w:style w:type="character" w:styleId="FootnoteReference">
    <w:name w:val="footnote reference"/>
    <w:basedOn w:val="DefaultParagraphFont"/>
    <w:uiPriority w:val="99"/>
    <w:semiHidden/>
    <w:unhideWhenUsed/>
    <w:rsid w:val="00AD1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searchregistry.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16D8-F117-4B2D-A8E7-B44F2B32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Steve Tebbutt</cp:lastModifiedBy>
  <cp:revision>5</cp:revision>
  <cp:lastPrinted>2016-02-04T10:16:00Z</cp:lastPrinted>
  <dcterms:created xsi:type="dcterms:W3CDTF">2016-07-26T14:11:00Z</dcterms:created>
  <dcterms:modified xsi:type="dcterms:W3CDTF">2016-09-13T15:19:00Z</dcterms:modified>
</cp:coreProperties>
</file>