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21" w:rsidRPr="00FF7CBA" w:rsidRDefault="00745FAD" w:rsidP="00E34821">
      <w:pPr>
        <w:pStyle w:val="NoSpacing"/>
        <w:jc w:val="right"/>
        <w:rPr>
          <w:rFonts w:ascii="Arial" w:hAnsi="Arial" w:cs="Arial"/>
          <w:b/>
          <w:lang w:val="en-GB"/>
        </w:rPr>
      </w:pPr>
      <w:r>
        <w:rPr>
          <w:rFonts w:ascii="Arial" w:hAnsi="Arial" w:cs="Arial"/>
          <w:b/>
          <w:lang w:val="en-GB"/>
        </w:rPr>
        <w:tab/>
      </w:r>
      <w:r w:rsidR="00E34821">
        <w:rPr>
          <w:rFonts w:ascii="Arial" w:hAnsi="Arial" w:cs="Arial"/>
          <w:b/>
          <w:noProof/>
          <w:lang w:val="en-GB" w:eastAsia="en-GB"/>
        </w:rPr>
        <w:drawing>
          <wp:inline distT="0" distB="0" distL="0" distR="0" wp14:anchorId="6B1E0FE4" wp14:editId="7B549722">
            <wp:extent cx="2447925" cy="479826"/>
            <wp:effectExtent l="19050" t="0" r="9525" b="0"/>
            <wp:docPr id="1" name="Picture 1"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9" cstate="print"/>
                    <a:srcRect/>
                    <a:stretch>
                      <a:fillRect/>
                    </a:stretch>
                  </pic:blipFill>
                  <pic:spPr bwMode="auto">
                    <a:xfrm>
                      <a:off x="0" y="0"/>
                      <a:ext cx="2447925" cy="479826"/>
                    </a:xfrm>
                    <a:prstGeom prst="rect">
                      <a:avLst/>
                    </a:prstGeom>
                    <a:noFill/>
                    <a:ln w="9525">
                      <a:noFill/>
                      <a:miter lim="800000"/>
                      <a:headEnd/>
                      <a:tailEnd/>
                    </a:ln>
                  </pic:spPr>
                </pic:pic>
              </a:graphicData>
            </a:graphic>
          </wp:inline>
        </w:drawing>
      </w:r>
    </w:p>
    <w:p w:rsidR="00DF3EE3" w:rsidRDefault="00DF3EE3" w:rsidP="00DF3EE3">
      <w:pPr>
        <w:jc w:val="right"/>
        <w:rPr>
          <w:rFonts w:ascii="Arial" w:hAnsi="Arial" w:cs="Arial"/>
          <w:b/>
          <w:sz w:val="22"/>
          <w:szCs w:val="22"/>
          <w:lang w:eastAsia="en-US"/>
        </w:rPr>
      </w:pPr>
    </w:p>
    <w:p w:rsidR="00613941" w:rsidRPr="00DF3EE3" w:rsidRDefault="00613941" w:rsidP="00DF3EE3">
      <w:pPr>
        <w:jc w:val="right"/>
        <w:rPr>
          <w:rFonts w:ascii="Arial" w:hAnsi="Arial" w:cs="Arial"/>
          <w:b/>
          <w:sz w:val="22"/>
          <w:szCs w:val="22"/>
          <w:lang w:eastAsia="en-US"/>
        </w:rPr>
      </w:pPr>
    </w:p>
    <w:tbl>
      <w:tblPr>
        <w:tblStyle w:val="TableGrid1"/>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DF3EE3" w:rsidRPr="00DF3EE3" w:rsidTr="00AD76CF">
        <w:trPr>
          <w:trHeight w:val="386"/>
        </w:trPr>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Agenda item:</w:t>
            </w:r>
            <w:r w:rsidR="00503AB9">
              <w:rPr>
                <w:rFonts w:asciiTheme="minorHAnsi" w:hAnsiTheme="minorHAnsi" w:cstheme="minorHAnsi"/>
                <w:b/>
                <w:sz w:val="44"/>
                <w:szCs w:val="44"/>
                <w:lang w:eastAsia="en-US"/>
              </w:rPr>
              <w:t xml:space="preserve"> </w:t>
            </w:r>
          </w:p>
        </w:tc>
        <w:tc>
          <w:tcPr>
            <w:tcW w:w="1260" w:type="dxa"/>
          </w:tcPr>
          <w:p w:rsidR="00DF3EE3" w:rsidRPr="00DF3EE3" w:rsidRDefault="00420BDD"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10</w:t>
            </w:r>
          </w:p>
        </w:tc>
      </w:tr>
      <w:tr w:rsidR="00DF3EE3" w:rsidRPr="00DF3EE3" w:rsidTr="00DF3EE3">
        <w:tc>
          <w:tcPr>
            <w:tcW w:w="3420" w:type="dxa"/>
          </w:tcPr>
          <w:p w:rsidR="00DF3EE3" w:rsidRPr="00DF3EE3" w:rsidRDefault="00DF3EE3" w:rsidP="00420BDD">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Attachment:</w:t>
            </w:r>
            <w:r w:rsidR="00362981">
              <w:rPr>
                <w:rFonts w:asciiTheme="minorHAnsi" w:hAnsiTheme="minorHAnsi" w:cstheme="minorHAnsi"/>
                <w:b/>
                <w:sz w:val="44"/>
                <w:szCs w:val="44"/>
                <w:lang w:eastAsia="en-US"/>
              </w:rPr>
              <w:t xml:space="preserve"> </w:t>
            </w:r>
          </w:p>
        </w:tc>
        <w:tc>
          <w:tcPr>
            <w:tcW w:w="1260" w:type="dxa"/>
          </w:tcPr>
          <w:p w:rsidR="00DF3EE3" w:rsidRPr="005E4465" w:rsidRDefault="00420BDD"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F</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p w:rsidR="00DF3EE3" w:rsidRPr="00DF3EE3" w:rsidRDefault="00DF3EE3" w:rsidP="00DF3EE3">
      <w:pPr>
        <w:spacing w:line="276" w:lineRule="auto"/>
        <w:jc w:val="center"/>
        <w:rPr>
          <w:rFonts w:asciiTheme="minorHAnsi" w:eastAsiaTheme="minorHAnsi" w:hAnsiTheme="minorHAnsi" w:cstheme="minorHAnsi"/>
          <w:b/>
          <w:sz w:val="40"/>
          <w:szCs w:val="40"/>
          <w:lang w:eastAsia="en-US"/>
        </w:rPr>
      </w:pPr>
    </w:p>
    <w:p w:rsidR="00DF3EE3" w:rsidRPr="00DF3EE3" w:rsidRDefault="00DF3EE3" w:rsidP="00DF3EE3">
      <w:pPr>
        <w:jc w:val="center"/>
        <w:rPr>
          <w:rFonts w:asciiTheme="minorHAnsi" w:eastAsiaTheme="minorHAnsi" w:hAnsiTheme="minorHAnsi" w:cstheme="minorHAnsi"/>
          <w:b/>
          <w:lang w:eastAsia="en-US"/>
        </w:rPr>
      </w:pPr>
    </w:p>
    <w:p w:rsidR="00DF3EE3" w:rsidRPr="00DF3EE3" w:rsidRDefault="00DF3EE3" w:rsidP="00DF3EE3">
      <w:pPr>
        <w:jc w:val="center"/>
        <w:rPr>
          <w:rFonts w:asciiTheme="minorHAnsi" w:eastAsiaTheme="minorHAnsi" w:hAnsiTheme="minorHAnsi" w:cstheme="minorHAnsi"/>
          <w:b/>
          <w:sz w:val="44"/>
          <w:szCs w:val="44"/>
          <w:lang w:eastAsia="en-US"/>
        </w:rPr>
      </w:pPr>
      <w:r w:rsidRPr="00DF3EE3">
        <w:rPr>
          <w:rFonts w:asciiTheme="minorHAnsi" w:eastAsiaTheme="minorHAnsi" w:hAnsiTheme="minorHAnsi" w:cstheme="minorHAnsi"/>
          <w:b/>
          <w:sz w:val="44"/>
          <w:szCs w:val="44"/>
          <w:lang w:eastAsia="en-US"/>
        </w:rPr>
        <w:t xml:space="preserve">HRA </w:t>
      </w:r>
      <w:r w:rsidR="00D427CB">
        <w:rPr>
          <w:rFonts w:asciiTheme="minorHAnsi" w:eastAsiaTheme="minorHAnsi" w:hAnsiTheme="minorHAnsi" w:cstheme="minorHAnsi"/>
          <w:b/>
          <w:sz w:val="44"/>
          <w:szCs w:val="44"/>
          <w:lang w:eastAsia="en-US"/>
        </w:rPr>
        <w:t>BOARD</w:t>
      </w:r>
      <w:r w:rsidRPr="00DF3EE3">
        <w:rPr>
          <w:rFonts w:asciiTheme="minorHAnsi" w:eastAsiaTheme="minorHAnsi" w:hAnsiTheme="minorHAnsi" w:cstheme="minorHAnsi"/>
          <w:b/>
          <w:sz w:val="44"/>
          <w:szCs w:val="44"/>
          <w:lang w:eastAsia="en-US"/>
        </w:rPr>
        <w:t xml:space="preserve"> COVER SHEET</w:t>
      </w:r>
    </w:p>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A5757C">
        <w:trPr>
          <w:trHeight w:val="491"/>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 of Meeting:</w:t>
            </w:r>
          </w:p>
        </w:tc>
        <w:tc>
          <w:tcPr>
            <w:tcW w:w="6320" w:type="dxa"/>
            <w:shd w:val="clear" w:color="auto" w:fill="auto"/>
          </w:tcPr>
          <w:p w:rsidR="00A5757C" w:rsidRDefault="00A5757C" w:rsidP="00044D07">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15 August 2016 – email report to SEMT (verbal update given at 8</w:t>
            </w:r>
            <w:r w:rsidRPr="00A5757C">
              <w:rPr>
                <w:rFonts w:asciiTheme="minorHAnsi" w:eastAsiaTheme="minorHAnsi" w:hAnsiTheme="minorHAnsi" w:cstheme="minorHAnsi"/>
                <w:vertAlign w:val="superscript"/>
                <w:lang w:eastAsia="en-US"/>
              </w:rPr>
              <w:t>th</w:t>
            </w:r>
            <w:r>
              <w:rPr>
                <w:rFonts w:asciiTheme="minorHAnsi" w:eastAsiaTheme="minorHAnsi" w:hAnsiTheme="minorHAnsi" w:cstheme="minorHAnsi"/>
                <w:lang w:eastAsia="en-US"/>
              </w:rPr>
              <w:t xml:space="preserve"> August).</w:t>
            </w:r>
            <w:r w:rsidR="007F458D" w:rsidRPr="00A5757C">
              <w:rPr>
                <w:rFonts w:asciiTheme="minorHAnsi" w:eastAsiaTheme="minorHAnsi" w:hAnsiTheme="minorHAnsi" w:cstheme="minorHAnsi"/>
                <w:lang w:eastAsia="en-US"/>
              </w:rPr>
              <w:t xml:space="preserve"> </w:t>
            </w:r>
          </w:p>
          <w:p w:rsidR="007F458D" w:rsidRPr="00A5757C" w:rsidRDefault="00A5757C" w:rsidP="00044D07">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30 August 2016 - </w:t>
            </w:r>
            <w:r w:rsidR="007F458D" w:rsidRPr="00A5757C">
              <w:rPr>
                <w:rFonts w:asciiTheme="minorHAnsi" w:eastAsiaTheme="minorHAnsi" w:hAnsiTheme="minorHAnsi" w:cstheme="minorHAnsi"/>
                <w:lang w:eastAsia="en-US"/>
              </w:rPr>
              <w:t xml:space="preserve">written report to </w:t>
            </w:r>
            <w:r w:rsidR="00861399" w:rsidRPr="00A5757C">
              <w:rPr>
                <w:rFonts w:asciiTheme="minorHAnsi" w:eastAsiaTheme="minorHAnsi" w:hAnsiTheme="minorHAnsi" w:cstheme="minorHAnsi"/>
                <w:lang w:eastAsia="en-US"/>
              </w:rPr>
              <w:t>S</w:t>
            </w:r>
            <w:r w:rsidR="007F458D" w:rsidRPr="00A5757C">
              <w:rPr>
                <w:rFonts w:asciiTheme="minorHAnsi" w:eastAsiaTheme="minorHAnsi" w:hAnsiTheme="minorHAnsi" w:cstheme="minorHAnsi"/>
                <w:lang w:eastAsia="en-US"/>
              </w:rPr>
              <w:t>EMT</w:t>
            </w:r>
          </w:p>
          <w:p w:rsidR="00861399" w:rsidRPr="00A5757C" w:rsidRDefault="00A5757C" w:rsidP="00044D07">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7 September 2016- </w:t>
            </w:r>
            <w:r w:rsidR="00861399" w:rsidRPr="00A5757C">
              <w:rPr>
                <w:rFonts w:asciiTheme="minorHAnsi" w:eastAsiaTheme="minorHAnsi" w:hAnsiTheme="minorHAnsi" w:cstheme="minorHAnsi"/>
                <w:lang w:eastAsia="en-US"/>
              </w:rPr>
              <w:t xml:space="preserve"> written report to EMT</w:t>
            </w:r>
            <w:bookmarkStart w:id="0" w:name="_GoBack"/>
            <w:bookmarkEnd w:id="0"/>
          </w:p>
          <w:p w:rsidR="006C6D07" w:rsidRPr="00A5757C" w:rsidRDefault="00A5757C" w:rsidP="00861399">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21 September 2016</w:t>
            </w:r>
            <w:r w:rsidR="006C6D07" w:rsidRPr="00A5757C">
              <w:rPr>
                <w:rFonts w:asciiTheme="minorHAnsi" w:eastAsiaTheme="minorHAnsi" w:hAnsiTheme="minorHAnsi" w:cstheme="minorHAnsi"/>
                <w:lang w:eastAsia="en-US"/>
              </w:rPr>
              <w:t xml:space="preserve"> – written report to Board</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Title of Paper</w:t>
            </w:r>
            <w:r>
              <w:rPr>
                <w:rFonts w:asciiTheme="minorHAnsi" w:eastAsiaTheme="minorHAnsi" w:hAnsiTheme="minorHAnsi" w:cstheme="minorHAnsi"/>
                <w:b/>
                <w:lang w:eastAsia="en-US"/>
              </w:rPr>
              <w:t>:</w:t>
            </w:r>
          </w:p>
        </w:tc>
        <w:tc>
          <w:tcPr>
            <w:tcW w:w="6320" w:type="dxa"/>
          </w:tcPr>
          <w:p w:rsidR="00613941" w:rsidRPr="007B0F30" w:rsidRDefault="00DF3EE3" w:rsidP="00BC7822">
            <w:pPr>
              <w:spacing w:after="200" w:line="276" w:lineRule="auto"/>
              <w:rPr>
                <w:rFonts w:asciiTheme="minorHAnsi" w:hAnsiTheme="minorHAnsi" w:cstheme="minorHAnsi"/>
              </w:rPr>
            </w:pPr>
            <w:r w:rsidRPr="00DF3EE3">
              <w:rPr>
                <w:rFonts w:asciiTheme="minorHAnsi" w:hAnsiTheme="minorHAnsi" w:cstheme="minorHAnsi"/>
              </w:rPr>
              <w:t xml:space="preserve">Financial </w:t>
            </w:r>
            <w:r w:rsidR="00AD76CF">
              <w:rPr>
                <w:rFonts w:asciiTheme="minorHAnsi" w:hAnsiTheme="minorHAnsi" w:cstheme="minorHAnsi"/>
              </w:rPr>
              <w:t xml:space="preserve">report </w:t>
            </w:r>
            <w:r w:rsidR="0060431A">
              <w:rPr>
                <w:rFonts w:asciiTheme="minorHAnsi" w:hAnsiTheme="minorHAnsi" w:cstheme="minorHAnsi"/>
              </w:rPr>
              <w:t xml:space="preserve"> - July</w:t>
            </w:r>
            <w:r w:rsidR="00B603BD">
              <w:rPr>
                <w:rFonts w:asciiTheme="minorHAnsi" w:hAnsiTheme="minorHAnsi" w:cstheme="minorHAnsi"/>
              </w:rPr>
              <w:t xml:space="preserve"> </w:t>
            </w:r>
            <w:r w:rsidR="00D428E3">
              <w:rPr>
                <w:rFonts w:asciiTheme="minorHAnsi" w:hAnsiTheme="minorHAnsi" w:cstheme="minorHAnsi"/>
              </w:rPr>
              <w:t>2016</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Purpose of Paper:</w:t>
            </w:r>
          </w:p>
        </w:tc>
        <w:tc>
          <w:tcPr>
            <w:tcW w:w="6320" w:type="dxa"/>
          </w:tcPr>
          <w:p w:rsidR="0025092F" w:rsidRPr="00DF3EE3" w:rsidRDefault="00DF3EE3" w:rsidP="00DC0E07">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 report on the financial position of the Authority </w:t>
            </w:r>
            <w:r w:rsidR="0060431A">
              <w:rPr>
                <w:rFonts w:asciiTheme="minorHAnsi" w:eastAsiaTheme="minorHAnsi" w:hAnsiTheme="minorHAnsi" w:cstheme="minorHAnsi"/>
                <w:lang w:eastAsia="en-US"/>
              </w:rPr>
              <w:t>as at the 31st July</w:t>
            </w:r>
            <w:r w:rsidR="00643FCA">
              <w:rPr>
                <w:rFonts w:asciiTheme="minorHAnsi" w:eastAsiaTheme="minorHAnsi" w:hAnsiTheme="minorHAnsi" w:cstheme="minorHAnsi"/>
                <w:lang w:eastAsia="en-US"/>
              </w:rPr>
              <w:t xml:space="preserve"> 2016</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Reason for Submission:</w:t>
            </w:r>
          </w:p>
        </w:tc>
        <w:tc>
          <w:tcPr>
            <w:tcW w:w="6320" w:type="dxa"/>
          </w:tcPr>
          <w:p w:rsidR="00BB2B8A" w:rsidRPr="00DF3EE3" w:rsidRDefault="00DF3EE3" w:rsidP="00861399">
            <w:pPr>
              <w:spacing w:after="200" w:line="276" w:lineRule="auto"/>
              <w:rPr>
                <w:rFonts w:asciiTheme="minorHAnsi" w:eastAsiaTheme="minorHAnsi" w:hAnsiTheme="minorHAnsi" w:cstheme="minorHAnsi"/>
                <w:lang w:eastAsia="en-US"/>
              </w:rPr>
            </w:pPr>
            <w:r w:rsidRPr="00DF3EE3">
              <w:rPr>
                <w:rFonts w:asciiTheme="minorHAnsi" w:eastAsiaTheme="minorHAnsi" w:hAnsiTheme="minorHAnsi" w:cstheme="minorHAnsi"/>
                <w:lang w:eastAsia="en-US"/>
              </w:rPr>
              <w:t xml:space="preserve">To ensure the </w:t>
            </w:r>
            <w:r w:rsidR="007F458D">
              <w:rPr>
                <w:rFonts w:asciiTheme="minorHAnsi" w:eastAsiaTheme="minorHAnsi" w:hAnsiTheme="minorHAnsi" w:cstheme="minorHAnsi"/>
                <w:lang w:eastAsia="en-US"/>
              </w:rPr>
              <w:t>SEMT</w:t>
            </w:r>
            <w:r w:rsidR="00861399">
              <w:rPr>
                <w:rFonts w:asciiTheme="minorHAnsi" w:eastAsiaTheme="minorHAnsi" w:hAnsiTheme="minorHAnsi" w:cstheme="minorHAnsi"/>
                <w:lang w:eastAsia="en-US"/>
              </w:rPr>
              <w:t>, EMT</w:t>
            </w:r>
            <w:r w:rsidR="005E5369">
              <w:rPr>
                <w:rFonts w:asciiTheme="minorHAnsi" w:eastAsiaTheme="minorHAnsi" w:hAnsiTheme="minorHAnsi" w:cstheme="minorHAnsi"/>
                <w:lang w:eastAsia="en-US"/>
              </w:rPr>
              <w:t xml:space="preserve"> </w:t>
            </w:r>
            <w:r w:rsidR="00AD76CF">
              <w:rPr>
                <w:rFonts w:asciiTheme="minorHAnsi" w:eastAsiaTheme="minorHAnsi" w:hAnsiTheme="minorHAnsi" w:cstheme="minorHAnsi"/>
                <w:lang w:eastAsia="en-US"/>
              </w:rPr>
              <w:t xml:space="preserve">and the Board, </w:t>
            </w:r>
            <w:r w:rsidRPr="00DF3EE3">
              <w:rPr>
                <w:rFonts w:asciiTheme="minorHAnsi" w:eastAsiaTheme="minorHAnsi" w:hAnsiTheme="minorHAnsi" w:cstheme="minorHAnsi"/>
                <w:lang w:eastAsia="en-US"/>
              </w:rPr>
              <w:t xml:space="preserve">are aware of the </w:t>
            </w:r>
            <w:r w:rsidR="00615A53">
              <w:rPr>
                <w:rFonts w:asciiTheme="minorHAnsi" w:eastAsiaTheme="minorHAnsi" w:hAnsiTheme="minorHAnsi" w:cstheme="minorHAnsi"/>
                <w:lang w:eastAsia="en-US"/>
              </w:rPr>
              <w:t xml:space="preserve">financial position </w:t>
            </w:r>
            <w:r w:rsidR="00BE168E">
              <w:rPr>
                <w:rFonts w:asciiTheme="minorHAnsi" w:eastAsiaTheme="minorHAnsi" w:hAnsiTheme="minorHAnsi" w:cstheme="minorHAnsi"/>
                <w:lang w:eastAsia="en-US"/>
              </w:rPr>
              <w:t xml:space="preserve">of the HRA as </w:t>
            </w:r>
            <w:r w:rsidR="009413A8">
              <w:rPr>
                <w:rFonts w:asciiTheme="minorHAnsi" w:eastAsiaTheme="minorHAnsi" w:hAnsiTheme="minorHAnsi" w:cstheme="minorHAnsi"/>
                <w:lang w:eastAsia="en-US"/>
              </w:rPr>
              <w:t xml:space="preserve">at the end of </w:t>
            </w:r>
            <w:r w:rsidR="0060431A">
              <w:rPr>
                <w:rFonts w:asciiTheme="minorHAnsi" w:eastAsiaTheme="minorHAnsi" w:hAnsiTheme="minorHAnsi" w:cstheme="minorHAnsi"/>
                <w:lang w:eastAsia="en-US"/>
              </w:rPr>
              <w:t>July</w:t>
            </w:r>
            <w:r w:rsidR="00D428E3">
              <w:rPr>
                <w:rFonts w:asciiTheme="minorHAnsi" w:eastAsiaTheme="minorHAnsi" w:hAnsiTheme="minorHAnsi" w:cstheme="minorHAnsi"/>
                <w:lang w:eastAsia="en-US"/>
              </w:rPr>
              <w:t xml:space="preserve"> 2016</w:t>
            </w:r>
            <w:r w:rsidR="00643FCA">
              <w:rPr>
                <w:rFonts w:asciiTheme="minorHAnsi" w:eastAsiaTheme="minorHAnsi" w:hAnsiTheme="minorHAnsi" w:cstheme="minorHAnsi"/>
                <w:lang w:eastAsia="en-US"/>
              </w:rPr>
              <w:t>.</w:t>
            </w:r>
            <w:r w:rsidR="00615A53">
              <w:rPr>
                <w:rFonts w:asciiTheme="minorHAnsi" w:eastAsiaTheme="minorHAnsi" w:hAnsiTheme="minorHAnsi" w:cstheme="minorHAnsi"/>
                <w:lang w:eastAsia="en-US"/>
              </w:rPr>
              <w:t xml:space="preserve"> </w:t>
            </w:r>
          </w:p>
        </w:tc>
      </w:tr>
      <w:tr w:rsidR="00EB22E9" w:rsidRPr="00AD22E4" w:rsidTr="00DF3EE3">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Lead Reviewer:</w:t>
            </w:r>
          </w:p>
        </w:tc>
        <w:tc>
          <w:tcPr>
            <w:tcW w:w="6320" w:type="dxa"/>
          </w:tcPr>
          <w:p w:rsidR="00EB22E9" w:rsidRDefault="00EB22E9" w:rsidP="00861399">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Tom Smith, Director of </w:t>
            </w:r>
            <w:r w:rsidR="009413A8">
              <w:rPr>
                <w:rFonts w:asciiTheme="minorHAnsi" w:eastAsiaTheme="minorHAnsi" w:hAnsiTheme="minorHAnsi" w:cstheme="minorHAnsi"/>
                <w:lang w:eastAsia="en-US"/>
              </w:rPr>
              <w:t>Guidance and Learning</w:t>
            </w:r>
            <w:r w:rsidR="00BC7822">
              <w:rPr>
                <w:rFonts w:asciiTheme="minorHAnsi" w:eastAsiaTheme="minorHAnsi" w:hAnsiTheme="minorHAnsi" w:cstheme="minorHAnsi"/>
                <w:lang w:eastAsia="en-US"/>
              </w:rPr>
              <w:t xml:space="preserve"> </w:t>
            </w:r>
            <w:r w:rsidR="00D428E3">
              <w:rPr>
                <w:rFonts w:asciiTheme="minorHAnsi" w:eastAsiaTheme="minorHAnsi" w:hAnsiTheme="minorHAnsi" w:cstheme="minorHAnsi"/>
                <w:lang w:eastAsia="en-US"/>
              </w:rPr>
              <w:t xml:space="preserve"> - </w:t>
            </w:r>
            <w:r w:rsidR="0022372A">
              <w:rPr>
                <w:rFonts w:asciiTheme="minorHAnsi" w:eastAsiaTheme="minorHAnsi" w:hAnsiTheme="minorHAnsi" w:cstheme="minorHAnsi"/>
                <w:lang w:eastAsia="en-US"/>
              </w:rPr>
              <w:t>16 August 2016</w:t>
            </w:r>
          </w:p>
        </w:tc>
      </w:tr>
      <w:tr w:rsidR="00DF3EE3" w:rsidRPr="00AD22E4"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Details:</w:t>
            </w:r>
          </w:p>
        </w:tc>
        <w:tc>
          <w:tcPr>
            <w:tcW w:w="6320" w:type="dxa"/>
          </w:tcPr>
          <w:p w:rsidR="00D62F91" w:rsidRDefault="00AD76CF"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This paper present</w:t>
            </w:r>
            <w:r w:rsidR="003179D5">
              <w:rPr>
                <w:rFonts w:asciiTheme="minorHAnsi" w:eastAsiaTheme="minorHAnsi" w:hAnsiTheme="minorHAnsi" w:cstheme="minorHAnsi"/>
                <w:lang w:eastAsia="en-US"/>
              </w:rPr>
              <w:t>s the financi</w:t>
            </w:r>
            <w:r w:rsidR="001516FA">
              <w:rPr>
                <w:rFonts w:asciiTheme="minorHAnsi" w:eastAsiaTheme="minorHAnsi" w:hAnsiTheme="minorHAnsi" w:cstheme="minorHAnsi"/>
                <w:lang w:eastAsia="en-US"/>
              </w:rPr>
              <w:t>a</w:t>
            </w:r>
            <w:r w:rsidR="00E6420E">
              <w:rPr>
                <w:rFonts w:asciiTheme="minorHAnsi" w:eastAsiaTheme="minorHAnsi" w:hAnsiTheme="minorHAnsi" w:cstheme="minorHAnsi"/>
                <w:lang w:eastAsia="en-US"/>
              </w:rPr>
              <w:t xml:space="preserve">l </w:t>
            </w:r>
            <w:r w:rsidR="00646BC4">
              <w:rPr>
                <w:rFonts w:asciiTheme="minorHAnsi" w:eastAsiaTheme="minorHAnsi" w:hAnsiTheme="minorHAnsi" w:cstheme="minorHAnsi"/>
                <w:lang w:eastAsia="en-US"/>
              </w:rPr>
              <w:t>pos</w:t>
            </w:r>
            <w:r w:rsidR="0060431A">
              <w:rPr>
                <w:rFonts w:asciiTheme="minorHAnsi" w:eastAsiaTheme="minorHAnsi" w:hAnsiTheme="minorHAnsi" w:cstheme="minorHAnsi"/>
                <w:lang w:eastAsia="en-US"/>
              </w:rPr>
              <w:t>ition as at the end of July</w:t>
            </w:r>
            <w:r w:rsidR="00D428E3">
              <w:rPr>
                <w:rFonts w:asciiTheme="minorHAnsi" w:eastAsiaTheme="minorHAnsi" w:hAnsiTheme="minorHAnsi" w:cstheme="minorHAnsi"/>
                <w:lang w:eastAsia="en-US"/>
              </w:rPr>
              <w:t xml:space="preserve"> 2016</w:t>
            </w:r>
            <w:r w:rsidR="003449ED" w:rsidRPr="00850AB1">
              <w:rPr>
                <w:rFonts w:asciiTheme="minorHAnsi" w:eastAsiaTheme="minorHAnsi" w:hAnsiTheme="minorHAnsi" w:cstheme="minorHAnsi"/>
                <w:lang w:eastAsia="en-US"/>
              </w:rPr>
              <w:t xml:space="preserve">. </w:t>
            </w:r>
            <w:r w:rsidR="006B421B" w:rsidRPr="00850AB1">
              <w:rPr>
                <w:rFonts w:asciiTheme="minorHAnsi" w:eastAsiaTheme="minorHAnsi" w:hAnsiTheme="minorHAnsi" w:cstheme="minorHAnsi"/>
                <w:lang w:eastAsia="en-US"/>
              </w:rPr>
              <w:t xml:space="preserve">  </w:t>
            </w:r>
            <w:r w:rsidR="00171C23">
              <w:rPr>
                <w:rFonts w:asciiTheme="minorHAnsi" w:eastAsiaTheme="minorHAnsi" w:hAnsiTheme="minorHAnsi" w:cstheme="minorHAnsi"/>
                <w:lang w:eastAsia="en-US"/>
              </w:rPr>
              <w:t xml:space="preserve">  </w:t>
            </w:r>
          </w:p>
          <w:p w:rsidR="00706F89" w:rsidRDefault="00706F89"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Main points to note:</w:t>
            </w:r>
          </w:p>
          <w:p w:rsidR="00172DD0" w:rsidRPr="00DD6AFF" w:rsidRDefault="00172DD0" w:rsidP="00706F89">
            <w:pPr>
              <w:pStyle w:val="ListParagraph"/>
              <w:numPr>
                <w:ilvl w:val="0"/>
                <w:numId w:val="24"/>
              </w:numPr>
              <w:spacing w:after="200" w:line="276" w:lineRule="auto"/>
              <w:rPr>
                <w:rFonts w:asciiTheme="minorHAnsi" w:eastAsiaTheme="minorHAnsi" w:hAnsiTheme="minorHAnsi" w:cstheme="minorHAnsi"/>
                <w:lang w:eastAsia="en-US"/>
              </w:rPr>
            </w:pPr>
            <w:r w:rsidRPr="00DD6AFF">
              <w:rPr>
                <w:rFonts w:asciiTheme="minorHAnsi" w:eastAsiaTheme="minorHAnsi" w:hAnsiTheme="minorHAnsi" w:cstheme="minorHAnsi"/>
                <w:lang w:eastAsia="en-US"/>
              </w:rPr>
              <w:t xml:space="preserve">The HRA </w:t>
            </w:r>
            <w:r w:rsidR="00A5757C">
              <w:rPr>
                <w:rFonts w:asciiTheme="minorHAnsi" w:eastAsiaTheme="minorHAnsi" w:hAnsiTheme="minorHAnsi" w:cstheme="minorHAnsi"/>
                <w:lang w:eastAsia="en-US"/>
              </w:rPr>
              <w:t xml:space="preserve">moved to </w:t>
            </w:r>
            <w:r w:rsidR="00DD6AFF">
              <w:rPr>
                <w:rFonts w:asciiTheme="minorHAnsi" w:eastAsiaTheme="minorHAnsi" w:hAnsiTheme="minorHAnsi" w:cstheme="minorHAnsi"/>
                <w:lang w:eastAsia="en-US"/>
              </w:rPr>
              <w:t>a</w:t>
            </w:r>
            <w:r w:rsidR="0022372A">
              <w:rPr>
                <w:rFonts w:asciiTheme="minorHAnsi" w:eastAsiaTheme="minorHAnsi" w:hAnsiTheme="minorHAnsi" w:cstheme="minorHAnsi"/>
                <w:lang w:eastAsia="en-US"/>
              </w:rPr>
              <w:t xml:space="preserve">n underspend </w:t>
            </w:r>
            <w:r w:rsidR="0009591A">
              <w:rPr>
                <w:rFonts w:asciiTheme="minorHAnsi" w:eastAsiaTheme="minorHAnsi" w:hAnsiTheme="minorHAnsi" w:cstheme="minorHAnsi"/>
                <w:lang w:eastAsia="en-US"/>
              </w:rPr>
              <w:t>p</w:t>
            </w:r>
            <w:r w:rsidR="00DC0E07">
              <w:rPr>
                <w:rFonts w:asciiTheme="minorHAnsi" w:eastAsiaTheme="minorHAnsi" w:hAnsiTheme="minorHAnsi" w:cstheme="minorHAnsi"/>
                <w:lang w:eastAsia="en-US"/>
              </w:rPr>
              <w:t xml:space="preserve">osition </w:t>
            </w:r>
            <w:r w:rsidR="0022372A">
              <w:rPr>
                <w:rFonts w:asciiTheme="minorHAnsi" w:eastAsiaTheme="minorHAnsi" w:hAnsiTheme="minorHAnsi" w:cstheme="minorHAnsi"/>
                <w:lang w:eastAsia="en-US"/>
              </w:rPr>
              <w:t>of £35k as at the end of July</w:t>
            </w:r>
            <w:r w:rsidR="00DC0E07">
              <w:rPr>
                <w:rFonts w:asciiTheme="minorHAnsi" w:eastAsiaTheme="minorHAnsi" w:hAnsiTheme="minorHAnsi" w:cstheme="minorHAnsi"/>
                <w:lang w:eastAsia="en-US"/>
              </w:rPr>
              <w:t xml:space="preserve"> </w:t>
            </w:r>
            <w:r w:rsidR="00DD6AFF">
              <w:rPr>
                <w:rFonts w:asciiTheme="minorHAnsi" w:eastAsiaTheme="minorHAnsi" w:hAnsiTheme="minorHAnsi" w:cstheme="minorHAnsi"/>
                <w:lang w:eastAsia="en-US"/>
              </w:rPr>
              <w:t>2016</w:t>
            </w:r>
            <w:r w:rsidR="00DC0E07">
              <w:rPr>
                <w:rFonts w:asciiTheme="minorHAnsi" w:eastAsiaTheme="minorHAnsi" w:hAnsiTheme="minorHAnsi" w:cstheme="minorHAnsi"/>
                <w:lang w:eastAsia="en-US"/>
              </w:rPr>
              <w:t xml:space="preserve"> </w:t>
            </w:r>
            <w:proofErr w:type="gramStart"/>
            <w:r w:rsidR="00DC0E07">
              <w:rPr>
                <w:rFonts w:asciiTheme="minorHAnsi" w:eastAsiaTheme="minorHAnsi" w:hAnsiTheme="minorHAnsi" w:cstheme="minorHAnsi"/>
                <w:lang w:eastAsia="en-US"/>
              </w:rPr>
              <w:t>( position</w:t>
            </w:r>
            <w:proofErr w:type="gramEnd"/>
            <w:r w:rsidR="00DC0E07">
              <w:rPr>
                <w:rFonts w:asciiTheme="minorHAnsi" w:eastAsiaTheme="minorHAnsi" w:hAnsiTheme="minorHAnsi" w:cstheme="minorHAnsi"/>
                <w:lang w:eastAsia="en-US"/>
              </w:rPr>
              <w:t xml:space="preserve"> at </w:t>
            </w:r>
            <w:r w:rsidR="0022372A">
              <w:rPr>
                <w:rFonts w:asciiTheme="minorHAnsi" w:eastAsiaTheme="minorHAnsi" w:hAnsiTheme="minorHAnsi" w:cstheme="minorHAnsi"/>
                <w:lang w:eastAsia="en-US"/>
              </w:rPr>
              <w:t>end of June</w:t>
            </w:r>
            <w:r w:rsidR="00DC0E07">
              <w:rPr>
                <w:rFonts w:asciiTheme="minorHAnsi" w:eastAsiaTheme="minorHAnsi" w:hAnsiTheme="minorHAnsi" w:cstheme="minorHAnsi"/>
                <w:lang w:eastAsia="en-US"/>
              </w:rPr>
              <w:t xml:space="preserve"> broadly </w:t>
            </w:r>
            <w:proofErr w:type="spellStart"/>
            <w:r w:rsidR="00DC0E07">
              <w:rPr>
                <w:rFonts w:asciiTheme="minorHAnsi" w:eastAsiaTheme="minorHAnsi" w:hAnsiTheme="minorHAnsi" w:cstheme="minorHAnsi"/>
                <w:lang w:eastAsia="en-US"/>
              </w:rPr>
              <w:t>break even</w:t>
            </w:r>
            <w:proofErr w:type="spellEnd"/>
            <w:r w:rsidR="00DC0E07">
              <w:rPr>
                <w:rFonts w:asciiTheme="minorHAnsi" w:eastAsiaTheme="minorHAnsi" w:hAnsiTheme="minorHAnsi" w:cstheme="minorHAnsi"/>
                <w:lang w:eastAsia="en-US"/>
              </w:rPr>
              <w:t>)</w:t>
            </w:r>
            <w:r w:rsidRPr="00DD6AFF">
              <w:rPr>
                <w:rFonts w:asciiTheme="minorHAnsi" w:eastAsiaTheme="minorHAnsi" w:hAnsiTheme="minorHAnsi" w:cstheme="minorHAnsi"/>
                <w:lang w:eastAsia="en-US"/>
              </w:rPr>
              <w:t xml:space="preserve">. </w:t>
            </w:r>
          </w:p>
          <w:p w:rsidR="00172DD0" w:rsidRDefault="0022372A" w:rsidP="00172DD0">
            <w:pPr>
              <w:pStyle w:val="ListParagraph"/>
              <w:numPr>
                <w:ilvl w:val="0"/>
                <w:numId w:val="24"/>
              </w:numPr>
              <w:rPr>
                <w:rFonts w:asciiTheme="minorHAnsi" w:eastAsiaTheme="minorHAnsi" w:hAnsiTheme="minorHAnsi" w:cstheme="minorHAnsi"/>
                <w:lang w:eastAsia="en-US"/>
              </w:rPr>
            </w:pPr>
            <w:r>
              <w:rPr>
                <w:rFonts w:asciiTheme="minorHAnsi" w:eastAsiaTheme="minorHAnsi" w:hAnsiTheme="minorHAnsi" w:cstheme="minorHAnsi"/>
                <w:lang w:eastAsia="en-US"/>
              </w:rPr>
              <w:t>An under spend on pay of £86</w:t>
            </w:r>
            <w:r w:rsidR="00DD6AFF">
              <w:rPr>
                <w:rFonts w:asciiTheme="minorHAnsi" w:eastAsiaTheme="minorHAnsi" w:hAnsiTheme="minorHAnsi" w:cstheme="minorHAnsi"/>
                <w:lang w:eastAsia="en-US"/>
              </w:rPr>
              <w:t>k was offset by</w:t>
            </w:r>
            <w:r>
              <w:rPr>
                <w:rFonts w:asciiTheme="minorHAnsi" w:eastAsiaTheme="minorHAnsi" w:hAnsiTheme="minorHAnsi" w:cstheme="minorHAnsi"/>
                <w:lang w:eastAsia="en-US"/>
              </w:rPr>
              <w:t xml:space="preserve"> an over spend on </w:t>
            </w:r>
            <w:proofErr w:type="spellStart"/>
            <w:r>
              <w:rPr>
                <w:rFonts w:asciiTheme="minorHAnsi" w:eastAsiaTheme="minorHAnsi" w:hAnsiTheme="minorHAnsi" w:cstheme="minorHAnsi"/>
                <w:lang w:eastAsia="en-US"/>
              </w:rPr>
              <w:t>non pay</w:t>
            </w:r>
            <w:proofErr w:type="spellEnd"/>
            <w:r>
              <w:rPr>
                <w:rFonts w:asciiTheme="minorHAnsi" w:eastAsiaTheme="minorHAnsi" w:hAnsiTheme="minorHAnsi" w:cstheme="minorHAnsi"/>
                <w:lang w:eastAsia="en-US"/>
              </w:rPr>
              <w:t xml:space="preserve"> of £51</w:t>
            </w:r>
            <w:r w:rsidR="00DD6AFF">
              <w:rPr>
                <w:rFonts w:asciiTheme="minorHAnsi" w:eastAsiaTheme="minorHAnsi" w:hAnsiTheme="minorHAnsi" w:cstheme="minorHAnsi"/>
                <w:lang w:eastAsia="en-US"/>
              </w:rPr>
              <w:t xml:space="preserve">k. </w:t>
            </w:r>
          </w:p>
          <w:p w:rsidR="000E2B98" w:rsidRDefault="000E2B98" w:rsidP="00172DD0">
            <w:pPr>
              <w:pStyle w:val="ListParagraph"/>
              <w:numPr>
                <w:ilvl w:val="0"/>
                <w:numId w:val="24"/>
              </w:numPr>
              <w:rPr>
                <w:rFonts w:asciiTheme="minorHAnsi" w:eastAsiaTheme="minorHAnsi" w:hAnsiTheme="minorHAnsi" w:cstheme="minorHAnsi"/>
                <w:lang w:eastAsia="en-US"/>
              </w:rPr>
            </w:pPr>
            <w:r>
              <w:rPr>
                <w:rFonts w:asciiTheme="minorHAnsi" w:eastAsiaTheme="minorHAnsi" w:hAnsiTheme="minorHAnsi" w:cstheme="minorHAnsi"/>
                <w:lang w:eastAsia="en-US"/>
              </w:rPr>
              <w:t>The position includes an unbudgeted charge for the disposal of the Video conferencing equipment (£18.5k) and includes the costs of the archiving project (£70k)</w:t>
            </w:r>
            <w:r w:rsidR="00861399">
              <w:rPr>
                <w:rFonts w:asciiTheme="minorHAnsi" w:eastAsiaTheme="minorHAnsi" w:hAnsiTheme="minorHAnsi" w:cstheme="minorHAnsi"/>
                <w:lang w:eastAsia="en-US"/>
              </w:rPr>
              <w:t xml:space="preserve"> which unexpectedly </w:t>
            </w:r>
            <w:r w:rsidR="00A5757C">
              <w:rPr>
                <w:rFonts w:asciiTheme="minorHAnsi" w:eastAsiaTheme="minorHAnsi" w:hAnsiTheme="minorHAnsi" w:cstheme="minorHAnsi"/>
                <w:lang w:eastAsia="en-US"/>
              </w:rPr>
              <w:t xml:space="preserve">over </w:t>
            </w:r>
            <w:r w:rsidR="00861399">
              <w:rPr>
                <w:rFonts w:asciiTheme="minorHAnsi" w:eastAsiaTheme="minorHAnsi" w:hAnsiTheme="minorHAnsi" w:cstheme="minorHAnsi"/>
                <w:lang w:eastAsia="en-US"/>
              </w:rPr>
              <w:t>ran into 2016/17.</w:t>
            </w:r>
          </w:p>
          <w:p w:rsidR="00DD6AFF" w:rsidRPr="00976C78" w:rsidRDefault="00DD6AFF" w:rsidP="00DD6AFF">
            <w:pPr>
              <w:pStyle w:val="ListParagraph"/>
              <w:numPr>
                <w:ilvl w:val="0"/>
                <w:numId w:val="24"/>
              </w:numPr>
              <w:rPr>
                <w:rFonts w:asciiTheme="minorHAnsi" w:eastAsiaTheme="minorHAnsi" w:hAnsiTheme="minorHAnsi" w:cstheme="minorHAnsi"/>
                <w:lang w:eastAsia="en-US"/>
              </w:rPr>
            </w:pPr>
            <w:r w:rsidRPr="00976C78">
              <w:rPr>
                <w:rFonts w:asciiTheme="minorHAnsi" w:eastAsiaTheme="minorHAnsi" w:hAnsiTheme="minorHAnsi" w:cstheme="minorHAnsi"/>
                <w:lang w:eastAsia="en-US"/>
              </w:rPr>
              <w:t>The HRA has continued to meet the duty to pay 95% of invoices in 30 days achieving 97% based on number of invoices, and achieved the targe</w:t>
            </w:r>
            <w:r w:rsidR="0060431A">
              <w:rPr>
                <w:rFonts w:asciiTheme="minorHAnsi" w:eastAsiaTheme="minorHAnsi" w:hAnsiTheme="minorHAnsi" w:cstheme="minorHAnsi"/>
                <w:lang w:eastAsia="en-US"/>
              </w:rPr>
              <w:t>t based on value by achieving 99</w:t>
            </w:r>
            <w:r w:rsidRPr="00976C78">
              <w:rPr>
                <w:rFonts w:asciiTheme="minorHAnsi" w:eastAsiaTheme="minorHAnsi" w:hAnsiTheme="minorHAnsi" w:cstheme="minorHAnsi"/>
                <w:lang w:eastAsia="en-US"/>
              </w:rPr>
              <w:t xml:space="preserve">%.  </w:t>
            </w:r>
          </w:p>
          <w:p w:rsidR="00652DA7" w:rsidRPr="009B0708" w:rsidRDefault="00E54475" w:rsidP="00FE3A8F">
            <w:pPr>
              <w:pStyle w:val="ListParagraph"/>
              <w:numPr>
                <w:ilvl w:val="0"/>
                <w:numId w:val="24"/>
              </w:numPr>
              <w:spacing w:after="200" w:line="276" w:lineRule="auto"/>
              <w:rPr>
                <w:rFonts w:asciiTheme="minorHAnsi" w:eastAsiaTheme="minorHAnsi" w:hAnsiTheme="minorHAnsi" w:cstheme="minorHAnsi"/>
                <w:lang w:eastAsia="en-US"/>
              </w:rPr>
            </w:pPr>
            <w:r w:rsidRPr="00DE6E33">
              <w:rPr>
                <w:rFonts w:asciiTheme="minorHAnsi" w:eastAsiaTheme="minorHAnsi" w:hAnsiTheme="minorHAnsi" w:cstheme="minorHAnsi"/>
                <w:lang w:eastAsia="en-US"/>
              </w:rPr>
              <w:t>The capi</w:t>
            </w:r>
            <w:r w:rsidR="00996BCF" w:rsidRPr="00DE6E33">
              <w:rPr>
                <w:rFonts w:asciiTheme="minorHAnsi" w:eastAsiaTheme="minorHAnsi" w:hAnsiTheme="minorHAnsi" w:cstheme="minorHAnsi"/>
                <w:lang w:eastAsia="en-US"/>
              </w:rPr>
              <w:t xml:space="preserve">tal </w:t>
            </w:r>
            <w:r w:rsidR="003914C4" w:rsidRPr="00DE6E33">
              <w:rPr>
                <w:rFonts w:asciiTheme="minorHAnsi" w:eastAsiaTheme="minorHAnsi" w:hAnsiTheme="minorHAnsi" w:cstheme="minorHAnsi"/>
                <w:lang w:eastAsia="en-US"/>
              </w:rPr>
              <w:t xml:space="preserve">position is reporting a slight underspend </w:t>
            </w:r>
            <w:r w:rsidR="00DE6E33" w:rsidRPr="00DE6E33">
              <w:rPr>
                <w:rFonts w:asciiTheme="minorHAnsi" w:eastAsiaTheme="minorHAnsi" w:hAnsiTheme="minorHAnsi" w:cstheme="minorHAnsi"/>
                <w:lang w:eastAsia="en-US"/>
              </w:rPr>
              <w:t xml:space="preserve">of </w:t>
            </w:r>
            <w:r w:rsidR="00DE6E33" w:rsidRPr="00DE6E33">
              <w:rPr>
                <w:rFonts w:asciiTheme="minorHAnsi" w:eastAsiaTheme="minorHAnsi" w:hAnsiTheme="minorHAnsi" w:cstheme="minorHAnsi"/>
                <w:lang w:eastAsia="en-US"/>
              </w:rPr>
              <w:lastRenderedPageBreak/>
              <w:t>£9</w:t>
            </w:r>
            <w:r w:rsidR="003914C4" w:rsidRPr="00DE6E33">
              <w:rPr>
                <w:rFonts w:asciiTheme="minorHAnsi" w:eastAsiaTheme="minorHAnsi" w:hAnsiTheme="minorHAnsi" w:cstheme="minorHAnsi"/>
                <w:lang w:eastAsia="en-US"/>
              </w:rPr>
              <w:t>k</w:t>
            </w:r>
            <w:r w:rsidR="000C1D47" w:rsidRPr="00DE6E33">
              <w:rPr>
                <w:rFonts w:asciiTheme="minorHAnsi" w:eastAsiaTheme="minorHAnsi" w:hAnsiTheme="minorHAnsi" w:cstheme="minorHAnsi"/>
                <w:lang w:eastAsia="en-US"/>
              </w:rPr>
              <w:t xml:space="preserve"> (position at end of</w:t>
            </w:r>
            <w:r w:rsidR="00DE6E33">
              <w:rPr>
                <w:rFonts w:asciiTheme="minorHAnsi" w:eastAsiaTheme="minorHAnsi" w:hAnsiTheme="minorHAnsi" w:cstheme="minorHAnsi"/>
                <w:lang w:eastAsia="en-US"/>
              </w:rPr>
              <w:t xml:space="preserve"> June £8</w:t>
            </w:r>
            <w:r w:rsidR="000C1D47">
              <w:rPr>
                <w:rFonts w:asciiTheme="minorHAnsi" w:eastAsiaTheme="minorHAnsi" w:hAnsiTheme="minorHAnsi" w:cstheme="minorHAnsi"/>
                <w:lang w:eastAsia="en-US"/>
              </w:rPr>
              <w:t>k underspent)</w:t>
            </w:r>
            <w:r w:rsidR="003914C4" w:rsidRPr="009B0708">
              <w:rPr>
                <w:rFonts w:asciiTheme="minorHAnsi" w:eastAsiaTheme="minorHAnsi" w:hAnsiTheme="minorHAnsi" w:cstheme="minorHAnsi"/>
                <w:lang w:eastAsia="en-US"/>
              </w:rPr>
              <w:t>, but furthe</w:t>
            </w:r>
            <w:r w:rsidR="00C24725" w:rsidRPr="009B0708">
              <w:rPr>
                <w:rFonts w:asciiTheme="minorHAnsi" w:eastAsiaTheme="minorHAnsi" w:hAnsiTheme="minorHAnsi" w:cstheme="minorHAnsi"/>
                <w:lang w:eastAsia="en-US"/>
              </w:rPr>
              <w:t xml:space="preserve">r work is required to </w:t>
            </w:r>
            <w:proofErr w:type="spellStart"/>
            <w:r w:rsidR="00C24725" w:rsidRPr="009B0708">
              <w:rPr>
                <w:rFonts w:asciiTheme="minorHAnsi" w:eastAsiaTheme="minorHAnsi" w:hAnsiTheme="minorHAnsi" w:cstheme="minorHAnsi"/>
                <w:lang w:eastAsia="en-US"/>
              </w:rPr>
              <w:t>finalise</w:t>
            </w:r>
            <w:proofErr w:type="spellEnd"/>
            <w:r w:rsidR="00C24725" w:rsidRPr="009B0708">
              <w:rPr>
                <w:rFonts w:asciiTheme="minorHAnsi" w:eastAsiaTheme="minorHAnsi" w:hAnsiTheme="minorHAnsi" w:cstheme="minorHAnsi"/>
                <w:lang w:eastAsia="en-US"/>
              </w:rPr>
              <w:t xml:space="preserve"> the year end forecast position and identify any potential surplus</w:t>
            </w:r>
            <w:r w:rsidR="005E5369" w:rsidRPr="009B0708">
              <w:rPr>
                <w:rFonts w:asciiTheme="minorHAnsi" w:eastAsiaTheme="minorHAnsi" w:hAnsiTheme="minorHAnsi" w:cstheme="minorHAnsi"/>
                <w:lang w:eastAsia="en-US"/>
              </w:rPr>
              <w:t>,</w:t>
            </w:r>
            <w:r w:rsidR="00C24725" w:rsidRPr="009B0708">
              <w:rPr>
                <w:rFonts w:asciiTheme="minorHAnsi" w:eastAsiaTheme="minorHAnsi" w:hAnsiTheme="minorHAnsi" w:cstheme="minorHAnsi"/>
                <w:lang w:eastAsia="en-US"/>
              </w:rPr>
              <w:t xml:space="preserve"> </w:t>
            </w:r>
            <w:r w:rsidR="005E5369" w:rsidRPr="009B0708">
              <w:rPr>
                <w:rFonts w:asciiTheme="minorHAnsi" w:eastAsiaTheme="minorHAnsi" w:hAnsiTheme="minorHAnsi" w:cstheme="minorHAnsi"/>
                <w:lang w:eastAsia="en-US"/>
              </w:rPr>
              <w:t xml:space="preserve">as a result of the reduced contract costs, which </w:t>
            </w:r>
            <w:r w:rsidR="00C24725" w:rsidRPr="009B0708">
              <w:rPr>
                <w:rFonts w:asciiTheme="minorHAnsi" w:eastAsiaTheme="minorHAnsi" w:hAnsiTheme="minorHAnsi" w:cstheme="minorHAnsi"/>
                <w:lang w:eastAsia="en-US"/>
              </w:rPr>
              <w:t>could be released for the wider system.</w:t>
            </w:r>
          </w:p>
          <w:p w:rsidR="00652DA7" w:rsidRPr="00985214" w:rsidRDefault="00652DA7" w:rsidP="001C63CB">
            <w:pPr>
              <w:pStyle w:val="ListParagraph"/>
              <w:numPr>
                <w:ilvl w:val="0"/>
                <w:numId w:val="24"/>
              </w:numPr>
              <w:spacing w:after="200" w:line="276" w:lineRule="auto"/>
              <w:rPr>
                <w:rFonts w:asciiTheme="minorHAnsi" w:eastAsiaTheme="minorHAnsi" w:hAnsiTheme="minorHAnsi" w:cstheme="minorHAnsi"/>
                <w:lang w:eastAsia="en-US"/>
              </w:rPr>
            </w:pPr>
            <w:r w:rsidRPr="00985214">
              <w:rPr>
                <w:rFonts w:asciiTheme="minorHAnsi" w:eastAsiaTheme="minorHAnsi" w:hAnsiTheme="minorHAnsi" w:cstheme="minorHAnsi"/>
                <w:lang w:eastAsia="en-US"/>
              </w:rPr>
              <w:t>The</w:t>
            </w:r>
            <w:r w:rsidR="003914C4" w:rsidRPr="00985214">
              <w:rPr>
                <w:rFonts w:asciiTheme="minorHAnsi" w:eastAsiaTheme="minorHAnsi" w:hAnsiTheme="minorHAnsi" w:cstheme="minorHAnsi"/>
                <w:lang w:eastAsia="en-US"/>
              </w:rPr>
              <w:t>re has been a reduction in the level of cash held from t</w:t>
            </w:r>
            <w:r w:rsidR="00DE6E33">
              <w:rPr>
                <w:rFonts w:asciiTheme="minorHAnsi" w:eastAsiaTheme="minorHAnsi" w:hAnsiTheme="minorHAnsi" w:cstheme="minorHAnsi"/>
                <w:lang w:eastAsia="en-US"/>
              </w:rPr>
              <w:t>he year end of £3.485m to £2.694</w:t>
            </w:r>
            <w:r w:rsidR="003914C4" w:rsidRPr="00985214">
              <w:rPr>
                <w:rFonts w:asciiTheme="minorHAnsi" w:eastAsiaTheme="minorHAnsi" w:hAnsiTheme="minorHAnsi" w:cstheme="minorHAnsi"/>
                <w:lang w:eastAsia="en-US"/>
              </w:rPr>
              <w:t>m</w:t>
            </w:r>
          </w:p>
          <w:p w:rsidR="002C0638" w:rsidRPr="00D62F91" w:rsidRDefault="00861399" w:rsidP="00861399">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The Department of Health has confirmed the</w:t>
            </w:r>
            <w:r w:rsidR="002C0638" w:rsidRPr="00861399">
              <w:rPr>
                <w:rFonts w:asciiTheme="minorHAnsi" w:eastAsiaTheme="minorHAnsi" w:hAnsiTheme="minorHAnsi" w:cstheme="minorHAnsi"/>
                <w:lang w:eastAsia="en-US"/>
              </w:rPr>
              <w:t xml:space="preserve"> budget for 2016/17 </w:t>
            </w:r>
            <w:r w:rsidR="00042A65" w:rsidRPr="00861399">
              <w:rPr>
                <w:rFonts w:asciiTheme="minorHAnsi" w:eastAsiaTheme="minorHAnsi" w:hAnsiTheme="minorHAnsi" w:cstheme="minorHAnsi"/>
                <w:lang w:eastAsia="en-US"/>
              </w:rPr>
              <w:t xml:space="preserve">in line with </w:t>
            </w:r>
            <w:r>
              <w:rPr>
                <w:rFonts w:asciiTheme="minorHAnsi" w:eastAsiaTheme="minorHAnsi" w:hAnsiTheme="minorHAnsi" w:cstheme="minorHAnsi"/>
                <w:lang w:eastAsia="en-US"/>
              </w:rPr>
              <w:t>the financial plan as expected</w:t>
            </w:r>
            <w:r w:rsidR="00DD6AFF" w:rsidRPr="00861399">
              <w:rPr>
                <w:rFonts w:asciiTheme="minorHAnsi" w:eastAsiaTheme="minorHAnsi" w:hAnsiTheme="minorHAnsi" w:cstheme="minorHAnsi"/>
                <w:lang w:eastAsia="en-US"/>
              </w:rPr>
              <w:t>.</w:t>
            </w:r>
          </w:p>
        </w:tc>
      </w:tr>
      <w:tr w:rsidR="00DF3EE3" w:rsidRPr="00DF3EE3" w:rsidTr="00AF00BB">
        <w:trPr>
          <w:trHeight w:val="757"/>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lastRenderedPageBreak/>
              <w:t>Suitable for wider circulation?</w:t>
            </w:r>
          </w:p>
        </w:tc>
        <w:tc>
          <w:tcPr>
            <w:tcW w:w="6320" w:type="dxa"/>
          </w:tcPr>
          <w:p w:rsidR="00AF00BB" w:rsidRPr="00DF3EE3" w:rsidRDefault="00210D21" w:rsidP="00254D9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  following Board</w:t>
            </w:r>
          </w:p>
        </w:tc>
      </w:tr>
      <w:tr w:rsidR="00EB22E9" w:rsidRPr="00DF3EE3" w:rsidTr="00AF00BB">
        <w:trPr>
          <w:trHeight w:val="287"/>
        </w:trPr>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Time required for item:</w:t>
            </w:r>
          </w:p>
        </w:tc>
        <w:tc>
          <w:tcPr>
            <w:tcW w:w="6320" w:type="dxa"/>
          </w:tcPr>
          <w:p w:rsidR="00EB22E9" w:rsidRDefault="00EB22E9" w:rsidP="00933A84">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1</w:t>
            </w:r>
            <w:r w:rsidR="00933A84">
              <w:rPr>
                <w:rFonts w:asciiTheme="minorHAnsi" w:eastAsiaTheme="minorHAnsi" w:hAnsiTheme="minorHAnsi" w:cstheme="minorHAnsi"/>
                <w:b/>
                <w:lang w:eastAsia="en-US"/>
              </w:rPr>
              <w:t>0</w:t>
            </w:r>
            <w:r>
              <w:rPr>
                <w:rFonts w:asciiTheme="minorHAnsi" w:eastAsiaTheme="minorHAnsi" w:hAnsiTheme="minorHAnsi" w:cstheme="minorHAnsi"/>
                <w:b/>
                <w:lang w:eastAsia="en-US"/>
              </w:rPr>
              <w:t xml:space="preserve"> minutes</w:t>
            </w:r>
          </w:p>
        </w:tc>
      </w:tr>
    </w:tbl>
    <w:p w:rsidR="00DF3EE3" w:rsidRPr="00DF3EE3" w:rsidRDefault="00DF3EE3" w:rsidP="00DF3EE3">
      <w:pPr>
        <w:spacing w:line="276" w:lineRule="auto"/>
        <w:rPr>
          <w:rFonts w:asciiTheme="minorHAnsi" w:eastAsiaTheme="minorHAnsi" w:hAnsiTheme="minorHAnsi" w:cstheme="minorHAnsi"/>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DF3EE3" w:rsidRPr="00DF3EE3" w:rsidTr="00DF3EE3">
        <w:tc>
          <w:tcPr>
            <w:tcW w:w="2628" w:type="dxa"/>
            <w:vMerge w:val="restart"/>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Recommendation / Proposed Actions:</w:t>
            </w:r>
          </w:p>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Approve</w:t>
            </w:r>
          </w:p>
        </w:tc>
        <w:tc>
          <w:tcPr>
            <w:tcW w:w="1280" w:type="dxa"/>
            <w:shd w:val="clear" w:color="auto" w:fill="auto"/>
          </w:tcPr>
          <w:p w:rsidR="00DF3EE3" w:rsidRPr="00DF3EE3" w:rsidRDefault="00E44973"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w:t>
            </w: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Note</w:t>
            </w:r>
          </w:p>
        </w:tc>
        <w:tc>
          <w:tcPr>
            <w:tcW w:w="1280" w:type="dxa"/>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r w:rsidR="00EB22E9" w:rsidRPr="00DF3EE3" w:rsidTr="00DF3EE3">
        <w:tc>
          <w:tcPr>
            <w:tcW w:w="2628" w:type="dxa"/>
            <w:vMerge/>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For discussion</w:t>
            </w:r>
          </w:p>
        </w:tc>
        <w:tc>
          <w:tcPr>
            <w:tcW w:w="1280" w:type="dxa"/>
            <w:shd w:val="clear" w:color="auto" w:fill="auto"/>
          </w:tcPr>
          <w:p w:rsidR="00EB22E9" w:rsidRPr="00DF3EE3" w:rsidRDefault="00EB22E9" w:rsidP="00DF3EE3">
            <w:pPr>
              <w:spacing w:after="200" w:line="276" w:lineRule="auto"/>
              <w:rPr>
                <w:rFonts w:asciiTheme="minorHAnsi" w:eastAsiaTheme="minorHAnsi" w:hAnsiTheme="minorHAnsi" w:cstheme="minorHAnsi"/>
                <w:b/>
                <w:lang w:eastAsia="en-US"/>
              </w:rPr>
            </w:pP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1350" w:type="dxa"/>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Comments</w:t>
            </w:r>
          </w:p>
        </w:tc>
        <w:tc>
          <w:tcPr>
            <w:tcW w:w="4970" w:type="dxa"/>
            <w:gridSpan w:val="2"/>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bl>
    <w:p w:rsidR="008506B4" w:rsidRPr="00DF3EE3" w:rsidRDefault="008506B4" w:rsidP="00DF3EE3">
      <w:pPr>
        <w:tabs>
          <w:tab w:val="left" w:pos="1980"/>
        </w:tabs>
        <w:rPr>
          <w:rFonts w:asciiTheme="minorHAnsi" w:eastAsiaTheme="minorHAnsi" w:hAnsiTheme="minorHAnsi" w:cstheme="minorHAnsi"/>
          <w:b/>
          <w:lang w:eastAsia="en-US"/>
        </w:rPr>
      </w:pPr>
    </w:p>
    <w:p w:rsidR="00DF3EE3" w:rsidRPr="00DF3EE3" w:rsidRDefault="00DF3EE3" w:rsidP="00DF3EE3">
      <w:pPr>
        <w:tabs>
          <w:tab w:val="left" w:pos="1980"/>
        </w:tabs>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Name:</w:t>
            </w:r>
          </w:p>
        </w:tc>
        <w:tc>
          <w:tcPr>
            <w:tcW w:w="6320" w:type="dxa"/>
          </w:tcPr>
          <w:p w:rsidR="00DF3EE3" w:rsidRPr="00DF3EE3" w:rsidRDefault="00DF3EE3"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Debbie Corrigan</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Job Title:</w:t>
            </w:r>
          </w:p>
        </w:tc>
        <w:tc>
          <w:tcPr>
            <w:tcW w:w="6320" w:type="dxa"/>
          </w:tcPr>
          <w:p w:rsidR="00DF3EE3" w:rsidRPr="00DF3EE3" w:rsidRDefault="00DF3EE3"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Director of Finance</w:t>
            </w:r>
            <w:r w:rsidR="009413A8">
              <w:rPr>
                <w:rFonts w:asciiTheme="minorHAnsi" w:eastAsiaTheme="minorHAnsi" w:hAnsiTheme="minorHAnsi" w:cstheme="minorHAnsi"/>
                <w:lang w:eastAsia="en-US"/>
              </w:rPr>
              <w:t>, Procurement and Estates</w:t>
            </w:r>
          </w:p>
        </w:tc>
      </w:tr>
      <w:tr w:rsidR="00DF3EE3" w:rsidRPr="00DF3EE3" w:rsidTr="00DB6762">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w:t>
            </w:r>
          </w:p>
        </w:tc>
        <w:tc>
          <w:tcPr>
            <w:tcW w:w="6320" w:type="dxa"/>
            <w:shd w:val="clear" w:color="auto" w:fill="auto"/>
          </w:tcPr>
          <w:p w:rsidR="00DF3EE3" w:rsidRPr="00DB6762" w:rsidRDefault="00DB6762" w:rsidP="0099281F">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12 August 2016</w:t>
            </w:r>
          </w:p>
        </w:tc>
      </w:tr>
    </w:tbl>
    <w:p w:rsidR="00150CE4" w:rsidRDefault="00150CE4"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AD76CF" w:rsidRDefault="00E72B98" w:rsidP="00AD76CF">
      <w:pPr>
        <w:rPr>
          <w:rFonts w:ascii="Arial" w:hAnsi="Arial" w:cs="Arial"/>
          <w:b/>
          <w:sz w:val="22"/>
          <w:szCs w:val="22"/>
          <w:lang w:val="en-US"/>
        </w:rPr>
      </w:pPr>
      <w:r>
        <w:rPr>
          <w:rFonts w:ascii="Arial" w:hAnsi="Arial" w:cs="Arial"/>
          <w:b/>
          <w:sz w:val="22"/>
          <w:szCs w:val="22"/>
        </w:rPr>
        <w:lastRenderedPageBreak/>
        <w:t>F</w:t>
      </w:r>
      <w:r w:rsidR="00AD76CF" w:rsidRPr="00AD76CF">
        <w:rPr>
          <w:rFonts w:ascii="Arial" w:hAnsi="Arial" w:cs="Arial"/>
          <w:b/>
          <w:sz w:val="22"/>
          <w:szCs w:val="22"/>
        </w:rPr>
        <w:t xml:space="preserve">inance Report - </w:t>
      </w:r>
      <w:r w:rsidR="00AD76CF" w:rsidRPr="00AD76CF">
        <w:rPr>
          <w:rFonts w:ascii="Arial" w:hAnsi="Arial" w:cs="Arial"/>
          <w:b/>
          <w:sz w:val="22"/>
          <w:szCs w:val="22"/>
          <w:lang w:val="en-US"/>
        </w:rPr>
        <w:t>Financial Year 201</w:t>
      </w:r>
      <w:r w:rsidR="00DC0E07">
        <w:rPr>
          <w:rFonts w:ascii="Arial" w:hAnsi="Arial" w:cs="Arial"/>
          <w:b/>
          <w:sz w:val="22"/>
          <w:szCs w:val="22"/>
          <w:lang w:val="en-US"/>
        </w:rPr>
        <w:t>6</w:t>
      </w:r>
      <w:r w:rsidR="00AD76CF" w:rsidRPr="00AD76CF">
        <w:rPr>
          <w:rFonts w:ascii="Arial" w:hAnsi="Arial" w:cs="Arial"/>
          <w:b/>
          <w:sz w:val="22"/>
          <w:szCs w:val="22"/>
          <w:lang w:val="en-US"/>
        </w:rPr>
        <w:t>/1</w:t>
      </w:r>
      <w:r w:rsidR="00DC0E07">
        <w:rPr>
          <w:rFonts w:ascii="Arial" w:hAnsi="Arial" w:cs="Arial"/>
          <w:b/>
          <w:sz w:val="22"/>
          <w:szCs w:val="22"/>
          <w:lang w:val="en-US"/>
        </w:rPr>
        <w:t>7</w:t>
      </w:r>
    </w:p>
    <w:p w:rsidR="00AD76CF" w:rsidRDefault="00AD76CF" w:rsidP="00AD76CF">
      <w:pPr>
        <w:rPr>
          <w:rFonts w:ascii="Arial" w:hAnsi="Arial" w:cs="Arial"/>
          <w:b/>
          <w:sz w:val="22"/>
          <w:szCs w:val="22"/>
          <w:lang w:val="en-US"/>
        </w:rPr>
      </w:pPr>
      <w:r>
        <w:rPr>
          <w:rFonts w:ascii="Arial" w:hAnsi="Arial" w:cs="Arial"/>
          <w:b/>
          <w:sz w:val="22"/>
          <w:szCs w:val="22"/>
          <w:lang w:val="en-US"/>
        </w:rPr>
        <w:t xml:space="preserve">Health </w:t>
      </w:r>
      <w:r w:rsidR="00646BC4">
        <w:rPr>
          <w:rFonts w:ascii="Arial" w:hAnsi="Arial" w:cs="Arial"/>
          <w:b/>
          <w:sz w:val="22"/>
          <w:szCs w:val="22"/>
          <w:lang w:val="en-US"/>
        </w:rPr>
        <w:t>Resea</w:t>
      </w:r>
      <w:r w:rsidR="005B62D4">
        <w:rPr>
          <w:rFonts w:ascii="Arial" w:hAnsi="Arial" w:cs="Arial"/>
          <w:b/>
          <w:sz w:val="22"/>
          <w:szCs w:val="22"/>
          <w:lang w:val="en-US"/>
        </w:rPr>
        <w:t>rch</w:t>
      </w:r>
      <w:r w:rsidR="00643128">
        <w:rPr>
          <w:rFonts w:ascii="Arial" w:hAnsi="Arial" w:cs="Arial"/>
          <w:b/>
          <w:sz w:val="22"/>
          <w:szCs w:val="22"/>
          <w:lang w:val="en-US"/>
        </w:rPr>
        <w:t xml:space="preserve"> Authority as at </w:t>
      </w:r>
      <w:r w:rsidR="0060431A">
        <w:rPr>
          <w:rFonts w:ascii="Arial" w:hAnsi="Arial" w:cs="Arial"/>
          <w:b/>
          <w:sz w:val="22"/>
          <w:szCs w:val="22"/>
          <w:lang w:val="en-US"/>
        </w:rPr>
        <w:t>31 July</w:t>
      </w:r>
      <w:r w:rsidR="002E2D66">
        <w:rPr>
          <w:rFonts w:ascii="Arial" w:hAnsi="Arial" w:cs="Arial"/>
          <w:b/>
          <w:sz w:val="22"/>
          <w:szCs w:val="22"/>
          <w:lang w:val="en-US"/>
        </w:rPr>
        <w:t xml:space="preserve"> 2016</w:t>
      </w:r>
    </w:p>
    <w:p w:rsidR="00AD76CF" w:rsidRPr="00AD76CF" w:rsidRDefault="00AD76CF" w:rsidP="00AD76CF">
      <w:pPr>
        <w:jc w:val="center"/>
        <w:rPr>
          <w:rFonts w:ascii="Arial" w:hAnsi="Arial" w:cs="Arial"/>
          <w:b/>
          <w:sz w:val="22"/>
          <w:szCs w:val="22"/>
        </w:rPr>
      </w:pPr>
    </w:p>
    <w:p w:rsidR="00AC4AAD" w:rsidRPr="001F7421" w:rsidRDefault="00AD76CF" w:rsidP="001F7421">
      <w:pPr>
        <w:numPr>
          <w:ilvl w:val="0"/>
          <w:numId w:val="3"/>
        </w:numPr>
        <w:jc w:val="both"/>
        <w:rPr>
          <w:rFonts w:ascii="Arial" w:hAnsi="Arial" w:cs="Arial"/>
          <w:b/>
          <w:sz w:val="22"/>
          <w:szCs w:val="22"/>
        </w:rPr>
      </w:pPr>
      <w:r w:rsidRPr="001F7421">
        <w:rPr>
          <w:rFonts w:ascii="Arial" w:hAnsi="Arial" w:cs="Arial"/>
          <w:b/>
          <w:sz w:val="22"/>
          <w:szCs w:val="22"/>
        </w:rPr>
        <w:t>Introduction</w:t>
      </w:r>
    </w:p>
    <w:p w:rsidR="00AD76CF" w:rsidRDefault="00AD76CF" w:rsidP="00AD76CF">
      <w:pPr>
        <w:jc w:val="both"/>
        <w:rPr>
          <w:rFonts w:ascii="Arial" w:hAnsi="Arial" w:cs="Arial"/>
          <w:sz w:val="22"/>
          <w:szCs w:val="22"/>
        </w:rPr>
      </w:pPr>
      <w:r w:rsidRPr="00AD76CF">
        <w:rPr>
          <w:rFonts w:ascii="Arial" w:hAnsi="Arial" w:cs="Arial"/>
          <w:sz w:val="22"/>
          <w:szCs w:val="22"/>
        </w:rPr>
        <w:t xml:space="preserve">This report outlines the financial position of the Authority in respect of revenue and capital expenditure for the </w:t>
      </w:r>
      <w:r w:rsidR="00643128">
        <w:rPr>
          <w:rFonts w:ascii="Arial" w:hAnsi="Arial" w:cs="Arial"/>
          <w:sz w:val="22"/>
          <w:szCs w:val="22"/>
        </w:rPr>
        <w:t xml:space="preserve">month ended </w:t>
      </w:r>
      <w:r w:rsidR="00DB6762">
        <w:rPr>
          <w:rFonts w:ascii="Arial" w:hAnsi="Arial" w:cs="Arial"/>
          <w:sz w:val="22"/>
          <w:szCs w:val="22"/>
        </w:rPr>
        <w:t>31 July</w:t>
      </w:r>
      <w:r w:rsidR="0000631A">
        <w:rPr>
          <w:rFonts w:ascii="Arial" w:hAnsi="Arial" w:cs="Arial"/>
          <w:sz w:val="22"/>
          <w:szCs w:val="22"/>
        </w:rPr>
        <w:t xml:space="preserve"> </w:t>
      </w:r>
      <w:r w:rsidR="002E2D66">
        <w:rPr>
          <w:rFonts w:ascii="Arial" w:hAnsi="Arial" w:cs="Arial"/>
          <w:sz w:val="22"/>
          <w:szCs w:val="22"/>
        </w:rPr>
        <w:t>2016</w:t>
      </w:r>
      <w:r w:rsidR="00643FCA">
        <w:rPr>
          <w:rFonts w:ascii="Arial" w:hAnsi="Arial" w:cs="Arial"/>
          <w:sz w:val="22"/>
          <w:szCs w:val="22"/>
        </w:rPr>
        <w:t>.</w:t>
      </w:r>
      <w:r w:rsidRPr="00AD76CF">
        <w:rPr>
          <w:rFonts w:ascii="Arial" w:hAnsi="Arial" w:cs="Arial"/>
          <w:sz w:val="22"/>
          <w:szCs w:val="22"/>
        </w:rPr>
        <w:t xml:space="preserve">  </w:t>
      </w:r>
    </w:p>
    <w:p w:rsidR="00AD76CF" w:rsidRPr="00AD76CF" w:rsidRDefault="00AD76CF" w:rsidP="00AD76CF">
      <w:pPr>
        <w:jc w:val="both"/>
        <w:rPr>
          <w:rFonts w:ascii="Arial" w:hAnsi="Arial" w:cs="Arial"/>
          <w:sz w:val="22"/>
          <w:szCs w:val="22"/>
        </w:rPr>
      </w:pPr>
    </w:p>
    <w:p w:rsidR="00AD76CF" w:rsidRPr="00AC4AAD" w:rsidRDefault="00AD76CF" w:rsidP="00AD76CF">
      <w:pPr>
        <w:jc w:val="both"/>
        <w:rPr>
          <w:rFonts w:ascii="Arial" w:hAnsi="Arial" w:cs="Arial"/>
          <w:b/>
          <w:sz w:val="22"/>
          <w:szCs w:val="22"/>
        </w:rPr>
      </w:pPr>
      <w:r w:rsidRPr="00AD76CF">
        <w:rPr>
          <w:rFonts w:ascii="Arial" w:hAnsi="Arial" w:cs="Arial"/>
          <w:b/>
          <w:sz w:val="22"/>
          <w:szCs w:val="22"/>
        </w:rPr>
        <w:t xml:space="preserve">2. </w:t>
      </w:r>
      <w:r w:rsidR="00AC4AAD">
        <w:rPr>
          <w:rFonts w:ascii="Arial" w:hAnsi="Arial" w:cs="Arial"/>
          <w:b/>
          <w:sz w:val="22"/>
          <w:szCs w:val="22"/>
        </w:rPr>
        <w:t>Revenue Resource Limit</w:t>
      </w:r>
    </w:p>
    <w:p w:rsidR="005E6B5C" w:rsidRDefault="00E70FE6" w:rsidP="00AD76CF">
      <w:pPr>
        <w:jc w:val="both"/>
        <w:rPr>
          <w:rFonts w:ascii="Arial" w:hAnsi="Arial" w:cs="Arial"/>
          <w:sz w:val="22"/>
          <w:szCs w:val="22"/>
        </w:rPr>
      </w:pPr>
      <w:r>
        <w:rPr>
          <w:rFonts w:ascii="Arial" w:hAnsi="Arial" w:cs="Arial"/>
          <w:sz w:val="22"/>
          <w:szCs w:val="22"/>
        </w:rPr>
        <w:t xml:space="preserve">The Department of Health (DH) </w:t>
      </w:r>
      <w:r w:rsidR="005E5369">
        <w:rPr>
          <w:rFonts w:ascii="Arial" w:hAnsi="Arial" w:cs="Arial"/>
          <w:sz w:val="22"/>
          <w:szCs w:val="22"/>
        </w:rPr>
        <w:t xml:space="preserve">HRA has </w:t>
      </w:r>
      <w:r>
        <w:rPr>
          <w:rFonts w:ascii="Arial" w:hAnsi="Arial" w:cs="Arial"/>
          <w:sz w:val="22"/>
          <w:szCs w:val="22"/>
        </w:rPr>
        <w:t xml:space="preserve">confirmed the </w:t>
      </w:r>
      <w:r w:rsidR="005E5369">
        <w:rPr>
          <w:rFonts w:ascii="Arial" w:hAnsi="Arial" w:cs="Arial"/>
          <w:sz w:val="22"/>
          <w:szCs w:val="22"/>
        </w:rPr>
        <w:t xml:space="preserve">budget </w:t>
      </w:r>
      <w:r>
        <w:rPr>
          <w:rFonts w:ascii="Arial" w:hAnsi="Arial" w:cs="Arial"/>
          <w:sz w:val="22"/>
          <w:szCs w:val="22"/>
        </w:rPr>
        <w:t xml:space="preserve">for the year </w:t>
      </w:r>
      <w:r w:rsidR="005E5369">
        <w:rPr>
          <w:rFonts w:ascii="Arial" w:hAnsi="Arial" w:cs="Arial"/>
          <w:sz w:val="22"/>
          <w:szCs w:val="22"/>
        </w:rPr>
        <w:t xml:space="preserve">which matches expectations discussed during the 2016/17 business planning round.  </w:t>
      </w:r>
      <w:r w:rsidR="00B2011F" w:rsidRPr="002D1079">
        <w:rPr>
          <w:rFonts w:ascii="Arial" w:hAnsi="Arial" w:cs="Arial"/>
          <w:sz w:val="22"/>
          <w:szCs w:val="22"/>
        </w:rPr>
        <w:t xml:space="preserve">The HRA </w:t>
      </w:r>
      <w:r w:rsidR="003179D5" w:rsidRPr="002D1079">
        <w:rPr>
          <w:rFonts w:ascii="Arial" w:hAnsi="Arial" w:cs="Arial"/>
          <w:sz w:val="22"/>
          <w:szCs w:val="22"/>
        </w:rPr>
        <w:t>grant in aid</w:t>
      </w:r>
      <w:r w:rsidR="002D1079">
        <w:rPr>
          <w:rFonts w:ascii="Arial" w:hAnsi="Arial" w:cs="Arial"/>
          <w:sz w:val="22"/>
          <w:szCs w:val="22"/>
        </w:rPr>
        <w:t xml:space="preserve"> and revenue resource limit for the year </w:t>
      </w:r>
      <w:r w:rsidR="005E5369">
        <w:rPr>
          <w:rFonts w:ascii="Arial" w:hAnsi="Arial" w:cs="Arial"/>
          <w:sz w:val="22"/>
          <w:szCs w:val="22"/>
        </w:rPr>
        <w:t xml:space="preserve">was presented in the 2016/17 financial plan and this report continues to be based on the same figures of </w:t>
      </w:r>
      <w:r w:rsidR="002D1079">
        <w:rPr>
          <w:rFonts w:ascii="Arial" w:hAnsi="Arial" w:cs="Arial"/>
          <w:sz w:val="22"/>
          <w:szCs w:val="22"/>
        </w:rPr>
        <w:t>£13,</w:t>
      </w:r>
      <w:r w:rsidR="005E5369">
        <w:rPr>
          <w:rFonts w:ascii="Arial" w:hAnsi="Arial" w:cs="Arial"/>
          <w:sz w:val="22"/>
          <w:szCs w:val="22"/>
        </w:rPr>
        <w:t>080</w:t>
      </w:r>
      <w:r w:rsidR="002D1079">
        <w:rPr>
          <w:rFonts w:ascii="Arial" w:hAnsi="Arial" w:cs="Arial"/>
          <w:sz w:val="22"/>
          <w:szCs w:val="22"/>
        </w:rPr>
        <w:t xml:space="preserve">k.  </w:t>
      </w:r>
      <w:r w:rsidR="003179D5" w:rsidRPr="002D1079">
        <w:rPr>
          <w:rFonts w:ascii="Arial" w:hAnsi="Arial" w:cs="Arial"/>
          <w:sz w:val="22"/>
          <w:szCs w:val="22"/>
        </w:rPr>
        <w:t xml:space="preserve">The whole of this sum </w:t>
      </w:r>
      <w:r w:rsidR="002C390E" w:rsidRPr="002D1079">
        <w:rPr>
          <w:rFonts w:ascii="Arial" w:hAnsi="Arial" w:cs="Arial"/>
          <w:sz w:val="22"/>
          <w:szCs w:val="22"/>
        </w:rPr>
        <w:t xml:space="preserve">is </w:t>
      </w:r>
      <w:r w:rsidR="003179D5" w:rsidRPr="002D1079">
        <w:rPr>
          <w:rFonts w:ascii="Arial" w:hAnsi="Arial" w:cs="Arial"/>
          <w:sz w:val="22"/>
          <w:szCs w:val="22"/>
        </w:rPr>
        <w:t xml:space="preserve">classified as administration funding under HM Treasury definitions and this sum represents </w:t>
      </w:r>
      <w:r w:rsidR="00D750FE" w:rsidRPr="002D1079">
        <w:rPr>
          <w:rFonts w:ascii="Arial" w:hAnsi="Arial" w:cs="Arial"/>
          <w:sz w:val="22"/>
          <w:szCs w:val="22"/>
        </w:rPr>
        <w:t>H</w:t>
      </w:r>
      <w:r w:rsidR="003179D5" w:rsidRPr="002D1079">
        <w:rPr>
          <w:rFonts w:ascii="Arial" w:hAnsi="Arial" w:cs="Arial"/>
          <w:sz w:val="22"/>
          <w:szCs w:val="22"/>
        </w:rPr>
        <w:t>RA annual statutory funding from the Department of Health</w:t>
      </w:r>
      <w:r w:rsidR="008C6ADC" w:rsidRPr="002D1079">
        <w:rPr>
          <w:rFonts w:ascii="Arial" w:hAnsi="Arial" w:cs="Arial"/>
          <w:sz w:val="22"/>
          <w:szCs w:val="22"/>
        </w:rPr>
        <w:t xml:space="preserve"> (DH)</w:t>
      </w:r>
      <w:r w:rsidR="007948D4" w:rsidRPr="002D1079">
        <w:rPr>
          <w:rFonts w:ascii="Arial" w:hAnsi="Arial" w:cs="Arial"/>
          <w:sz w:val="22"/>
          <w:szCs w:val="22"/>
        </w:rPr>
        <w:t xml:space="preserve"> for the year.</w:t>
      </w:r>
      <w:r w:rsidR="003179D5" w:rsidRPr="002D1079">
        <w:rPr>
          <w:rFonts w:ascii="Arial" w:hAnsi="Arial" w:cs="Arial"/>
          <w:sz w:val="22"/>
          <w:szCs w:val="22"/>
        </w:rPr>
        <w:t xml:space="preserve"> </w:t>
      </w:r>
      <w:r w:rsidR="00171C23" w:rsidRPr="002D1079">
        <w:rPr>
          <w:rFonts w:ascii="Arial" w:hAnsi="Arial" w:cs="Arial"/>
          <w:sz w:val="22"/>
          <w:szCs w:val="22"/>
        </w:rPr>
        <w:t xml:space="preserve">It </w:t>
      </w:r>
      <w:r w:rsidR="003179D5" w:rsidRPr="002D1079">
        <w:rPr>
          <w:rFonts w:ascii="Arial" w:hAnsi="Arial" w:cs="Arial"/>
          <w:sz w:val="22"/>
          <w:szCs w:val="22"/>
        </w:rPr>
        <w:t xml:space="preserve">excludes income from other government departments or income from the </w:t>
      </w:r>
      <w:r w:rsidR="00BB2B8A" w:rsidRPr="002D1079">
        <w:rPr>
          <w:rFonts w:ascii="Arial" w:hAnsi="Arial" w:cs="Arial"/>
          <w:sz w:val="22"/>
          <w:szCs w:val="22"/>
        </w:rPr>
        <w:t>D</w:t>
      </w:r>
      <w:r w:rsidR="003179D5" w:rsidRPr="002D1079">
        <w:rPr>
          <w:rFonts w:ascii="Arial" w:hAnsi="Arial" w:cs="Arial"/>
          <w:sz w:val="22"/>
          <w:szCs w:val="22"/>
        </w:rPr>
        <w:t xml:space="preserve">evolved </w:t>
      </w:r>
      <w:r w:rsidR="00BB2B8A" w:rsidRPr="002D1079">
        <w:rPr>
          <w:rFonts w:ascii="Arial" w:hAnsi="Arial" w:cs="Arial"/>
          <w:sz w:val="22"/>
          <w:szCs w:val="22"/>
        </w:rPr>
        <w:t>A</w:t>
      </w:r>
      <w:r w:rsidR="003179D5" w:rsidRPr="002D1079">
        <w:rPr>
          <w:rFonts w:ascii="Arial" w:hAnsi="Arial" w:cs="Arial"/>
          <w:sz w:val="22"/>
          <w:szCs w:val="22"/>
        </w:rPr>
        <w:t>dministrations</w:t>
      </w:r>
      <w:r w:rsidR="00162CB2" w:rsidRPr="002D1079">
        <w:rPr>
          <w:rFonts w:ascii="Arial" w:hAnsi="Arial" w:cs="Arial"/>
          <w:sz w:val="22"/>
          <w:szCs w:val="22"/>
        </w:rPr>
        <w:t>.</w:t>
      </w:r>
      <w:r w:rsidR="00171C23">
        <w:rPr>
          <w:rFonts w:ascii="Arial" w:hAnsi="Arial" w:cs="Arial"/>
          <w:sz w:val="22"/>
          <w:szCs w:val="22"/>
        </w:rPr>
        <w:t xml:space="preserve"> </w:t>
      </w:r>
    </w:p>
    <w:p w:rsidR="00262B57" w:rsidRDefault="00AD76CF" w:rsidP="00AC4AAD">
      <w:pPr>
        <w:ind w:left="-360"/>
        <w:rPr>
          <w:rFonts w:ascii="Arial" w:hAnsi="Arial" w:cs="Arial"/>
          <w:b/>
          <w:sz w:val="22"/>
          <w:szCs w:val="22"/>
        </w:rPr>
      </w:pPr>
      <w:r w:rsidRPr="00AD76CF">
        <w:rPr>
          <w:rFonts w:ascii="Arial" w:hAnsi="Arial" w:cs="Arial"/>
          <w:b/>
          <w:sz w:val="22"/>
          <w:szCs w:val="22"/>
        </w:rPr>
        <w:t xml:space="preserve">   </w:t>
      </w:r>
    </w:p>
    <w:p w:rsidR="00AD76CF" w:rsidRPr="00AD76CF" w:rsidRDefault="00AD76CF" w:rsidP="00262B57">
      <w:pPr>
        <w:ind w:left="-360" w:firstLine="360"/>
        <w:rPr>
          <w:rFonts w:ascii="Arial" w:hAnsi="Arial" w:cs="Arial"/>
          <w:b/>
          <w:sz w:val="22"/>
          <w:szCs w:val="22"/>
        </w:rPr>
      </w:pPr>
      <w:r w:rsidRPr="00AD76CF">
        <w:rPr>
          <w:rFonts w:ascii="Arial" w:hAnsi="Arial" w:cs="Arial"/>
          <w:b/>
          <w:sz w:val="22"/>
          <w:szCs w:val="22"/>
        </w:rPr>
        <w:t>3</w:t>
      </w:r>
      <w:r w:rsidR="001516FA">
        <w:rPr>
          <w:rFonts w:ascii="Arial" w:hAnsi="Arial" w:cs="Arial"/>
          <w:b/>
          <w:sz w:val="22"/>
          <w:szCs w:val="22"/>
        </w:rPr>
        <w:t xml:space="preserve">. Revenue </w:t>
      </w:r>
      <w:r w:rsidR="00262B57">
        <w:rPr>
          <w:rFonts w:ascii="Arial" w:hAnsi="Arial" w:cs="Arial"/>
          <w:b/>
          <w:sz w:val="22"/>
          <w:szCs w:val="22"/>
        </w:rPr>
        <w:t>expenditure p</w:t>
      </w:r>
      <w:r w:rsidR="001516FA">
        <w:rPr>
          <w:rFonts w:ascii="Arial" w:hAnsi="Arial" w:cs="Arial"/>
          <w:b/>
          <w:sz w:val="22"/>
          <w:szCs w:val="22"/>
        </w:rPr>
        <w:t xml:space="preserve">osition </w:t>
      </w:r>
      <w:r w:rsidR="00E6420E">
        <w:rPr>
          <w:rFonts w:ascii="Arial" w:hAnsi="Arial" w:cs="Arial"/>
          <w:b/>
          <w:sz w:val="22"/>
          <w:szCs w:val="22"/>
        </w:rPr>
        <w:t xml:space="preserve">at </w:t>
      </w:r>
      <w:r w:rsidR="00DB6762">
        <w:rPr>
          <w:rFonts w:ascii="Arial" w:hAnsi="Arial" w:cs="Arial"/>
          <w:b/>
          <w:sz w:val="22"/>
          <w:szCs w:val="22"/>
        </w:rPr>
        <w:t>31 July</w:t>
      </w:r>
      <w:r w:rsidR="00DC0E07">
        <w:rPr>
          <w:rFonts w:ascii="Arial" w:hAnsi="Arial" w:cs="Arial"/>
          <w:b/>
          <w:sz w:val="22"/>
          <w:szCs w:val="22"/>
        </w:rPr>
        <w:t xml:space="preserve"> </w:t>
      </w:r>
      <w:r w:rsidR="002E2D66">
        <w:rPr>
          <w:rFonts w:ascii="Arial" w:hAnsi="Arial" w:cs="Arial"/>
          <w:b/>
          <w:sz w:val="22"/>
          <w:szCs w:val="22"/>
        </w:rPr>
        <w:t>2016</w:t>
      </w:r>
    </w:p>
    <w:p w:rsidR="005F05D0" w:rsidRDefault="00AD76CF" w:rsidP="006E46EB">
      <w:pPr>
        <w:jc w:val="both"/>
        <w:rPr>
          <w:rFonts w:ascii="Arial" w:hAnsi="Arial" w:cs="Arial"/>
          <w:sz w:val="22"/>
          <w:szCs w:val="22"/>
        </w:rPr>
      </w:pPr>
      <w:r w:rsidRPr="00AD76CF">
        <w:rPr>
          <w:rFonts w:ascii="Arial" w:hAnsi="Arial" w:cs="Arial"/>
          <w:sz w:val="22"/>
          <w:szCs w:val="22"/>
        </w:rPr>
        <w:t xml:space="preserve">The revenue position of the </w:t>
      </w:r>
      <w:r w:rsidR="00877858">
        <w:rPr>
          <w:rFonts w:ascii="Arial" w:hAnsi="Arial" w:cs="Arial"/>
          <w:sz w:val="22"/>
          <w:szCs w:val="22"/>
        </w:rPr>
        <w:t xml:space="preserve">Authority </w:t>
      </w:r>
      <w:r w:rsidRPr="00AD76CF">
        <w:rPr>
          <w:rFonts w:ascii="Arial" w:hAnsi="Arial" w:cs="Arial"/>
          <w:sz w:val="22"/>
          <w:szCs w:val="22"/>
        </w:rPr>
        <w:t xml:space="preserve">is </w:t>
      </w:r>
      <w:r w:rsidR="00877858">
        <w:rPr>
          <w:rFonts w:ascii="Arial" w:hAnsi="Arial" w:cs="Arial"/>
          <w:sz w:val="22"/>
          <w:szCs w:val="22"/>
        </w:rPr>
        <w:t xml:space="preserve">summarised </w:t>
      </w:r>
      <w:r w:rsidR="006E46EB">
        <w:rPr>
          <w:rFonts w:ascii="Arial" w:hAnsi="Arial" w:cs="Arial"/>
          <w:sz w:val="22"/>
          <w:szCs w:val="22"/>
        </w:rPr>
        <w:t xml:space="preserve">in the table </w:t>
      </w:r>
      <w:r w:rsidR="00150CE4">
        <w:rPr>
          <w:rFonts w:ascii="Arial" w:hAnsi="Arial" w:cs="Arial"/>
          <w:sz w:val="22"/>
          <w:szCs w:val="22"/>
        </w:rPr>
        <w:t>below</w:t>
      </w:r>
      <w:r w:rsidR="00877858">
        <w:rPr>
          <w:rFonts w:ascii="Arial" w:hAnsi="Arial" w:cs="Arial"/>
          <w:sz w:val="22"/>
          <w:szCs w:val="22"/>
        </w:rPr>
        <w:t xml:space="preserve"> with further performance </w:t>
      </w:r>
      <w:r w:rsidRPr="00AD76CF">
        <w:rPr>
          <w:rFonts w:ascii="Arial" w:hAnsi="Arial" w:cs="Arial"/>
          <w:sz w:val="22"/>
          <w:szCs w:val="22"/>
        </w:rPr>
        <w:t xml:space="preserve">detail </w:t>
      </w:r>
      <w:r w:rsidR="00877858">
        <w:rPr>
          <w:rFonts w:ascii="Arial" w:hAnsi="Arial" w:cs="Arial"/>
          <w:sz w:val="22"/>
          <w:szCs w:val="22"/>
        </w:rPr>
        <w:t xml:space="preserve">in </w:t>
      </w:r>
      <w:r w:rsidRPr="00AD76CF">
        <w:rPr>
          <w:rFonts w:ascii="Arial" w:hAnsi="Arial" w:cs="Arial"/>
          <w:sz w:val="22"/>
          <w:szCs w:val="22"/>
        </w:rPr>
        <w:t xml:space="preserve">Appendix </w:t>
      </w:r>
      <w:r w:rsidR="00015D1D">
        <w:rPr>
          <w:rFonts w:ascii="Arial" w:hAnsi="Arial" w:cs="Arial"/>
          <w:sz w:val="22"/>
          <w:szCs w:val="22"/>
        </w:rPr>
        <w:t>A</w:t>
      </w:r>
      <w:r w:rsidRPr="00AD76CF">
        <w:rPr>
          <w:rFonts w:ascii="Arial" w:hAnsi="Arial" w:cs="Arial"/>
          <w:sz w:val="22"/>
          <w:szCs w:val="22"/>
        </w:rPr>
        <w:t xml:space="preserve">. </w:t>
      </w:r>
      <w:r w:rsidR="00841ADE">
        <w:rPr>
          <w:rFonts w:ascii="Arial" w:hAnsi="Arial" w:cs="Arial"/>
          <w:sz w:val="22"/>
          <w:szCs w:val="22"/>
        </w:rPr>
        <w:t xml:space="preserve"> </w:t>
      </w:r>
      <w:r w:rsidR="00E70FE6">
        <w:rPr>
          <w:rFonts w:ascii="Arial" w:hAnsi="Arial" w:cs="Arial"/>
          <w:sz w:val="22"/>
          <w:szCs w:val="22"/>
        </w:rPr>
        <w:t xml:space="preserve"> </w:t>
      </w:r>
      <w:r w:rsidR="00B06AFA">
        <w:rPr>
          <w:rFonts w:ascii="Arial" w:hAnsi="Arial" w:cs="Arial"/>
          <w:sz w:val="22"/>
          <w:szCs w:val="22"/>
        </w:rPr>
        <w:t xml:space="preserve">The Authority has </w:t>
      </w:r>
      <w:r w:rsidR="00B06AFA" w:rsidRPr="00393BEC">
        <w:rPr>
          <w:rFonts w:ascii="Arial" w:hAnsi="Arial" w:cs="Arial"/>
          <w:sz w:val="22"/>
          <w:szCs w:val="22"/>
        </w:rPr>
        <w:t xml:space="preserve">spent </w:t>
      </w:r>
      <w:r w:rsidR="00B06AFA" w:rsidRPr="009B4C8D">
        <w:rPr>
          <w:rFonts w:ascii="Arial" w:hAnsi="Arial" w:cs="Arial"/>
          <w:sz w:val="22"/>
          <w:szCs w:val="22"/>
        </w:rPr>
        <w:t>£</w:t>
      </w:r>
      <w:r w:rsidR="00DB6762">
        <w:rPr>
          <w:rFonts w:ascii="Arial" w:hAnsi="Arial" w:cs="Arial"/>
          <w:sz w:val="22"/>
          <w:szCs w:val="22"/>
        </w:rPr>
        <w:t>4.12</w:t>
      </w:r>
      <w:r w:rsidR="006935C1">
        <w:rPr>
          <w:rFonts w:ascii="Arial" w:hAnsi="Arial" w:cs="Arial"/>
          <w:sz w:val="22"/>
          <w:szCs w:val="22"/>
        </w:rPr>
        <w:t xml:space="preserve"> </w:t>
      </w:r>
      <w:r w:rsidR="00E82F54" w:rsidRPr="009B4C8D">
        <w:rPr>
          <w:rFonts w:ascii="Arial" w:hAnsi="Arial" w:cs="Arial"/>
          <w:sz w:val="22"/>
          <w:szCs w:val="22"/>
        </w:rPr>
        <w:t>million</w:t>
      </w:r>
      <w:r w:rsidR="00CA15E0">
        <w:rPr>
          <w:rFonts w:ascii="Arial" w:hAnsi="Arial" w:cs="Arial"/>
          <w:sz w:val="22"/>
          <w:szCs w:val="22"/>
        </w:rPr>
        <w:t xml:space="preserve"> year to date.</w:t>
      </w:r>
      <w:r w:rsidR="00E82F54" w:rsidRPr="009B4C8D">
        <w:rPr>
          <w:rFonts w:ascii="Arial" w:hAnsi="Arial" w:cs="Arial"/>
          <w:sz w:val="22"/>
          <w:szCs w:val="22"/>
        </w:rPr>
        <w:t xml:space="preserve"> </w:t>
      </w:r>
      <w:r w:rsidR="00262B57">
        <w:rPr>
          <w:rFonts w:ascii="Arial" w:hAnsi="Arial" w:cs="Arial"/>
          <w:sz w:val="22"/>
          <w:szCs w:val="22"/>
        </w:rPr>
        <w:t>This represents a £</w:t>
      </w:r>
      <w:r w:rsidR="00DB6762">
        <w:rPr>
          <w:rFonts w:ascii="Arial" w:hAnsi="Arial" w:cs="Arial"/>
          <w:sz w:val="22"/>
          <w:szCs w:val="22"/>
        </w:rPr>
        <w:t>35</w:t>
      </w:r>
      <w:r w:rsidR="006935C1">
        <w:rPr>
          <w:rFonts w:ascii="Arial" w:hAnsi="Arial" w:cs="Arial"/>
          <w:sz w:val="22"/>
          <w:szCs w:val="22"/>
        </w:rPr>
        <w:t>k</w:t>
      </w:r>
      <w:r w:rsidR="00262B57">
        <w:rPr>
          <w:rFonts w:ascii="Arial" w:hAnsi="Arial" w:cs="Arial"/>
          <w:sz w:val="22"/>
          <w:szCs w:val="22"/>
        </w:rPr>
        <w:t xml:space="preserve"> under spend</w:t>
      </w:r>
      <w:r w:rsidR="002D4299">
        <w:rPr>
          <w:rFonts w:ascii="Arial" w:hAnsi="Arial" w:cs="Arial"/>
          <w:sz w:val="22"/>
          <w:szCs w:val="22"/>
        </w:rPr>
        <w:t xml:space="preserve"> </w:t>
      </w:r>
      <w:r w:rsidR="00262B57">
        <w:rPr>
          <w:rFonts w:ascii="Arial" w:hAnsi="Arial" w:cs="Arial"/>
          <w:sz w:val="22"/>
          <w:szCs w:val="22"/>
        </w:rPr>
        <w:t xml:space="preserve">against </w:t>
      </w:r>
      <w:r w:rsidR="000949D1">
        <w:rPr>
          <w:rFonts w:ascii="Arial" w:hAnsi="Arial" w:cs="Arial"/>
          <w:sz w:val="22"/>
          <w:szCs w:val="22"/>
        </w:rPr>
        <w:t xml:space="preserve">profiled </w:t>
      </w:r>
      <w:r w:rsidR="00262B57">
        <w:rPr>
          <w:rFonts w:ascii="Arial" w:hAnsi="Arial" w:cs="Arial"/>
          <w:sz w:val="22"/>
          <w:szCs w:val="22"/>
        </w:rPr>
        <w:t>expenditur</w:t>
      </w:r>
      <w:r w:rsidR="005F05D0">
        <w:rPr>
          <w:rFonts w:ascii="Arial" w:hAnsi="Arial" w:cs="Arial"/>
          <w:sz w:val="22"/>
          <w:szCs w:val="22"/>
        </w:rPr>
        <w:t>e budgets</w:t>
      </w:r>
      <w:r w:rsidR="00CA15E0">
        <w:rPr>
          <w:rFonts w:ascii="Arial" w:hAnsi="Arial" w:cs="Arial"/>
          <w:sz w:val="22"/>
          <w:szCs w:val="22"/>
        </w:rPr>
        <w:t xml:space="preserve">.  </w:t>
      </w:r>
      <w:r w:rsidR="005F2504">
        <w:rPr>
          <w:rFonts w:ascii="Arial" w:hAnsi="Arial" w:cs="Arial"/>
          <w:sz w:val="22"/>
          <w:szCs w:val="22"/>
        </w:rPr>
        <w:t xml:space="preserve">A summary of the </w:t>
      </w:r>
      <w:r w:rsidR="00262B57">
        <w:rPr>
          <w:rFonts w:ascii="Arial" w:hAnsi="Arial" w:cs="Arial"/>
          <w:sz w:val="22"/>
          <w:szCs w:val="22"/>
        </w:rPr>
        <w:t xml:space="preserve">overall </w:t>
      </w:r>
      <w:r w:rsidR="005F2504">
        <w:rPr>
          <w:rFonts w:ascii="Arial" w:hAnsi="Arial" w:cs="Arial"/>
          <w:sz w:val="22"/>
          <w:szCs w:val="22"/>
        </w:rPr>
        <w:t xml:space="preserve">position </w:t>
      </w:r>
      <w:r w:rsidR="006935C1">
        <w:rPr>
          <w:rFonts w:ascii="Arial" w:hAnsi="Arial" w:cs="Arial"/>
          <w:sz w:val="22"/>
          <w:szCs w:val="22"/>
        </w:rPr>
        <w:t xml:space="preserve">by Directorate </w:t>
      </w:r>
      <w:r w:rsidR="005F2504">
        <w:rPr>
          <w:rFonts w:ascii="Arial" w:hAnsi="Arial" w:cs="Arial"/>
          <w:sz w:val="22"/>
          <w:szCs w:val="22"/>
        </w:rPr>
        <w:t xml:space="preserve">is presented </w:t>
      </w:r>
      <w:r w:rsidR="009D48D2">
        <w:rPr>
          <w:rFonts w:ascii="Arial" w:hAnsi="Arial" w:cs="Arial"/>
          <w:sz w:val="22"/>
          <w:szCs w:val="22"/>
        </w:rPr>
        <w:t xml:space="preserve">in table 1 </w:t>
      </w:r>
      <w:r w:rsidR="00210D21">
        <w:rPr>
          <w:rFonts w:ascii="Arial" w:hAnsi="Arial" w:cs="Arial"/>
          <w:sz w:val="22"/>
          <w:szCs w:val="22"/>
        </w:rPr>
        <w:t>below</w:t>
      </w:r>
      <w:r w:rsidR="005F2504">
        <w:rPr>
          <w:rFonts w:ascii="Arial" w:hAnsi="Arial" w:cs="Arial"/>
          <w:sz w:val="22"/>
          <w:szCs w:val="22"/>
        </w:rPr>
        <w:t>.</w:t>
      </w:r>
    </w:p>
    <w:tbl>
      <w:tblPr>
        <w:tblpPr w:leftFromText="180" w:rightFromText="180" w:vertAnchor="text" w:horzAnchor="margin" w:tblpXSpec="center" w:tblpY="151"/>
        <w:tblW w:w="10103" w:type="dxa"/>
        <w:tblLook w:val="04A0" w:firstRow="1" w:lastRow="0" w:firstColumn="1" w:lastColumn="0" w:noHBand="0" w:noVBand="1"/>
      </w:tblPr>
      <w:tblGrid>
        <w:gridCol w:w="266"/>
        <w:gridCol w:w="3660"/>
        <w:gridCol w:w="1429"/>
        <w:gridCol w:w="1335"/>
        <w:gridCol w:w="1355"/>
        <w:gridCol w:w="1060"/>
        <w:gridCol w:w="1017"/>
      </w:tblGrid>
      <w:tr w:rsidR="00D7554B" w:rsidRPr="00D7554B" w:rsidTr="00D7554B">
        <w:trPr>
          <w:trHeight w:val="243"/>
        </w:trPr>
        <w:tc>
          <w:tcPr>
            <w:tcW w:w="5351" w:type="dxa"/>
            <w:gridSpan w:val="3"/>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b/>
                <w:bCs/>
                <w:color w:val="000000"/>
                <w:sz w:val="22"/>
                <w:szCs w:val="22"/>
              </w:rPr>
            </w:pPr>
            <w:r w:rsidRPr="00D7554B">
              <w:rPr>
                <w:rFonts w:ascii="Calibri" w:hAnsi="Calibri" w:cs="Calibri"/>
                <w:b/>
                <w:bCs/>
                <w:color w:val="000000"/>
                <w:sz w:val="22"/>
                <w:szCs w:val="22"/>
              </w:rPr>
              <w:t>Summary of financial outturn 31st July 2016</w:t>
            </w:r>
          </w:p>
        </w:tc>
        <w:tc>
          <w:tcPr>
            <w:tcW w:w="1335"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1355"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1002"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r>
      <w:tr w:rsidR="00D7554B" w:rsidRPr="00D7554B" w:rsidTr="00D7554B">
        <w:trPr>
          <w:trHeight w:val="304"/>
        </w:trPr>
        <w:tc>
          <w:tcPr>
            <w:tcW w:w="262"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3660"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1429"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1335"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1355"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1002"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r>
      <w:tr w:rsidR="00D7554B" w:rsidRPr="00D7554B" w:rsidTr="00D7554B">
        <w:trPr>
          <w:trHeight w:val="900"/>
        </w:trPr>
        <w:tc>
          <w:tcPr>
            <w:tcW w:w="262" w:type="dxa"/>
            <w:tcBorders>
              <w:top w:val="single" w:sz="4" w:space="0" w:color="auto"/>
              <w:left w:val="single" w:sz="4" w:space="0" w:color="auto"/>
              <w:bottom w:val="nil"/>
              <w:right w:val="nil"/>
            </w:tcBorders>
            <w:shd w:val="clear" w:color="000000" w:fill="56008C"/>
            <w:noWrap/>
            <w:vAlign w:val="bottom"/>
            <w:hideMark/>
          </w:tcPr>
          <w:p w:rsidR="00D7554B" w:rsidRPr="00D7554B" w:rsidRDefault="00D7554B" w:rsidP="00D7554B">
            <w:pPr>
              <w:rPr>
                <w:rFonts w:ascii="Calibri" w:hAnsi="Calibri" w:cs="Calibri"/>
                <w:color w:val="FFFFFF"/>
                <w:sz w:val="22"/>
                <w:szCs w:val="22"/>
              </w:rPr>
            </w:pPr>
            <w:r w:rsidRPr="00D7554B">
              <w:rPr>
                <w:rFonts w:ascii="Calibri" w:hAnsi="Calibri" w:cs="Calibri"/>
                <w:color w:val="FFFFFF"/>
                <w:sz w:val="22"/>
                <w:szCs w:val="22"/>
              </w:rPr>
              <w:t> </w:t>
            </w:r>
          </w:p>
        </w:tc>
        <w:tc>
          <w:tcPr>
            <w:tcW w:w="3660" w:type="dxa"/>
            <w:vMerge w:val="restart"/>
            <w:tcBorders>
              <w:top w:val="single" w:sz="4" w:space="0" w:color="auto"/>
              <w:left w:val="nil"/>
              <w:bottom w:val="nil"/>
              <w:right w:val="nil"/>
            </w:tcBorders>
            <w:shd w:val="clear" w:color="000000" w:fill="56008C"/>
            <w:noWrap/>
            <w:vAlign w:val="bottom"/>
            <w:hideMark/>
          </w:tcPr>
          <w:p w:rsidR="00D7554B" w:rsidRPr="00D7554B" w:rsidRDefault="00D7554B" w:rsidP="00D7554B">
            <w:pPr>
              <w:rPr>
                <w:rFonts w:ascii="Calibri" w:hAnsi="Calibri" w:cs="Calibri"/>
                <w:b/>
                <w:bCs/>
                <w:color w:val="FFFFFF"/>
                <w:sz w:val="22"/>
                <w:szCs w:val="22"/>
              </w:rPr>
            </w:pPr>
            <w:r w:rsidRPr="00D7554B">
              <w:rPr>
                <w:rFonts w:ascii="Calibri" w:hAnsi="Calibri" w:cs="Calibri"/>
                <w:b/>
                <w:bCs/>
                <w:color w:val="FFFFFF"/>
                <w:sz w:val="22"/>
                <w:szCs w:val="22"/>
              </w:rPr>
              <w:t>Description</w:t>
            </w:r>
          </w:p>
        </w:tc>
        <w:tc>
          <w:tcPr>
            <w:tcW w:w="1429" w:type="dxa"/>
            <w:vMerge w:val="restart"/>
            <w:tcBorders>
              <w:top w:val="single" w:sz="4" w:space="0" w:color="auto"/>
              <w:left w:val="nil"/>
              <w:bottom w:val="nil"/>
              <w:right w:val="nil"/>
            </w:tcBorders>
            <w:shd w:val="clear" w:color="000000" w:fill="56008C"/>
            <w:vAlign w:val="bottom"/>
            <w:hideMark/>
          </w:tcPr>
          <w:p w:rsidR="00D7554B" w:rsidRPr="00D7554B" w:rsidRDefault="00D7554B" w:rsidP="00D7554B">
            <w:pPr>
              <w:jc w:val="center"/>
              <w:rPr>
                <w:rFonts w:ascii="Calibri" w:hAnsi="Calibri" w:cs="Calibri"/>
                <w:b/>
                <w:bCs/>
                <w:color w:val="FFFFFF"/>
                <w:sz w:val="22"/>
                <w:szCs w:val="22"/>
              </w:rPr>
            </w:pPr>
            <w:r w:rsidRPr="00D7554B">
              <w:rPr>
                <w:rFonts w:ascii="Calibri" w:hAnsi="Calibri" w:cs="Calibri"/>
                <w:b/>
                <w:bCs/>
                <w:color w:val="FFFFFF"/>
                <w:sz w:val="22"/>
                <w:szCs w:val="22"/>
              </w:rPr>
              <w:t>Initial Annual Budget</w:t>
            </w:r>
          </w:p>
        </w:tc>
        <w:tc>
          <w:tcPr>
            <w:tcW w:w="1335" w:type="dxa"/>
            <w:tcBorders>
              <w:top w:val="single" w:sz="4" w:space="0" w:color="auto"/>
              <w:left w:val="nil"/>
              <w:bottom w:val="nil"/>
              <w:right w:val="nil"/>
            </w:tcBorders>
            <w:shd w:val="clear" w:color="000000" w:fill="56008C"/>
            <w:vAlign w:val="bottom"/>
            <w:hideMark/>
          </w:tcPr>
          <w:p w:rsidR="00D7554B" w:rsidRPr="00D7554B" w:rsidRDefault="00D7554B" w:rsidP="00D7554B">
            <w:pPr>
              <w:jc w:val="center"/>
              <w:rPr>
                <w:rFonts w:ascii="Calibri" w:hAnsi="Calibri" w:cs="Calibri"/>
                <w:b/>
                <w:bCs/>
                <w:color w:val="FFFFFF"/>
                <w:sz w:val="22"/>
                <w:szCs w:val="22"/>
              </w:rPr>
            </w:pPr>
            <w:r w:rsidRPr="00D7554B">
              <w:rPr>
                <w:rFonts w:ascii="Calibri" w:hAnsi="Calibri" w:cs="Calibri"/>
                <w:b/>
                <w:bCs/>
                <w:color w:val="FFFFFF"/>
                <w:sz w:val="22"/>
                <w:szCs w:val="22"/>
              </w:rPr>
              <w:t> </w:t>
            </w:r>
          </w:p>
        </w:tc>
        <w:tc>
          <w:tcPr>
            <w:tcW w:w="1355" w:type="dxa"/>
            <w:tcBorders>
              <w:top w:val="single" w:sz="4" w:space="0" w:color="auto"/>
              <w:left w:val="nil"/>
              <w:bottom w:val="nil"/>
              <w:right w:val="nil"/>
            </w:tcBorders>
            <w:shd w:val="clear" w:color="000000" w:fill="56008C"/>
            <w:vAlign w:val="bottom"/>
            <w:hideMark/>
          </w:tcPr>
          <w:p w:rsidR="00D7554B" w:rsidRPr="00D7554B" w:rsidRDefault="00D7554B" w:rsidP="00D7554B">
            <w:pPr>
              <w:jc w:val="center"/>
              <w:rPr>
                <w:rFonts w:ascii="Calibri" w:hAnsi="Calibri" w:cs="Calibri"/>
                <w:b/>
                <w:bCs/>
                <w:color w:val="FFFFFF"/>
                <w:sz w:val="22"/>
                <w:szCs w:val="22"/>
              </w:rPr>
            </w:pPr>
            <w:r w:rsidRPr="00D7554B">
              <w:rPr>
                <w:rFonts w:ascii="Calibri" w:hAnsi="Calibri" w:cs="Calibri"/>
                <w:b/>
                <w:bCs/>
                <w:color w:val="FFFFFF"/>
                <w:sz w:val="22"/>
                <w:szCs w:val="22"/>
              </w:rPr>
              <w:t>Budget for period to</w:t>
            </w:r>
          </w:p>
        </w:tc>
        <w:tc>
          <w:tcPr>
            <w:tcW w:w="1060" w:type="dxa"/>
            <w:tcBorders>
              <w:top w:val="single" w:sz="4" w:space="0" w:color="auto"/>
              <w:left w:val="nil"/>
              <w:bottom w:val="nil"/>
              <w:right w:val="nil"/>
            </w:tcBorders>
            <w:shd w:val="clear" w:color="000000" w:fill="56008C"/>
            <w:vAlign w:val="bottom"/>
            <w:hideMark/>
          </w:tcPr>
          <w:p w:rsidR="00D7554B" w:rsidRPr="00D7554B" w:rsidRDefault="00D7554B" w:rsidP="00D7554B">
            <w:pPr>
              <w:jc w:val="center"/>
              <w:rPr>
                <w:rFonts w:ascii="Calibri" w:hAnsi="Calibri" w:cs="Calibri"/>
                <w:b/>
                <w:bCs/>
                <w:color w:val="FFFFFF"/>
                <w:sz w:val="22"/>
                <w:szCs w:val="22"/>
              </w:rPr>
            </w:pPr>
            <w:r w:rsidRPr="00D7554B">
              <w:rPr>
                <w:rFonts w:ascii="Calibri" w:hAnsi="Calibri" w:cs="Calibri"/>
                <w:b/>
                <w:bCs/>
                <w:color w:val="FFFFFF"/>
                <w:sz w:val="22"/>
                <w:szCs w:val="22"/>
              </w:rPr>
              <w:t xml:space="preserve">Outturn as at </w:t>
            </w:r>
          </w:p>
        </w:tc>
        <w:tc>
          <w:tcPr>
            <w:tcW w:w="1002" w:type="dxa"/>
            <w:vMerge w:val="restart"/>
            <w:tcBorders>
              <w:top w:val="single" w:sz="4" w:space="0" w:color="auto"/>
              <w:left w:val="nil"/>
              <w:bottom w:val="nil"/>
              <w:right w:val="single" w:sz="4" w:space="0" w:color="auto"/>
            </w:tcBorders>
            <w:shd w:val="clear" w:color="000000" w:fill="56008C"/>
            <w:vAlign w:val="bottom"/>
            <w:hideMark/>
          </w:tcPr>
          <w:p w:rsidR="00D7554B" w:rsidRPr="00D7554B" w:rsidRDefault="00D7554B" w:rsidP="00D7554B">
            <w:pPr>
              <w:jc w:val="center"/>
              <w:rPr>
                <w:rFonts w:ascii="Calibri" w:hAnsi="Calibri" w:cs="Calibri"/>
                <w:b/>
                <w:bCs/>
                <w:color w:val="FFFFFF"/>
                <w:sz w:val="22"/>
                <w:szCs w:val="22"/>
              </w:rPr>
            </w:pPr>
            <w:r w:rsidRPr="00D7554B">
              <w:rPr>
                <w:rFonts w:ascii="Calibri" w:hAnsi="Calibri" w:cs="Calibri"/>
                <w:b/>
                <w:bCs/>
                <w:color w:val="FFFFFF"/>
                <w:sz w:val="22"/>
                <w:szCs w:val="22"/>
              </w:rPr>
              <w:t>Variance</w:t>
            </w:r>
          </w:p>
        </w:tc>
      </w:tr>
      <w:tr w:rsidR="00D7554B" w:rsidRPr="00D7554B" w:rsidTr="00D7554B">
        <w:trPr>
          <w:trHeight w:val="431"/>
        </w:trPr>
        <w:tc>
          <w:tcPr>
            <w:tcW w:w="262" w:type="dxa"/>
            <w:tcBorders>
              <w:top w:val="nil"/>
              <w:left w:val="single" w:sz="4" w:space="0" w:color="auto"/>
              <w:bottom w:val="nil"/>
              <w:right w:val="nil"/>
            </w:tcBorders>
            <w:shd w:val="clear" w:color="000000" w:fill="56008C"/>
            <w:noWrap/>
            <w:vAlign w:val="bottom"/>
            <w:hideMark/>
          </w:tcPr>
          <w:p w:rsidR="00D7554B" w:rsidRPr="00D7554B" w:rsidRDefault="00D7554B" w:rsidP="00D7554B">
            <w:pPr>
              <w:rPr>
                <w:rFonts w:ascii="Calibri" w:hAnsi="Calibri" w:cs="Calibri"/>
                <w:color w:val="FFFFFF"/>
                <w:sz w:val="22"/>
                <w:szCs w:val="22"/>
              </w:rPr>
            </w:pPr>
            <w:r w:rsidRPr="00D7554B">
              <w:rPr>
                <w:rFonts w:ascii="Calibri" w:hAnsi="Calibri" w:cs="Calibri"/>
                <w:color w:val="FFFFFF"/>
                <w:sz w:val="22"/>
                <w:szCs w:val="22"/>
              </w:rPr>
              <w:t> </w:t>
            </w:r>
          </w:p>
        </w:tc>
        <w:tc>
          <w:tcPr>
            <w:tcW w:w="3660" w:type="dxa"/>
            <w:vMerge/>
            <w:tcBorders>
              <w:top w:val="single" w:sz="4" w:space="0" w:color="auto"/>
              <w:left w:val="nil"/>
              <w:bottom w:val="nil"/>
              <w:right w:val="nil"/>
            </w:tcBorders>
            <w:vAlign w:val="center"/>
            <w:hideMark/>
          </w:tcPr>
          <w:p w:rsidR="00D7554B" w:rsidRPr="00D7554B" w:rsidRDefault="00D7554B" w:rsidP="00D7554B">
            <w:pPr>
              <w:rPr>
                <w:rFonts w:ascii="Calibri" w:hAnsi="Calibri" w:cs="Calibri"/>
                <w:b/>
                <w:bCs/>
                <w:color w:val="FFFFFF"/>
                <w:sz w:val="22"/>
                <w:szCs w:val="22"/>
              </w:rPr>
            </w:pPr>
          </w:p>
        </w:tc>
        <w:tc>
          <w:tcPr>
            <w:tcW w:w="1429" w:type="dxa"/>
            <w:vMerge/>
            <w:tcBorders>
              <w:top w:val="single" w:sz="4" w:space="0" w:color="auto"/>
              <w:left w:val="nil"/>
              <w:bottom w:val="nil"/>
              <w:right w:val="nil"/>
            </w:tcBorders>
            <w:vAlign w:val="center"/>
            <w:hideMark/>
          </w:tcPr>
          <w:p w:rsidR="00D7554B" w:rsidRPr="00D7554B" w:rsidRDefault="00D7554B" w:rsidP="00D7554B">
            <w:pPr>
              <w:rPr>
                <w:rFonts w:ascii="Calibri" w:hAnsi="Calibri" w:cs="Calibri"/>
                <w:b/>
                <w:bCs/>
                <w:color w:val="FFFFFF"/>
                <w:sz w:val="22"/>
                <w:szCs w:val="22"/>
              </w:rPr>
            </w:pPr>
          </w:p>
        </w:tc>
        <w:tc>
          <w:tcPr>
            <w:tcW w:w="1335" w:type="dxa"/>
            <w:tcBorders>
              <w:top w:val="nil"/>
              <w:left w:val="nil"/>
              <w:bottom w:val="nil"/>
              <w:right w:val="nil"/>
            </w:tcBorders>
            <w:shd w:val="clear" w:color="000000" w:fill="56008C"/>
            <w:vAlign w:val="bottom"/>
            <w:hideMark/>
          </w:tcPr>
          <w:p w:rsidR="00D7554B" w:rsidRPr="00D7554B" w:rsidRDefault="00D7554B" w:rsidP="00D7554B">
            <w:pPr>
              <w:jc w:val="center"/>
              <w:rPr>
                <w:rFonts w:ascii="Calibri" w:hAnsi="Calibri" w:cs="Calibri"/>
                <w:b/>
                <w:bCs/>
                <w:color w:val="FFFFFF"/>
                <w:sz w:val="22"/>
                <w:szCs w:val="22"/>
              </w:rPr>
            </w:pPr>
            <w:r w:rsidRPr="00D7554B">
              <w:rPr>
                <w:rFonts w:ascii="Calibri" w:hAnsi="Calibri" w:cs="Calibri"/>
                <w:b/>
                <w:bCs/>
                <w:color w:val="FFFFFF"/>
                <w:sz w:val="22"/>
                <w:szCs w:val="22"/>
              </w:rPr>
              <w:t>Latest Annual Budget</w:t>
            </w:r>
          </w:p>
        </w:tc>
        <w:tc>
          <w:tcPr>
            <w:tcW w:w="1355" w:type="dxa"/>
            <w:tcBorders>
              <w:top w:val="nil"/>
              <w:left w:val="nil"/>
              <w:bottom w:val="nil"/>
              <w:right w:val="nil"/>
            </w:tcBorders>
            <w:shd w:val="clear" w:color="000000" w:fill="56008C"/>
            <w:vAlign w:val="bottom"/>
            <w:hideMark/>
          </w:tcPr>
          <w:p w:rsidR="00D7554B" w:rsidRPr="00D7554B" w:rsidRDefault="00D7554B" w:rsidP="00D7554B">
            <w:pPr>
              <w:jc w:val="center"/>
              <w:rPr>
                <w:rFonts w:ascii="Calibri" w:hAnsi="Calibri" w:cs="Calibri"/>
                <w:b/>
                <w:bCs/>
                <w:color w:val="FFFFFF"/>
                <w:sz w:val="22"/>
                <w:szCs w:val="22"/>
              </w:rPr>
            </w:pPr>
            <w:r w:rsidRPr="00D7554B">
              <w:rPr>
                <w:rFonts w:ascii="Calibri" w:hAnsi="Calibri" w:cs="Calibri"/>
                <w:b/>
                <w:bCs/>
                <w:color w:val="FFFFFF"/>
                <w:sz w:val="22"/>
                <w:szCs w:val="22"/>
              </w:rPr>
              <w:t>31st July 2016</w:t>
            </w:r>
          </w:p>
        </w:tc>
        <w:tc>
          <w:tcPr>
            <w:tcW w:w="1060" w:type="dxa"/>
            <w:tcBorders>
              <w:top w:val="nil"/>
              <w:left w:val="nil"/>
              <w:bottom w:val="nil"/>
              <w:right w:val="nil"/>
            </w:tcBorders>
            <w:shd w:val="clear" w:color="000000" w:fill="56008C"/>
            <w:vAlign w:val="bottom"/>
            <w:hideMark/>
          </w:tcPr>
          <w:p w:rsidR="00D7554B" w:rsidRPr="00D7554B" w:rsidRDefault="00D7554B" w:rsidP="00D7554B">
            <w:pPr>
              <w:jc w:val="center"/>
              <w:rPr>
                <w:rFonts w:ascii="Calibri" w:hAnsi="Calibri" w:cs="Calibri"/>
                <w:b/>
                <w:bCs/>
                <w:color w:val="FFFFFF"/>
                <w:sz w:val="22"/>
                <w:szCs w:val="22"/>
              </w:rPr>
            </w:pPr>
            <w:r w:rsidRPr="00D7554B">
              <w:rPr>
                <w:rFonts w:ascii="Calibri" w:hAnsi="Calibri" w:cs="Calibri"/>
                <w:b/>
                <w:bCs/>
                <w:color w:val="FFFFFF"/>
                <w:sz w:val="22"/>
                <w:szCs w:val="22"/>
              </w:rPr>
              <w:t>31st July 2016</w:t>
            </w:r>
          </w:p>
        </w:tc>
        <w:tc>
          <w:tcPr>
            <w:tcW w:w="1002" w:type="dxa"/>
            <w:vMerge/>
            <w:tcBorders>
              <w:top w:val="single" w:sz="4" w:space="0" w:color="auto"/>
              <w:left w:val="nil"/>
              <w:bottom w:val="nil"/>
              <w:right w:val="single" w:sz="4" w:space="0" w:color="auto"/>
            </w:tcBorders>
            <w:vAlign w:val="center"/>
            <w:hideMark/>
          </w:tcPr>
          <w:p w:rsidR="00D7554B" w:rsidRPr="00D7554B" w:rsidRDefault="00D7554B" w:rsidP="00D7554B">
            <w:pPr>
              <w:rPr>
                <w:rFonts w:ascii="Calibri" w:hAnsi="Calibri" w:cs="Calibri"/>
                <w:b/>
                <w:bCs/>
                <w:color w:val="FFFFFF"/>
                <w:sz w:val="22"/>
                <w:szCs w:val="22"/>
              </w:rPr>
            </w:pPr>
          </w:p>
        </w:tc>
      </w:tr>
      <w:tr w:rsidR="00D7554B" w:rsidRPr="00D7554B" w:rsidTr="00D7554B">
        <w:trPr>
          <w:trHeight w:val="243"/>
        </w:trPr>
        <w:tc>
          <w:tcPr>
            <w:tcW w:w="262" w:type="dxa"/>
            <w:tcBorders>
              <w:top w:val="nil"/>
              <w:left w:val="single" w:sz="4" w:space="0" w:color="auto"/>
              <w:bottom w:val="nil"/>
              <w:right w:val="nil"/>
            </w:tcBorders>
            <w:shd w:val="clear" w:color="000000" w:fill="56008C"/>
            <w:noWrap/>
            <w:vAlign w:val="bottom"/>
            <w:hideMark/>
          </w:tcPr>
          <w:p w:rsidR="00D7554B" w:rsidRPr="00D7554B" w:rsidRDefault="00D7554B" w:rsidP="00D7554B">
            <w:pPr>
              <w:rPr>
                <w:rFonts w:ascii="Calibri" w:hAnsi="Calibri" w:cs="Calibri"/>
                <w:color w:val="FFFFFF"/>
                <w:sz w:val="22"/>
                <w:szCs w:val="22"/>
              </w:rPr>
            </w:pPr>
            <w:r w:rsidRPr="00D7554B">
              <w:rPr>
                <w:rFonts w:ascii="Calibri" w:hAnsi="Calibri" w:cs="Calibri"/>
                <w:color w:val="FFFFFF"/>
                <w:sz w:val="22"/>
                <w:szCs w:val="22"/>
              </w:rPr>
              <w:t> </w:t>
            </w:r>
          </w:p>
        </w:tc>
        <w:tc>
          <w:tcPr>
            <w:tcW w:w="3660" w:type="dxa"/>
            <w:tcBorders>
              <w:top w:val="nil"/>
              <w:left w:val="nil"/>
              <w:bottom w:val="nil"/>
              <w:right w:val="nil"/>
            </w:tcBorders>
            <w:shd w:val="clear" w:color="000000" w:fill="56008C"/>
            <w:noWrap/>
            <w:vAlign w:val="bottom"/>
            <w:hideMark/>
          </w:tcPr>
          <w:p w:rsidR="00D7554B" w:rsidRPr="00D7554B" w:rsidRDefault="00D7554B" w:rsidP="00D7554B">
            <w:pPr>
              <w:rPr>
                <w:rFonts w:ascii="Calibri" w:hAnsi="Calibri" w:cs="Calibri"/>
                <w:b/>
                <w:bCs/>
                <w:color w:val="FFFFFF"/>
                <w:sz w:val="22"/>
                <w:szCs w:val="22"/>
              </w:rPr>
            </w:pPr>
            <w:r w:rsidRPr="00D7554B">
              <w:rPr>
                <w:rFonts w:ascii="Calibri" w:hAnsi="Calibri" w:cs="Calibri"/>
                <w:b/>
                <w:bCs/>
                <w:color w:val="FFFFFF"/>
                <w:sz w:val="22"/>
                <w:szCs w:val="22"/>
              </w:rPr>
              <w:t> </w:t>
            </w:r>
          </w:p>
        </w:tc>
        <w:tc>
          <w:tcPr>
            <w:tcW w:w="1429" w:type="dxa"/>
            <w:tcBorders>
              <w:top w:val="nil"/>
              <w:left w:val="nil"/>
              <w:bottom w:val="nil"/>
              <w:right w:val="nil"/>
            </w:tcBorders>
            <w:shd w:val="clear" w:color="000000" w:fill="56008C"/>
            <w:noWrap/>
            <w:vAlign w:val="bottom"/>
            <w:hideMark/>
          </w:tcPr>
          <w:p w:rsidR="00D7554B" w:rsidRPr="00D7554B" w:rsidRDefault="00D7554B" w:rsidP="00D7554B">
            <w:pPr>
              <w:jc w:val="center"/>
              <w:rPr>
                <w:rFonts w:ascii="Calibri" w:hAnsi="Calibri" w:cs="Calibri"/>
                <w:b/>
                <w:bCs/>
                <w:color w:val="FFFFFF"/>
                <w:sz w:val="22"/>
                <w:szCs w:val="22"/>
              </w:rPr>
            </w:pPr>
            <w:r w:rsidRPr="00D7554B">
              <w:rPr>
                <w:rFonts w:ascii="Calibri" w:hAnsi="Calibri" w:cs="Calibri"/>
                <w:b/>
                <w:bCs/>
                <w:color w:val="FFFFFF"/>
                <w:sz w:val="22"/>
                <w:szCs w:val="22"/>
              </w:rPr>
              <w:t>(£'000)</w:t>
            </w:r>
          </w:p>
        </w:tc>
        <w:tc>
          <w:tcPr>
            <w:tcW w:w="1335" w:type="dxa"/>
            <w:tcBorders>
              <w:top w:val="nil"/>
              <w:left w:val="nil"/>
              <w:bottom w:val="nil"/>
              <w:right w:val="nil"/>
            </w:tcBorders>
            <w:shd w:val="clear" w:color="000000" w:fill="56008C"/>
            <w:noWrap/>
            <w:vAlign w:val="bottom"/>
            <w:hideMark/>
          </w:tcPr>
          <w:p w:rsidR="00D7554B" w:rsidRPr="00D7554B" w:rsidRDefault="00D7554B" w:rsidP="00D7554B">
            <w:pPr>
              <w:jc w:val="center"/>
              <w:rPr>
                <w:rFonts w:ascii="Calibri" w:hAnsi="Calibri" w:cs="Calibri"/>
                <w:b/>
                <w:bCs/>
                <w:color w:val="FFFFFF"/>
                <w:sz w:val="22"/>
                <w:szCs w:val="22"/>
              </w:rPr>
            </w:pPr>
            <w:r w:rsidRPr="00D7554B">
              <w:rPr>
                <w:rFonts w:ascii="Calibri" w:hAnsi="Calibri" w:cs="Calibri"/>
                <w:b/>
                <w:bCs/>
                <w:color w:val="FFFFFF"/>
                <w:sz w:val="22"/>
                <w:szCs w:val="22"/>
              </w:rPr>
              <w:t>(£'000)</w:t>
            </w:r>
          </w:p>
        </w:tc>
        <w:tc>
          <w:tcPr>
            <w:tcW w:w="1355" w:type="dxa"/>
            <w:tcBorders>
              <w:top w:val="nil"/>
              <w:left w:val="nil"/>
              <w:bottom w:val="nil"/>
              <w:right w:val="nil"/>
            </w:tcBorders>
            <w:shd w:val="clear" w:color="000000" w:fill="56008C"/>
            <w:noWrap/>
            <w:vAlign w:val="bottom"/>
            <w:hideMark/>
          </w:tcPr>
          <w:p w:rsidR="00D7554B" w:rsidRPr="00D7554B" w:rsidRDefault="00D7554B" w:rsidP="00D7554B">
            <w:pPr>
              <w:jc w:val="center"/>
              <w:rPr>
                <w:rFonts w:ascii="Calibri" w:hAnsi="Calibri" w:cs="Calibri"/>
                <w:b/>
                <w:bCs/>
                <w:color w:val="FFFFFF"/>
                <w:sz w:val="22"/>
                <w:szCs w:val="22"/>
              </w:rPr>
            </w:pPr>
            <w:r w:rsidRPr="00D7554B">
              <w:rPr>
                <w:rFonts w:ascii="Calibri" w:hAnsi="Calibri" w:cs="Calibri"/>
                <w:b/>
                <w:bCs/>
                <w:color w:val="FFFFFF"/>
                <w:sz w:val="22"/>
                <w:szCs w:val="22"/>
              </w:rPr>
              <w:t>(£'000)</w:t>
            </w:r>
          </w:p>
        </w:tc>
        <w:tc>
          <w:tcPr>
            <w:tcW w:w="1060" w:type="dxa"/>
            <w:tcBorders>
              <w:top w:val="nil"/>
              <w:left w:val="nil"/>
              <w:bottom w:val="nil"/>
              <w:right w:val="nil"/>
            </w:tcBorders>
            <w:shd w:val="clear" w:color="000000" w:fill="56008C"/>
            <w:noWrap/>
            <w:vAlign w:val="bottom"/>
            <w:hideMark/>
          </w:tcPr>
          <w:p w:rsidR="00D7554B" w:rsidRPr="00D7554B" w:rsidRDefault="00D7554B" w:rsidP="00D7554B">
            <w:pPr>
              <w:jc w:val="center"/>
              <w:rPr>
                <w:rFonts w:ascii="Calibri" w:hAnsi="Calibri" w:cs="Calibri"/>
                <w:b/>
                <w:bCs/>
                <w:color w:val="FFFFFF"/>
                <w:sz w:val="22"/>
                <w:szCs w:val="22"/>
              </w:rPr>
            </w:pPr>
            <w:r w:rsidRPr="00D7554B">
              <w:rPr>
                <w:rFonts w:ascii="Calibri" w:hAnsi="Calibri" w:cs="Calibri"/>
                <w:b/>
                <w:bCs/>
                <w:color w:val="FFFFFF"/>
                <w:sz w:val="22"/>
                <w:szCs w:val="22"/>
              </w:rPr>
              <w:t>(£'000)</w:t>
            </w:r>
          </w:p>
        </w:tc>
        <w:tc>
          <w:tcPr>
            <w:tcW w:w="1002" w:type="dxa"/>
            <w:tcBorders>
              <w:top w:val="nil"/>
              <w:left w:val="nil"/>
              <w:bottom w:val="nil"/>
              <w:right w:val="single" w:sz="4" w:space="0" w:color="auto"/>
            </w:tcBorders>
            <w:shd w:val="clear" w:color="000000" w:fill="56008C"/>
            <w:noWrap/>
            <w:vAlign w:val="bottom"/>
            <w:hideMark/>
          </w:tcPr>
          <w:p w:rsidR="00D7554B" w:rsidRPr="00D7554B" w:rsidRDefault="00D7554B" w:rsidP="00D7554B">
            <w:pPr>
              <w:jc w:val="center"/>
              <w:rPr>
                <w:rFonts w:ascii="Calibri" w:hAnsi="Calibri" w:cs="Calibri"/>
                <w:b/>
                <w:bCs/>
                <w:color w:val="FFFFFF"/>
                <w:sz w:val="22"/>
                <w:szCs w:val="22"/>
              </w:rPr>
            </w:pPr>
            <w:r w:rsidRPr="00D7554B">
              <w:rPr>
                <w:rFonts w:ascii="Calibri" w:hAnsi="Calibri" w:cs="Calibri"/>
                <w:b/>
                <w:bCs/>
                <w:color w:val="FFFFFF"/>
                <w:sz w:val="22"/>
                <w:szCs w:val="22"/>
              </w:rPr>
              <w:t>(£'000)</w:t>
            </w:r>
          </w:p>
        </w:tc>
      </w:tr>
      <w:tr w:rsidR="00D7554B" w:rsidRPr="00D7554B" w:rsidTr="00D7554B">
        <w:trPr>
          <w:trHeight w:val="243"/>
        </w:trPr>
        <w:tc>
          <w:tcPr>
            <w:tcW w:w="3922" w:type="dxa"/>
            <w:gridSpan w:val="2"/>
            <w:tcBorders>
              <w:top w:val="nil"/>
              <w:left w:val="single" w:sz="4" w:space="0" w:color="auto"/>
              <w:bottom w:val="nil"/>
              <w:right w:val="nil"/>
            </w:tcBorders>
            <w:shd w:val="clear" w:color="auto" w:fill="auto"/>
            <w:noWrap/>
            <w:vAlign w:val="bottom"/>
            <w:hideMark/>
          </w:tcPr>
          <w:p w:rsidR="00D7554B" w:rsidRPr="00D7554B" w:rsidRDefault="00D7554B" w:rsidP="00D7554B">
            <w:pPr>
              <w:rPr>
                <w:rFonts w:ascii="Calibri" w:hAnsi="Calibri" w:cs="Calibri"/>
                <w:b/>
                <w:bCs/>
                <w:color w:val="000000"/>
                <w:sz w:val="22"/>
                <w:szCs w:val="22"/>
              </w:rPr>
            </w:pPr>
            <w:r w:rsidRPr="00D7554B">
              <w:rPr>
                <w:rFonts w:ascii="Calibri" w:hAnsi="Calibri" w:cs="Calibri"/>
                <w:b/>
                <w:bCs/>
                <w:color w:val="000000"/>
                <w:sz w:val="22"/>
                <w:szCs w:val="22"/>
              </w:rPr>
              <w:t>Income</w:t>
            </w:r>
          </w:p>
        </w:tc>
        <w:tc>
          <w:tcPr>
            <w:tcW w:w="1429"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1335"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1355"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1002" w:type="dxa"/>
            <w:tcBorders>
              <w:top w:val="nil"/>
              <w:left w:val="nil"/>
              <w:bottom w:val="nil"/>
              <w:right w:val="single" w:sz="4" w:space="0" w:color="auto"/>
            </w:tcBorders>
            <w:shd w:val="clear" w:color="auto" w:fill="auto"/>
            <w:noWrap/>
            <w:vAlign w:val="bottom"/>
            <w:hideMark/>
          </w:tcPr>
          <w:p w:rsidR="00D7554B" w:rsidRPr="00D7554B" w:rsidRDefault="00D7554B" w:rsidP="00D7554B">
            <w:pPr>
              <w:rPr>
                <w:rFonts w:ascii="Calibri" w:hAnsi="Calibri" w:cs="Calibri"/>
                <w:color w:val="000000"/>
                <w:sz w:val="22"/>
                <w:szCs w:val="22"/>
              </w:rPr>
            </w:pPr>
            <w:r w:rsidRPr="00D7554B">
              <w:rPr>
                <w:rFonts w:ascii="Calibri" w:hAnsi="Calibri" w:cs="Calibri"/>
                <w:color w:val="000000"/>
                <w:sz w:val="22"/>
                <w:szCs w:val="22"/>
              </w:rPr>
              <w:t> </w:t>
            </w:r>
          </w:p>
        </w:tc>
      </w:tr>
      <w:tr w:rsidR="00D7554B" w:rsidRPr="00D7554B" w:rsidTr="00D7554B">
        <w:trPr>
          <w:trHeight w:val="243"/>
        </w:trPr>
        <w:tc>
          <w:tcPr>
            <w:tcW w:w="262" w:type="dxa"/>
            <w:tcBorders>
              <w:top w:val="nil"/>
              <w:left w:val="single" w:sz="4" w:space="0" w:color="auto"/>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r w:rsidRPr="00D7554B">
              <w:rPr>
                <w:rFonts w:ascii="Calibri" w:hAnsi="Calibri" w:cs="Calibri"/>
                <w:color w:val="000000"/>
                <w:sz w:val="22"/>
                <w:szCs w:val="22"/>
              </w:rPr>
              <w:t> </w:t>
            </w:r>
          </w:p>
        </w:tc>
        <w:tc>
          <w:tcPr>
            <w:tcW w:w="3660"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r w:rsidRPr="00D7554B">
              <w:rPr>
                <w:rFonts w:ascii="Calibri" w:hAnsi="Calibri" w:cs="Calibri"/>
                <w:color w:val="000000"/>
                <w:sz w:val="22"/>
                <w:szCs w:val="22"/>
              </w:rPr>
              <w:t>HRA income</w:t>
            </w:r>
          </w:p>
        </w:tc>
        <w:tc>
          <w:tcPr>
            <w:tcW w:w="1429"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200</w:t>
            </w:r>
          </w:p>
        </w:tc>
        <w:tc>
          <w:tcPr>
            <w:tcW w:w="1335"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200</w:t>
            </w:r>
          </w:p>
        </w:tc>
        <w:tc>
          <w:tcPr>
            <w:tcW w:w="1355"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0</w:t>
            </w:r>
          </w:p>
        </w:tc>
        <w:tc>
          <w:tcPr>
            <w:tcW w:w="1060"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0</w:t>
            </w:r>
          </w:p>
        </w:tc>
        <w:tc>
          <w:tcPr>
            <w:tcW w:w="1002" w:type="dxa"/>
            <w:tcBorders>
              <w:top w:val="nil"/>
              <w:left w:val="nil"/>
              <w:bottom w:val="nil"/>
              <w:right w:val="single" w:sz="4" w:space="0" w:color="auto"/>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0</w:t>
            </w:r>
          </w:p>
        </w:tc>
      </w:tr>
      <w:tr w:rsidR="00D7554B" w:rsidRPr="00D7554B" w:rsidTr="00D7554B">
        <w:trPr>
          <w:trHeight w:val="243"/>
        </w:trPr>
        <w:tc>
          <w:tcPr>
            <w:tcW w:w="262" w:type="dxa"/>
            <w:tcBorders>
              <w:top w:val="nil"/>
              <w:left w:val="single" w:sz="4" w:space="0" w:color="auto"/>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r w:rsidRPr="00D7554B">
              <w:rPr>
                <w:rFonts w:ascii="Calibri" w:hAnsi="Calibri" w:cs="Calibri"/>
                <w:color w:val="000000"/>
                <w:sz w:val="22"/>
                <w:szCs w:val="22"/>
              </w:rPr>
              <w:t> </w:t>
            </w:r>
          </w:p>
        </w:tc>
        <w:tc>
          <w:tcPr>
            <w:tcW w:w="3660"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r w:rsidRPr="00D7554B">
              <w:rPr>
                <w:rFonts w:ascii="Calibri" w:hAnsi="Calibri" w:cs="Calibri"/>
                <w:color w:val="000000"/>
                <w:sz w:val="22"/>
                <w:szCs w:val="22"/>
              </w:rPr>
              <w:t>Grant in aid (confirmed)</w:t>
            </w:r>
          </w:p>
        </w:tc>
        <w:tc>
          <w:tcPr>
            <w:tcW w:w="1429"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12,630</w:t>
            </w:r>
          </w:p>
        </w:tc>
        <w:tc>
          <w:tcPr>
            <w:tcW w:w="1335"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12,630</w:t>
            </w:r>
          </w:p>
        </w:tc>
        <w:tc>
          <w:tcPr>
            <w:tcW w:w="1355"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4,070</w:t>
            </w:r>
          </w:p>
        </w:tc>
        <w:tc>
          <w:tcPr>
            <w:tcW w:w="1060"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4,035</w:t>
            </w:r>
          </w:p>
        </w:tc>
        <w:tc>
          <w:tcPr>
            <w:tcW w:w="1002" w:type="dxa"/>
            <w:tcBorders>
              <w:top w:val="nil"/>
              <w:left w:val="nil"/>
              <w:bottom w:val="nil"/>
              <w:right w:val="single" w:sz="4" w:space="0" w:color="auto"/>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(35)</w:t>
            </w:r>
          </w:p>
        </w:tc>
      </w:tr>
      <w:tr w:rsidR="00D7554B" w:rsidRPr="00D7554B" w:rsidTr="00D7554B">
        <w:trPr>
          <w:trHeight w:val="243"/>
        </w:trPr>
        <w:tc>
          <w:tcPr>
            <w:tcW w:w="262" w:type="dxa"/>
            <w:tcBorders>
              <w:top w:val="nil"/>
              <w:left w:val="single" w:sz="4" w:space="0" w:color="auto"/>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r w:rsidRPr="00D7554B">
              <w:rPr>
                <w:rFonts w:ascii="Calibri" w:hAnsi="Calibri" w:cs="Calibri"/>
                <w:color w:val="000000"/>
                <w:sz w:val="22"/>
                <w:szCs w:val="22"/>
              </w:rPr>
              <w:t> </w:t>
            </w:r>
          </w:p>
        </w:tc>
        <w:tc>
          <w:tcPr>
            <w:tcW w:w="3660"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r w:rsidRPr="00D7554B">
              <w:rPr>
                <w:rFonts w:ascii="Calibri" w:hAnsi="Calibri" w:cs="Calibri"/>
                <w:color w:val="000000"/>
                <w:sz w:val="22"/>
                <w:szCs w:val="22"/>
              </w:rPr>
              <w:t>Non cash revenue resource limit</w:t>
            </w:r>
          </w:p>
        </w:tc>
        <w:tc>
          <w:tcPr>
            <w:tcW w:w="1429"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450</w:t>
            </w:r>
          </w:p>
        </w:tc>
        <w:tc>
          <w:tcPr>
            <w:tcW w:w="1335"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450</w:t>
            </w:r>
          </w:p>
        </w:tc>
        <w:tc>
          <w:tcPr>
            <w:tcW w:w="1355"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88</w:t>
            </w:r>
          </w:p>
        </w:tc>
        <w:tc>
          <w:tcPr>
            <w:tcW w:w="1060"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88</w:t>
            </w:r>
          </w:p>
        </w:tc>
        <w:tc>
          <w:tcPr>
            <w:tcW w:w="1002" w:type="dxa"/>
            <w:tcBorders>
              <w:top w:val="nil"/>
              <w:left w:val="nil"/>
              <w:bottom w:val="nil"/>
              <w:right w:val="single" w:sz="4" w:space="0" w:color="auto"/>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0</w:t>
            </w:r>
          </w:p>
        </w:tc>
      </w:tr>
      <w:tr w:rsidR="00D7554B" w:rsidRPr="00D7554B" w:rsidTr="00D7554B">
        <w:trPr>
          <w:trHeight w:val="243"/>
        </w:trPr>
        <w:tc>
          <w:tcPr>
            <w:tcW w:w="262" w:type="dxa"/>
            <w:tcBorders>
              <w:top w:val="nil"/>
              <w:left w:val="single" w:sz="4" w:space="0" w:color="auto"/>
              <w:bottom w:val="nil"/>
              <w:right w:val="nil"/>
            </w:tcBorders>
            <w:shd w:val="clear" w:color="auto" w:fill="auto"/>
            <w:noWrap/>
            <w:vAlign w:val="bottom"/>
            <w:hideMark/>
          </w:tcPr>
          <w:p w:rsidR="00D7554B" w:rsidRPr="00D7554B" w:rsidRDefault="00D7554B" w:rsidP="00D7554B">
            <w:pPr>
              <w:rPr>
                <w:rFonts w:ascii="Calibri" w:hAnsi="Calibri" w:cs="Calibri"/>
                <w:b/>
                <w:bCs/>
                <w:color w:val="000000"/>
                <w:sz w:val="22"/>
                <w:szCs w:val="22"/>
              </w:rPr>
            </w:pPr>
            <w:r w:rsidRPr="00D7554B">
              <w:rPr>
                <w:rFonts w:ascii="Calibri" w:hAnsi="Calibri" w:cs="Calibri"/>
                <w:b/>
                <w:bCs/>
                <w:color w:val="000000"/>
                <w:sz w:val="22"/>
                <w:szCs w:val="22"/>
              </w:rPr>
              <w:t> </w:t>
            </w:r>
          </w:p>
        </w:tc>
        <w:tc>
          <w:tcPr>
            <w:tcW w:w="3660"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b/>
                <w:bCs/>
                <w:color w:val="000000"/>
                <w:sz w:val="22"/>
                <w:szCs w:val="22"/>
              </w:rPr>
            </w:pPr>
            <w:r w:rsidRPr="00D7554B">
              <w:rPr>
                <w:rFonts w:ascii="Calibri" w:hAnsi="Calibri" w:cs="Calibri"/>
                <w:b/>
                <w:bCs/>
                <w:color w:val="000000"/>
                <w:sz w:val="22"/>
                <w:szCs w:val="22"/>
              </w:rPr>
              <w:t>Total</w:t>
            </w:r>
          </w:p>
        </w:tc>
        <w:tc>
          <w:tcPr>
            <w:tcW w:w="1429"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b/>
                <w:bCs/>
                <w:color w:val="000000"/>
                <w:sz w:val="22"/>
                <w:szCs w:val="22"/>
              </w:rPr>
            </w:pPr>
            <w:r w:rsidRPr="00D7554B">
              <w:rPr>
                <w:rFonts w:ascii="Calibri" w:hAnsi="Calibri" w:cs="Calibri"/>
                <w:b/>
                <w:bCs/>
                <w:color w:val="000000"/>
                <w:sz w:val="22"/>
                <w:szCs w:val="22"/>
              </w:rPr>
              <w:t>13,280</w:t>
            </w:r>
          </w:p>
        </w:tc>
        <w:tc>
          <w:tcPr>
            <w:tcW w:w="1335"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b/>
                <w:bCs/>
                <w:color w:val="000000"/>
                <w:sz w:val="22"/>
                <w:szCs w:val="22"/>
              </w:rPr>
            </w:pPr>
            <w:r w:rsidRPr="00D7554B">
              <w:rPr>
                <w:rFonts w:ascii="Calibri" w:hAnsi="Calibri" w:cs="Calibri"/>
                <w:b/>
                <w:bCs/>
                <w:color w:val="000000"/>
                <w:sz w:val="22"/>
                <w:szCs w:val="22"/>
              </w:rPr>
              <w:t>13,280</w:t>
            </w:r>
          </w:p>
        </w:tc>
        <w:tc>
          <w:tcPr>
            <w:tcW w:w="1355"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b/>
                <w:bCs/>
                <w:color w:val="000000"/>
                <w:sz w:val="22"/>
                <w:szCs w:val="22"/>
              </w:rPr>
            </w:pPr>
            <w:r w:rsidRPr="00D7554B">
              <w:rPr>
                <w:rFonts w:ascii="Calibri" w:hAnsi="Calibri" w:cs="Calibri"/>
                <w:b/>
                <w:bCs/>
                <w:color w:val="000000"/>
                <w:sz w:val="22"/>
                <w:szCs w:val="22"/>
              </w:rPr>
              <w:t>4,158</w:t>
            </w:r>
          </w:p>
        </w:tc>
        <w:tc>
          <w:tcPr>
            <w:tcW w:w="1060"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b/>
                <w:bCs/>
                <w:color w:val="000000"/>
                <w:sz w:val="22"/>
                <w:szCs w:val="22"/>
              </w:rPr>
            </w:pPr>
            <w:r w:rsidRPr="00D7554B">
              <w:rPr>
                <w:rFonts w:ascii="Calibri" w:hAnsi="Calibri" w:cs="Calibri"/>
                <w:b/>
                <w:bCs/>
                <w:color w:val="000000"/>
                <w:sz w:val="22"/>
                <w:szCs w:val="22"/>
              </w:rPr>
              <w:t>4,123</w:t>
            </w:r>
          </w:p>
        </w:tc>
        <w:tc>
          <w:tcPr>
            <w:tcW w:w="1002" w:type="dxa"/>
            <w:tcBorders>
              <w:top w:val="nil"/>
              <w:left w:val="nil"/>
              <w:bottom w:val="nil"/>
              <w:right w:val="single" w:sz="4" w:space="0" w:color="auto"/>
            </w:tcBorders>
            <w:shd w:val="clear" w:color="auto" w:fill="auto"/>
            <w:noWrap/>
            <w:vAlign w:val="bottom"/>
            <w:hideMark/>
          </w:tcPr>
          <w:p w:rsidR="00D7554B" w:rsidRPr="00D7554B" w:rsidRDefault="00D7554B" w:rsidP="00D7554B">
            <w:pPr>
              <w:jc w:val="right"/>
              <w:rPr>
                <w:rFonts w:ascii="Calibri" w:hAnsi="Calibri" w:cs="Calibri"/>
                <w:b/>
                <w:bCs/>
                <w:color w:val="000000"/>
                <w:sz w:val="22"/>
                <w:szCs w:val="22"/>
              </w:rPr>
            </w:pPr>
            <w:r w:rsidRPr="00D7554B">
              <w:rPr>
                <w:rFonts w:ascii="Calibri" w:hAnsi="Calibri" w:cs="Calibri"/>
                <w:b/>
                <w:bCs/>
                <w:color w:val="000000"/>
                <w:sz w:val="22"/>
                <w:szCs w:val="22"/>
              </w:rPr>
              <w:t>(35)</w:t>
            </w:r>
          </w:p>
        </w:tc>
      </w:tr>
      <w:tr w:rsidR="00D7554B" w:rsidRPr="00D7554B" w:rsidTr="00D7554B">
        <w:trPr>
          <w:trHeight w:val="243"/>
        </w:trPr>
        <w:tc>
          <w:tcPr>
            <w:tcW w:w="3922" w:type="dxa"/>
            <w:gridSpan w:val="2"/>
            <w:tcBorders>
              <w:top w:val="nil"/>
              <w:left w:val="single" w:sz="4" w:space="0" w:color="auto"/>
              <w:bottom w:val="nil"/>
              <w:right w:val="nil"/>
            </w:tcBorders>
            <w:shd w:val="clear" w:color="auto" w:fill="auto"/>
            <w:noWrap/>
            <w:vAlign w:val="bottom"/>
            <w:hideMark/>
          </w:tcPr>
          <w:p w:rsidR="00D7554B" w:rsidRPr="00D7554B" w:rsidRDefault="00D7554B" w:rsidP="00D7554B">
            <w:pPr>
              <w:rPr>
                <w:rFonts w:ascii="Calibri" w:hAnsi="Calibri" w:cs="Calibri"/>
                <w:b/>
                <w:bCs/>
                <w:color w:val="000000"/>
                <w:sz w:val="22"/>
                <w:szCs w:val="22"/>
              </w:rPr>
            </w:pPr>
            <w:r w:rsidRPr="00D7554B">
              <w:rPr>
                <w:rFonts w:ascii="Calibri" w:hAnsi="Calibri" w:cs="Calibri"/>
                <w:b/>
                <w:bCs/>
                <w:color w:val="000000"/>
                <w:sz w:val="22"/>
                <w:szCs w:val="22"/>
              </w:rPr>
              <w:t>Expenditure</w:t>
            </w:r>
          </w:p>
        </w:tc>
        <w:tc>
          <w:tcPr>
            <w:tcW w:w="1429"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1335"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1355"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1002" w:type="dxa"/>
            <w:tcBorders>
              <w:top w:val="nil"/>
              <w:left w:val="nil"/>
              <w:bottom w:val="nil"/>
              <w:right w:val="single" w:sz="4" w:space="0" w:color="auto"/>
            </w:tcBorders>
            <w:shd w:val="clear" w:color="auto" w:fill="auto"/>
            <w:noWrap/>
            <w:vAlign w:val="bottom"/>
            <w:hideMark/>
          </w:tcPr>
          <w:p w:rsidR="00D7554B" w:rsidRPr="00D7554B" w:rsidRDefault="00D7554B" w:rsidP="00D7554B">
            <w:pPr>
              <w:rPr>
                <w:rFonts w:ascii="Calibri" w:hAnsi="Calibri" w:cs="Calibri"/>
                <w:color w:val="000000"/>
                <w:sz w:val="22"/>
                <w:szCs w:val="22"/>
              </w:rPr>
            </w:pPr>
            <w:r w:rsidRPr="00D7554B">
              <w:rPr>
                <w:rFonts w:ascii="Calibri" w:hAnsi="Calibri" w:cs="Calibri"/>
                <w:color w:val="000000"/>
                <w:sz w:val="22"/>
                <w:szCs w:val="22"/>
              </w:rPr>
              <w:t> </w:t>
            </w:r>
          </w:p>
        </w:tc>
      </w:tr>
      <w:tr w:rsidR="00D7554B" w:rsidRPr="00D7554B" w:rsidTr="00D7554B">
        <w:trPr>
          <w:trHeight w:val="487"/>
        </w:trPr>
        <w:tc>
          <w:tcPr>
            <w:tcW w:w="262" w:type="dxa"/>
            <w:tcBorders>
              <w:top w:val="nil"/>
              <w:left w:val="single" w:sz="4" w:space="0" w:color="auto"/>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r w:rsidRPr="00D7554B">
              <w:rPr>
                <w:rFonts w:ascii="Calibri" w:hAnsi="Calibri" w:cs="Calibri"/>
                <w:color w:val="000000"/>
                <w:sz w:val="22"/>
                <w:szCs w:val="22"/>
              </w:rPr>
              <w:t> </w:t>
            </w:r>
          </w:p>
        </w:tc>
        <w:tc>
          <w:tcPr>
            <w:tcW w:w="3660" w:type="dxa"/>
            <w:tcBorders>
              <w:top w:val="nil"/>
              <w:left w:val="nil"/>
              <w:bottom w:val="nil"/>
              <w:right w:val="nil"/>
            </w:tcBorders>
            <w:shd w:val="clear" w:color="auto" w:fill="auto"/>
            <w:vAlign w:val="bottom"/>
            <w:hideMark/>
          </w:tcPr>
          <w:p w:rsidR="00D7554B" w:rsidRPr="00D7554B" w:rsidRDefault="00D7554B" w:rsidP="00D7554B">
            <w:pPr>
              <w:rPr>
                <w:rFonts w:ascii="Calibri" w:hAnsi="Calibri" w:cs="Calibri"/>
                <w:color w:val="000000"/>
                <w:sz w:val="22"/>
                <w:szCs w:val="22"/>
              </w:rPr>
            </w:pPr>
            <w:r w:rsidRPr="00D7554B">
              <w:rPr>
                <w:rFonts w:ascii="Calibri" w:hAnsi="Calibri" w:cs="Calibri"/>
                <w:color w:val="000000"/>
                <w:sz w:val="22"/>
                <w:szCs w:val="22"/>
                <w:u w:val="single"/>
              </w:rPr>
              <w:t xml:space="preserve">Operations </w:t>
            </w:r>
            <w:r w:rsidRPr="00D7554B">
              <w:rPr>
                <w:rFonts w:ascii="Calibri" w:hAnsi="Calibri" w:cs="Calibri"/>
                <w:color w:val="000000"/>
                <w:sz w:val="22"/>
                <w:szCs w:val="22"/>
              </w:rPr>
              <w:t xml:space="preserve"> -Research Ethics Service England </w:t>
            </w:r>
          </w:p>
        </w:tc>
        <w:tc>
          <w:tcPr>
            <w:tcW w:w="1429"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4,021</w:t>
            </w:r>
          </w:p>
        </w:tc>
        <w:tc>
          <w:tcPr>
            <w:tcW w:w="1335"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4,021</w:t>
            </w:r>
          </w:p>
        </w:tc>
        <w:tc>
          <w:tcPr>
            <w:tcW w:w="1355"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1,341</w:t>
            </w:r>
          </w:p>
        </w:tc>
        <w:tc>
          <w:tcPr>
            <w:tcW w:w="1060"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1,351</w:t>
            </w:r>
          </w:p>
        </w:tc>
        <w:tc>
          <w:tcPr>
            <w:tcW w:w="1002" w:type="dxa"/>
            <w:tcBorders>
              <w:top w:val="nil"/>
              <w:left w:val="nil"/>
              <w:bottom w:val="nil"/>
              <w:right w:val="single" w:sz="4" w:space="0" w:color="auto"/>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10</w:t>
            </w:r>
          </w:p>
        </w:tc>
      </w:tr>
      <w:tr w:rsidR="00D7554B" w:rsidRPr="00D7554B" w:rsidTr="00D7554B">
        <w:trPr>
          <w:trHeight w:val="730"/>
        </w:trPr>
        <w:tc>
          <w:tcPr>
            <w:tcW w:w="262" w:type="dxa"/>
            <w:tcBorders>
              <w:top w:val="nil"/>
              <w:left w:val="single" w:sz="4" w:space="0" w:color="auto"/>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r w:rsidRPr="00D7554B">
              <w:rPr>
                <w:rFonts w:ascii="Calibri" w:hAnsi="Calibri" w:cs="Calibri"/>
                <w:color w:val="000000"/>
                <w:sz w:val="22"/>
                <w:szCs w:val="22"/>
              </w:rPr>
              <w:t> </w:t>
            </w:r>
          </w:p>
        </w:tc>
        <w:tc>
          <w:tcPr>
            <w:tcW w:w="3660" w:type="dxa"/>
            <w:tcBorders>
              <w:top w:val="nil"/>
              <w:left w:val="nil"/>
              <w:bottom w:val="nil"/>
              <w:right w:val="nil"/>
            </w:tcBorders>
            <w:shd w:val="clear" w:color="auto" w:fill="auto"/>
            <w:vAlign w:val="bottom"/>
            <w:hideMark/>
          </w:tcPr>
          <w:p w:rsidR="00D7554B" w:rsidRPr="00D7554B" w:rsidRDefault="00D7554B" w:rsidP="00D7554B">
            <w:pPr>
              <w:rPr>
                <w:rFonts w:ascii="Calibri" w:hAnsi="Calibri" w:cs="Calibri"/>
                <w:color w:val="000000"/>
                <w:sz w:val="22"/>
                <w:szCs w:val="22"/>
              </w:rPr>
            </w:pPr>
            <w:r w:rsidRPr="00D7554B">
              <w:rPr>
                <w:rFonts w:ascii="Calibri" w:hAnsi="Calibri" w:cs="Calibri"/>
                <w:color w:val="000000"/>
                <w:sz w:val="22"/>
                <w:szCs w:val="22"/>
                <w:u w:val="single"/>
              </w:rPr>
              <w:t>Chief Exec</w:t>
            </w:r>
            <w:r w:rsidRPr="00D7554B">
              <w:rPr>
                <w:rFonts w:ascii="Calibri" w:hAnsi="Calibri" w:cs="Calibri"/>
                <w:color w:val="000000"/>
                <w:sz w:val="22"/>
                <w:szCs w:val="22"/>
              </w:rPr>
              <w:t xml:space="preserve"> - team, board,  corporate secretary, quality assurance and policy</w:t>
            </w:r>
          </w:p>
        </w:tc>
        <w:tc>
          <w:tcPr>
            <w:tcW w:w="1429"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1,986</w:t>
            </w:r>
          </w:p>
        </w:tc>
        <w:tc>
          <w:tcPr>
            <w:tcW w:w="1335"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1,998</w:t>
            </w:r>
          </w:p>
        </w:tc>
        <w:tc>
          <w:tcPr>
            <w:tcW w:w="1355"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571</w:t>
            </w:r>
          </w:p>
        </w:tc>
        <w:tc>
          <w:tcPr>
            <w:tcW w:w="1060"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579</w:t>
            </w:r>
          </w:p>
        </w:tc>
        <w:tc>
          <w:tcPr>
            <w:tcW w:w="1002" w:type="dxa"/>
            <w:tcBorders>
              <w:top w:val="nil"/>
              <w:left w:val="nil"/>
              <w:bottom w:val="nil"/>
              <w:right w:val="single" w:sz="4" w:space="0" w:color="auto"/>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8</w:t>
            </w:r>
          </w:p>
        </w:tc>
      </w:tr>
      <w:tr w:rsidR="00D7554B" w:rsidRPr="00D7554B" w:rsidTr="00D7554B">
        <w:trPr>
          <w:trHeight w:val="1106"/>
        </w:trPr>
        <w:tc>
          <w:tcPr>
            <w:tcW w:w="262" w:type="dxa"/>
            <w:tcBorders>
              <w:top w:val="nil"/>
              <w:left w:val="single" w:sz="4" w:space="0" w:color="auto"/>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r w:rsidRPr="00D7554B">
              <w:rPr>
                <w:rFonts w:ascii="Calibri" w:hAnsi="Calibri" w:cs="Calibri"/>
                <w:color w:val="000000"/>
                <w:sz w:val="22"/>
                <w:szCs w:val="22"/>
              </w:rPr>
              <w:t> </w:t>
            </w:r>
          </w:p>
        </w:tc>
        <w:tc>
          <w:tcPr>
            <w:tcW w:w="3660" w:type="dxa"/>
            <w:tcBorders>
              <w:top w:val="nil"/>
              <w:left w:val="nil"/>
              <w:bottom w:val="nil"/>
              <w:right w:val="nil"/>
            </w:tcBorders>
            <w:shd w:val="clear" w:color="auto" w:fill="auto"/>
            <w:vAlign w:val="bottom"/>
            <w:hideMark/>
          </w:tcPr>
          <w:p w:rsidR="00D7554B" w:rsidRPr="00D7554B" w:rsidRDefault="00D7554B" w:rsidP="00D7554B">
            <w:pPr>
              <w:rPr>
                <w:rFonts w:ascii="Calibri" w:hAnsi="Calibri" w:cs="Calibri"/>
                <w:color w:val="000000"/>
                <w:sz w:val="22"/>
                <w:szCs w:val="22"/>
              </w:rPr>
            </w:pPr>
            <w:r w:rsidRPr="00D7554B">
              <w:rPr>
                <w:rFonts w:ascii="Calibri" w:hAnsi="Calibri" w:cs="Calibri"/>
                <w:color w:val="000000"/>
                <w:sz w:val="22"/>
                <w:szCs w:val="22"/>
                <w:u w:val="single"/>
              </w:rPr>
              <w:t>Corporate Services</w:t>
            </w:r>
            <w:r w:rsidRPr="00D7554B">
              <w:rPr>
                <w:rFonts w:ascii="Calibri" w:hAnsi="Calibri" w:cs="Calibri"/>
                <w:color w:val="000000"/>
                <w:sz w:val="22"/>
                <w:szCs w:val="22"/>
              </w:rPr>
              <w:t xml:space="preserve">  </w:t>
            </w:r>
            <w:proofErr w:type="spellStart"/>
            <w:r w:rsidRPr="00D7554B">
              <w:rPr>
                <w:rFonts w:ascii="Calibri" w:hAnsi="Calibri" w:cs="Calibri"/>
                <w:color w:val="000000"/>
                <w:sz w:val="22"/>
                <w:szCs w:val="22"/>
              </w:rPr>
              <w:t>incl</w:t>
            </w:r>
            <w:proofErr w:type="spellEnd"/>
            <w:r w:rsidRPr="00D7554B">
              <w:rPr>
                <w:rFonts w:ascii="Calibri" w:hAnsi="Calibri" w:cs="Calibri"/>
                <w:color w:val="000000"/>
                <w:sz w:val="22"/>
                <w:szCs w:val="22"/>
              </w:rPr>
              <w:t xml:space="preserve"> communications, staff training, public involvement, programme office, HR services, IT contract</w:t>
            </w:r>
          </w:p>
        </w:tc>
        <w:tc>
          <w:tcPr>
            <w:tcW w:w="1429"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1,812</w:t>
            </w:r>
          </w:p>
        </w:tc>
        <w:tc>
          <w:tcPr>
            <w:tcW w:w="1335"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1,812</w:t>
            </w:r>
          </w:p>
        </w:tc>
        <w:tc>
          <w:tcPr>
            <w:tcW w:w="1355"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602</w:t>
            </w:r>
          </w:p>
        </w:tc>
        <w:tc>
          <w:tcPr>
            <w:tcW w:w="1060"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606</w:t>
            </w:r>
          </w:p>
        </w:tc>
        <w:tc>
          <w:tcPr>
            <w:tcW w:w="1002" w:type="dxa"/>
            <w:tcBorders>
              <w:top w:val="nil"/>
              <w:left w:val="nil"/>
              <w:bottom w:val="nil"/>
              <w:right w:val="single" w:sz="4" w:space="0" w:color="auto"/>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4</w:t>
            </w:r>
          </w:p>
        </w:tc>
      </w:tr>
      <w:tr w:rsidR="00D7554B" w:rsidRPr="00D7554B" w:rsidTr="00D7554B">
        <w:trPr>
          <w:trHeight w:val="487"/>
        </w:trPr>
        <w:tc>
          <w:tcPr>
            <w:tcW w:w="262" w:type="dxa"/>
            <w:tcBorders>
              <w:top w:val="nil"/>
              <w:left w:val="single" w:sz="4" w:space="0" w:color="auto"/>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r w:rsidRPr="00D7554B">
              <w:rPr>
                <w:rFonts w:ascii="Calibri" w:hAnsi="Calibri" w:cs="Calibri"/>
                <w:color w:val="000000"/>
                <w:sz w:val="22"/>
                <w:szCs w:val="22"/>
              </w:rPr>
              <w:t> </w:t>
            </w:r>
          </w:p>
        </w:tc>
        <w:tc>
          <w:tcPr>
            <w:tcW w:w="3660" w:type="dxa"/>
            <w:tcBorders>
              <w:top w:val="nil"/>
              <w:left w:val="nil"/>
              <w:bottom w:val="nil"/>
              <w:right w:val="nil"/>
            </w:tcBorders>
            <w:shd w:val="clear" w:color="auto" w:fill="auto"/>
            <w:vAlign w:val="bottom"/>
            <w:hideMark/>
          </w:tcPr>
          <w:p w:rsidR="00D7554B" w:rsidRPr="00D7554B" w:rsidRDefault="00D7554B" w:rsidP="00D7554B">
            <w:pPr>
              <w:rPr>
                <w:rFonts w:ascii="Calibri" w:hAnsi="Calibri" w:cs="Calibri"/>
                <w:color w:val="000000"/>
                <w:sz w:val="22"/>
                <w:szCs w:val="22"/>
              </w:rPr>
            </w:pPr>
            <w:r w:rsidRPr="00D7554B">
              <w:rPr>
                <w:rFonts w:ascii="Calibri" w:hAnsi="Calibri" w:cs="Calibri"/>
                <w:color w:val="000000"/>
                <w:sz w:val="22"/>
                <w:szCs w:val="22"/>
                <w:u w:val="single"/>
              </w:rPr>
              <w:t>Finance, Procurement and Estates</w:t>
            </w:r>
            <w:r w:rsidRPr="00D7554B">
              <w:rPr>
                <w:rFonts w:ascii="Calibri" w:hAnsi="Calibri" w:cs="Calibri"/>
                <w:color w:val="000000"/>
                <w:sz w:val="22"/>
                <w:szCs w:val="22"/>
              </w:rPr>
              <w:t xml:space="preserve"> and Reserves</w:t>
            </w:r>
          </w:p>
        </w:tc>
        <w:tc>
          <w:tcPr>
            <w:tcW w:w="1429"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1,315</w:t>
            </w:r>
          </w:p>
        </w:tc>
        <w:tc>
          <w:tcPr>
            <w:tcW w:w="1335"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1,275</w:t>
            </w:r>
          </w:p>
        </w:tc>
        <w:tc>
          <w:tcPr>
            <w:tcW w:w="1355"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240</w:t>
            </w:r>
          </w:p>
        </w:tc>
        <w:tc>
          <w:tcPr>
            <w:tcW w:w="1060"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232</w:t>
            </w:r>
          </w:p>
        </w:tc>
        <w:tc>
          <w:tcPr>
            <w:tcW w:w="1002" w:type="dxa"/>
            <w:tcBorders>
              <w:top w:val="nil"/>
              <w:left w:val="nil"/>
              <w:bottom w:val="nil"/>
              <w:right w:val="single" w:sz="4" w:space="0" w:color="auto"/>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(8)</w:t>
            </w:r>
          </w:p>
        </w:tc>
      </w:tr>
      <w:tr w:rsidR="00D7554B" w:rsidRPr="00D7554B" w:rsidTr="00D7554B">
        <w:trPr>
          <w:trHeight w:val="974"/>
        </w:trPr>
        <w:tc>
          <w:tcPr>
            <w:tcW w:w="262" w:type="dxa"/>
            <w:tcBorders>
              <w:top w:val="nil"/>
              <w:left w:val="single" w:sz="4" w:space="0" w:color="auto"/>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r w:rsidRPr="00D7554B">
              <w:rPr>
                <w:rFonts w:ascii="Calibri" w:hAnsi="Calibri" w:cs="Calibri"/>
                <w:color w:val="000000"/>
                <w:sz w:val="22"/>
                <w:szCs w:val="22"/>
              </w:rPr>
              <w:t> </w:t>
            </w:r>
          </w:p>
        </w:tc>
        <w:tc>
          <w:tcPr>
            <w:tcW w:w="3660" w:type="dxa"/>
            <w:tcBorders>
              <w:top w:val="nil"/>
              <w:left w:val="nil"/>
              <w:bottom w:val="nil"/>
              <w:right w:val="nil"/>
            </w:tcBorders>
            <w:shd w:val="clear" w:color="auto" w:fill="auto"/>
            <w:vAlign w:val="bottom"/>
            <w:hideMark/>
          </w:tcPr>
          <w:p w:rsidR="00D7554B" w:rsidRPr="00D7554B" w:rsidRDefault="00D7554B" w:rsidP="00D7554B">
            <w:pPr>
              <w:rPr>
                <w:rFonts w:ascii="Calibri" w:hAnsi="Calibri" w:cs="Calibri"/>
                <w:color w:val="000000"/>
                <w:sz w:val="22"/>
                <w:szCs w:val="22"/>
              </w:rPr>
            </w:pPr>
            <w:r w:rsidRPr="00D7554B">
              <w:rPr>
                <w:rFonts w:ascii="Calibri" w:hAnsi="Calibri" w:cs="Calibri"/>
                <w:color w:val="000000"/>
                <w:sz w:val="22"/>
                <w:szCs w:val="22"/>
                <w:u w:val="single"/>
              </w:rPr>
              <w:t xml:space="preserve">Research </w:t>
            </w:r>
            <w:proofErr w:type="spellStart"/>
            <w:r w:rsidRPr="00D7554B">
              <w:rPr>
                <w:rFonts w:ascii="Calibri" w:hAnsi="Calibri" w:cs="Calibri"/>
                <w:color w:val="000000"/>
                <w:sz w:val="22"/>
                <w:szCs w:val="22"/>
                <w:u w:val="single"/>
              </w:rPr>
              <w:t>Systems,Standards</w:t>
            </w:r>
            <w:proofErr w:type="spellEnd"/>
            <w:r w:rsidRPr="00D7554B">
              <w:rPr>
                <w:rFonts w:ascii="Calibri" w:hAnsi="Calibri" w:cs="Calibri"/>
                <w:color w:val="000000"/>
                <w:sz w:val="22"/>
                <w:szCs w:val="22"/>
                <w:u w:val="single"/>
              </w:rPr>
              <w:t xml:space="preserve"> and HRA Approval Programme</w:t>
            </w:r>
            <w:r w:rsidRPr="00D7554B">
              <w:rPr>
                <w:rFonts w:ascii="Calibri" w:hAnsi="Calibri" w:cs="Calibri"/>
                <w:color w:val="000000"/>
                <w:sz w:val="22"/>
                <w:szCs w:val="22"/>
              </w:rPr>
              <w:t xml:space="preserve"> activity, Guidance advice and learning and CAG</w:t>
            </w:r>
          </w:p>
        </w:tc>
        <w:tc>
          <w:tcPr>
            <w:tcW w:w="1429"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4,146</w:t>
            </w:r>
          </w:p>
        </w:tc>
        <w:tc>
          <w:tcPr>
            <w:tcW w:w="1335"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4,174</w:t>
            </w:r>
          </w:p>
        </w:tc>
        <w:tc>
          <w:tcPr>
            <w:tcW w:w="1355"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1,404</w:t>
            </w:r>
          </w:p>
        </w:tc>
        <w:tc>
          <w:tcPr>
            <w:tcW w:w="1060"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1,355</w:t>
            </w:r>
          </w:p>
        </w:tc>
        <w:tc>
          <w:tcPr>
            <w:tcW w:w="1002" w:type="dxa"/>
            <w:tcBorders>
              <w:top w:val="nil"/>
              <w:left w:val="nil"/>
              <w:bottom w:val="nil"/>
              <w:right w:val="single" w:sz="4" w:space="0" w:color="auto"/>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(49)</w:t>
            </w:r>
          </w:p>
        </w:tc>
      </w:tr>
      <w:tr w:rsidR="00D7554B" w:rsidRPr="00D7554B" w:rsidTr="00D7554B">
        <w:trPr>
          <w:trHeight w:val="243"/>
        </w:trPr>
        <w:tc>
          <w:tcPr>
            <w:tcW w:w="262" w:type="dxa"/>
            <w:tcBorders>
              <w:top w:val="nil"/>
              <w:left w:val="single" w:sz="4" w:space="0" w:color="auto"/>
              <w:bottom w:val="nil"/>
              <w:right w:val="nil"/>
            </w:tcBorders>
            <w:shd w:val="clear" w:color="auto" w:fill="auto"/>
            <w:noWrap/>
            <w:vAlign w:val="bottom"/>
            <w:hideMark/>
          </w:tcPr>
          <w:p w:rsidR="00D7554B" w:rsidRPr="00D7554B" w:rsidRDefault="00D7554B" w:rsidP="00D7554B">
            <w:pPr>
              <w:rPr>
                <w:rFonts w:ascii="Calibri" w:hAnsi="Calibri" w:cs="Calibri"/>
                <w:b/>
                <w:bCs/>
                <w:color w:val="000000"/>
                <w:sz w:val="22"/>
                <w:szCs w:val="22"/>
              </w:rPr>
            </w:pPr>
            <w:r w:rsidRPr="00D7554B">
              <w:rPr>
                <w:rFonts w:ascii="Calibri" w:hAnsi="Calibri" w:cs="Calibri"/>
                <w:b/>
                <w:bCs/>
                <w:color w:val="000000"/>
                <w:sz w:val="22"/>
                <w:szCs w:val="22"/>
              </w:rPr>
              <w:t> </w:t>
            </w:r>
          </w:p>
        </w:tc>
        <w:tc>
          <w:tcPr>
            <w:tcW w:w="3660"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b/>
                <w:bCs/>
                <w:color w:val="000000"/>
                <w:sz w:val="22"/>
                <w:szCs w:val="22"/>
              </w:rPr>
            </w:pPr>
            <w:r w:rsidRPr="00D7554B">
              <w:rPr>
                <w:rFonts w:ascii="Calibri" w:hAnsi="Calibri" w:cs="Calibri"/>
                <w:b/>
                <w:bCs/>
                <w:color w:val="000000"/>
                <w:sz w:val="22"/>
                <w:szCs w:val="22"/>
              </w:rPr>
              <w:t>Total</w:t>
            </w:r>
          </w:p>
        </w:tc>
        <w:tc>
          <w:tcPr>
            <w:tcW w:w="1429"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b/>
                <w:bCs/>
                <w:color w:val="000000"/>
                <w:sz w:val="22"/>
                <w:szCs w:val="22"/>
              </w:rPr>
            </w:pPr>
            <w:r w:rsidRPr="00D7554B">
              <w:rPr>
                <w:rFonts w:ascii="Calibri" w:hAnsi="Calibri" w:cs="Calibri"/>
                <w:b/>
                <w:bCs/>
                <w:color w:val="000000"/>
                <w:sz w:val="22"/>
                <w:szCs w:val="22"/>
              </w:rPr>
              <w:t>13,280</w:t>
            </w:r>
          </w:p>
        </w:tc>
        <w:tc>
          <w:tcPr>
            <w:tcW w:w="1335"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b/>
                <w:bCs/>
                <w:color w:val="000000"/>
                <w:sz w:val="22"/>
                <w:szCs w:val="22"/>
              </w:rPr>
            </w:pPr>
            <w:r w:rsidRPr="00D7554B">
              <w:rPr>
                <w:rFonts w:ascii="Calibri" w:hAnsi="Calibri" w:cs="Calibri"/>
                <w:b/>
                <w:bCs/>
                <w:color w:val="000000"/>
                <w:sz w:val="22"/>
                <w:szCs w:val="22"/>
              </w:rPr>
              <w:t>13,280</w:t>
            </w:r>
          </w:p>
        </w:tc>
        <w:tc>
          <w:tcPr>
            <w:tcW w:w="1355"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b/>
                <w:bCs/>
                <w:color w:val="000000"/>
                <w:sz w:val="22"/>
                <w:szCs w:val="22"/>
              </w:rPr>
            </w:pPr>
            <w:r w:rsidRPr="00D7554B">
              <w:rPr>
                <w:rFonts w:ascii="Calibri" w:hAnsi="Calibri" w:cs="Calibri"/>
                <w:b/>
                <w:bCs/>
                <w:color w:val="000000"/>
                <w:sz w:val="22"/>
                <w:szCs w:val="22"/>
              </w:rPr>
              <w:t>4,158</w:t>
            </w:r>
          </w:p>
        </w:tc>
        <w:tc>
          <w:tcPr>
            <w:tcW w:w="1060"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b/>
                <w:bCs/>
                <w:color w:val="000000"/>
                <w:sz w:val="22"/>
                <w:szCs w:val="22"/>
              </w:rPr>
            </w:pPr>
            <w:r w:rsidRPr="00D7554B">
              <w:rPr>
                <w:rFonts w:ascii="Calibri" w:hAnsi="Calibri" w:cs="Calibri"/>
                <w:b/>
                <w:bCs/>
                <w:color w:val="000000"/>
                <w:sz w:val="22"/>
                <w:szCs w:val="22"/>
              </w:rPr>
              <w:t>4,123</w:t>
            </w:r>
          </w:p>
        </w:tc>
        <w:tc>
          <w:tcPr>
            <w:tcW w:w="1002" w:type="dxa"/>
            <w:tcBorders>
              <w:top w:val="nil"/>
              <w:left w:val="nil"/>
              <w:bottom w:val="nil"/>
              <w:right w:val="single" w:sz="4" w:space="0" w:color="auto"/>
            </w:tcBorders>
            <w:shd w:val="clear" w:color="auto" w:fill="auto"/>
            <w:noWrap/>
            <w:vAlign w:val="bottom"/>
            <w:hideMark/>
          </w:tcPr>
          <w:p w:rsidR="00D7554B" w:rsidRPr="00D7554B" w:rsidRDefault="00D7554B" w:rsidP="00D7554B">
            <w:pPr>
              <w:jc w:val="right"/>
              <w:rPr>
                <w:rFonts w:ascii="Calibri" w:hAnsi="Calibri" w:cs="Calibri"/>
                <w:b/>
                <w:bCs/>
                <w:color w:val="000000"/>
                <w:sz w:val="22"/>
                <w:szCs w:val="22"/>
              </w:rPr>
            </w:pPr>
            <w:r w:rsidRPr="00D7554B">
              <w:rPr>
                <w:rFonts w:ascii="Calibri" w:hAnsi="Calibri" w:cs="Calibri"/>
                <w:b/>
                <w:bCs/>
                <w:color w:val="000000"/>
                <w:sz w:val="22"/>
                <w:szCs w:val="22"/>
              </w:rPr>
              <w:t>(35)</w:t>
            </w:r>
          </w:p>
        </w:tc>
      </w:tr>
      <w:tr w:rsidR="00D7554B" w:rsidRPr="00D7554B" w:rsidTr="00D7554B">
        <w:trPr>
          <w:trHeight w:val="243"/>
        </w:trPr>
        <w:tc>
          <w:tcPr>
            <w:tcW w:w="262" w:type="dxa"/>
            <w:tcBorders>
              <w:top w:val="nil"/>
              <w:left w:val="single" w:sz="4" w:space="0" w:color="auto"/>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r w:rsidRPr="00D7554B">
              <w:rPr>
                <w:rFonts w:ascii="Calibri" w:hAnsi="Calibri" w:cs="Calibri"/>
                <w:color w:val="000000"/>
                <w:sz w:val="22"/>
                <w:szCs w:val="22"/>
              </w:rPr>
              <w:t> </w:t>
            </w:r>
          </w:p>
        </w:tc>
        <w:tc>
          <w:tcPr>
            <w:tcW w:w="3660"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1429"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1335"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1355"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1002" w:type="dxa"/>
            <w:tcBorders>
              <w:top w:val="nil"/>
              <w:left w:val="nil"/>
              <w:bottom w:val="nil"/>
              <w:right w:val="single" w:sz="4" w:space="0" w:color="auto"/>
            </w:tcBorders>
            <w:shd w:val="clear" w:color="auto" w:fill="auto"/>
            <w:noWrap/>
            <w:vAlign w:val="bottom"/>
            <w:hideMark/>
          </w:tcPr>
          <w:p w:rsidR="00D7554B" w:rsidRPr="00D7554B" w:rsidRDefault="00D7554B" w:rsidP="00D7554B">
            <w:pPr>
              <w:rPr>
                <w:rFonts w:ascii="Calibri" w:hAnsi="Calibri" w:cs="Calibri"/>
                <w:color w:val="000000"/>
                <w:sz w:val="22"/>
                <w:szCs w:val="22"/>
              </w:rPr>
            </w:pPr>
            <w:r w:rsidRPr="00D7554B">
              <w:rPr>
                <w:rFonts w:ascii="Calibri" w:hAnsi="Calibri" w:cs="Calibri"/>
                <w:color w:val="000000"/>
                <w:sz w:val="22"/>
                <w:szCs w:val="22"/>
              </w:rPr>
              <w:t> </w:t>
            </w:r>
          </w:p>
        </w:tc>
      </w:tr>
      <w:tr w:rsidR="00D7554B" w:rsidRPr="00D7554B" w:rsidTr="00D7554B">
        <w:trPr>
          <w:trHeight w:val="243"/>
        </w:trPr>
        <w:tc>
          <w:tcPr>
            <w:tcW w:w="3922" w:type="dxa"/>
            <w:gridSpan w:val="2"/>
            <w:tcBorders>
              <w:top w:val="nil"/>
              <w:left w:val="single" w:sz="4" w:space="0" w:color="auto"/>
              <w:bottom w:val="single" w:sz="4" w:space="0" w:color="auto"/>
              <w:right w:val="nil"/>
            </w:tcBorders>
            <w:shd w:val="clear" w:color="auto" w:fill="auto"/>
            <w:noWrap/>
            <w:vAlign w:val="bottom"/>
            <w:hideMark/>
          </w:tcPr>
          <w:p w:rsidR="00D7554B" w:rsidRPr="00D7554B" w:rsidRDefault="00D7554B" w:rsidP="00D7554B">
            <w:pPr>
              <w:rPr>
                <w:rFonts w:ascii="Calibri" w:hAnsi="Calibri" w:cs="Calibri"/>
                <w:b/>
                <w:bCs/>
                <w:color w:val="000000"/>
                <w:sz w:val="22"/>
                <w:szCs w:val="22"/>
              </w:rPr>
            </w:pPr>
            <w:r w:rsidRPr="00D7554B">
              <w:rPr>
                <w:rFonts w:ascii="Calibri" w:hAnsi="Calibri" w:cs="Calibri"/>
                <w:b/>
                <w:bCs/>
                <w:color w:val="000000"/>
                <w:sz w:val="22"/>
                <w:szCs w:val="22"/>
              </w:rPr>
              <w:t>Surplus/(Deficit)</w:t>
            </w:r>
          </w:p>
        </w:tc>
        <w:tc>
          <w:tcPr>
            <w:tcW w:w="1429" w:type="dxa"/>
            <w:tcBorders>
              <w:top w:val="nil"/>
              <w:left w:val="nil"/>
              <w:bottom w:val="single" w:sz="4" w:space="0" w:color="auto"/>
              <w:right w:val="nil"/>
            </w:tcBorders>
            <w:shd w:val="clear" w:color="auto" w:fill="auto"/>
            <w:noWrap/>
            <w:vAlign w:val="bottom"/>
            <w:hideMark/>
          </w:tcPr>
          <w:p w:rsidR="00D7554B" w:rsidRPr="00D7554B" w:rsidRDefault="00D7554B" w:rsidP="00D7554B">
            <w:pPr>
              <w:jc w:val="right"/>
              <w:rPr>
                <w:rFonts w:ascii="Calibri" w:hAnsi="Calibri" w:cs="Calibri"/>
                <w:b/>
                <w:bCs/>
                <w:color w:val="000000"/>
                <w:sz w:val="22"/>
                <w:szCs w:val="22"/>
              </w:rPr>
            </w:pPr>
            <w:r w:rsidRPr="00D7554B">
              <w:rPr>
                <w:rFonts w:ascii="Calibri" w:hAnsi="Calibri" w:cs="Calibri"/>
                <w:b/>
                <w:bCs/>
                <w:color w:val="000000"/>
                <w:sz w:val="22"/>
                <w:szCs w:val="22"/>
              </w:rPr>
              <w:t>0</w:t>
            </w:r>
          </w:p>
        </w:tc>
        <w:tc>
          <w:tcPr>
            <w:tcW w:w="1335" w:type="dxa"/>
            <w:tcBorders>
              <w:top w:val="nil"/>
              <w:left w:val="nil"/>
              <w:bottom w:val="single" w:sz="4" w:space="0" w:color="auto"/>
              <w:right w:val="nil"/>
            </w:tcBorders>
            <w:shd w:val="clear" w:color="auto" w:fill="auto"/>
            <w:noWrap/>
            <w:vAlign w:val="bottom"/>
            <w:hideMark/>
          </w:tcPr>
          <w:p w:rsidR="00D7554B" w:rsidRPr="00D7554B" w:rsidRDefault="00D7554B" w:rsidP="00D7554B">
            <w:pPr>
              <w:jc w:val="right"/>
              <w:rPr>
                <w:rFonts w:ascii="Calibri" w:hAnsi="Calibri" w:cs="Calibri"/>
                <w:b/>
                <w:bCs/>
                <w:color w:val="000000"/>
                <w:sz w:val="22"/>
                <w:szCs w:val="22"/>
              </w:rPr>
            </w:pPr>
            <w:r w:rsidRPr="00D7554B">
              <w:rPr>
                <w:rFonts w:ascii="Calibri" w:hAnsi="Calibri" w:cs="Calibri"/>
                <w:b/>
                <w:bCs/>
                <w:color w:val="000000"/>
                <w:sz w:val="22"/>
                <w:szCs w:val="22"/>
              </w:rPr>
              <w:t>0</w:t>
            </w:r>
          </w:p>
        </w:tc>
        <w:tc>
          <w:tcPr>
            <w:tcW w:w="1355" w:type="dxa"/>
            <w:tcBorders>
              <w:top w:val="nil"/>
              <w:left w:val="nil"/>
              <w:bottom w:val="single" w:sz="4" w:space="0" w:color="auto"/>
              <w:right w:val="nil"/>
            </w:tcBorders>
            <w:shd w:val="clear" w:color="auto" w:fill="auto"/>
            <w:noWrap/>
            <w:vAlign w:val="bottom"/>
            <w:hideMark/>
          </w:tcPr>
          <w:p w:rsidR="00D7554B" w:rsidRPr="00D7554B" w:rsidRDefault="00D7554B" w:rsidP="00D7554B">
            <w:pPr>
              <w:jc w:val="right"/>
              <w:rPr>
                <w:rFonts w:ascii="Calibri" w:hAnsi="Calibri" w:cs="Calibri"/>
                <w:b/>
                <w:bCs/>
                <w:color w:val="000000"/>
                <w:sz w:val="22"/>
                <w:szCs w:val="22"/>
              </w:rPr>
            </w:pPr>
            <w:r w:rsidRPr="00D7554B">
              <w:rPr>
                <w:rFonts w:ascii="Calibri" w:hAnsi="Calibri" w:cs="Calibri"/>
                <w:b/>
                <w:bCs/>
                <w:color w:val="000000"/>
                <w:sz w:val="22"/>
                <w:szCs w:val="22"/>
              </w:rPr>
              <w:t>0</w:t>
            </w:r>
          </w:p>
        </w:tc>
        <w:tc>
          <w:tcPr>
            <w:tcW w:w="1060" w:type="dxa"/>
            <w:tcBorders>
              <w:top w:val="nil"/>
              <w:left w:val="nil"/>
              <w:bottom w:val="single" w:sz="4" w:space="0" w:color="auto"/>
              <w:right w:val="nil"/>
            </w:tcBorders>
            <w:shd w:val="clear" w:color="auto" w:fill="auto"/>
            <w:noWrap/>
            <w:vAlign w:val="bottom"/>
            <w:hideMark/>
          </w:tcPr>
          <w:p w:rsidR="00D7554B" w:rsidRPr="00D7554B" w:rsidRDefault="00D7554B" w:rsidP="00D7554B">
            <w:pPr>
              <w:jc w:val="right"/>
              <w:rPr>
                <w:rFonts w:ascii="Calibri" w:hAnsi="Calibri" w:cs="Calibri"/>
                <w:b/>
                <w:bCs/>
                <w:color w:val="000000"/>
                <w:sz w:val="22"/>
                <w:szCs w:val="22"/>
              </w:rPr>
            </w:pPr>
            <w:r w:rsidRPr="00D7554B">
              <w:rPr>
                <w:rFonts w:ascii="Calibri" w:hAnsi="Calibri" w:cs="Calibri"/>
                <w:b/>
                <w:bCs/>
                <w:color w:val="000000"/>
                <w:sz w:val="22"/>
                <w:szCs w:val="22"/>
              </w:rPr>
              <w:t>0</w:t>
            </w:r>
          </w:p>
        </w:tc>
        <w:tc>
          <w:tcPr>
            <w:tcW w:w="1002" w:type="dxa"/>
            <w:tcBorders>
              <w:top w:val="nil"/>
              <w:left w:val="nil"/>
              <w:bottom w:val="single" w:sz="4" w:space="0" w:color="auto"/>
              <w:right w:val="single" w:sz="4" w:space="0" w:color="auto"/>
            </w:tcBorders>
            <w:shd w:val="clear" w:color="auto" w:fill="auto"/>
            <w:noWrap/>
            <w:vAlign w:val="bottom"/>
            <w:hideMark/>
          </w:tcPr>
          <w:p w:rsidR="00D7554B" w:rsidRPr="00D7554B" w:rsidRDefault="00D7554B" w:rsidP="00D7554B">
            <w:pPr>
              <w:jc w:val="right"/>
              <w:rPr>
                <w:rFonts w:ascii="Calibri" w:hAnsi="Calibri" w:cs="Calibri"/>
                <w:b/>
                <w:bCs/>
                <w:color w:val="000000"/>
                <w:sz w:val="22"/>
                <w:szCs w:val="22"/>
              </w:rPr>
            </w:pPr>
            <w:r w:rsidRPr="00D7554B">
              <w:rPr>
                <w:rFonts w:ascii="Calibri" w:hAnsi="Calibri" w:cs="Calibri"/>
                <w:b/>
                <w:bCs/>
                <w:color w:val="000000"/>
                <w:sz w:val="22"/>
                <w:szCs w:val="22"/>
              </w:rPr>
              <w:t>0</w:t>
            </w:r>
          </w:p>
        </w:tc>
      </w:tr>
    </w:tbl>
    <w:p w:rsidR="00E70FE6" w:rsidRDefault="00E70FE6" w:rsidP="006E46EB">
      <w:pPr>
        <w:jc w:val="both"/>
        <w:rPr>
          <w:rFonts w:ascii="Arial" w:hAnsi="Arial" w:cs="Arial"/>
          <w:sz w:val="22"/>
          <w:szCs w:val="22"/>
        </w:rPr>
      </w:pPr>
    </w:p>
    <w:p w:rsidR="00CA15E0" w:rsidRDefault="00CA15E0" w:rsidP="006E46EB">
      <w:pPr>
        <w:jc w:val="both"/>
        <w:rPr>
          <w:rFonts w:ascii="Arial" w:hAnsi="Arial" w:cs="Arial"/>
          <w:sz w:val="22"/>
          <w:szCs w:val="22"/>
        </w:rPr>
      </w:pPr>
    </w:p>
    <w:p w:rsidR="00CA15E0" w:rsidRDefault="00CA15E0" w:rsidP="006E46EB">
      <w:pPr>
        <w:jc w:val="both"/>
        <w:rPr>
          <w:rFonts w:ascii="Arial" w:hAnsi="Arial" w:cs="Arial"/>
          <w:sz w:val="22"/>
          <w:szCs w:val="22"/>
        </w:rPr>
      </w:pPr>
    </w:p>
    <w:p w:rsidR="006E46EB" w:rsidRDefault="009509FD" w:rsidP="006E46EB">
      <w:pPr>
        <w:jc w:val="both"/>
        <w:rPr>
          <w:rFonts w:ascii="Arial" w:hAnsi="Arial" w:cs="Arial"/>
          <w:sz w:val="22"/>
          <w:szCs w:val="22"/>
        </w:rPr>
      </w:pPr>
      <w:r>
        <w:rPr>
          <w:rFonts w:ascii="Arial" w:hAnsi="Arial" w:cs="Arial"/>
          <w:sz w:val="22"/>
          <w:szCs w:val="22"/>
        </w:rPr>
        <w:lastRenderedPageBreak/>
        <w:t>The main points to note in th</w:t>
      </w:r>
      <w:r w:rsidR="000C1D47">
        <w:rPr>
          <w:rFonts w:ascii="Arial" w:hAnsi="Arial" w:cs="Arial"/>
          <w:sz w:val="22"/>
          <w:szCs w:val="22"/>
        </w:rPr>
        <w:t>e</w:t>
      </w:r>
      <w:r w:rsidR="001166D1">
        <w:rPr>
          <w:rFonts w:ascii="Arial" w:hAnsi="Arial" w:cs="Arial"/>
          <w:sz w:val="22"/>
          <w:szCs w:val="22"/>
        </w:rPr>
        <w:t xml:space="preserve"> reported </w:t>
      </w:r>
      <w:r>
        <w:rPr>
          <w:rFonts w:ascii="Arial" w:hAnsi="Arial" w:cs="Arial"/>
          <w:sz w:val="22"/>
          <w:szCs w:val="22"/>
        </w:rPr>
        <w:t xml:space="preserve">outturn expenditure position </w:t>
      </w:r>
      <w:r w:rsidR="006E46EB" w:rsidRPr="006E46EB">
        <w:rPr>
          <w:rFonts w:ascii="Arial" w:hAnsi="Arial" w:cs="Arial"/>
          <w:sz w:val="22"/>
          <w:szCs w:val="22"/>
        </w:rPr>
        <w:t>as</w:t>
      </w:r>
      <w:r w:rsidR="00DB6762">
        <w:rPr>
          <w:rFonts w:ascii="Arial" w:hAnsi="Arial" w:cs="Arial"/>
          <w:sz w:val="22"/>
          <w:szCs w:val="22"/>
        </w:rPr>
        <w:t xml:space="preserve"> at 31 July</w:t>
      </w:r>
      <w:r>
        <w:rPr>
          <w:rFonts w:ascii="Arial" w:hAnsi="Arial" w:cs="Arial"/>
          <w:sz w:val="22"/>
          <w:szCs w:val="22"/>
        </w:rPr>
        <w:t xml:space="preserve"> </w:t>
      </w:r>
      <w:r w:rsidR="005F05D0">
        <w:rPr>
          <w:rFonts w:ascii="Arial" w:hAnsi="Arial" w:cs="Arial"/>
          <w:sz w:val="22"/>
          <w:szCs w:val="22"/>
        </w:rPr>
        <w:t>2016</w:t>
      </w:r>
      <w:r w:rsidR="00936A58">
        <w:rPr>
          <w:rFonts w:ascii="Arial" w:hAnsi="Arial" w:cs="Arial"/>
          <w:sz w:val="22"/>
          <w:szCs w:val="22"/>
        </w:rPr>
        <w:t xml:space="preserve"> of </w:t>
      </w:r>
      <w:r w:rsidR="00936A58" w:rsidRPr="009B4C8D">
        <w:rPr>
          <w:rFonts w:ascii="Arial" w:hAnsi="Arial" w:cs="Arial"/>
          <w:sz w:val="22"/>
          <w:szCs w:val="22"/>
        </w:rPr>
        <w:t>£</w:t>
      </w:r>
      <w:r w:rsidR="00DB6762">
        <w:rPr>
          <w:rFonts w:ascii="Arial" w:hAnsi="Arial" w:cs="Arial"/>
          <w:sz w:val="22"/>
          <w:szCs w:val="22"/>
        </w:rPr>
        <w:t>4.12</w:t>
      </w:r>
      <w:r w:rsidR="006E46EB" w:rsidRPr="009B4C8D">
        <w:rPr>
          <w:rFonts w:ascii="Arial" w:hAnsi="Arial" w:cs="Arial"/>
          <w:sz w:val="22"/>
          <w:szCs w:val="22"/>
        </w:rPr>
        <w:t>m</w:t>
      </w:r>
      <w:r w:rsidR="00DD2D40">
        <w:rPr>
          <w:rFonts w:ascii="Arial" w:hAnsi="Arial" w:cs="Arial"/>
          <w:sz w:val="22"/>
          <w:szCs w:val="22"/>
        </w:rPr>
        <w:t xml:space="preserve"> are:</w:t>
      </w:r>
    </w:p>
    <w:p w:rsidR="00DD2D40" w:rsidRDefault="00DD2D40" w:rsidP="006E46EB">
      <w:pPr>
        <w:jc w:val="both"/>
        <w:rPr>
          <w:rFonts w:ascii="Arial" w:hAnsi="Arial" w:cs="Arial"/>
          <w:sz w:val="22"/>
          <w:szCs w:val="22"/>
        </w:rPr>
      </w:pPr>
    </w:p>
    <w:p w:rsidR="00863125" w:rsidRPr="00B1511E" w:rsidRDefault="002B67AD" w:rsidP="001F7421">
      <w:pPr>
        <w:pStyle w:val="ListParagraph"/>
        <w:numPr>
          <w:ilvl w:val="0"/>
          <w:numId w:val="17"/>
        </w:numPr>
        <w:jc w:val="both"/>
        <w:rPr>
          <w:rFonts w:ascii="Arial" w:hAnsi="Arial" w:cs="Arial"/>
          <w:sz w:val="22"/>
          <w:szCs w:val="22"/>
        </w:rPr>
      </w:pPr>
      <w:r w:rsidRPr="00B1511E">
        <w:rPr>
          <w:rFonts w:ascii="Arial" w:hAnsi="Arial" w:cs="Arial"/>
          <w:sz w:val="22"/>
          <w:szCs w:val="22"/>
        </w:rPr>
        <w:t>Total pa</w:t>
      </w:r>
      <w:r w:rsidR="000C5914" w:rsidRPr="00B1511E">
        <w:rPr>
          <w:rFonts w:ascii="Arial" w:hAnsi="Arial" w:cs="Arial"/>
          <w:sz w:val="22"/>
          <w:szCs w:val="22"/>
        </w:rPr>
        <w:t xml:space="preserve">y </w:t>
      </w:r>
      <w:r w:rsidR="0000631A" w:rsidRPr="00B1511E">
        <w:rPr>
          <w:rFonts w:ascii="Arial" w:hAnsi="Arial" w:cs="Arial"/>
          <w:sz w:val="22"/>
          <w:szCs w:val="22"/>
        </w:rPr>
        <w:t xml:space="preserve">costs incurred </w:t>
      </w:r>
      <w:r w:rsidR="00DC096C" w:rsidRPr="00B1511E">
        <w:rPr>
          <w:rFonts w:ascii="Arial" w:hAnsi="Arial" w:cs="Arial"/>
          <w:sz w:val="22"/>
          <w:szCs w:val="22"/>
        </w:rPr>
        <w:t>are £</w:t>
      </w:r>
      <w:r w:rsidR="00DB6762">
        <w:rPr>
          <w:rFonts w:ascii="Arial" w:hAnsi="Arial" w:cs="Arial"/>
          <w:sz w:val="22"/>
          <w:szCs w:val="22"/>
        </w:rPr>
        <w:t>2.8</w:t>
      </w:r>
      <w:r w:rsidR="004B5C87" w:rsidRPr="00B1511E">
        <w:rPr>
          <w:rFonts w:ascii="Arial" w:hAnsi="Arial" w:cs="Arial"/>
          <w:sz w:val="22"/>
          <w:szCs w:val="22"/>
        </w:rPr>
        <w:t>m</w:t>
      </w:r>
      <w:r w:rsidR="00EF27D7" w:rsidRPr="00B1511E">
        <w:rPr>
          <w:rFonts w:ascii="Arial" w:hAnsi="Arial" w:cs="Arial"/>
          <w:sz w:val="22"/>
          <w:szCs w:val="22"/>
        </w:rPr>
        <w:t xml:space="preserve"> (6</w:t>
      </w:r>
      <w:r w:rsidR="00DB6762">
        <w:rPr>
          <w:rFonts w:ascii="Arial" w:hAnsi="Arial" w:cs="Arial"/>
          <w:sz w:val="22"/>
          <w:szCs w:val="22"/>
        </w:rPr>
        <w:t>8</w:t>
      </w:r>
      <w:r w:rsidR="003A4D87" w:rsidRPr="00B1511E">
        <w:rPr>
          <w:rFonts w:ascii="Arial" w:hAnsi="Arial" w:cs="Arial"/>
          <w:sz w:val="22"/>
          <w:szCs w:val="22"/>
        </w:rPr>
        <w:t>%</w:t>
      </w:r>
      <w:r w:rsidR="00EF27D7" w:rsidRPr="00B1511E">
        <w:rPr>
          <w:rFonts w:ascii="Arial" w:hAnsi="Arial" w:cs="Arial"/>
          <w:sz w:val="22"/>
          <w:szCs w:val="22"/>
        </w:rPr>
        <w:t xml:space="preserve"> of total expenditure costs</w:t>
      </w:r>
      <w:r w:rsidR="003A4D87" w:rsidRPr="00B1511E">
        <w:rPr>
          <w:rFonts w:ascii="Arial" w:hAnsi="Arial" w:cs="Arial"/>
          <w:sz w:val="22"/>
          <w:szCs w:val="22"/>
        </w:rPr>
        <w:t>)</w:t>
      </w:r>
      <w:r w:rsidR="00EF27D7" w:rsidRPr="00B1511E">
        <w:rPr>
          <w:rFonts w:ascii="Arial" w:hAnsi="Arial" w:cs="Arial"/>
          <w:sz w:val="22"/>
          <w:szCs w:val="22"/>
        </w:rPr>
        <w:t>.</w:t>
      </w:r>
      <w:r w:rsidR="000C5914" w:rsidRPr="00B1511E">
        <w:rPr>
          <w:rFonts w:ascii="Arial" w:hAnsi="Arial" w:cs="Arial"/>
          <w:sz w:val="22"/>
          <w:szCs w:val="22"/>
        </w:rPr>
        <w:t xml:space="preserve"> </w:t>
      </w:r>
    </w:p>
    <w:p w:rsidR="005642DD" w:rsidRDefault="0000631A" w:rsidP="005642DD">
      <w:pPr>
        <w:pStyle w:val="ListParagraph"/>
        <w:numPr>
          <w:ilvl w:val="0"/>
          <w:numId w:val="17"/>
        </w:numPr>
        <w:jc w:val="both"/>
        <w:rPr>
          <w:rFonts w:ascii="Arial" w:hAnsi="Arial" w:cs="Arial"/>
          <w:sz w:val="22"/>
          <w:szCs w:val="22"/>
        </w:rPr>
      </w:pPr>
      <w:r w:rsidRPr="00B1511E">
        <w:rPr>
          <w:rFonts w:ascii="Arial" w:hAnsi="Arial" w:cs="Arial"/>
          <w:sz w:val="22"/>
          <w:szCs w:val="22"/>
        </w:rPr>
        <w:t>Of this, £</w:t>
      </w:r>
      <w:r w:rsidR="00AE1B24">
        <w:rPr>
          <w:rFonts w:ascii="Arial" w:hAnsi="Arial" w:cs="Arial"/>
          <w:sz w:val="22"/>
          <w:szCs w:val="22"/>
        </w:rPr>
        <w:t>177</w:t>
      </w:r>
      <w:r w:rsidR="00B44CC0" w:rsidRPr="00B1511E">
        <w:rPr>
          <w:rFonts w:ascii="Arial" w:hAnsi="Arial" w:cs="Arial"/>
          <w:sz w:val="22"/>
          <w:szCs w:val="22"/>
        </w:rPr>
        <w:t xml:space="preserve">k </w:t>
      </w:r>
      <w:r w:rsidR="00143415" w:rsidRPr="00B1511E">
        <w:rPr>
          <w:rFonts w:ascii="Arial" w:hAnsi="Arial" w:cs="Arial"/>
          <w:sz w:val="22"/>
          <w:szCs w:val="22"/>
        </w:rPr>
        <w:t>(</w:t>
      </w:r>
      <w:r w:rsidR="00AE1B24">
        <w:rPr>
          <w:rFonts w:ascii="Arial" w:hAnsi="Arial" w:cs="Arial"/>
          <w:sz w:val="22"/>
          <w:szCs w:val="22"/>
        </w:rPr>
        <w:t>6.3</w:t>
      </w:r>
      <w:r w:rsidR="001540D4" w:rsidRPr="00B1511E">
        <w:rPr>
          <w:rFonts w:ascii="Arial" w:hAnsi="Arial" w:cs="Arial"/>
          <w:sz w:val="22"/>
          <w:szCs w:val="22"/>
        </w:rPr>
        <w:t xml:space="preserve">%) </w:t>
      </w:r>
      <w:r w:rsidR="00B44CC0" w:rsidRPr="00B1511E">
        <w:rPr>
          <w:rFonts w:ascii="Arial" w:hAnsi="Arial" w:cs="Arial"/>
          <w:sz w:val="22"/>
          <w:szCs w:val="22"/>
        </w:rPr>
        <w:t>relates to agency costs</w:t>
      </w:r>
      <w:r w:rsidR="006A2EF1" w:rsidRPr="00B1511E">
        <w:rPr>
          <w:rFonts w:ascii="Arial" w:hAnsi="Arial" w:cs="Arial"/>
          <w:sz w:val="22"/>
          <w:szCs w:val="22"/>
        </w:rPr>
        <w:t>. These costs include</w:t>
      </w:r>
      <w:r w:rsidR="00CC740F" w:rsidRPr="00B1511E">
        <w:rPr>
          <w:rFonts w:ascii="Arial" w:hAnsi="Arial" w:cs="Arial"/>
          <w:sz w:val="22"/>
          <w:szCs w:val="22"/>
        </w:rPr>
        <w:t xml:space="preserve"> </w:t>
      </w:r>
      <w:r w:rsidR="00B44CC0" w:rsidRPr="00B1511E">
        <w:rPr>
          <w:rFonts w:ascii="Arial" w:hAnsi="Arial" w:cs="Arial"/>
          <w:sz w:val="22"/>
          <w:szCs w:val="22"/>
        </w:rPr>
        <w:t xml:space="preserve">key research information systems </w:t>
      </w:r>
      <w:r w:rsidR="007B0DBE" w:rsidRPr="00B1511E">
        <w:rPr>
          <w:rFonts w:ascii="Arial" w:hAnsi="Arial" w:cs="Arial"/>
          <w:sz w:val="22"/>
          <w:szCs w:val="22"/>
        </w:rPr>
        <w:t xml:space="preserve">staff </w:t>
      </w:r>
      <w:proofErr w:type="gramStart"/>
      <w:r w:rsidR="00CC740F" w:rsidRPr="00B1511E">
        <w:rPr>
          <w:rFonts w:ascii="Arial" w:hAnsi="Arial" w:cs="Arial"/>
          <w:sz w:val="22"/>
          <w:szCs w:val="22"/>
        </w:rPr>
        <w:t>who</w:t>
      </w:r>
      <w:proofErr w:type="gramEnd"/>
      <w:r w:rsidR="00CC740F" w:rsidRPr="00B1511E">
        <w:rPr>
          <w:rFonts w:ascii="Arial" w:hAnsi="Arial" w:cs="Arial"/>
          <w:sz w:val="22"/>
          <w:szCs w:val="22"/>
        </w:rPr>
        <w:t xml:space="preserve"> are </w:t>
      </w:r>
      <w:r w:rsidR="007B0DBE" w:rsidRPr="00B1511E">
        <w:rPr>
          <w:rFonts w:ascii="Arial" w:hAnsi="Arial" w:cs="Arial"/>
          <w:sz w:val="22"/>
          <w:szCs w:val="22"/>
        </w:rPr>
        <w:t>progress</w:t>
      </w:r>
      <w:r w:rsidR="00CC740F" w:rsidRPr="00B1511E">
        <w:rPr>
          <w:rFonts w:ascii="Arial" w:hAnsi="Arial" w:cs="Arial"/>
          <w:sz w:val="22"/>
          <w:szCs w:val="22"/>
        </w:rPr>
        <w:t>ing</w:t>
      </w:r>
      <w:r w:rsidR="008960CE" w:rsidRPr="00B1511E">
        <w:rPr>
          <w:rFonts w:ascii="Arial" w:hAnsi="Arial" w:cs="Arial"/>
          <w:sz w:val="22"/>
          <w:szCs w:val="22"/>
        </w:rPr>
        <w:t xml:space="preserve"> c</w:t>
      </w:r>
      <w:r w:rsidR="00143415" w:rsidRPr="00B1511E">
        <w:rPr>
          <w:rFonts w:ascii="Arial" w:hAnsi="Arial" w:cs="Arial"/>
          <w:sz w:val="22"/>
          <w:szCs w:val="22"/>
        </w:rPr>
        <w:t>ritical work</w:t>
      </w:r>
      <w:r w:rsidR="002675C3">
        <w:rPr>
          <w:rFonts w:ascii="Arial" w:hAnsi="Arial" w:cs="Arial"/>
          <w:sz w:val="22"/>
          <w:szCs w:val="22"/>
        </w:rPr>
        <w:t xml:space="preserve">.  Work to recruit staff onto the payroll is nearing completion. This is in line with the developing </w:t>
      </w:r>
      <w:r w:rsidR="00F961F3" w:rsidRPr="00B1511E">
        <w:rPr>
          <w:rFonts w:ascii="Arial" w:hAnsi="Arial" w:cs="Arial"/>
          <w:sz w:val="22"/>
          <w:szCs w:val="22"/>
        </w:rPr>
        <w:t>Research Information Systems Strategy</w:t>
      </w:r>
      <w:r w:rsidR="002675C3">
        <w:rPr>
          <w:rFonts w:ascii="Arial" w:hAnsi="Arial" w:cs="Arial"/>
          <w:sz w:val="22"/>
          <w:szCs w:val="22"/>
        </w:rPr>
        <w:t>.</w:t>
      </w:r>
    </w:p>
    <w:p w:rsidR="00237F3F" w:rsidRDefault="00AE1B24" w:rsidP="00A6115B">
      <w:pPr>
        <w:pStyle w:val="ListParagraph"/>
        <w:numPr>
          <w:ilvl w:val="0"/>
          <w:numId w:val="17"/>
        </w:numPr>
        <w:jc w:val="both"/>
        <w:rPr>
          <w:rFonts w:ascii="Arial" w:hAnsi="Arial" w:cs="Arial"/>
          <w:sz w:val="22"/>
          <w:szCs w:val="22"/>
        </w:rPr>
      </w:pPr>
      <w:r>
        <w:rPr>
          <w:rFonts w:ascii="Arial" w:hAnsi="Arial" w:cs="Arial"/>
          <w:sz w:val="22"/>
          <w:szCs w:val="22"/>
        </w:rPr>
        <w:t xml:space="preserve">Within the underspend </w:t>
      </w:r>
      <w:r w:rsidR="00FE11E3">
        <w:rPr>
          <w:rFonts w:ascii="Arial" w:hAnsi="Arial" w:cs="Arial"/>
          <w:sz w:val="22"/>
          <w:szCs w:val="22"/>
        </w:rPr>
        <w:t xml:space="preserve">position year to date, there are two key areas to highlight. </w:t>
      </w:r>
      <w:r w:rsidR="005B0FDB" w:rsidRPr="00B1511E">
        <w:rPr>
          <w:rFonts w:ascii="Arial" w:hAnsi="Arial" w:cs="Arial"/>
          <w:sz w:val="22"/>
          <w:szCs w:val="22"/>
        </w:rPr>
        <w:t>The</w:t>
      </w:r>
      <w:r w:rsidR="00FE11E3">
        <w:rPr>
          <w:rFonts w:ascii="Arial" w:hAnsi="Arial" w:cs="Arial"/>
          <w:sz w:val="22"/>
          <w:szCs w:val="22"/>
        </w:rPr>
        <w:t>re is an u</w:t>
      </w:r>
      <w:r w:rsidR="00C04A23" w:rsidRPr="00B1511E">
        <w:rPr>
          <w:rFonts w:ascii="Arial" w:hAnsi="Arial" w:cs="Arial"/>
          <w:sz w:val="22"/>
          <w:szCs w:val="22"/>
        </w:rPr>
        <w:t>nder spend</w:t>
      </w:r>
      <w:r w:rsidR="005B0FDB" w:rsidRPr="00B1511E">
        <w:rPr>
          <w:rFonts w:ascii="Arial" w:hAnsi="Arial" w:cs="Arial"/>
          <w:sz w:val="22"/>
          <w:szCs w:val="22"/>
        </w:rPr>
        <w:t xml:space="preserve"> </w:t>
      </w:r>
      <w:r w:rsidR="00773FB5" w:rsidRPr="00B1511E">
        <w:rPr>
          <w:rFonts w:ascii="Arial" w:hAnsi="Arial" w:cs="Arial"/>
          <w:sz w:val="22"/>
          <w:szCs w:val="22"/>
        </w:rPr>
        <w:t xml:space="preserve">year to date </w:t>
      </w:r>
      <w:r w:rsidR="005B0FDB" w:rsidRPr="00B1511E">
        <w:rPr>
          <w:rFonts w:ascii="Arial" w:hAnsi="Arial" w:cs="Arial"/>
          <w:sz w:val="22"/>
          <w:szCs w:val="22"/>
        </w:rPr>
        <w:t>relat</w:t>
      </w:r>
      <w:r w:rsidR="00FE11E3">
        <w:rPr>
          <w:rFonts w:ascii="Arial" w:hAnsi="Arial" w:cs="Arial"/>
          <w:sz w:val="22"/>
          <w:szCs w:val="22"/>
        </w:rPr>
        <w:t>ing</w:t>
      </w:r>
      <w:r w:rsidR="005B0FDB" w:rsidRPr="00B1511E">
        <w:rPr>
          <w:rFonts w:ascii="Arial" w:hAnsi="Arial" w:cs="Arial"/>
          <w:sz w:val="22"/>
          <w:szCs w:val="22"/>
        </w:rPr>
        <w:t xml:space="preserve"> to </w:t>
      </w:r>
      <w:r w:rsidR="00605553" w:rsidRPr="00B1511E">
        <w:rPr>
          <w:rFonts w:ascii="Arial" w:hAnsi="Arial" w:cs="Arial"/>
          <w:sz w:val="22"/>
          <w:szCs w:val="22"/>
        </w:rPr>
        <w:t xml:space="preserve">the </w:t>
      </w:r>
      <w:r w:rsidR="003E2F76" w:rsidRPr="00B1511E">
        <w:rPr>
          <w:rFonts w:ascii="Arial" w:hAnsi="Arial" w:cs="Arial"/>
          <w:sz w:val="22"/>
          <w:szCs w:val="22"/>
        </w:rPr>
        <w:t xml:space="preserve">Research Systems, Standards and HRA Approval Programme directorate </w:t>
      </w:r>
      <w:r w:rsidR="007A5B29" w:rsidRPr="00B1511E">
        <w:rPr>
          <w:rFonts w:ascii="Arial" w:hAnsi="Arial" w:cs="Arial"/>
          <w:sz w:val="22"/>
          <w:szCs w:val="22"/>
        </w:rPr>
        <w:t>(£</w:t>
      </w:r>
      <w:r w:rsidR="00D7554B">
        <w:rPr>
          <w:rFonts w:ascii="Arial" w:hAnsi="Arial" w:cs="Arial"/>
          <w:sz w:val="22"/>
          <w:szCs w:val="22"/>
        </w:rPr>
        <w:t>49</w:t>
      </w:r>
      <w:r w:rsidR="007A5B29" w:rsidRPr="00B1511E">
        <w:rPr>
          <w:rFonts w:ascii="Arial" w:hAnsi="Arial" w:cs="Arial"/>
          <w:sz w:val="22"/>
          <w:szCs w:val="22"/>
        </w:rPr>
        <w:t>k</w:t>
      </w:r>
      <w:r w:rsidR="00FE11E3">
        <w:rPr>
          <w:rFonts w:ascii="Arial" w:hAnsi="Arial" w:cs="Arial"/>
          <w:sz w:val="22"/>
          <w:szCs w:val="22"/>
        </w:rPr>
        <w:t>)</w:t>
      </w:r>
      <w:r w:rsidR="00E20831">
        <w:rPr>
          <w:rFonts w:ascii="Arial" w:hAnsi="Arial" w:cs="Arial"/>
          <w:sz w:val="22"/>
          <w:szCs w:val="22"/>
        </w:rPr>
        <w:t xml:space="preserve">, </w:t>
      </w:r>
      <w:r w:rsidR="008235F9">
        <w:rPr>
          <w:rFonts w:ascii="Arial" w:hAnsi="Arial" w:cs="Arial"/>
          <w:sz w:val="22"/>
          <w:szCs w:val="22"/>
        </w:rPr>
        <w:t xml:space="preserve">of </w:t>
      </w:r>
      <w:r w:rsidR="00E20831">
        <w:rPr>
          <w:rFonts w:ascii="Arial" w:hAnsi="Arial" w:cs="Arial"/>
          <w:sz w:val="22"/>
          <w:szCs w:val="22"/>
        </w:rPr>
        <w:t>which</w:t>
      </w:r>
      <w:r w:rsidR="008235F9">
        <w:rPr>
          <w:rFonts w:ascii="Arial" w:hAnsi="Arial" w:cs="Arial"/>
          <w:sz w:val="22"/>
          <w:szCs w:val="22"/>
        </w:rPr>
        <w:t xml:space="preserve"> (£40k)</w:t>
      </w:r>
      <w:r w:rsidR="007A5B29" w:rsidRPr="00B1511E">
        <w:rPr>
          <w:rFonts w:ascii="Arial" w:hAnsi="Arial" w:cs="Arial"/>
          <w:sz w:val="22"/>
          <w:szCs w:val="22"/>
        </w:rPr>
        <w:t xml:space="preserve"> relates to </w:t>
      </w:r>
      <w:r w:rsidR="00E20831">
        <w:rPr>
          <w:rFonts w:ascii="Arial" w:hAnsi="Arial" w:cs="Arial"/>
          <w:sz w:val="22"/>
          <w:szCs w:val="22"/>
        </w:rPr>
        <w:t>pay</w:t>
      </w:r>
      <w:r w:rsidR="00E70FE6">
        <w:rPr>
          <w:rFonts w:ascii="Arial" w:hAnsi="Arial" w:cs="Arial"/>
          <w:sz w:val="22"/>
          <w:szCs w:val="22"/>
        </w:rPr>
        <w:t xml:space="preserve"> </w:t>
      </w:r>
      <w:r w:rsidR="00BA2A8B">
        <w:rPr>
          <w:rFonts w:ascii="Arial" w:hAnsi="Arial" w:cs="Arial"/>
          <w:sz w:val="22"/>
          <w:szCs w:val="22"/>
        </w:rPr>
        <w:t xml:space="preserve">( less the current </w:t>
      </w:r>
      <w:r w:rsidR="00237F3F">
        <w:rPr>
          <w:rFonts w:ascii="Arial" w:hAnsi="Arial" w:cs="Arial"/>
          <w:sz w:val="22"/>
          <w:szCs w:val="22"/>
        </w:rPr>
        <w:t>vacancy factor</w:t>
      </w:r>
      <w:r w:rsidR="00BA2A8B">
        <w:rPr>
          <w:rFonts w:ascii="Arial" w:hAnsi="Arial" w:cs="Arial"/>
          <w:sz w:val="22"/>
          <w:szCs w:val="22"/>
        </w:rPr>
        <w:t xml:space="preserve"> (net)</w:t>
      </w:r>
      <w:r w:rsidR="00ED59E0">
        <w:rPr>
          <w:rFonts w:ascii="Arial" w:hAnsi="Arial" w:cs="Arial"/>
          <w:sz w:val="22"/>
          <w:szCs w:val="22"/>
        </w:rPr>
        <w:t>)</w:t>
      </w:r>
      <w:r w:rsidR="00E20831">
        <w:rPr>
          <w:rFonts w:ascii="Arial" w:hAnsi="Arial" w:cs="Arial"/>
          <w:sz w:val="22"/>
          <w:szCs w:val="22"/>
        </w:rPr>
        <w:t xml:space="preserve">. </w:t>
      </w:r>
      <w:r w:rsidR="00237F3F">
        <w:rPr>
          <w:rFonts w:ascii="Arial" w:hAnsi="Arial" w:cs="Arial"/>
          <w:sz w:val="22"/>
          <w:szCs w:val="22"/>
        </w:rPr>
        <w:t xml:space="preserve">There are </w:t>
      </w:r>
      <w:r w:rsidR="00FE11E3">
        <w:rPr>
          <w:rFonts w:ascii="Arial" w:hAnsi="Arial" w:cs="Arial"/>
          <w:sz w:val="22"/>
          <w:szCs w:val="22"/>
        </w:rPr>
        <w:t>vacancies within performance management, collaboration &amp; development and assessment.</w:t>
      </w:r>
      <w:r w:rsidR="00237F3F">
        <w:rPr>
          <w:rFonts w:ascii="Arial" w:hAnsi="Arial" w:cs="Arial"/>
          <w:sz w:val="22"/>
          <w:szCs w:val="22"/>
        </w:rPr>
        <w:t xml:space="preserve"> This underspend reflects </w:t>
      </w:r>
      <w:r w:rsidR="00A5757C">
        <w:rPr>
          <w:rFonts w:ascii="Arial" w:hAnsi="Arial" w:cs="Arial"/>
          <w:sz w:val="22"/>
          <w:szCs w:val="22"/>
        </w:rPr>
        <w:t xml:space="preserve">planned timing </w:t>
      </w:r>
      <w:r w:rsidR="00237F3F">
        <w:rPr>
          <w:rFonts w:ascii="Arial" w:hAnsi="Arial" w:cs="Arial"/>
          <w:sz w:val="22"/>
          <w:szCs w:val="22"/>
        </w:rPr>
        <w:t xml:space="preserve">with regards to meeting the </w:t>
      </w:r>
      <w:r w:rsidR="007817C4">
        <w:rPr>
          <w:rFonts w:ascii="Arial" w:hAnsi="Arial" w:cs="Arial"/>
          <w:sz w:val="22"/>
          <w:szCs w:val="22"/>
        </w:rPr>
        <w:t xml:space="preserve">full directorate </w:t>
      </w:r>
      <w:r w:rsidR="00237F3F">
        <w:rPr>
          <w:rFonts w:ascii="Arial" w:hAnsi="Arial" w:cs="Arial"/>
          <w:sz w:val="22"/>
          <w:szCs w:val="22"/>
        </w:rPr>
        <w:t>annual vacancy factor target</w:t>
      </w:r>
      <w:r w:rsidR="006856A4">
        <w:rPr>
          <w:rFonts w:ascii="Arial" w:hAnsi="Arial" w:cs="Arial"/>
          <w:sz w:val="22"/>
          <w:szCs w:val="22"/>
        </w:rPr>
        <w:t xml:space="preserve"> </w:t>
      </w:r>
      <w:r w:rsidR="007817C4">
        <w:rPr>
          <w:rFonts w:ascii="Arial" w:hAnsi="Arial" w:cs="Arial"/>
          <w:sz w:val="22"/>
          <w:szCs w:val="22"/>
        </w:rPr>
        <w:t xml:space="preserve">in the </w:t>
      </w:r>
      <w:r w:rsidR="006856A4">
        <w:rPr>
          <w:rFonts w:ascii="Arial" w:hAnsi="Arial" w:cs="Arial"/>
          <w:sz w:val="22"/>
          <w:szCs w:val="22"/>
        </w:rPr>
        <w:t xml:space="preserve">early </w:t>
      </w:r>
      <w:r w:rsidR="007817C4">
        <w:rPr>
          <w:rFonts w:ascii="Arial" w:hAnsi="Arial" w:cs="Arial"/>
          <w:sz w:val="22"/>
          <w:szCs w:val="22"/>
        </w:rPr>
        <w:t xml:space="preserve">part of </w:t>
      </w:r>
      <w:r w:rsidR="006856A4">
        <w:rPr>
          <w:rFonts w:ascii="Arial" w:hAnsi="Arial" w:cs="Arial"/>
          <w:sz w:val="22"/>
          <w:szCs w:val="22"/>
        </w:rPr>
        <w:t>the year</w:t>
      </w:r>
      <w:r w:rsidR="007817C4">
        <w:rPr>
          <w:rFonts w:ascii="Arial" w:hAnsi="Arial" w:cs="Arial"/>
          <w:sz w:val="22"/>
          <w:szCs w:val="22"/>
        </w:rPr>
        <w:t>.  S</w:t>
      </w:r>
      <w:r w:rsidR="00237F3F">
        <w:rPr>
          <w:rFonts w:ascii="Arial" w:hAnsi="Arial" w:cs="Arial"/>
          <w:sz w:val="22"/>
          <w:szCs w:val="22"/>
        </w:rPr>
        <w:t xml:space="preserve">taff </w:t>
      </w:r>
      <w:r w:rsidR="00E70FE6">
        <w:rPr>
          <w:rFonts w:ascii="Arial" w:hAnsi="Arial" w:cs="Arial"/>
          <w:sz w:val="22"/>
          <w:szCs w:val="22"/>
        </w:rPr>
        <w:t>recruit</w:t>
      </w:r>
      <w:r w:rsidR="006856A4">
        <w:rPr>
          <w:rFonts w:ascii="Arial" w:hAnsi="Arial" w:cs="Arial"/>
          <w:sz w:val="22"/>
          <w:szCs w:val="22"/>
        </w:rPr>
        <w:t>ment has now been undertaken with regards to these vacancies</w:t>
      </w:r>
      <w:r w:rsidR="007817C4">
        <w:rPr>
          <w:rFonts w:ascii="Arial" w:hAnsi="Arial" w:cs="Arial"/>
          <w:sz w:val="22"/>
          <w:szCs w:val="22"/>
        </w:rPr>
        <w:t>. I</w:t>
      </w:r>
      <w:r w:rsidR="005C22E6">
        <w:rPr>
          <w:rFonts w:ascii="Arial" w:hAnsi="Arial" w:cs="Arial"/>
          <w:sz w:val="22"/>
          <w:szCs w:val="22"/>
        </w:rPr>
        <w:t>n light of emerging workloads there is a planned increase in establishment within this area which will be supported from internal underspends and reserves.</w:t>
      </w:r>
    </w:p>
    <w:p w:rsidR="005B0FDB" w:rsidRDefault="00FE11E3" w:rsidP="00A6115B">
      <w:pPr>
        <w:pStyle w:val="ListParagraph"/>
        <w:numPr>
          <w:ilvl w:val="0"/>
          <w:numId w:val="17"/>
        </w:numPr>
        <w:jc w:val="both"/>
        <w:rPr>
          <w:rFonts w:ascii="Arial" w:hAnsi="Arial" w:cs="Arial"/>
          <w:sz w:val="22"/>
          <w:szCs w:val="22"/>
        </w:rPr>
      </w:pPr>
      <w:r>
        <w:rPr>
          <w:rFonts w:ascii="Arial" w:hAnsi="Arial" w:cs="Arial"/>
          <w:sz w:val="22"/>
          <w:szCs w:val="22"/>
        </w:rPr>
        <w:t>There i</w:t>
      </w:r>
      <w:r w:rsidR="006856A4">
        <w:rPr>
          <w:rFonts w:ascii="Arial" w:hAnsi="Arial" w:cs="Arial"/>
          <w:sz w:val="22"/>
          <w:szCs w:val="22"/>
        </w:rPr>
        <w:t>s an offsetting overspend of £10</w:t>
      </w:r>
      <w:r w:rsidR="00237F3F">
        <w:rPr>
          <w:rFonts w:ascii="Arial" w:hAnsi="Arial" w:cs="Arial"/>
          <w:sz w:val="22"/>
          <w:szCs w:val="22"/>
        </w:rPr>
        <w:t>k within Operations</w:t>
      </w:r>
      <w:r>
        <w:rPr>
          <w:rFonts w:ascii="Arial" w:hAnsi="Arial" w:cs="Arial"/>
          <w:sz w:val="22"/>
          <w:szCs w:val="22"/>
        </w:rPr>
        <w:t xml:space="preserve"> which relates to</w:t>
      </w:r>
      <w:r w:rsidR="006856A4">
        <w:rPr>
          <w:rFonts w:ascii="Arial" w:hAnsi="Arial" w:cs="Arial"/>
          <w:sz w:val="22"/>
          <w:szCs w:val="22"/>
        </w:rPr>
        <w:t xml:space="preserve"> </w:t>
      </w:r>
      <w:proofErr w:type="gramStart"/>
      <w:r w:rsidR="006856A4">
        <w:rPr>
          <w:rFonts w:ascii="Arial" w:hAnsi="Arial" w:cs="Arial"/>
          <w:sz w:val="22"/>
          <w:szCs w:val="22"/>
        </w:rPr>
        <w:t>an underspend</w:t>
      </w:r>
      <w:proofErr w:type="gramEnd"/>
      <w:r w:rsidR="006856A4">
        <w:rPr>
          <w:rFonts w:ascii="Arial" w:hAnsi="Arial" w:cs="Arial"/>
          <w:sz w:val="22"/>
          <w:szCs w:val="22"/>
        </w:rPr>
        <w:t xml:space="preserve"> of £20</w:t>
      </w:r>
      <w:r w:rsidR="00237F3F">
        <w:rPr>
          <w:rFonts w:ascii="Arial" w:hAnsi="Arial" w:cs="Arial"/>
          <w:sz w:val="22"/>
          <w:szCs w:val="22"/>
        </w:rPr>
        <w:t>k in pay</w:t>
      </w:r>
      <w:r w:rsidR="00AC3A67">
        <w:rPr>
          <w:rFonts w:ascii="Arial" w:hAnsi="Arial" w:cs="Arial"/>
          <w:sz w:val="22"/>
          <w:szCs w:val="22"/>
        </w:rPr>
        <w:t xml:space="preserve"> </w:t>
      </w:r>
      <w:r w:rsidR="00237F3F">
        <w:rPr>
          <w:rFonts w:ascii="Arial" w:hAnsi="Arial" w:cs="Arial"/>
          <w:sz w:val="22"/>
          <w:szCs w:val="22"/>
        </w:rPr>
        <w:t>(net of vacancy factor)</w:t>
      </w:r>
      <w:r>
        <w:rPr>
          <w:rFonts w:ascii="Arial" w:hAnsi="Arial" w:cs="Arial"/>
          <w:sz w:val="22"/>
          <w:szCs w:val="22"/>
        </w:rPr>
        <w:t xml:space="preserve"> </w:t>
      </w:r>
      <w:r w:rsidR="006856A4">
        <w:rPr>
          <w:rFonts w:ascii="Arial" w:hAnsi="Arial" w:cs="Arial"/>
          <w:sz w:val="22"/>
          <w:szCs w:val="22"/>
        </w:rPr>
        <w:t>and a £30</w:t>
      </w:r>
      <w:r w:rsidR="00237F3F">
        <w:rPr>
          <w:rFonts w:ascii="Arial" w:hAnsi="Arial" w:cs="Arial"/>
          <w:sz w:val="22"/>
          <w:szCs w:val="22"/>
        </w:rPr>
        <w:t xml:space="preserve">k overspend within non-pay. This overspend is resulting from the </w:t>
      </w:r>
      <w:r w:rsidR="00AC3A67">
        <w:rPr>
          <w:rFonts w:ascii="Arial" w:hAnsi="Arial" w:cs="Arial"/>
          <w:sz w:val="22"/>
          <w:szCs w:val="22"/>
        </w:rPr>
        <w:t xml:space="preserve">archiving project </w:t>
      </w:r>
      <w:r w:rsidR="00237F3F">
        <w:rPr>
          <w:rFonts w:ascii="Arial" w:hAnsi="Arial" w:cs="Arial"/>
          <w:sz w:val="22"/>
          <w:szCs w:val="22"/>
        </w:rPr>
        <w:t>running into the new year</w:t>
      </w:r>
      <w:r w:rsidR="00AC3A67">
        <w:rPr>
          <w:rFonts w:ascii="Arial" w:hAnsi="Arial" w:cs="Arial"/>
          <w:sz w:val="22"/>
          <w:szCs w:val="22"/>
        </w:rPr>
        <w:t xml:space="preserve"> £70k</w:t>
      </w:r>
      <w:r w:rsidR="00E70FE6">
        <w:rPr>
          <w:rFonts w:ascii="Arial" w:hAnsi="Arial" w:cs="Arial"/>
          <w:sz w:val="22"/>
          <w:szCs w:val="22"/>
        </w:rPr>
        <w:t xml:space="preserve">, mitigated by </w:t>
      </w:r>
      <w:r w:rsidR="00AC3A67">
        <w:rPr>
          <w:rFonts w:ascii="Arial" w:hAnsi="Arial" w:cs="Arial"/>
          <w:sz w:val="22"/>
          <w:szCs w:val="22"/>
        </w:rPr>
        <w:t>underspends within Operations in</w:t>
      </w:r>
      <w:r w:rsidR="006856A4">
        <w:rPr>
          <w:rFonts w:ascii="Arial" w:hAnsi="Arial" w:cs="Arial"/>
          <w:sz w:val="22"/>
          <w:szCs w:val="22"/>
        </w:rPr>
        <w:t xml:space="preserve"> meeting costs (£8k), travel (£10</w:t>
      </w:r>
      <w:r w:rsidR="00EA5177">
        <w:rPr>
          <w:rFonts w:ascii="Arial" w:hAnsi="Arial" w:cs="Arial"/>
          <w:sz w:val="22"/>
          <w:szCs w:val="22"/>
        </w:rPr>
        <w:t>k), Chairs Allowance (£9</w:t>
      </w:r>
      <w:r w:rsidR="00AC3A67">
        <w:rPr>
          <w:rFonts w:ascii="Arial" w:hAnsi="Arial" w:cs="Arial"/>
          <w:sz w:val="22"/>
          <w:szCs w:val="22"/>
        </w:rPr>
        <w:t>k</w:t>
      </w:r>
      <w:r w:rsidR="00EA5177">
        <w:rPr>
          <w:rFonts w:ascii="Arial" w:hAnsi="Arial" w:cs="Arial"/>
          <w:sz w:val="22"/>
          <w:szCs w:val="22"/>
        </w:rPr>
        <w:t>) and Stationery and Postage (£13</w:t>
      </w:r>
      <w:r w:rsidR="00AC3A67">
        <w:rPr>
          <w:rFonts w:ascii="Arial" w:hAnsi="Arial" w:cs="Arial"/>
          <w:sz w:val="22"/>
          <w:szCs w:val="22"/>
        </w:rPr>
        <w:t>k)</w:t>
      </w:r>
      <w:r w:rsidR="00F83F39">
        <w:rPr>
          <w:rFonts w:ascii="Arial" w:hAnsi="Arial" w:cs="Arial"/>
          <w:sz w:val="22"/>
          <w:szCs w:val="22"/>
        </w:rPr>
        <w:t>.</w:t>
      </w:r>
    </w:p>
    <w:p w:rsidR="00237F3F" w:rsidRDefault="00237F3F" w:rsidP="00A6115B">
      <w:pPr>
        <w:pStyle w:val="ListParagraph"/>
        <w:numPr>
          <w:ilvl w:val="0"/>
          <w:numId w:val="17"/>
        </w:numPr>
        <w:jc w:val="both"/>
        <w:rPr>
          <w:rFonts w:ascii="Arial" w:hAnsi="Arial" w:cs="Arial"/>
          <w:sz w:val="22"/>
          <w:szCs w:val="22"/>
        </w:rPr>
      </w:pPr>
      <w:r w:rsidRPr="00AC3A67">
        <w:rPr>
          <w:rFonts w:ascii="Arial" w:hAnsi="Arial" w:cs="Arial"/>
          <w:sz w:val="22"/>
          <w:szCs w:val="22"/>
        </w:rPr>
        <w:t>There i</w:t>
      </w:r>
      <w:r w:rsidR="00AC3A67" w:rsidRPr="00AC3A67">
        <w:rPr>
          <w:rFonts w:ascii="Arial" w:hAnsi="Arial" w:cs="Arial"/>
          <w:sz w:val="22"/>
          <w:szCs w:val="22"/>
        </w:rPr>
        <w:t>s a fur</w:t>
      </w:r>
      <w:r w:rsidR="00EA5177">
        <w:rPr>
          <w:rFonts w:ascii="Arial" w:hAnsi="Arial" w:cs="Arial"/>
          <w:sz w:val="22"/>
          <w:szCs w:val="22"/>
        </w:rPr>
        <w:t>ther offsetting overspend of £8</w:t>
      </w:r>
      <w:r w:rsidRPr="00AC3A67">
        <w:rPr>
          <w:rFonts w:ascii="Arial" w:hAnsi="Arial" w:cs="Arial"/>
          <w:sz w:val="22"/>
          <w:szCs w:val="22"/>
        </w:rPr>
        <w:t>k w</w:t>
      </w:r>
      <w:r w:rsidR="00AC3A67" w:rsidRPr="00AC3A67">
        <w:rPr>
          <w:rFonts w:ascii="Arial" w:hAnsi="Arial" w:cs="Arial"/>
          <w:sz w:val="22"/>
          <w:szCs w:val="22"/>
        </w:rPr>
        <w:t>ithin Chief Executive (inc</w:t>
      </w:r>
      <w:r w:rsidR="00E70FE6">
        <w:rPr>
          <w:rFonts w:ascii="Arial" w:hAnsi="Arial" w:cs="Arial"/>
          <w:sz w:val="22"/>
          <w:szCs w:val="22"/>
        </w:rPr>
        <w:t>luding</w:t>
      </w:r>
      <w:r w:rsidR="00AC3A67" w:rsidRPr="00AC3A67">
        <w:rPr>
          <w:rFonts w:ascii="Arial" w:hAnsi="Arial" w:cs="Arial"/>
          <w:sz w:val="22"/>
          <w:szCs w:val="22"/>
        </w:rPr>
        <w:t xml:space="preserve"> Corp</w:t>
      </w:r>
      <w:r w:rsidR="00E70FE6">
        <w:rPr>
          <w:rFonts w:ascii="Arial" w:hAnsi="Arial" w:cs="Arial"/>
          <w:sz w:val="22"/>
          <w:szCs w:val="22"/>
        </w:rPr>
        <w:t>orate</w:t>
      </w:r>
      <w:r w:rsidR="00AC3A67" w:rsidRPr="00AC3A67">
        <w:rPr>
          <w:rFonts w:ascii="Arial" w:hAnsi="Arial" w:cs="Arial"/>
          <w:sz w:val="22"/>
          <w:szCs w:val="22"/>
        </w:rPr>
        <w:t xml:space="preserve"> </w:t>
      </w:r>
      <w:r w:rsidR="00E70FE6">
        <w:rPr>
          <w:rFonts w:ascii="Arial" w:hAnsi="Arial" w:cs="Arial"/>
          <w:sz w:val="22"/>
          <w:szCs w:val="22"/>
        </w:rPr>
        <w:t>secretary</w:t>
      </w:r>
      <w:r w:rsidR="00AC3A67" w:rsidRPr="00AC3A67">
        <w:rPr>
          <w:rFonts w:ascii="Arial" w:hAnsi="Arial" w:cs="Arial"/>
          <w:sz w:val="22"/>
          <w:szCs w:val="22"/>
        </w:rPr>
        <w:t xml:space="preserve">) </w:t>
      </w:r>
      <w:r w:rsidRPr="00AC3A67">
        <w:rPr>
          <w:rFonts w:ascii="Arial" w:hAnsi="Arial" w:cs="Arial"/>
          <w:sz w:val="22"/>
          <w:szCs w:val="22"/>
        </w:rPr>
        <w:t xml:space="preserve">which relates to </w:t>
      </w:r>
      <w:r w:rsidR="00E70FE6">
        <w:rPr>
          <w:rFonts w:ascii="Arial" w:hAnsi="Arial" w:cs="Arial"/>
          <w:sz w:val="22"/>
          <w:szCs w:val="22"/>
        </w:rPr>
        <w:t xml:space="preserve">unexpected costs linked to </w:t>
      </w:r>
      <w:r w:rsidR="00AC3A67" w:rsidRPr="00AC3A67">
        <w:rPr>
          <w:rFonts w:ascii="Arial" w:hAnsi="Arial" w:cs="Arial"/>
          <w:sz w:val="22"/>
          <w:szCs w:val="22"/>
        </w:rPr>
        <w:t xml:space="preserve">the asset disposal of the replaced video conferencing equipment £18.5k.  This charge has been highlighted as part of the </w:t>
      </w:r>
      <w:r w:rsidR="007817C4">
        <w:rPr>
          <w:rFonts w:ascii="Arial" w:hAnsi="Arial" w:cs="Arial"/>
          <w:sz w:val="22"/>
          <w:szCs w:val="22"/>
        </w:rPr>
        <w:t>Quarter one finance return submission and will be flagged in</w:t>
      </w:r>
      <w:r w:rsidR="00AC3A67">
        <w:rPr>
          <w:rFonts w:ascii="Arial" w:hAnsi="Arial" w:cs="Arial"/>
          <w:sz w:val="22"/>
          <w:szCs w:val="22"/>
        </w:rPr>
        <w:t xml:space="preserve"> discussions with the sponsor.</w:t>
      </w:r>
      <w:r w:rsidR="00EA5177">
        <w:rPr>
          <w:rFonts w:ascii="Arial" w:hAnsi="Arial" w:cs="Arial"/>
          <w:sz w:val="22"/>
          <w:szCs w:val="22"/>
        </w:rPr>
        <w:t xml:space="preserve"> This is offset by </w:t>
      </w:r>
      <w:proofErr w:type="gramStart"/>
      <w:r w:rsidR="00EA5177">
        <w:rPr>
          <w:rFonts w:ascii="Arial" w:hAnsi="Arial" w:cs="Arial"/>
          <w:sz w:val="22"/>
          <w:szCs w:val="22"/>
        </w:rPr>
        <w:t>an underspend</w:t>
      </w:r>
      <w:proofErr w:type="gramEnd"/>
      <w:r w:rsidR="00EA5177">
        <w:rPr>
          <w:rFonts w:ascii="Arial" w:hAnsi="Arial" w:cs="Arial"/>
          <w:sz w:val="22"/>
          <w:szCs w:val="22"/>
        </w:rPr>
        <w:t xml:space="preserve"> within Pay (£13k) </w:t>
      </w:r>
      <w:r w:rsidR="007817C4">
        <w:rPr>
          <w:rFonts w:ascii="Arial" w:hAnsi="Arial" w:cs="Arial"/>
          <w:sz w:val="22"/>
          <w:szCs w:val="22"/>
        </w:rPr>
        <w:t xml:space="preserve">related to a </w:t>
      </w:r>
      <w:r w:rsidR="00EA5177">
        <w:rPr>
          <w:rFonts w:ascii="Arial" w:hAnsi="Arial" w:cs="Arial"/>
          <w:sz w:val="22"/>
          <w:szCs w:val="22"/>
        </w:rPr>
        <w:t xml:space="preserve">vacancy </w:t>
      </w:r>
      <w:r w:rsidR="007817C4">
        <w:rPr>
          <w:rFonts w:ascii="Arial" w:hAnsi="Arial" w:cs="Arial"/>
          <w:sz w:val="22"/>
          <w:szCs w:val="22"/>
        </w:rPr>
        <w:t xml:space="preserve">which </w:t>
      </w:r>
      <w:r w:rsidR="00EA5177">
        <w:rPr>
          <w:rFonts w:ascii="Arial" w:hAnsi="Arial" w:cs="Arial"/>
          <w:sz w:val="22"/>
          <w:szCs w:val="22"/>
        </w:rPr>
        <w:t>is currently under review.</w:t>
      </w:r>
    </w:p>
    <w:p w:rsidR="00AC3A67" w:rsidRPr="00AC3A67" w:rsidRDefault="007A3B4E" w:rsidP="00A6115B">
      <w:pPr>
        <w:pStyle w:val="ListParagraph"/>
        <w:numPr>
          <w:ilvl w:val="0"/>
          <w:numId w:val="17"/>
        </w:numPr>
        <w:jc w:val="both"/>
        <w:rPr>
          <w:rFonts w:ascii="Arial" w:hAnsi="Arial" w:cs="Arial"/>
          <w:sz w:val="22"/>
          <w:szCs w:val="22"/>
        </w:rPr>
      </w:pPr>
      <w:r>
        <w:rPr>
          <w:rFonts w:ascii="Arial" w:hAnsi="Arial" w:cs="Arial"/>
          <w:sz w:val="22"/>
          <w:szCs w:val="22"/>
        </w:rPr>
        <w:t xml:space="preserve">Within Corporate services there </w:t>
      </w:r>
      <w:r w:rsidR="00D7554B">
        <w:rPr>
          <w:rFonts w:ascii="Arial" w:hAnsi="Arial" w:cs="Arial"/>
          <w:sz w:val="22"/>
          <w:szCs w:val="22"/>
        </w:rPr>
        <w:t xml:space="preserve">is currently </w:t>
      </w:r>
      <w:proofErr w:type="gramStart"/>
      <w:r w:rsidR="00D7554B">
        <w:rPr>
          <w:rFonts w:ascii="Arial" w:hAnsi="Arial" w:cs="Arial"/>
          <w:sz w:val="22"/>
          <w:szCs w:val="22"/>
        </w:rPr>
        <w:t>an</w:t>
      </w:r>
      <w:r w:rsidR="00ED59E0">
        <w:rPr>
          <w:rFonts w:ascii="Arial" w:hAnsi="Arial" w:cs="Arial"/>
          <w:sz w:val="22"/>
          <w:szCs w:val="22"/>
        </w:rPr>
        <w:t xml:space="preserve"> </w:t>
      </w:r>
      <w:r w:rsidR="00D7554B">
        <w:rPr>
          <w:rFonts w:ascii="Arial" w:hAnsi="Arial" w:cs="Arial"/>
          <w:sz w:val="22"/>
          <w:szCs w:val="22"/>
        </w:rPr>
        <w:t>overspend</w:t>
      </w:r>
      <w:proofErr w:type="gramEnd"/>
      <w:r w:rsidR="00D7554B">
        <w:rPr>
          <w:rFonts w:ascii="Arial" w:hAnsi="Arial" w:cs="Arial"/>
          <w:sz w:val="22"/>
          <w:szCs w:val="22"/>
        </w:rPr>
        <w:t xml:space="preserve"> of £4</w:t>
      </w:r>
      <w:r>
        <w:rPr>
          <w:rFonts w:ascii="Arial" w:hAnsi="Arial" w:cs="Arial"/>
          <w:sz w:val="22"/>
          <w:szCs w:val="22"/>
        </w:rPr>
        <w:t xml:space="preserve">k.  This arises from </w:t>
      </w:r>
      <w:proofErr w:type="gramStart"/>
      <w:r>
        <w:rPr>
          <w:rFonts w:ascii="Arial" w:hAnsi="Arial" w:cs="Arial"/>
          <w:sz w:val="22"/>
          <w:szCs w:val="22"/>
        </w:rPr>
        <w:t>an underspend</w:t>
      </w:r>
      <w:proofErr w:type="gramEnd"/>
      <w:r>
        <w:rPr>
          <w:rFonts w:ascii="Arial" w:hAnsi="Arial" w:cs="Arial"/>
          <w:sz w:val="22"/>
          <w:szCs w:val="22"/>
        </w:rPr>
        <w:t xml:space="preserve"> within the IT contracts (Open Servi</w:t>
      </w:r>
      <w:r w:rsidR="00EA5177">
        <w:rPr>
          <w:rFonts w:ascii="Arial" w:hAnsi="Arial" w:cs="Arial"/>
          <w:sz w:val="22"/>
          <w:szCs w:val="22"/>
        </w:rPr>
        <w:t>ce, MPS and backup lines) of £33</w:t>
      </w:r>
      <w:r>
        <w:rPr>
          <w:rFonts w:ascii="Arial" w:hAnsi="Arial" w:cs="Arial"/>
          <w:sz w:val="22"/>
          <w:szCs w:val="22"/>
        </w:rPr>
        <w:t>k.  This underspend will be further investigated to determine potential outturn and required budget</w:t>
      </w:r>
      <w:r w:rsidR="009115E5">
        <w:rPr>
          <w:rFonts w:ascii="Arial" w:hAnsi="Arial" w:cs="Arial"/>
          <w:sz w:val="22"/>
          <w:szCs w:val="22"/>
        </w:rPr>
        <w:t xml:space="preserve"> with the likelihood of transferring surplus budget to reserves for reassignment to corporate objectives</w:t>
      </w:r>
      <w:r>
        <w:rPr>
          <w:rFonts w:ascii="Arial" w:hAnsi="Arial" w:cs="Arial"/>
          <w:sz w:val="22"/>
          <w:szCs w:val="22"/>
        </w:rPr>
        <w:t xml:space="preserve">.  This underspend is </w:t>
      </w:r>
      <w:r w:rsidR="009115E5">
        <w:rPr>
          <w:rFonts w:ascii="Arial" w:hAnsi="Arial" w:cs="Arial"/>
          <w:sz w:val="22"/>
          <w:szCs w:val="22"/>
        </w:rPr>
        <w:t xml:space="preserve">currently </w:t>
      </w:r>
      <w:r>
        <w:rPr>
          <w:rFonts w:ascii="Arial" w:hAnsi="Arial" w:cs="Arial"/>
          <w:sz w:val="22"/>
          <w:szCs w:val="22"/>
        </w:rPr>
        <w:t xml:space="preserve">offset within Corporate Services by </w:t>
      </w:r>
      <w:proofErr w:type="gramStart"/>
      <w:r>
        <w:rPr>
          <w:rFonts w:ascii="Arial" w:hAnsi="Arial" w:cs="Arial"/>
          <w:sz w:val="22"/>
          <w:szCs w:val="22"/>
        </w:rPr>
        <w:t>an oversp</w:t>
      </w:r>
      <w:r w:rsidR="00EA5177">
        <w:rPr>
          <w:rFonts w:ascii="Arial" w:hAnsi="Arial" w:cs="Arial"/>
          <w:sz w:val="22"/>
          <w:szCs w:val="22"/>
        </w:rPr>
        <w:t>end</w:t>
      </w:r>
      <w:proofErr w:type="gramEnd"/>
      <w:r w:rsidR="00EA5177">
        <w:rPr>
          <w:rFonts w:ascii="Arial" w:hAnsi="Arial" w:cs="Arial"/>
          <w:sz w:val="22"/>
          <w:szCs w:val="22"/>
        </w:rPr>
        <w:t xml:space="preserve"> within Staff Training of £31</w:t>
      </w:r>
      <w:r>
        <w:rPr>
          <w:rFonts w:ascii="Arial" w:hAnsi="Arial" w:cs="Arial"/>
          <w:sz w:val="22"/>
          <w:szCs w:val="22"/>
        </w:rPr>
        <w:t xml:space="preserve">k. </w:t>
      </w:r>
      <w:r w:rsidR="00C62E72">
        <w:rPr>
          <w:rFonts w:ascii="Arial" w:hAnsi="Arial" w:cs="Arial"/>
          <w:sz w:val="22"/>
          <w:szCs w:val="22"/>
        </w:rPr>
        <w:t>The £31k overspend relates to £8</w:t>
      </w:r>
      <w:r w:rsidR="00BB6BFD">
        <w:rPr>
          <w:rFonts w:ascii="Arial" w:hAnsi="Arial" w:cs="Arial"/>
          <w:sz w:val="22"/>
          <w:szCs w:val="22"/>
        </w:rPr>
        <w:t xml:space="preserve">k on travel which needs to be investigated but may be an early adoption of the coding of training </w:t>
      </w:r>
      <w:r w:rsidR="007817C4">
        <w:rPr>
          <w:rFonts w:ascii="Arial" w:hAnsi="Arial" w:cs="Arial"/>
          <w:sz w:val="22"/>
          <w:szCs w:val="22"/>
        </w:rPr>
        <w:t xml:space="preserve">related </w:t>
      </w:r>
      <w:r w:rsidR="00BB6BFD">
        <w:rPr>
          <w:rFonts w:ascii="Arial" w:hAnsi="Arial" w:cs="Arial"/>
          <w:sz w:val="22"/>
          <w:szCs w:val="22"/>
        </w:rPr>
        <w:t xml:space="preserve">travel </w:t>
      </w:r>
      <w:r w:rsidR="007817C4">
        <w:rPr>
          <w:rFonts w:ascii="Arial" w:hAnsi="Arial" w:cs="Arial"/>
          <w:sz w:val="22"/>
          <w:szCs w:val="22"/>
        </w:rPr>
        <w:t xml:space="preserve">costs direct </w:t>
      </w:r>
      <w:r w:rsidR="00ED59E0">
        <w:rPr>
          <w:rFonts w:ascii="Arial" w:hAnsi="Arial" w:cs="Arial"/>
          <w:sz w:val="22"/>
          <w:szCs w:val="22"/>
        </w:rPr>
        <w:t>to training and which may link to underspends in travel in other areas.</w:t>
      </w:r>
      <w:r w:rsidR="00BB6BFD">
        <w:rPr>
          <w:rFonts w:ascii="Arial" w:hAnsi="Arial" w:cs="Arial"/>
          <w:sz w:val="22"/>
          <w:szCs w:val="22"/>
        </w:rPr>
        <w:t xml:space="preserve">  There is also </w:t>
      </w:r>
      <w:proofErr w:type="gramStart"/>
      <w:r w:rsidR="00BB6BFD">
        <w:rPr>
          <w:rFonts w:ascii="Arial" w:hAnsi="Arial" w:cs="Arial"/>
          <w:sz w:val="22"/>
          <w:szCs w:val="22"/>
        </w:rPr>
        <w:t>an overs</w:t>
      </w:r>
      <w:r w:rsidR="00C62E72">
        <w:rPr>
          <w:rFonts w:ascii="Arial" w:hAnsi="Arial" w:cs="Arial"/>
          <w:sz w:val="22"/>
          <w:szCs w:val="22"/>
        </w:rPr>
        <w:t>pend</w:t>
      </w:r>
      <w:proofErr w:type="gramEnd"/>
      <w:r w:rsidR="00C62E72">
        <w:rPr>
          <w:rFonts w:ascii="Arial" w:hAnsi="Arial" w:cs="Arial"/>
          <w:sz w:val="22"/>
          <w:szCs w:val="22"/>
        </w:rPr>
        <w:t xml:space="preserve"> within the pay budget of £11</w:t>
      </w:r>
      <w:r w:rsidR="00BB6BFD">
        <w:rPr>
          <w:rFonts w:ascii="Arial" w:hAnsi="Arial" w:cs="Arial"/>
          <w:sz w:val="22"/>
          <w:szCs w:val="22"/>
        </w:rPr>
        <w:t xml:space="preserve">k this area is awaiting a </w:t>
      </w:r>
      <w:proofErr w:type="spellStart"/>
      <w:r w:rsidR="00BB6BFD">
        <w:rPr>
          <w:rFonts w:ascii="Arial" w:hAnsi="Arial" w:cs="Arial"/>
          <w:sz w:val="22"/>
          <w:szCs w:val="22"/>
        </w:rPr>
        <w:t>virement</w:t>
      </w:r>
      <w:proofErr w:type="spellEnd"/>
      <w:r w:rsidR="00BB6BFD">
        <w:rPr>
          <w:rFonts w:ascii="Arial" w:hAnsi="Arial" w:cs="Arial"/>
          <w:sz w:val="22"/>
          <w:szCs w:val="22"/>
        </w:rPr>
        <w:t xml:space="preserve"> to be actioned that should mitigate this position.  There is </w:t>
      </w:r>
      <w:proofErr w:type="gramStart"/>
      <w:r w:rsidR="00BB6BFD">
        <w:rPr>
          <w:rFonts w:ascii="Arial" w:hAnsi="Arial" w:cs="Arial"/>
          <w:sz w:val="22"/>
          <w:szCs w:val="22"/>
        </w:rPr>
        <w:t>an overspend</w:t>
      </w:r>
      <w:proofErr w:type="gramEnd"/>
      <w:r w:rsidR="00BB6BFD">
        <w:rPr>
          <w:rFonts w:ascii="Arial" w:hAnsi="Arial" w:cs="Arial"/>
          <w:sz w:val="22"/>
          <w:szCs w:val="22"/>
        </w:rPr>
        <w:t xml:space="preserve"> o</w:t>
      </w:r>
      <w:r w:rsidR="00C62E72">
        <w:rPr>
          <w:rFonts w:ascii="Arial" w:hAnsi="Arial" w:cs="Arial"/>
          <w:sz w:val="22"/>
          <w:szCs w:val="22"/>
        </w:rPr>
        <w:t>f £11</w:t>
      </w:r>
      <w:r w:rsidR="00BB6BFD">
        <w:rPr>
          <w:rFonts w:ascii="Arial" w:hAnsi="Arial" w:cs="Arial"/>
          <w:sz w:val="22"/>
          <w:szCs w:val="22"/>
        </w:rPr>
        <w:t>k in Training expenses which will need to investigated further with the budget manager.</w:t>
      </w:r>
      <w:r>
        <w:rPr>
          <w:rFonts w:ascii="Arial" w:hAnsi="Arial" w:cs="Arial"/>
          <w:sz w:val="22"/>
          <w:szCs w:val="22"/>
        </w:rPr>
        <w:t xml:space="preserve"> </w:t>
      </w:r>
    </w:p>
    <w:p w:rsidR="00361479" w:rsidRPr="00361479" w:rsidRDefault="00361479" w:rsidP="00361479">
      <w:pPr>
        <w:pStyle w:val="ListParagraph"/>
        <w:numPr>
          <w:ilvl w:val="0"/>
          <w:numId w:val="17"/>
        </w:numPr>
        <w:jc w:val="both"/>
        <w:rPr>
          <w:rFonts w:ascii="Arial" w:hAnsi="Arial" w:cs="Arial"/>
          <w:sz w:val="22"/>
          <w:szCs w:val="22"/>
        </w:rPr>
      </w:pPr>
      <w:r w:rsidRPr="00361479">
        <w:rPr>
          <w:rFonts w:ascii="Arial" w:hAnsi="Arial" w:cs="Arial"/>
          <w:sz w:val="22"/>
          <w:szCs w:val="22"/>
        </w:rPr>
        <w:t>Pay b</w:t>
      </w:r>
      <w:r w:rsidR="007A3B4E">
        <w:rPr>
          <w:rFonts w:ascii="Arial" w:hAnsi="Arial" w:cs="Arial"/>
          <w:sz w:val="22"/>
          <w:szCs w:val="22"/>
        </w:rPr>
        <w:t>udgets are under sp</w:t>
      </w:r>
      <w:r w:rsidR="00635141">
        <w:rPr>
          <w:rFonts w:ascii="Arial" w:hAnsi="Arial" w:cs="Arial"/>
          <w:sz w:val="22"/>
          <w:szCs w:val="22"/>
        </w:rPr>
        <w:t>ent</w:t>
      </w:r>
      <w:r w:rsidR="00C62E72">
        <w:rPr>
          <w:rFonts w:ascii="Arial" w:hAnsi="Arial" w:cs="Arial"/>
          <w:sz w:val="22"/>
          <w:szCs w:val="22"/>
        </w:rPr>
        <w:t xml:space="preserve"> by £86</w:t>
      </w:r>
      <w:r w:rsidR="007A3B4E">
        <w:rPr>
          <w:rFonts w:ascii="Arial" w:hAnsi="Arial" w:cs="Arial"/>
          <w:sz w:val="22"/>
          <w:szCs w:val="22"/>
        </w:rPr>
        <w:t xml:space="preserve">k. This is </w:t>
      </w:r>
      <w:r w:rsidR="007817C4">
        <w:rPr>
          <w:rFonts w:ascii="Arial" w:hAnsi="Arial" w:cs="Arial"/>
          <w:sz w:val="22"/>
          <w:szCs w:val="22"/>
        </w:rPr>
        <w:t xml:space="preserve">net of </w:t>
      </w:r>
      <w:r w:rsidR="00BA2A8B">
        <w:rPr>
          <w:rFonts w:ascii="Arial" w:hAnsi="Arial" w:cs="Arial"/>
          <w:sz w:val="22"/>
          <w:szCs w:val="22"/>
        </w:rPr>
        <w:t>the</w:t>
      </w:r>
      <w:r w:rsidR="00C62E72">
        <w:rPr>
          <w:rFonts w:ascii="Arial" w:hAnsi="Arial" w:cs="Arial"/>
          <w:sz w:val="22"/>
          <w:szCs w:val="22"/>
        </w:rPr>
        <w:t xml:space="preserve"> £49.9</w:t>
      </w:r>
      <w:r w:rsidRPr="00361479">
        <w:rPr>
          <w:rFonts w:ascii="Arial" w:hAnsi="Arial" w:cs="Arial"/>
          <w:sz w:val="22"/>
          <w:szCs w:val="22"/>
        </w:rPr>
        <w:t>k year to date vacancy factor</w:t>
      </w:r>
      <w:r w:rsidR="009115E5">
        <w:rPr>
          <w:rFonts w:ascii="Arial" w:hAnsi="Arial" w:cs="Arial"/>
          <w:sz w:val="22"/>
          <w:szCs w:val="22"/>
        </w:rPr>
        <w:t>;</w:t>
      </w:r>
      <w:r w:rsidRPr="00361479">
        <w:rPr>
          <w:rFonts w:ascii="Arial" w:hAnsi="Arial" w:cs="Arial"/>
          <w:sz w:val="22"/>
          <w:szCs w:val="22"/>
        </w:rPr>
        <w:t xml:space="preserve"> the overall pay underspe</w:t>
      </w:r>
      <w:r w:rsidR="007A3B4E">
        <w:rPr>
          <w:rFonts w:ascii="Arial" w:hAnsi="Arial" w:cs="Arial"/>
          <w:sz w:val="22"/>
          <w:szCs w:val="22"/>
        </w:rPr>
        <w:t>nd</w:t>
      </w:r>
      <w:r w:rsidR="00C62E72">
        <w:rPr>
          <w:rFonts w:ascii="Arial" w:hAnsi="Arial" w:cs="Arial"/>
          <w:sz w:val="22"/>
          <w:szCs w:val="22"/>
        </w:rPr>
        <w:t xml:space="preserve"> would have therefore been £136</w:t>
      </w:r>
      <w:r w:rsidR="00E64294">
        <w:rPr>
          <w:rFonts w:ascii="Arial" w:hAnsi="Arial" w:cs="Arial"/>
          <w:sz w:val="22"/>
          <w:szCs w:val="22"/>
        </w:rPr>
        <w:t>k.  W</w:t>
      </w:r>
      <w:r w:rsidRPr="00361479">
        <w:rPr>
          <w:rFonts w:ascii="Arial" w:hAnsi="Arial" w:cs="Arial"/>
          <w:sz w:val="22"/>
          <w:szCs w:val="22"/>
        </w:rPr>
        <w:t>ithin the Research Systems, Standards and HRA Approval Programme direct</w:t>
      </w:r>
      <w:r w:rsidR="007A3B4E">
        <w:rPr>
          <w:rFonts w:ascii="Arial" w:hAnsi="Arial" w:cs="Arial"/>
          <w:sz w:val="22"/>
          <w:szCs w:val="22"/>
        </w:rPr>
        <w:t>orate</w:t>
      </w:r>
      <w:r w:rsidR="00E64294">
        <w:rPr>
          <w:rFonts w:ascii="Arial" w:hAnsi="Arial" w:cs="Arial"/>
          <w:sz w:val="22"/>
          <w:szCs w:val="22"/>
        </w:rPr>
        <w:t xml:space="preserve"> the pay underspend is £40k</w:t>
      </w:r>
      <w:r w:rsidR="007A3B4E">
        <w:rPr>
          <w:rFonts w:ascii="Arial" w:hAnsi="Arial" w:cs="Arial"/>
          <w:sz w:val="22"/>
          <w:szCs w:val="22"/>
        </w:rPr>
        <w:t xml:space="preserve">.  </w:t>
      </w:r>
      <w:r w:rsidR="00E64294">
        <w:rPr>
          <w:rFonts w:ascii="Arial" w:hAnsi="Arial" w:cs="Arial"/>
          <w:sz w:val="22"/>
          <w:szCs w:val="22"/>
        </w:rPr>
        <w:t xml:space="preserve">This underspend is in line with original </w:t>
      </w:r>
      <w:r w:rsidR="007817C4">
        <w:rPr>
          <w:rFonts w:ascii="Arial" w:hAnsi="Arial" w:cs="Arial"/>
          <w:sz w:val="22"/>
          <w:szCs w:val="22"/>
        </w:rPr>
        <w:t xml:space="preserve">timing of </w:t>
      </w:r>
      <w:r w:rsidR="00E64294">
        <w:rPr>
          <w:rFonts w:ascii="Arial" w:hAnsi="Arial" w:cs="Arial"/>
          <w:sz w:val="22"/>
          <w:szCs w:val="22"/>
        </w:rPr>
        <w:t xml:space="preserve">plans regarding achievement of the vacancy factor within the directorate. </w:t>
      </w:r>
      <w:r w:rsidR="007A3B4E">
        <w:rPr>
          <w:rFonts w:ascii="Arial" w:hAnsi="Arial" w:cs="Arial"/>
          <w:sz w:val="22"/>
          <w:szCs w:val="22"/>
        </w:rPr>
        <w:t xml:space="preserve">Work is </w:t>
      </w:r>
      <w:r w:rsidR="007817C4">
        <w:rPr>
          <w:rFonts w:ascii="Arial" w:hAnsi="Arial" w:cs="Arial"/>
          <w:sz w:val="22"/>
          <w:szCs w:val="22"/>
        </w:rPr>
        <w:t xml:space="preserve">also </w:t>
      </w:r>
      <w:r w:rsidR="007A3B4E">
        <w:rPr>
          <w:rFonts w:ascii="Arial" w:hAnsi="Arial" w:cs="Arial"/>
          <w:sz w:val="22"/>
          <w:szCs w:val="22"/>
        </w:rPr>
        <w:t>underway</w:t>
      </w:r>
      <w:r w:rsidRPr="00361479">
        <w:rPr>
          <w:rFonts w:ascii="Arial" w:hAnsi="Arial" w:cs="Arial"/>
          <w:sz w:val="22"/>
          <w:szCs w:val="22"/>
        </w:rPr>
        <w:t xml:space="preserve"> to identify plans to support the service being provided</w:t>
      </w:r>
      <w:r w:rsidR="007817C4">
        <w:rPr>
          <w:rFonts w:ascii="Arial" w:hAnsi="Arial" w:cs="Arial"/>
          <w:sz w:val="22"/>
          <w:szCs w:val="22"/>
        </w:rPr>
        <w:t xml:space="preserve"> due to emerging workloads</w:t>
      </w:r>
      <w:r w:rsidRPr="00361479">
        <w:rPr>
          <w:rFonts w:ascii="Arial" w:hAnsi="Arial" w:cs="Arial"/>
          <w:sz w:val="22"/>
          <w:szCs w:val="22"/>
        </w:rPr>
        <w:t>.  The remainder of the</w:t>
      </w:r>
      <w:r w:rsidR="00E64294">
        <w:rPr>
          <w:rFonts w:ascii="Arial" w:hAnsi="Arial" w:cs="Arial"/>
          <w:sz w:val="22"/>
          <w:szCs w:val="22"/>
        </w:rPr>
        <w:t xml:space="preserve"> pay underspend is £20</w:t>
      </w:r>
      <w:r w:rsidR="007A3B4E">
        <w:rPr>
          <w:rFonts w:ascii="Arial" w:hAnsi="Arial" w:cs="Arial"/>
          <w:sz w:val="22"/>
          <w:szCs w:val="22"/>
        </w:rPr>
        <w:t>k within Operations</w:t>
      </w:r>
      <w:r w:rsidR="00E64294">
        <w:rPr>
          <w:rFonts w:ascii="Arial" w:hAnsi="Arial" w:cs="Arial"/>
          <w:sz w:val="22"/>
          <w:szCs w:val="22"/>
        </w:rPr>
        <w:t>, £11</w:t>
      </w:r>
      <w:r w:rsidR="00635141">
        <w:rPr>
          <w:rFonts w:ascii="Arial" w:hAnsi="Arial" w:cs="Arial"/>
          <w:sz w:val="22"/>
          <w:szCs w:val="22"/>
        </w:rPr>
        <w:t xml:space="preserve">k </w:t>
      </w:r>
      <w:r w:rsidR="00E64294">
        <w:rPr>
          <w:rFonts w:ascii="Arial" w:hAnsi="Arial" w:cs="Arial"/>
          <w:sz w:val="22"/>
          <w:szCs w:val="22"/>
        </w:rPr>
        <w:t>within Corporate Services and £13</w:t>
      </w:r>
      <w:r w:rsidR="00635141">
        <w:rPr>
          <w:rFonts w:ascii="Arial" w:hAnsi="Arial" w:cs="Arial"/>
          <w:sz w:val="22"/>
          <w:szCs w:val="22"/>
        </w:rPr>
        <w:t>k within Chief Executive (</w:t>
      </w:r>
      <w:proofErr w:type="spellStart"/>
      <w:proofErr w:type="gramStart"/>
      <w:r w:rsidR="00635141">
        <w:rPr>
          <w:rFonts w:ascii="Arial" w:hAnsi="Arial" w:cs="Arial"/>
          <w:sz w:val="22"/>
          <w:szCs w:val="22"/>
        </w:rPr>
        <w:t>inc</w:t>
      </w:r>
      <w:proofErr w:type="spellEnd"/>
      <w:proofErr w:type="gramEnd"/>
      <w:r w:rsidR="00635141">
        <w:rPr>
          <w:rFonts w:ascii="Arial" w:hAnsi="Arial" w:cs="Arial"/>
          <w:sz w:val="22"/>
          <w:szCs w:val="22"/>
        </w:rPr>
        <w:t xml:space="preserve"> Corp Sec).</w:t>
      </w:r>
      <w:r w:rsidRPr="00361479">
        <w:rPr>
          <w:rFonts w:ascii="Arial" w:hAnsi="Arial" w:cs="Arial"/>
          <w:sz w:val="22"/>
          <w:szCs w:val="22"/>
        </w:rPr>
        <w:t xml:space="preserve"> </w:t>
      </w:r>
    </w:p>
    <w:p w:rsidR="00361479" w:rsidRPr="00577CC7" w:rsidRDefault="00361479" w:rsidP="00992ACA">
      <w:pPr>
        <w:pStyle w:val="ListParagraph"/>
        <w:numPr>
          <w:ilvl w:val="0"/>
          <w:numId w:val="17"/>
        </w:numPr>
        <w:jc w:val="both"/>
        <w:rPr>
          <w:rFonts w:ascii="Arial" w:hAnsi="Arial" w:cs="Arial"/>
          <w:sz w:val="22"/>
          <w:szCs w:val="22"/>
        </w:rPr>
      </w:pPr>
      <w:r w:rsidRPr="00992ACA">
        <w:rPr>
          <w:rFonts w:ascii="Arial" w:hAnsi="Arial" w:cs="Arial"/>
          <w:sz w:val="22"/>
          <w:szCs w:val="22"/>
        </w:rPr>
        <w:t>Non-pay budgets</w:t>
      </w:r>
      <w:r w:rsidR="00E64294" w:rsidRPr="00992ACA">
        <w:rPr>
          <w:rFonts w:ascii="Arial" w:hAnsi="Arial" w:cs="Arial"/>
          <w:sz w:val="22"/>
          <w:szCs w:val="22"/>
        </w:rPr>
        <w:t xml:space="preserve"> are over spent by £51</w:t>
      </w:r>
      <w:r w:rsidRPr="00992ACA">
        <w:rPr>
          <w:rFonts w:ascii="Arial" w:hAnsi="Arial" w:cs="Arial"/>
          <w:sz w:val="22"/>
          <w:szCs w:val="22"/>
        </w:rPr>
        <w:t xml:space="preserve">k.    </w:t>
      </w:r>
      <w:r w:rsidR="00635141" w:rsidRPr="00992ACA">
        <w:rPr>
          <w:rFonts w:ascii="Arial" w:hAnsi="Arial" w:cs="Arial"/>
          <w:sz w:val="22"/>
          <w:szCs w:val="22"/>
        </w:rPr>
        <w:t xml:space="preserve">As explained above £70k relates to the archiving projects running into the </w:t>
      </w:r>
      <w:proofErr w:type="gramStart"/>
      <w:r w:rsidR="00635141" w:rsidRPr="00992ACA">
        <w:rPr>
          <w:rFonts w:ascii="Arial" w:hAnsi="Arial" w:cs="Arial"/>
          <w:sz w:val="22"/>
          <w:szCs w:val="22"/>
        </w:rPr>
        <w:t>new year</w:t>
      </w:r>
      <w:proofErr w:type="gramEnd"/>
      <w:r w:rsidR="00635141" w:rsidRPr="00992ACA">
        <w:rPr>
          <w:rFonts w:ascii="Arial" w:hAnsi="Arial" w:cs="Arial"/>
          <w:sz w:val="22"/>
          <w:szCs w:val="22"/>
        </w:rPr>
        <w:t xml:space="preserve"> and £18.5k relates to the asset disposal. </w:t>
      </w:r>
      <w:r w:rsidR="00BA2A8B" w:rsidRPr="00992ACA">
        <w:rPr>
          <w:rFonts w:ascii="Arial" w:hAnsi="Arial" w:cs="Arial"/>
          <w:sz w:val="22"/>
          <w:szCs w:val="22"/>
        </w:rPr>
        <w:t>These are both non recurrent impacts.</w:t>
      </w:r>
      <w:r w:rsidR="00992ACA" w:rsidRPr="00992ACA">
        <w:rPr>
          <w:rFonts w:ascii="Arial" w:hAnsi="Arial" w:cs="Arial"/>
          <w:sz w:val="22"/>
          <w:szCs w:val="22"/>
        </w:rPr>
        <w:t xml:space="preserve"> There is a £3.5</w:t>
      </w:r>
      <w:r w:rsidR="00635141" w:rsidRPr="00992ACA">
        <w:rPr>
          <w:rFonts w:ascii="Arial" w:hAnsi="Arial" w:cs="Arial"/>
          <w:sz w:val="22"/>
          <w:szCs w:val="22"/>
        </w:rPr>
        <w:t xml:space="preserve">k overspend within travel, </w:t>
      </w:r>
      <w:proofErr w:type="gramStart"/>
      <w:r w:rsidR="00635141" w:rsidRPr="00992ACA">
        <w:rPr>
          <w:rFonts w:ascii="Arial" w:hAnsi="Arial" w:cs="Arial"/>
          <w:sz w:val="22"/>
          <w:szCs w:val="22"/>
        </w:rPr>
        <w:t>an</w:t>
      </w:r>
      <w:r w:rsidR="002E3A3E">
        <w:rPr>
          <w:rFonts w:ascii="Arial" w:hAnsi="Arial" w:cs="Arial"/>
          <w:sz w:val="22"/>
          <w:szCs w:val="22"/>
        </w:rPr>
        <w:t xml:space="preserve"> </w:t>
      </w:r>
      <w:r w:rsidR="00635141" w:rsidRPr="00992ACA">
        <w:rPr>
          <w:rFonts w:ascii="Arial" w:hAnsi="Arial" w:cs="Arial"/>
          <w:sz w:val="22"/>
          <w:szCs w:val="22"/>
        </w:rPr>
        <w:t>oversp</w:t>
      </w:r>
      <w:r w:rsidR="00992ACA" w:rsidRPr="00992ACA">
        <w:rPr>
          <w:rFonts w:ascii="Arial" w:hAnsi="Arial" w:cs="Arial"/>
          <w:sz w:val="22"/>
          <w:szCs w:val="22"/>
        </w:rPr>
        <w:t>end</w:t>
      </w:r>
      <w:proofErr w:type="gramEnd"/>
      <w:r w:rsidR="00992ACA" w:rsidRPr="00992ACA">
        <w:rPr>
          <w:rFonts w:ascii="Arial" w:hAnsi="Arial" w:cs="Arial"/>
          <w:sz w:val="22"/>
          <w:szCs w:val="22"/>
        </w:rPr>
        <w:t xml:space="preserve"> on Skipton House rent of £27</w:t>
      </w:r>
      <w:r w:rsidR="00635141" w:rsidRPr="00992ACA">
        <w:rPr>
          <w:rFonts w:ascii="Arial" w:hAnsi="Arial" w:cs="Arial"/>
          <w:sz w:val="22"/>
          <w:szCs w:val="22"/>
        </w:rPr>
        <w:t xml:space="preserve">k, an overspend in training expenses of £13k.  These overspends are offset by underspends within </w:t>
      </w:r>
      <w:r w:rsidR="00992ACA" w:rsidRPr="00992ACA">
        <w:rPr>
          <w:rFonts w:ascii="Arial" w:hAnsi="Arial" w:cs="Arial"/>
          <w:sz w:val="22"/>
          <w:szCs w:val="22"/>
        </w:rPr>
        <w:t>meeting costs £13</w:t>
      </w:r>
      <w:r w:rsidR="006846BA" w:rsidRPr="00992ACA">
        <w:rPr>
          <w:rFonts w:ascii="Arial" w:hAnsi="Arial" w:cs="Arial"/>
          <w:sz w:val="22"/>
          <w:szCs w:val="22"/>
        </w:rPr>
        <w:t>k</w:t>
      </w:r>
      <w:r w:rsidR="00651D47" w:rsidRPr="00992ACA">
        <w:rPr>
          <w:rFonts w:ascii="Arial" w:hAnsi="Arial" w:cs="Arial"/>
          <w:sz w:val="22"/>
          <w:szCs w:val="22"/>
        </w:rPr>
        <w:t>, contract other extern</w:t>
      </w:r>
      <w:r w:rsidR="00992ACA" w:rsidRPr="00992ACA">
        <w:rPr>
          <w:rFonts w:ascii="Arial" w:hAnsi="Arial" w:cs="Arial"/>
          <w:sz w:val="22"/>
          <w:szCs w:val="22"/>
        </w:rPr>
        <w:t>al (Atos as explained above) £33</w:t>
      </w:r>
      <w:r w:rsidR="00651D47" w:rsidRPr="00992ACA">
        <w:rPr>
          <w:rFonts w:ascii="Arial" w:hAnsi="Arial" w:cs="Arial"/>
          <w:sz w:val="22"/>
          <w:szCs w:val="22"/>
        </w:rPr>
        <w:t>k</w:t>
      </w:r>
      <w:r w:rsidR="00992ACA">
        <w:rPr>
          <w:rFonts w:ascii="Arial" w:hAnsi="Arial" w:cs="Arial"/>
          <w:sz w:val="22"/>
          <w:szCs w:val="22"/>
        </w:rPr>
        <w:t xml:space="preserve">, </w:t>
      </w:r>
      <w:r w:rsidR="00992ACA" w:rsidRPr="00992ACA">
        <w:rPr>
          <w:rFonts w:ascii="Arial" w:hAnsi="Arial" w:cs="Arial"/>
          <w:sz w:val="22"/>
          <w:szCs w:val="22"/>
        </w:rPr>
        <w:t xml:space="preserve"> minor works of £8k in relation to the Estates Strategy</w:t>
      </w:r>
      <w:r w:rsidR="00992ACA">
        <w:rPr>
          <w:rFonts w:ascii="Arial" w:hAnsi="Arial" w:cs="Arial"/>
          <w:sz w:val="22"/>
          <w:szCs w:val="22"/>
        </w:rPr>
        <w:t>, and a service charge underspend of £4k in HRA Office Manchester</w:t>
      </w:r>
      <w:r w:rsidR="00992ACA" w:rsidRPr="00992ACA">
        <w:rPr>
          <w:rFonts w:ascii="Arial" w:hAnsi="Arial" w:cs="Arial"/>
          <w:sz w:val="22"/>
          <w:szCs w:val="22"/>
        </w:rPr>
        <w:t>.</w:t>
      </w:r>
      <w:r w:rsidR="002E3A3E">
        <w:rPr>
          <w:rFonts w:ascii="Arial" w:hAnsi="Arial" w:cs="Arial"/>
          <w:sz w:val="22"/>
          <w:szCs w:val="22"/>
        </w:rPr>
        <w:t xml:space="preserve"> There are also</w:t>
      </w:r>
      <w:r w:rsidR="00651D47" w:rsidRPr="00992ACA">
        <w:rPr>
          <w:rFonts w:ascii="Arial" w:hAnsi="Arial" w:cs="Arial"/>
          <w:sz w:val="22"/>
          <w:szCs w:val="22"/>
        </w:rPr>
        <w:t xml:space="preserve"> unders</w:t>
      </w:r>
      <w:r w:rsidR="00992ACA" w:rsidRPr="00992ACA">
        <w:rPr>
          <w:rFonts w:ascii="Arial" w:hAnsi="Arial" w:cs="Arial"/>
          <w:sz w:val="22"/>
          <w:szCs w:val="22"/>
        </w:rPr>
        <w:t>pends within Chairs Allowance</w:t>
      </w:r>
      <w:r w:rsidR="002E3A3E">
        <w:rPr>
          <w:rFonts w:ascii="Arial" w:hAnsi="Arial" w:cs="Arial"/>
          <w:sz w:val="22"/>
          <w:szCs w:val="22"/>
        </w:rPr>
        <w:t xml:space="preserve"> </w:t>
      </w:r>
      <w:r w:rsidR="00992ACA" w:rsidRPr="00992ACA">
        <w:rPr>
          <w:rFonts w:ascii="Arial" w:hAnsi="Arial" w:cs="Arial"/>
          <w:sz w:val="22"/>
          <w:szCs w:val="22"/>
        </w:rPr>
        <w:t>(£10</w:t>
      </w:r>
      <w:r w:rsidR="00651D47" w:rsidRPr="00992ACA">
        <w:rPr>
          <w:rFonts w:ascii="Arial" w:hAnsi="Arial" w:cs="Arial"/>
          <w:sz w:val="22"/>
          <w:szCs w:val="22"/>
        </w:rPr>
        <w:t>k)</w:t>
      </w:r>
      <w:r w:rsidR="00992ACA" w:rsidRPr="00992ACA">
        <w:rPr>
          <w:rFonts w:ascii="Arial" w:hAnsi="Arial" w:cs="Arial"/>
          <w:sz w:val="22"/>
          <w:szCs w:val="22"/>
        </w:rPr>
        <w:t xml:space="preserve"> and Stationery and Postage (£8</w:t>
      </w:r>
      <w:r w:rsidR="00651D47" w:rsidRPr="00992ACA">
        <w:rPr>
          <w:rFonts w:ascii="Arial" w:hAnsi="Arial" w:cs="Arial"/>
          <w:sz w:val="22"/>
          <w:szCs w:val="22"/>
        </w:rPr>
        <w:t>k).</w:t>
      </w:r>
      <w:r w:rsidR="00992ACA">
        <w:rPr>
          <w:rFonts w:ascii="Arial" w:hAnsi="Arial" w:cs="Arial"/>
          <w:sz w:val="22"/>
          <w:szCs w:val="22"/>
        </w:rPr>
        <w:t xml:space="preserve"> </w:t>
      </w:r>
    </w:p>
    <w:p w:rsidR="00156315" w:rsidRDefault="009A24E9" w:rsidP="00CA15E0">
      <w:pPr>
        <w:pStyle w:val="ListParagraph"/>
        <w:numPr>
          <w:ilvl w:val="0"/>
          <w:numId w:val="17"/>
        </w:numPr>
        <w:spacing w:after="200" w:line="276" w:lineRule="auto"/>
        <w:rPr>
          <w:rFonts w:ascii="Arial" w:hAnsi="Arial" w:cs="Arial"/>
          <w:sz w:val="22"/>
          <w:szCs w:val="22"/>
        </w:rPr>
      </w:pPr>
      <w:r>
        <w:rPr>
          <w:rFonts w:ascii="Arial" w:hAnsi="Arial" w:cs="Arial"/>
          <w:sz w:val="22"/>
          <w:szCs w:val="22"/>
        </w:rPr>
        <w:lastRenderedPageBreak/>
        <w:t xml:space="preserve">All staff planned </w:t>
      </w:r>
      <w:r w:rsidR="0009591A">
        <w:rPr>
          <w:rFonts w:ascii="Arial" w:hAnsi="Arial" w:cs="Arial"/>
          <w:sz w:val="22"/>
          <w:szCs w:val="22"/>
        </w:rPr>
        <w:t xml:space="preserve">within </w:t>
      </w:r>
      <w:r w:rsidR="001B0CA4" w:rsidRPr="00156315">
        <w:rPr>
          <w:rFonts w:ascii="Arial" w:hAnsi="Arial" w:cs="Arial"/>
          <w:sz w:val="22"/>
          <w:szCs w:val="22"/>
        </w:rPr>
        <w:t xml:space="preserve">the </w:t>
      </w:r>
      <w:r w:rsidR="00CC7BEE" w:rsidRPr="00156315">
        <w:rPr>
          <w:rFonts w:ascii="Arial" w:hAnsi="Arial" w:cs="Arial"/>
          <w:sz w:val="22"/>
          <w:szCs w:val="22"/>
        </w:rPr>
        <w:t>HRA Approval</w:t>
      </w:r>
      <w:r w:rsidR="001B0CA4" w:rsidRPr="00156315">
        <w:rPr>
          <w:rFonts w:ascii="Arial" w:hAnsi="Arial" w:cs="Arial"/>
          <w:sz w:val="22"/>
          <w:szCs w:val="22"/>
        </w:rPr>
        <w:t xml:space="preserve"> programme</w:t>
      </w:r>
      <w:r>
        <w:rPr>
          <w:rFonts w:ascii="Arial" w:hAnsi="Arial" w:cs="Arial"/>
          <w:sz w:val="22"/>
          <w:szCs w:val="22"/>
        </w:rPr>
        <w:t xml:space="preserve"> </w:t>
      </w:r>
      <w:proofErr w:type="gramStart"/>
      <w:r>
        <w:rPr>
          <w:rFonts w:ascii="Arial" w:hAnsi="Arial" w:cs="Arial"/>
          <w:sz w:val="22"/>
          <w:szCs w:val="22"/>
        </w:rPr>
        <w:t>are</w:t>
      </w:r>
      <w:proofErr w:type="gramEnd"/>
      <w:r>
        <w:rPr>
          <w:rFonts w:ascii="Arial" w:hAnsi="Arial" w:cs="Arial"/>
          <w:sz w:val="22"/>
          <w:szCs w:val="22"/>
        </w:rPr>
        <w:t xml:space="preserve"> now in post. There may be </w:t>
      </w:r>
      <w:r w:rsidR="00156315" w:rsidRPr="00156315">
        <w:rPr>
          <w:rFonts w:ascii="Arial" w:hAnsi="Arial" w:cs="Arial"/>
          <w:sz w:val="22"/>
          <w:szCs w:val="22"/>
        </w:rPr>
        <w:t>som</w:t>
      </w:r>
      <w:r>
        <w:rPr>
          <w:rFonts w:ascii="Arial" w:hAnsi="Arial" w:cs="Arial"/>
          <w:sz w:val="22"/>
          <w:szCs w:val="22"/>
        </w:rPr>
        <w:t>e further refinements required</w:t>
      </w:r>
      <w:r w:rsidR="00156315" w:rsidRPr="00156315">
        <w:rPr>
          <w:rFonts w:ascii="Arial" w:hAnsi="Arial" w:cs="Arial"/>
          <w:sz w:val="22"/>
          <w:szCs w:val="22"/>
        </w:rPr>
        <w:t xml:space="preserve"> in response to emerging workload pressures.</w:t>
      </w:r>
      <w:r w:rsidR="00CC7BEE" w:rsidRPr="00156315">
        <w:rPr>
          <w:rFonts w:ascii="Arial" w:hAnsi="Arial" w:cs="Arial"/>
          <w:sz w:val="22"/>
          <w:szCs w:val="22"/>
        </w:rPr>
        <w:t xml:space="preserve">  </w:t>
      </w:r>
      <w:r w:rsidR="00831566" w:rsidRPr="00156315">
        <w:rPr>
          <w:rFonts w:ascii="Arial" w:hAnsi="Arial" w:cs="Arial"/>
          <w:sz w:val="22"/>
          <w:szCs w:val="22"/>
        </w:rPr>
        <w:t xml:space="preserve">  </w:t>
      </w:r>
    </w:p>
    <w:p w:rsidR="001166D1" w:rsidRDefault="001166D1" w:rsidP="001166D1">
      <w:pPr>
        <w:pStyle w:val="ListParagraph"/>
        <w:spacing w:after="200" w:line="276" w:lineRule="auto"/>
        <w:ind w:left="1080"/>
        <w:rPr>
          <w:rFonts w:ascii="Arial" w:hAnsi="Arial" w:cs="Arial"/>
          <w:sz w:val="22"/>
          <w:szCs w:val="22"/>
        </w:rPr>
      </w:pPr>
    </w:p>
    <w:p w:rsidR="00FB4480" w:rsidRDefault="00FB4480" w:rsidP="001166D1">
      <w:pPr>
        <w:pStyle w:val="ListParagraph"/>
        <w:numPr>
          <w:ilvl w:val="0"/>
          <w:numId w:val="17"/>
        </w:numPr>
        <w:spacing w:after="200" w:line="276" w:lineRule="auto"/>
        <w:rPr>
          <w:rFonts w:ascii="Arial" w:hAnsi="Arial" w:cs="Arial"/>
          <w:sz w:val="22"/>
          <w:szCs w:val="22"/>
        </w:rPr>
      </w:pPr>
      <w:r>
        <w:rPr>
          <w:rFonts w:ascii="Arial" w:hAnsi="Arial" w:cs="Arial"/>
          <w:sz w:val="22"/>
          <w:szCs w:val="22"/>
        </w:rPr>
        <w:t>Staff Vacancy Factor</w:t>
      </w:r>
    </w:p>
    <w:p w:rsidR="00FB4480" w:rsidRDefault="00FB4480" w:rsidP="00FB4480">
      <w:pPr>
        <w:pStyle w:val="ListParagraph"/>
        <w:spacing w:after="200" w:line="276" w:lineRule="auto"/>
        <w:ind w:left="1080"/>
        <w:rPr>
          <w:rFonts w:ascii="Arial" w:hAnsi="Arial" w:cs="Arial"/>
          <w:sz w:val="22"/>
          <w:szCs w:val="22"/>
        </w:rPr>
      </w:pPr>
      <w:r>
        <w:rPr>
          <w:rFonts w:ascii="Arial" w:hAnsi="Arial" w:cs="Arial"/>
          <w:sz w:val="22"/>
          <w:szCs w:val="22"/>
        </w:rPr>
        <w:t xml:space="preserve">A staff vacancy factor was introduced for 2016/17.  The achievement by Directorate is shown in Table 3 below.  The </w:t>
      </w:r>
      <w:r w:rsidR="009115E5">
        <w:rPr>
          <w:rFonts w:ascii="Arial" w:hAnsi="Arial" w:cs="Arial"/>
          <w:sz w:val="22"/>
          <w:szCs w:val="22"/>
        </w:rPr>
        <w:t>position will be reviewed and</w:t>
      </w:r>
      <w:r>
        <w:rPr>
          <w:rFonts w:ascii="Arial" w:hAnsi="Arial" w:cs="Arial"/>
          <w:sz w:val="22"/>
          <w:szCs w:val="22"/>
        </w:rPr>
        <w:t xml:space="preserve"> refined </w:t>
      </w:r>
      <w:r w:rsidR="009115E5">
        <w:rPr>
          <w:rFonts w:ascii="Arial" w:hAnsi="Arial" w:cs="Arial"/>
          <w:sz w:val="22"/>
          <w:szCs w:val="22"/>
        </w:rPr>
        <w:t>following discussion with Directorates.</w:t>
      </w:r>
      <w:r w:rsidR="007817C4">
        <w:rPr>
          <w:rFonts w:ascii="Arial" w:hAnsi="Arial" w:cs="Arial"/>
          <w:sz w:val="22"/>
          <w:szCs w:val="22"/>
        </w:rPr>
        <w:t xml:space="preserve">  This table highlights that without the introduction of a vacancy factor, the under spend on pay would have been much higher.  (£136k compared to £86k after the vacancy factor netted off.)</w:t>
      </w:r>
    </w:p>
    <w:p w:rsidR="00E070F4" w:rsidRDefault="00E070F4" w:rsidP="00FB4480">
      <w:pPr>
        <w:pStyle w:val="ListParagraph"/>
        <w:spacing w:after="200" w:line="276" w:lineRule="auto"/>
        <w:ind w:left="1080"/>
        <w:rPr>
          <w:rFonts w:ascii="Arial" w:hAnsi="Arial" w:cs="Arial"/>
          <w:sz w:val="22"/>
          <w:szCs w:val="22"/>
        </w:rPr>
      </w:pPr>
    </w:p>
    <w:p w:rsidR="00FB4480" w:rsidRDefault="00FB4480" w:rsidP="00FB4480">
      <w:pPr>
        <w:pStyle w:val="ListParagraph"/>
        <w:spacing w:after="200" w:line="276" w:lineRule="auto"/>
        <w:ind w:left="1080"/>
        <w:rPr>
          <w:rFonts w:ascii="Arial" w:hAnsi="Arial" w:cs="Arial"/>
          <w:sz w:val="22"/>
          <w:szCs w:val="22"/>
        </w:rPr>
      </w:pPr>
    </w:p>
    <w:p w:rsidR="00FB4480" w:rsidRDefault="00FB4480" w:rsidP="00FB4480">
      <w:pPr>
        <w:pStyle w:val="ListParagraph"/>
        <w:spacing w:after="200" w:line="276" w:lineRule="auto"/>
        <w:ind w:left="0" w:firstLine="709"/>
        <w:rPr>
          <w:rFonts w:ascii="Arial" w:hAnsi="Arial" w:cs="Arial"/>
          <w:b/>
          <w:sz w:val="22"/>
          <w:szCs w:val="22"/>
        </w:rPr>
      </w:pPr>
      <w:r>
        <w:rPr>
          <w:rFonts w:ascii="Arial" w:hAnsi="Arial" w:cs="Arial"/>
          <w:b/>
          <w:sz w:val="22"/>
          <w:szCs w:val="22"/>
        </w:rPr>
        <w:t>Table 3:  Directorate Pay – budget, actual, variance and vacancy factor 2016/17</w:t>
      </w:r>
    </w:p>
    <w:tbl>
      <w:tblPr>
        <w:tblW w:w="11487" w:type="dxa"/>
        <w:tblInd w:w="-1216" w:type="dxa"/>
        <w:tblLook w:val="04A0" w:firstRow="1" w:lastRow="0" w:firstColumn="1" w:lastColumn="0" w:noHBand="0" w:noVBand="1"/>
      </w:tblPr>
      <w:tblGrid>
        <w:gridCol w:w="2884"/>
        <w:gridCol w:w="1570"/>
        <w:gridCol w:w="1607"/>
        <w:gridCol w:w="1720"/>
        <w:gridCol w:w="1815"/>
        <w:gridCol w:w="1891"/>
      </w:tblGrid>
      <w:tr w:rsidR="007053F1" w:rsidRPr="007053F1" w:rsidTr="00E070F4">
        <w:trPr>
          <w:trHeight w:val="273"/>
        </w:trPr>
        <w:tc>
          <w:tcPr>
            <w:tcW w:w="2884" w:type="dxa"/>
            <w:tcBorders>
              <w:top w:val="nil"/>
              <w:left w:val="nil"/>
              <w:bottom w:val="nil"/>
              <w:right w:val="nil"/>
            </w:tcBorders>
            <w:shd w:val="clear" w:color="auto" w:fill="auto"/>
            <w:noWrap/>
            <w:vAlign w:val="bottom"/>
            <w:hideMark/>
          </w:tcPr>
          <w:p w:rsidR="007053F1" w:rsidRPr="007053F1" w:rsidRDefault="007053F1" w:rsidP="00E070F4">
            <w:pPr>
              <w:ind w:right="-505"/>
              <w:rPr>
                <w:rFonts w:ascii="Calibri" w:hAnsi="Calibri" w:cs="Calibri"/>
                <w:color w:val="000000"/>
                <w:sz w:val="22"/>
                <w:szCs w:val="22"/>
              </w:rPr>
            </w:pPr>
            <w:r w:rsidRPr="007053F1">
              <w:rPr>
                <w:rFonts w:ascii="Calibri" w:hAnsi="Calibri" w:cs="Calibri"/>
                <w:color w:val="000000"/>
                <w:sz w:val="22"/>
                <w:szCs w:val="22"/>
              </w:rPr>
              <w:t>Position as at end of July 2016</w:t>
            </w:r>
          </w:p>
        </w:tc>
        <w:tc>
          <w:tcPr>
            <w:tcW w:w="1570" w:type="dxa"/>
            <w:tcBorders>
              <w:top w:val="nil"/>
              <w:left w:val="nil"/>
              <w:bottom w:val="nil"/>
              <w:right w:val="nil"/>
            </w:tcBorders>
            <w:shd w:val="clear" w:color="auto" w:fill="auto"/>
            <w:noWrap/>
            <w:vAlign w:val="bottom"/>
            <w:hideMark/>
          </w:tcPr>
          <w:p w:rsidR="007053F1" w:rsidRPr="007053F1" w:rsidRDefault="007053F1" w:rsidP="007053F1">
            <w:pPr>
              <w:rPr>
                <w:rFonts w:ascii="Calibri" w:hAnsi="Calibri" w:cs="Calibri"/>
                <w:color w:val="000000"/>
                <w:sz w:val="22"/>
                <w:szCs w:val="22"/>
              </w:rPr>
            </w:pPr>
          </w:p>
        </w:tc>
        <w:tc>
          <w:tcPr>
            <w:tcW w:w="1607" w:type="dxa"/>
            <w:tcBorders>
              <w:top w:val="nil"/>
              <w:left w:val="nil"/>
              <w:bottom w:val="nil"/>
              <w:right w:val="nil"/>
            </w:tcBorders>
            <w:shd w:val="clear" w:color="auto" w:fill="auto"/>
            <w:noWrap/>
            <w:vAlign w:val="bottom"/>
            <w:hideMark/>
          </w:tcPr>
          <w:p w:rsidR="007053F1" w:rsidRPr="007053F1" w:rsidRDefault="007053F1" w:rsidP="007053F1">
            <w:pPr>
              <w:rPr>
                <w:rFonts w:ascii="Calibri" w:hAnsi="Calibri" w:cs="Calibri"/>
                <w:color w:val="000000"/>
                <w:sz w:val="22"/>
                <w:szCs w:val="22"/>
              </w:rPr>
            </w:pPr>
          </w:p>
        </w:tc>
        <w:tc>
          <w:tcPr>
            <w:tcW w:w="1720" w:type="dxa"/>
            <w:tcBorders>
              <w:top w:val="nil"/>
              <w:left w:val="nil"/>
              <w:bottom w:val="nil"/>
              <w:right w:val="nil"/>
            </w:tcBorders>
            <w:shd w:val="clear" w:color="auto" w:fill="auto"/>
            <w:noWrap/>
            <w:vAlign w:val="bottom"/>
            <w:hideMark/>
          </w:tcPr>
          <w:p w:rsidR="007053F1" w:rsidRPr="007053F1" w:rsidRDefault="007053F1" w:rsidP="007053F1">
            <w:pPr>
              <w:rPr>
                <w:rFonts w:ascii="Calibri" w:hAnsi="Calibri" w:cs="Calibri"/>
                <w:color w:val="000000"/>
                <w:sz w:val="22"/>
                <w:szCs w:val="22"/>
              </w:rPr>
            </w:pPr>
          </w:p>
        </w:tc>
        <w:tc>
          <w:tcPr>
            <w:tcW w:w="1815" w:type="dxa"/>
            <w:tcBorders>
              <w:top w:val="nil"/>
              <w:left w:val="nil"/>
              <w:bottom w:val="nil"/>
              <w:right w:val="nil"/>
            </w:tcBorders>
            <w:shd w:val="clear" w:color="auto" w:fill="auto"/>
            <w:noWrap/>
            <w:vAlign w:val="bottom"/>
            <w:hideMark/>
          </w:tcPr>
          <w:p w:rsidR="007053F1" w:rsidRPr="007053F1" w:rsidRDefault="007053F1" w:rsidP="007053F1">
            <w:pPr>
              <w:rPr>
                <w:rFonts w:ascii="Calibri" w:hAnsi="Calibri" w:cs="Calibri"/>
                <w:color w:val="000000"/>
                <w:sz w:val="22"/>
                <w:szCs w:val="22"/>
              </w:rPr>
            </w:pPr>
          </w:p>
        </w:tc>
        <w:tc>
          <w:tcPr>
            <w:tcW w:w="1891" w:type="dxa"/>
            <w:tcBorders>
              <w:top w:val="nil"/>
              <w:left w:val="nil"/>
              <w:bottom w:val="nil"/>
              <w:right w:val="nil"/>
            </w:tcBorders>
            <w:shd w:val="clear" w:color="auto" w:fill="auto"/>
            <w:noWrap/>
            <w:vAlign w:val="bottom"/>
            <w:hideMark/>
          </w:tcPr>
          <w:p w:rsidR="007053F1" w:rsidRPr="007053F1" w:rsidRDefault="007053F1" w:rsidP="007053F1">
            <w:pPr>
              <w:rPr>
                <w:rFonts w:ascii="Calibri" w:hAnsi="Calibri" w:cs="Calibri"/>
                <w:color w:val="000000"/>
                <w:sz w:val="22"/>
                <w:szCs w:val="22"/>
              </w:rPr>
            </w:pPr>
          </w:p>
        </w:tc>
      </w:tr>
      <w:tr w:rsidR="007053F1" w:rsidRPr="007053F1" w:rsidTr="00E070F4">
        <w:trPr>
          <w:trHeight w:val="262"/>
        </w:trPr>
        <w:tc>
          <w:tcPr>
            <w:tcW w:w="2884" w:type="dxa"/>
            <w:tcBorders>
              <w:top w:val="nil"/>
              <w:left w:val="nil"/>
              <w:bottom w:val="nil"/>
              <w:right w:val="nil"/>
            </w:tcBorders>
            <w:shd w:val="clear" w:color="auto" w:fill="auto"/>
            <w:noWrap/>
            <w:vAlign w:val="bottom"/>
            <w:hideMark/>
          </w:tcPr>
          <w:p w:rsidR="007053F1" w:rsidRPr="007053F1" w:rsidRDefault="007053F1" w:rsidP="007053F1">
            <w:pPr>
              <w:rPr>
                <w:rFonts w:ascii="Calibri" w:hAnsi="Calibri" w:cs="Calibri"/>
                <w:b/>
                <w:bCs/>
                <w:color w:val="000000"/>
                <w:sz w:val="22"/>
                <w:szCs w:val="22"/>
              </w:rPr>
            </w:pPr>
          </w:p>
        </w:tc>
        <w:tc>
          <w:tcPr>
            <w:tcW w:w="1570" w:type="dxa"/>
            <w:tcBorders>
              <w:top w:val="nil"/>
              <w:left w:val="nil"/>
              <w:bottom w:val="nil"/>
              <w:right w:val="nil"/>
            </w:tcBorders>
            <w:shd w:val="clear" w:color="auto" w:fill="auto"/>
            <w:noWrap/>
            <w:vAlign w:val="bottom"/>
            <w:hideMark/>
          </w:tcPr>
          <w:p w:rsidR="007053F1" w:rsidRPr="007053F1" w:rsidRDefault="007053F1" w:rsidP="007053F1">
            <w:pPr>
              <w:rPr>
                <w:rFonts w:ascii="Calibri" w:hAnsi="Calibri" w:cs="Calibri"/>
                <w:b/>
                <w:bCs/>
                <w:color w:val="000000"/>
                <w:sz w:val="22"/>
                <w:szCs w:val="22"/>
              </w:rPr>
            </w:pPr>
          </w:p>
        </w:tc>
        <w:tc>
          <w:tcPr>
            <w:tcW w:w="1607" w:type="dxa"/>
            <w:tcBorders>
              <w:top w:val="nil"/>
              <w:left w:val="nil"/>
              <w:bottom w:val="nil"/>
              <w:right w:val="nil"/>
            </w:tcBorders>
            <w:shd w:val="clear" w:color="auto" w:fill="auto"/>
            <w:noWrap/>
            <w:vAlign w:val="bottom"/>
            <w:hideMark/>
          </w:tcPr>
          <w:p w:rsidR="007053F1" w:rsidRPr="007053F1" w:rsidRDefault="007053F1" w:rsidP="007053F1">
            <w:pPr>
              <w:rPr>
                <w:rFonts w:ascii="Calibri" w:hAnsi="Calibri" w:cs="Calibri"/>
                <w:b/>
                <w:bCs/>
                <w:color w:val="000000"/>
                <w:sz w:val="22"/>
                <w:szCs w:val="22"/>
              </w:rPr>
            </w:pPr>
          </w:p>
        </w:tc>
        <w:tc>
          <w:tcPr>
            <w:tcW w:w="1720" w:type="dxa"/>
            <w:tcBorders>
              <w:top w:val="nil"/>
              <w:left w:val="nil"/>
              <w:bottom w:val="nil"/>
              <w:right w:val="nil"/>
            </w:tcBorders>
            <w:shd w:val="clear" w:color="auto" w:fill="auto"/>
            <w:noWrap/>
            <w:vAlign w:val="bottom"/>
            <w:hideMark/>
          </w:tcPr>
          <w:p w:rsidR="007053F1" w:rsidRPr="007053F1" w:rsidRDefault="007053F1" w:rsidP="007053F1">
            <w:pPr>
              <w:rPr>
                <w:rFonts w:ascii="Calibri" w:hAnsi="Calibri" w:cs="Calibri"/>
                <w:b/>
                <w:bCs/>
                <w:color w:val="000000"/>
                <w:sz w:val="22"/>
                <w:szCs w:val="22"/>
              </w:rPr>
            </w:pPr>
          </w:p>
        </w:tc>
        <w:tc>
          <w:tcPr>
            <w:tcW w:w="1815" w:type="dxa"/>
            <w:tcBorders>
              <w:top w:val="nil"/>
              <w:left w:val="nil"/>
              <w:bottom w:val="nil"/>
              <w:right w:val="nil"/>
            </w:tcBorders>
            <w:shd w:val="clear" w:color="auto" w:fill="auto"/>
            <w:noWrap/>
            <w:vAlign w:val="bottom"/>
            <w:hideMark/>
          </w:tcPr>
          <w:p w:rsidR="007053F1" w:rsidRPr="007053F1" w:rsidRDefault="007053F1" w:rsidP="007053F1">
            <w:pPr>
              <w:rPr>
                <w:rFonts w:ascii="Calibri" w:hAnsi="Calibri" w:cs="Calibri"/>
                <w:b/>
                <w:bCs/>
                <w:color w:val="000000"/>
                <w:sz w:val="22"/>
                <w:szCs w:val="22"/>
              </w:rPr>
            </w:pPr>
          </w:p>
        </w:tc>
        <w:tc>
          <w:tcPr>
            <w:tcW w:w="1891" w:type="dxa"/>
            <w:tcBorders>
              <w:top w:val="nil"/>
              <w:left w:val="nil"/>
              <w:bottom w:val="nil"/>
              <w:right w:val="nil"/>
            </w:tcBorders>
            <w:shd w:val="clear" w:color="auto" w:fill="auto"/>
            <w:noWrap/>
            <w:vAlign w:val="bottom"/>
            <w:hideMark/>
          </w:tcPr>
          <w:p w:rsidR="007053F1" w:rsidRPr="007053F1" w:rsidRDefault="007053F1" w:rsidP="007053F1">
            <w:pPr>
              <w:rPr>
                <w:rFonts w:ascii="Calibri" w:hAnsi="Calibri" w:cs="Calibri"/>
                <w:b/>
                <w:bCs/>
                <w:color w:val="000000"/>
                <w:sz w:val="22"/>
                <w:szCs w:val="22"/>
              </w:rPr>
            </w:pPr>
          </w:p>
        </w:tc>
      </w:tr>
      <w:tr w:rsidR="007053F1" w:rsidRPr="007053F1" w:rsidTr="00E070F4">
        <w:trPr>
          <w:trHeight w:val="850"/>
        </w:trPr>
        <w:tc>
          <w:tcPr>
            <w:tcW w:w="2884" w:type="dxa"/>
            <w:tcBorders>
              <w:top w:val="single" w:sz="4" w:space="0" w:color="auto"/>
              <w:left w:val="single" w:sz="4" w:space="0" w:color="auto"/>
              <w:bottom w:val="single" w:sz="8" w:space="0" w:color="auto"/>
              <w:right w:val="nil"/>
            </w:tcBorders>
            <w:shd w:val="clear" w:color="000000" w:fill="E28C05"/>
            <w:vAlign w:val="center"/>
            <w:hideMark/>
          </w:tcPr>
          <w:p w:rsidR="007053F1" w:rsidRPr="007053F1" w:rsidRDefault="007053F1" w:rsidP="007053F1">
            <w:pPr>
              <w:rPr>
                <w:rFonts w:ascii="Calibri" w:hAnsi="Calibri" w:cs="Calibri"/>
                <w:b/>
                <w:bCs/>
                <w:color w:val="FFFFFF"/>
                <w:sz w:val="22"/>
                <w:szCs w:val="22"/>
              </w:rPr>
            </w:pPr>
            <w:r w:rsidRPr="007053F1">
              <w:rPr>
                <w:rFonts w:ascii="Calibri" w:hAnsi="Calibri" w:cs="Calibri"/>
                <w:b/>
                <w:bCs/>
                <w:color w:val="FFFFFF"/>
                <w:sz w:val="22"/>
                <w:szCs w:val="22"/>
              </w:rPr>
              <w:t>Directorate</w:t>
            </w:r>
          </w:p>
        </w:tc>
        <w:tc>
          <w:tcPr>
            <w:tcW w:w="1570" w:type="dxa"/>
            <w:tcBorders>
              <w:top w:val="single" w:sz="4" w:space="0" w:color="auto"/>
              <w:left w:val="nil"/>
              <w:bottom w:val="single" w:sz="8" w:space="0" w:color="auto"/>
              <w:right w:val="nil"/>
            </w:tcBorders>
            <w:shd w:val="clear" w:color="000000" w:fill="E28C05"/>
            <w:vAlign w:val="center"/>
            <w:hideMark/>
          </w:tcPr>
          <w:p w:rsidR="007053F1" w:rsidRPr="007053F1" w:rsidRDefault="007053F1" w:rsidP="007053F1">
            <w:pPr>
              <w:jc w:val="center"/>
              <w:rPr>
                <w:rFonts w:ascii="Calibri" w:hAnsi="Calibri" w:cs="Calibri"/>
                <w:b/>
                <w:bCs/>
                <w:color w:val="FFFFFF"/>
                <w:sz w:val="22"/>
                <w:szCs w:val="22"/>
              </w:rPr>
            </w:pPr>
            <w:r w:rsidRPr="007053F1">
              <w:rPr>
                <w:rFonts w:ascii="Calibri" w:hAnsi="Calibri" w:cs="Calibri"/>
                <w:b/>
                <w:bCs/>
                <w:color w:val="FFFFFF"/>
                <w:sz w:val="22"/>
                <w:szCs w:val="22"/>
              </w:rPr>
              <w:t xml:space="preserve">Budget YTD </w:t>
            </w:r>
            <w:r w:rsidR="007817C4">
              <w:rPr>
                <w:rFonts w:ascii="Calibri" w:hAnsi="Calibri" w:cs="Calibri"/>
                <w:b/>
                <w:bCs/>
                <w:color w:val="FFFFFF"/>
                <w:sz w:val="22"/>
                <w:szCs w:val="22"/>
              </w:rPr>
              <w:t xml:space="preserve"> (£)</w:t>
            </w:r>
          </w:p>
        </w:tc>
        <w:tc>
          <w:tcPr>
            <w:tcW w:w="1607" w:type="dxa"/>
            <w:tcBorders>
              <w:top w:val="single" w:sz="4" w:space="0" w:color="auto"/>
              <w:left w:val="nil"/>
              <w:bottom w:val="single" w:sz="8" w:space="0" w:color="auto"/>
              <w:right w:val="nil"/>
            </w:tcBorders>
            <w:shd w:val="clear" w:color="000000" w:fill="E28C05"/>
            <w:vAlign w:val="center"/>
            <w:hideMark/>
          </w:tcPr>
          <w:p w:rsidR="007053F1" w:rsidRPr="007053F1" w:rsidRDefault="007053F1" w:rsidP="007053F1">
            <w:pPr>
              <w:jc w:val="center"/>
              <w:rPr>
                <w:rFonts w:ascii="Calibri" w:hAnsi="Calibri" w:cs="Calibri"/>
                <w:b/>
                <w:bCs/>
                <w:color w:val="FFFFFF"/>
                <w:sz w:val="22"/>
                <w:szCs w:val="22"/>
              </w:rPr>
            </w:pPr>
            <w:r w:rsidRPr="007053F1">
              <w:rPr>
                <w:rFonts w:ascii="Calibri" w:hAnsi="Calibri" w:cs="Calibri"/>
                <w:b/>
                <w:bCs/>
                <w:color w:val="FFFFFF"/>
                <w:sz w:val="22"/>
                <w:szCs w:val="22"/>
              </w:rPr>
              <w:t>Actual YTD</w:t>
            </w:r>
            <w:r w:rsidR="007817C4">
              <w:rPr>
                <w:rFonts w:ascii="Calibri" w:hAnsi="Calibri" w:cs="Calibri"/>
                <w:b/>
                <w:bCs/>
                <w:color w:val="FFFFFF"/>
                <w:sz w:val="22"/>
                <w:szCs w:val="22"/>
              </w:rPr>
              <w:t xml:space="preserve"> (£)</w:t>
            </w:r>
          </w:p>
        </w:tc>
        <w:tc>
          <w:tcPr>
            <w:tcW w:w="1720" w:type="dxa"/>
            <w:tcBorders>
              <w:top w:val="single" w:sz="4" w:space="0" w:color="auto"/>
              <w:left w:val="nil"/>
              <w:bottom w:val="single" w:sz="8" w:space="0" w:color="auto"/>
              <w:right w:val="nil"/>
            </w:tcBorders>
            <w:shd w:val="clear" w:color="000000" w:fill="E28C05"/>
            <w:vAlign w:val="center"/>
            <w:hideMark/>
          </w:tcPr>
          <w:p w:rsidR="007053F1" w:rsidRPr="007053F1" w:rsidRDefault="007053F1" w:rsidP="007053F1">
            <w:pPr>
              <w:jc w:val="center"/>
              <w:rPr>
                <w:rFonts w:ascii="Calibri" w:hAnsi="Calibri" w:cs="Calibri"/>
                <w:b/>
                <w:bCs/>
                <w:color w:val="FFFFFF"/>
                <w:sz w:val="22"/>
                <w:szCs w:val="22"/>
              </w:rPr>
            </w:pPr>
            <w:r w:rsidRPr="007053F1">
              <w:rPr>
                <w:rFonts w:ascii="Calibri" w:hAnsi="Calibri" w:cs="Calibri"/>
                <w:b/>
                <w:bCs/>
                <w:color w:val="FFFFFF"/>
                <w:sz w:val="22"/>
                <w:szCs w:val="22"/>
              </w:rPr>
              <w:t>Variance YTD</w:t>
            </w:r>
            <w:r w:rsidR="007817C4">
              <w:rPr>
                <w:rFonts w:ascii="Calibri" w:hAnsi="Calibri" w:cs="Calibri"/>
                <w:b/>
                <w:bCs/>
                <w:color w:val="FFFFFF"/>
                <w:sz w:val="22"/>
                <w:szCs w:val="22"/>
              </w:rPr>
              <w:t xml:space="preserve"> (£)</w:t>
            </w:r>
          </w:p>
        </w:tc>
        <w:tc>
          <w:tcPr>
            <w:tcW w:w="1815" w:type="dxa"/>
            <w:tcBorders>
              <w:top w:val="single" w:sz="4" w:space="0" w:color="auto"/>
              <w:left w:val="nil"/>
              <w:bottom w:val="single" w:sz="8" w:space="0" w:color="auto"/>
              <w:right w:val="nil"/>
            </w:tcBorders>
            <w:shd w:val="clear" w:color="000000" w:fill="E28C05"/>
            <w:vAlign w:val="center"/>
            <w:hideMark/>
          </w:tcPr>
          <w:p w:rsidR="007053F1" w:rsidRPr="007053F1" w:rsidRDefault="007053F1" w:rsidP="007053F1">
            <w:pPr>
              <w:jc w:val="center"/>
              <w:rPr>
                <w:rFonts w:ascii="Calibri" w:hAnsi="Calibri" w:cs="Calibri"/>
                <w:b/>
                <w:bCs/>
                <w:color w:val="FFFFFF"/>
                <w:sz w:val="22"/>
                <w:szCs w:val="22"/>
              </w:rPr>
            </w:pPr>
            <w:r w:rsidRPr="007053F1">
              <w:rPr>
                <w:rFonts w:ascii="Calibri" w:hAnsi="Calibri" w:cs="Calibri"/>
                <w:b/>
                <w:bCs/>
                <w:color w:val="FFFFFF"/>
                <w:sz w:val="22"/>
                <w:szCs w:val="22"/>
              </w:rPr>
              <w:t>YTD Budget of Staff Vacancy / Turnover</w:t>
            </w:r>
          </w:p>
        </w:tc>
        <w:tc>
          <w:tcPr>
            <w:tcW w:w="1891" w:type="dxa"/>
            <w:tcBorders>
              <w:top w:val="single" w:sz="4" w:space="0" w:color="auto"/>
              <w:left w:val="nil"/>
              <w:bottom w:val="single" w:sz="8" w:space="0" w:color="auto"/>
              <w:right w:val="single" w:sz="4" w:space="0" w:color="auto"/>
            </w:tcBorders>
            <w:shd w:val="clear" w:color="000000" w:fill="E28C05"/>
            <w:vAlign w:val="center"/>
            <w:hideMark/>
          </w:tcPr>
          <w:p w:rsidR="007053F1" w:rsidRPr="007053F1" w:rsidRDefault="007053F1" w:rsidP="007053F1">
            <w:pPr>
              <w:jc w:val="center"/>
              <w:rPr>
                <w:rFonts w:ascii="Calibri" w:hAnsi="Calibri" w:cs="Calibri"/>
                <w:b/>
                <w:bCs/>
                <w:color w:val="FFFFFF"/>
                <w:sz w:val="22"/>
                <w:szCs w:val="22"/>
              </w:rPr>
            </w:pPr>
            <w:r w:rsidRPr="007053F1">
              <w:rPr>
                <w:rFonts w:ascii="Calibri" w:hAnsi="Calibri" w:cs="Calibri"/>
                <w:b/>
                <w:bCs/>
                <w:color w:val="FFFFFF"/>
                <w:sz w:val="22"/>
                <w:szCs w:val="22"/>
              </w:rPr>
              <w:t>Under/over spend less vacancy factor</w:t>
            </w:r>
          </w:p>
        </w:tc>
      </w:tr>
      <w:tr w:rsidR="007053F1" w:rsidRPr="007053F1" w:rsidTr="00E070F4">
        <w:trPr>
          <w:trHeight w:val="338"/>
        </w:trPr>
        <w:tc>
          <w:tcPr>
            <w:tcW w:w="2884" w:type="dxa"/>
            <w:tcBorders>
              <w:top w:val="nil"/>
              <w:left w:val="single" w:sz="4" w:space="0" w:color="auto"/>
              <w:bottom w:val="nil"/>
              <w:right w:val="nil"/>
            </w:tcBorders>
            <w:shd w:val="clear" w:color="auto" w:fill="auto"/>
            <w:vAlign w:val="center"/>
            <w:hideMark/>
          </w:tcPr>
          <w:p w:rsidR="007053F1" w:rsidRPr="007053F1" w:rsidRDefault="007053F1" w:rsidP="007053F1">
            <w:pPr>
              <w:rPr>
                <w:rFonts w:ascii="Calibri" w:hAnsi="Calibri" w:cs="Calibri"/>
                <w:color w:val="000000"/>
                <w:sz w:val="22"/>
                <w:szCs w:val="22"/>
              </w:rPr>
            </w:pPr>
            <w:r w:rsidRPr="007053F1">
              <w:rPr>
                <w:rFonts w:ascii="Calibri" w:hAnsi="Calibri" w:cs="Calibri"/>
                <w:color w:val="000000"/>
                <w:sz w:val="22"/>
                <w:szCs w:val="22"/>
              </w:rPr>
              <w:t xml:space="preserve">Chief Executive ( </w:t>
            </w:r>
            <w:proofErr w:type="spellStart"/>
            <w:r w:rsidRPr="007053F1">
              <w:rPr>
                <w:rFonts w:ascii="Calibri" w:hAnsi="Calibri" w:cs="Calibri"/>
                <w:color w:val="000000"/>
                <w:sz w:val="22"/>
                <w:szCs w:val="22"/>
              </w:rPr>
              <w:t>inc</w:t>
            </w:r>
            <w:proofErr w:type="spellEnd"/>
            <w:r w:rsidRPr="007053F1">
              <w:rPr>
                <w:rFonts w:ascii="Calibri" w:hAnsi="Calibri" w:cs="Calibri"/>
                <w:color w:val="000000"/>
                <w:sz w:val="22"/>
                <w:szCs w:val="22"/>
              </w:rPr>
              <w:t xml:space="preserve"> Corp Sec )</w:t>
            </w:r>
          </w:p>
        </w:tc>
        <w:tc>
          <w:tcPr>
            <w:tcW w:w="1570" w:type="dxa"/>
            <w:tcBorders>
              <w:top w:val="nil"/>
              <w:left w:val="nil"/>
              <w:bottom w:val="nil"/>
              <w:right w:val="nil"/>
            </w:tcBorders>
            <w:shd w:val="clear" w:color="auto" w:fill="auto"/>
            <w:noWrap/>
            <w:vAlign w:val="bottom"/>
            <w:hideMark/>
          </w:tcPr>
          <w:p w:rsidR="007053F1" w:rsidRPr="007053F1" w:rsidRDefault="007053F1" w:rsidP="007053F1">
            <w:pPr>
              <w:jc w:val="center"/>
              <w:rPr>
                <w:rFonts w:ascii="Calibri" w:hAnsi="Calibri" w:cs="Calibri"/>
                <w:color w:val="000000"/>
                <w:sz w:val="22"/>
                <w:szCs w:val="22"/>
              </w:rPr>
            </w:pPr>
            <w:r w:rsidRPr="007053F1">
              <w:rPr>
                <w:rFonts w:ascii="Calibri" w:hAnsi="Calibri" w:cs="Calibri"/>
                <w:color w:val="000000"/>
                <w:sz w:val="22"/>
                <w:szCs w:val="22"/>
              </w:rPr>
              <w:t>436,352</w:t>
            </w:r>
          </w:p>
        </w:tc>
        <w:tc>
          <w:tcPr>
            <w:tcW w:w="1607" w:type="dxa"/>
            <w:tcBorders>
              <w:top w:val="nil"/>
              <w:left w:val="nil"/>
              <w:bottom w:val="nil"/>
              <w:right w:val="nil"/>
            </w:tcBorders>
            <w:shd w:val="clear" w:color="auto" w:fill="auto"/>
            <w:noWrap/>
            <w:vAlign w:val="bottom"/>
            <w:hideMark/>
          </w:tcPr>
          <w:p w:rsidR="007053F1" w:rsidRPr="007053F1" w:rsidRDefault="007053F1" w:rsidP="007053F1">
            <w:pPr>
              <w:jc w:val="center"/>
              <w:rPr>
                <w:rFonts w:ascii="Calibri" w:hAnsi="Calibri" w:cs="Calibri"/>
                <w:color w:val="000000"/>
                <w:sz w:val="22"/>
                <w:szCs w:val="22"/>
              </w:rPr>
            </w:pPr>
            <w:r w:rsidRPr="007053F1">
              <w:rPr>
                <w:rFonts w:ascii="Calibri" w:hAnsi="Calibri" w:cs="Calibri"/>
                <w:color w:val="000000"/>
                <w:sz w:val="22"/>
                <w:szCs w:val="22"/>
              </w:rPr>
              <w:t>418,020</w:t>
            </w:r>
          </w:p>
        </w:tc>
        <w:tc>
          <w:tcPr>
            <w:tcW w:w="1720" w:type="dxa"/>
            <w:tcBorders>
              <w:top w:val="nil"/>
              <w:left w:val="nil"/>
              <w:bottom w:val="nil"/>
              <w:right w:val="nil"/>
            </w:tcBorders>
            <w:shd w:val="clear" w:color="auto" w:fill="auto"/>
            <w:noWrap/>
            <w:vAlign w:val="center"/>
            <w:hideMark/>
          </w:tcPr>
          <w:p w:rsidR="007053F1" w:rsidRPr="007053F1" w:rsidRDefault="007053F1" w:rsidP="007053F1">
            <w:pPr>
              <w:jc w:val="center"/>
              <w:rPr>
                <w:rFonts w:ascii="Calibri" w:hAnsi="Calibri" w:cs="Calibri"/>
                <w:color w:val="000000"/>
                <w:sz w:val="22"/>
                <w:szCs w:val="22"/>
              </w:rPr>
            </w:pPr>
            <w:r w:rsidRPr="007053F1">
              <w:rPr>
                <w:rFonts w:ascii="Calibri" w:hAnsi="Calibri" w:cs="Calibri"/>
                <w:color w:val="000000"/>
                <w:sz w:val="22"/>
                <w:szCs w:val="22"/>
              </w:rPr>
              <w:t>(18,332)</w:t>
            </w:r>
          </w:p>
        </w:tc>
        <w:tc>
          <w:tcPr>
            <w:tcW w:w="1815" w:type="dxa"/>
            <w:tcBorders>
              <w:top w:val="nil"/>
              <w:left w:val="nil"/>
              <w:bottom w:val="nil"/>
              <w:right w:val="nil"/>
            </w:tcBorders>
            <w:shd w:val="clear" w:color="auto" w:fill="auto"/>
            <w:noWrap/>
            <w:vAlign w:val="center"/>
            <w:hideMark/>
          </w:tcPr>
          <w:p w:rsidR="007053F1" w:rsidRPr="007053F1" w:rsidRDefault="007053F1" w:rsidP="007053F1">
            <w:pPr>
              <w:jc w:val="center"/>
              <w:rPr>
                <w:rFonts w:ascii="Calibri" w:hAnsi="Calibri" w:cs="Calibri"/>
                <w:color w:val="000000"/>
                <w:sz w:val="22"/>
                <w:szCs w:val="22"/>
              </w:rPr>
            </w:pPr>
            <w:r w:rsidRPr="007053F1">
              <w:rPr>
                <w:rFonts w:ascii="Calibri" w:hAnsi="Calibri" w:cs="Calibri"/>
                <w:color w:val="000000"/>
                <w:sz w:val="22"/>
                <w:szCs w:val="22"/>
              </w:rPr>
              <w:t>(4,877)</w:t>
            </w:r>
          </w:p>
        </w:tc>
        <w:tc>
          <w:tcPr>
            <w:tcW w:w="1891" w:type="dxa"/>
            <w:tcBorders>
              <w:top w:val="nil"/>
              <w:left w:val="nil"/>
              <w:bottom w:val="nil"/>
              <w:right w:val="single" w:sz="4" w:space="0" w:color="auto"/>
            </w:tcBorders>
            <w:shd w:val="clear" w:color="auto" w:fill="auto"/>
            <w:noWrap/>
            <w:vAlign w:val="center"/>
            <w:hideMark/>
          </w:tcPr>
          <w:p w:rsidR="007053F1" w:rsidRPr="007053F1" w:rsidRDefault="007053F1" w:rsidP="007053F1">
            <w:pPr>
              <w:jc w:val="center"/>
              <w:rPr>
                <w:rFonts w:ascii="Calibri" w:hAnsi="Calibri" w:cs="Calibri"/>
                <w:color w:val="000000"/>
                <w:sz w:val="22"/>
                <w:szCs w:val="22"/>
              </w:rPr>
            </w:pPr>
            <w:r w:rsidRPr="007053F1">
              <w:rPr>
                <w:rFonts w:ascii="Calibri" w:hAnsi="Calibri" w:cs="Calibri"/>
                <w:color w:val="000000"/>
                <w:sz w:val="22"/>
                <w:szCs w:val="22"/>
              </w:rPr>
              <w:t>(13,455)</w:t>
            </w:r>
          </w:p>
        </w:tc>
      </w:tr>
      <w:tr w:rsidR="007053F1" w:rsidRPr="007053F1" w:rsidTr="00E070F4">
        <w:trPr>
          <w:trHeight w:val="262"/>
        </w:trPr>
        <w:tc>
          <w:tcPr>
            <w:tcW w:w="2884" w:type="dxa"/>
            <w:tcBorders>
              <w:top w:val="nil"/>
              <w:left w:val="single" w:sz="4" w:space="0" w:color="auto"/>
              <w:bottom w:val="nil"/>
              <w:right w:val="nil"/>
            </w:tcBorders>
            <w:shd w:val="clear" w:color="auto" w:fill="auto"/>
            <w:vAlign w:val="center"/>
            <w:hideMark/>
          </w:tcPr>
          <w:p w:rsidR="007053F1" w:rsidRPr="007053F1" w:rsidRDefault="007053F1" w:rsidP="007053F1">
            <w:pPr>
              <w:rPr>
                <w:rFonts w:ascii="Calibri" w:hAnsi="Calibri" w:cs="Calibri"/>
                <w:color w:val="000000"/>
                <w:sz w:val="22"/>
                <w:szCs w:val="22"/>
              </w:rPr>
            </w:pPr>
            <w:r w:rsidRPr="007053F1">
              <w:rPr>
                <w:rFonts w:ascii="Calibri" w:hAnsi="Calibri" w:cs="Calibri"/>
                <w:color w:val="000000"/>
                <w:sz w:val="22"/>
                <w:szCs w:val="22"/>
              </w:rPr>
              <w:t>Corporate Services</w:t>
            </w:r>
          </w:p>
        </w:tc>
        <w:tc>
          <w:tcPr>
            <w:tcW w:w="1570" w:type="dxa"/>
            <w:tcBorders>
              <w:top w:val="nil"/>
              <w:left w:val="nil"/>
              <w:bottom w:val="nil"/>
              <w:right w:val="nil"/>
            </w:tcBorders>
            <w:shd w:val="clear" w:color="auto" w:fill="auto"/>
            <w:noWrap/>
            <w:vAlign w:val="bottom"/>
            <w:hideMark/>
          </w:tcPr>
          <w:p w:rsidR="007053F1" w:rsidRPr="007053F1" w:rsidRDefault="007053F1" w:rsidP="007053F1">
            <w:pPr>
              <w:jc w:val="center"/>
              <w:rPr>
                <w:rFonts w:ascii="Calibri" w:hAnsi="Calibri" w:cs="Calibri"/>
                <w:color w:val="000000"/>
                <w:sz w:val="22"/>
                <w:szCs w:val="22"/>
              </w:rPr>
            </w:pPr>
            <w:r w:rsidRPr="007053F1">
              <w:rPr>
                <w:rFonts w:ascii="Calibri" w:hAnsi="Calibri" w:cs="Calibri"/>
                <w:color w:val="000000"/>
                <w:sz w:val="22"/>
                <w:szCs w:val="22"/>
              </w:rPr>
              <w:t>285,744</w:t>
            </w:r>
          </w:p>
        </w:tc>
        <w:tc>
          <w:tcPr>
            <w:tcW w:w="1607" w:type="dxa"/>
            <w:tcBorders>
              <w:top w:val="nil"/>
              <w:left w:val="nil"/>
              <w:bottom w:val="nil"/>
              <w:right w:val="nil"/>
            </w:tcBorders>
            <w:shd w:val="clear" w:color="auto" w:fill="auto"/>
            <w:noWrap/>
            <w:vAlign w:val="bottom"/>
            <w:hideMark/>
          </w:tcPr>
          <w:p w:rsidR="007053F1" w:rsidRPr="007053F1" w:rsidRDefault="007053F1" w:rsidP="007053F1">
            <w:pPr>
              <w:jc w:val="center"/>
              <w:rPr>
                <w:rFonts w:ascii="Calibri" w:hAnsi="Calibri" w:cs="Calibri"/>
                <w:color w:val="000000"/>
                <w:sz w:val="22"/>
                <w:szCs w:val="22"/>
              </w:rPr>
            </w:pPr>
            <w:r w:rsidRPr="007053F1">
              <w:rPr>
                <w:rFonts w:ascii="Calibri" w:hAnsi="Calibri" w:cs="Calibri"/>
                <w:color w:val="000000"/>
                <w:sz w:val="22"/>
                <w:szCs w:val="22"/>
              </w:rPr>
              <w:t>271,952</w:t>
            </w:r>
          </w:p>
        </w:tc>
        <w:tc>
          <w:tcPr>
            <w:tcW w:w="1720" w:type="dxa"/>
            <w:tcBorders>
              <w:top w:val="nil"/>
              <w:left w:val="nil"/>
              <w:bottom w:val="nil"/>
              <w:right w:val="nil"/>
            </w:tcBorders>
            <w:shd w:val="clear" w:color="auto" w:fill="auto"/>
            <w:noWrap/>
            <w:vAlign w:val="center"/>
            <w:hideMark/>
          </w:tcPr>
          <w:p w:rsidR="007053F1" w:rsidRPr="007053F1" w:rsidRDefault="007053F1" w:rsidP="007053F1">
            <w:pPr>
              <w:jc w:val="center"/>
              <w:rPr>
                <w:rFonts w:ascii="Calibri" w:hAnsi="Calibri" w:cs="Calibri"/>
                <w:color w:val="000000"/>
                <w:sz w:val="22"/>
                <w:szCs w:val="22"/>
              </w:rPr>
            </w:pPr>
            <w:r w:rsidRPr="007053F1">
              <w:rPr>
                <w:rFonts w:ascii="Calibri" w:hAnsi="Calibri" w:cs="Calibri"/>
                <w:color w:val="000000"/>
                <w:sz w:val="22"/>
                <w:szCs w:val="22"/>
              </w:rPr>
              <w:t>(13,792)</w:t>
            </w:r>
          </w:p>
        </w:tc>
        <w:tc>
          <w:tcPr>
            <w:tcW w:w="1815" w:type="dxa"/>
            <w:tcBorders>
              <w:top w:val="nil"/>
              <w:left w:val="nil"/>
              <w:bottom w:val="nil"/>
              <w:right w:val="nil"/>
            </w:tcBorders>
            <w:shd w:val="clear" w:color="auto" w:fill="auto"/>
            <w:noWrap/>
            <w:vAlign w:val="center"/>
            <w:hideMark/>
          </w:tcPr>
          <w:p w:rsidR="007053F1" w:rsidRPr="007053F1" w:rsidRDefault="007053F1" w:rsidP="007053F1">
            <w:pPr>
              <w:jc w:val="center"/>
              <w:rPr>
                <w:rFonts w:ascii="Calibri" w:hAnsi="Calibri" w:cs="Calibri"/>
                <w:color w:val="000000"/>
                <w:sz w:val="22"/>
                <w:szCs w:val="22"/>
              </w:rPr>
            </w:pPr>
            <w:r w:rsidRPr="007053F1">
              <w:rPr>
                <w:rFonts w:ascii="Calibri" w:hAnsi="Calibri" w:cs="Calibri"/>
                <w:color w:val="000000"/>
                <w:sz w:val="22"/>
                <w:szCs w:val="22"/>
              </w:rPr>
              <w:t>(2,844)</w:t>
            </w:r>
          </w:p>
        </w:tc>
        <w:tc>
          <w:tcPr>
            <w:tcW w:w="1891" w:type="dxa"/>
            <w:tcBorders>
              <w:top w:val="nil"/>
              <w:left w:val="nil"/>
              <w:bottom w:val="nil"/>
              <w:right w:val="single" w:sz="4" w:space="0" w:color="auto"/>
            </w:tcBorders>
            <w:shd w:val="clear" w:color="auto" w:fill="auto"/>
            <w:noWrap/>
            <w:vAlign w:val="center"/>
            <w:hideMark/>
          </w:tcPr>
          <w:p w:rsidR="007053F1" w:rsidRPr="007053F1" w:rsidRDefault="007053F1" w:rsidP="007053F1">
            <w:pPr>
              <w:jc w:val="center"/>
              <w:rPr>
                <w:rFonts w:ascii="Calibri" w:hAnsi="Calibri" w:cs="Calibri"/>
                <w:color w:val="000000"/>
                <w:sz w:val="22"/>
                <w:szCs w:val="22"/>
              </w:rPr>
            </w:pPr>
            <w:r w:rsidRPr="007053F1">
              <w:rPr>
                <w:rFonts w:ascii="Calibri" w:hAnsi="Calibri" w:cs="Calibri"/>
                <w:color w:val="000000"/>
                <w:sz w:val="22"/>
                <w:szCs w:val="22"/>
              </w:rPr>
              <w:t>(10,948)</w:t>
            </w:r>
          </w:p>
        </w:tc>
      </w:tr>
      <w:tr w:rsidR="007053F1" w:rsidRPr="007053F1" w:rsidTr="00E070F4">
        <w:trPr>
          <w:trHeight w:val="622"/>
        </w:trPr>
        <w:tc>
          <w:tcPr>
            <w:tcW w:w="2884" w:type="dxa"/>
            <w:tcBorders>
              <w:top w:val="nil"/>
              <w:left w:val="single" w:sz="4" w:space="0" w:color="auto"/>
              <w:bottom w:val="nil"/>
              <w:right w:val="nil"/>
            </w:tcBorders>
            <w:shd w:val="clear" w:color="auto" w:fill="auto"/>
            <w:vAlign w:val="center"/>
            <w:hideMark/>
          </w:tcPr>
          <w:p w:rsidR="007053F1" w:rsidRPr="007053F1" w:rsidRDefault="007053F1" w:rsidP="007053F1">
            <w:pPr>
              <w:rPr>
                <w:rFonts w:ascii="Calibri" w:hAnsi="Calibri" w:cs="Calibri"/>
                <w:color w:val="000000"/>
                <w:sz w:val="22"/>
                <w:szCs w:val="22"/>
              </w:rPr>
            </w:pPr>
            <w:r w:rsidRPr="007053F1">
              <w:rPr>
                <w:rFonts w:ascii="Calibri" w:hAnsi="Calibri" w:cs="Calibri"/>
                <w:color w:val="000000"/>
                <w:sz w:val="22"/>
                <w:szCs w:val="22"/>
              </w:rPr>
              <w:t>Finance, Procurement and Estates</w:t>
            </w:r>
          </w:p>
        </w:tc>
        <w:tc>
          <w:tcPr>
            <w:tcW w:w="1570" w:type="dxa"/>
            <w:tcBorders>
              <w:top w:val="nil"/>
              <w:left w:val="nil"/>
              <w:bottom w:val="nil"/>
              <w:right w:val="nil"/>
            </w:tcBorders>
            <w:shd w:val="clear" w:color="auto" w:fill="auto"/>
            <w:noWrap/>
            <w:vAlign w:val="bottom"/>
            <w:hideMark/>
          </w:tcPr>
          <w:p w:rsidR="007053F1" w:rsidRPr="007053F1" w:rsidRDefault="007053F1" w:rsidP="007053F1">
            <w:pPr>
              <w:jc w:val="center"/>
              <w:rPr>
                <w:rFonts w:ascii="Calibri" w:hAnsi="Calibri" w:cs="Calibri"/>
                <w:color w:val="000000"/>
                <w:sz w:val="22"/>
                <w:szCs w:val="22"/>
              </w:rPr>
            </w:pPr>
            <w:r w:rsidRPr="007053F1">
              <w:rPr>
                <w:rFonts w:ascii="Calibri" w:hAnsi="Calibri" w:cs="Calibri"/>
                <w:color w:val="000000"/>
                <w:sz w:val="22"/>
                <w:szCs w:val="22"/>
              </w:rPr>
              <w:t>124,098</w:t>
            </w:r>
          </w:p>
        </w:tc>
        <w:tc>
          <w:tcPr>
            <w:tcW w:w="1607" w:type="dxa"/>
            <w:tcBorders>
              <w:top w:val="nil"/>
              <w:left w:val="nil"/>
              <w:bottom w:val="nil"/>
              <w:right w:val="nil"/>
            </w:tcBorders>
            <w:shd w:val="clear" w:color="auto" w:fill="auto"/>
            <w:noWrap/>
            <w:vAlign w:val="bottom"/>
            <w:hideMark/>
          </w:tcPr>
          <w:p w:rsidR="007053F1" w:rsidRPr="007053F1" w:rsidRDefault="007053F1" w:rsidP="007053F1">
            <w:pPr>
              <w:jc w:val="center"/>
              <w:rPr>
                <w:rFonts w:ascii="Calibri" w:hAnsi="Calibri" w:cs="Calibri"/>
                <w:color w:val="000000"/>
                <w:sz w:val="22"/>
                <w:szCs w:val="22"/>
              </w:rPr>
            </w:pPr>
            <w:r w:rsidRPr="007053F1">
              <w:rPr>
                <w:rFonts w:ascii="Calibri" w:hAnsi="Calibri" w:cs="Calibri"/>
                <w:color w:val="000000"/>
                <w:sz w:val="22"/>
                <w:szCs w:val="22"/>
              </w:rPr>
              <w:t>122,422</w:t>
            </w:r>
          </w:p>
        </w:tc>
        <w:tc>
          <w:tcPr>
            <w:tcW w:w="1720" w:type="dxa"/>
            <w:tcBorders>
              <w:top w:val="nil"/>
              <w:left w:val="nil"/>
              <w:bottom w:val="nil"/>
              <w:right w:val="nil"/>
            </w:tcBorders>
            <w:shd w:val="clear" w:color="auto" w:fill="auto"/>
            <w:noWrap/>
            <w:vAlign w:val="center"/>
            <w:hideMark/>
          </w:tcPr>
          <w:p w:rsidR="007053F1" w:rsidRPr="007053F1" w:rsidRDefault="007053F1" w:rsidP="007053F1">
            <w:pPr>
              <w:jc w:val="center"/>
              <w:rPr>
                <w:rFonts w:ascii="Calibri" w:hAnsi="Calibri" w:cs="Calibri"/>
                <w:color w:val="000000"/>
                <w:sz w:val="22"/>
                <w:szCs w:val="22"/>
              </w:rPr>
            </w:pPr>
            <w:r w:rsidRPr="007053F1">
              <w:rPr>
                <w:rFonts w:ascii="Calibri" w:hAnsi="Calibri" w:cs="Calibri"/>
                <w:color w:val="000000"/>
                <w:sz w:val="22"/>
                <w:szCs w:val="22"/>
              </w:rPr>
              <w:t>(1,676)</w:t>
            </w:r>
          </w:p>
        </w:tc>
        <w:tc>
          <w:tcPr>
            <w:tcW w:w="1815" w:type="dxa"/>
            <w:tcBorders>
              <w:top w:val="nil"/>
              <w:left w:val="nil"/>
              <w:bottom w:val="nil"/>
              <w:right w:val="nil"/>
            </w:tcBorders>
            <w:shd w:val="clear" w:color="auto" w:fill="auto"/>
            <w:noWrap/>
            <w:vAlign w:val="center"/>
            <w:hideMark/>
          </w:tcPr>
          <w:p w:rsidR="007053F1" w:rsidRPr="007053F1" w:rsidRDefault="007053F1" w:rsidP="007053F1">
            <w:pPr>
              <w:jc w:val="center"/>
              <w:rPr>
                <w:rFonts w:ascii="Calibri" w:hAnsi="Calibri" w:cs="Calibri"/>
                <w:color w:val="000000"/>
                <w:sz w:val="22"/>
                <w:szCs w:val="22"/>
              </w:rPr>
            </w:pPr>
            <w:r w:rsidRPr="007053F1">
              <w:rPr>
                <w:rFonts w:ascii="Calibri" w:hAnsi="Calibri" w:cs="Calibri"/>
                <w:color w:val="000000"/>
                <w:sz w:val="22"/>
                <w:szCs w:val="22"/>
              </w:rPr>
              <w:t>(1,280)</w:t>
            </w:r>
          </w:p>
        </w:tc>
        <w:tc>
          <w:tcPr>
            <w:tcW w:w="1891" w:type="dxa"/>
            <w:tcBorders>
              <w:top w:val="nil"/>
              <w:left w:val="nil"/>
              <w:bottom w:val="nil"/>
              <w:right w:val="single" w:sz="4" w:space="0" w:color="auto"/>
            </w:tcBorders>
            <w:shd w:val="clear" w:color="auto" w:fill="auto"/>
            <w:noWrap/>
            <w:vAlign w:val="center"/>
            <w:hideMark/>
          </w:tcPr>
          <w:p w:rsidR="007053F1" w:rsidRPr="007053F1" w:rsidRDefault="007053F1" w:rsidP="007053F1">
            <w:pPr>
              <w:jc w:val="center"/>
              <w:rPr>
                <w:rFonts w:ascii="Calibri" w:hAnsi="Calibri" w:cs="Calibri"/>
                <w:color w:val="000000"/>
                <w:sz w:val="22"/>
                <w:szCs w:val="22"/>
              </w:rPr>
            </w:pPr>
            <w:r w:rsidRPr="007053F1">
              <w:rPr>
                <w:rFonts w:ascii="Calibri" w:hAnsi="Calibri" w:cs="Calibri"/>
                <w:color w:val="000000"/>
                <w:sz w:val="22"/>
                <w:szCs w:val="22"/>
              </w:rPr>
              <w:t>(396)</w:t>
            </w:r>
          </w:p>
        </w:tc>
      </w:tr>
      <w:tr w:rsidR="007053F1" w:rsidRPr="007053F1" w:rsidTr="00E070F4">
        <w:trPr>
          <w:trHeight w:val="262"/>
        </w:trPr>
        <w:tc>
          <w:tcPr>
            <w:tcW w:w="2884" w:type="dxa"/>
            <w:tcBorders>
              <w:top w:val="nil"/>
              <w:left w:val="single" w:sz="4" w:space="0" w:color="auto"/>
              <w:bottom w:val="nil"/>
              <w:right w:val="nil"/>
            </w:tcBorders>
            <w:shd w:val="clear" w:color="auto" w:fill="auto"/>
            <w:vAlign w:val="center"/>
            <w:hideMark/>
          </w:tcPr>
          <w:p w:rsidR="007053F1" w:rsidRPr="007053F1" w:rsidRDefault="007053F1" w:rsidP="007053F1">
            <w:pPr>
              <w:rPr>
                <w:rFonts w:ascii="Calibri" w:hAnsi="Calibri" w:cs="Calibri"/>
                <w:color w:val="000000"/>
                <w:sz w:val="22"/>
                <w:szCs w:val="22"/>
              </w:rPr>
            </w:pPr>
            <w:r w:rsidRPr="007053F1">
              <w:rPr>
                <w:rFonts w:ascii="Calibri" w:hAnsi="Calibri" w:cs="Calibri"/>
                <w:color w:val="000000"/>
                <w:sz w:val="22"/>
                <w:szCs w:val="22"/>
              </w:rPr>
              <w:t>Operations</w:t>
            </w:r>
          </w:p>
        </w:tc>
        <w:tc>
          <w:tcPr>
            <w:tcW w:w="1570" w:type="dxa"/>
            <w:tcBorders>
              <w:top w:val="nil"/>
              <w:left w:val="nil"/>
              <w:bottom w:val="nil"/>
              <w:right w:val="nil"/>
            </w:tcBorders>
            <w:shd w:val="clear" w:color="auto" w:fill="auto"/>
            <w:noWrap/>
            <w:vAlign w:val="bottom"/>
            <w:hideMark/>
          </w:tcPr>
          <w:p w:rsidR="007053F1" w:rsidRPr="007053F1" w:rsidRDefault="007053F1" w:rsidP="007053F1">
            <w:pPr>
              <w:jc w:val="center"/>
              <w:rPr>
                <w:rFonts w:ascii="Calibri" w:hAnsi="Calibri" w:cs="Calibri"/>
                <w:color w:val="000000"/>
                <w:sz w:val="22"/>
                <w:szCs w:val="22"/>
              </w:rPr>
            </w:pPr>
            <w:r w:rsidRPr="007053F1">
              <w:rPr>
                <w:rFonts w:ascii="Calibri" w:hAnsi="Calibri" w:cs="Calibri"/>
                <w:color w:val="000000"/>
                <w:sz w:val="22"/>
                <w:szCs w:val="22"/>
              </w:rPr>
              <w:t>968,052</w:t>
            </w:r>
          </w:p>
        </w:tc>
        <w:tc>
          <w:tcPr>
            <w:tcW w:w="1607" w:type="dxa"/>
            <w:tcBorders>
              <w:top w:val="nil"/>
              <w:left w:val="nil"/>
              <w:bottom w:val="nil"/>
              <w:right w:val="nil"/>
            </w:tcBorders>
            <w:shd w:val="clear" w:color="auto" w:fill="auto"/>
            <w:noWrap/>
            <w:vAlign w:val="bottom"/>
            <w:hideMark/>
          </w:tcPr>
          <w:p w:rsidR="007053F1" w:rsidRPr="007053F1" w:rsidRDefault="007053F1" w:rsidP="007053F1">
            <w:pPr>
              <w:jc w:val="center"/>
              <w:rPr>
                <w:rFonts w:ascii="Calibri" w:hAnsi="Calibri" w:cs="Calibri"/>
                <w:color w:val="000000"/>
                <w:sz w:val="22"/>
                <w:szCs w:val="22"/>
              </w:rPr>
            </w:pPr>
            <w:r w:rsidRPr="007053F1">
              <w:rPr>
                <w:rFonts w:ascii="Calibri" w:hAnsi="Calibri" w:cs="Calibri"/>
                <w:color w:val="000000"/>
                <w:sz w:val="22"/>
                <w:szCs w:val="22"/>
              </w:rPr>
              <w:t>928,159</w:t>
            </w:r>
          </w:p>
        </w:tc>
        <w:tc>
          <w:tcPr>
            <w:tcW w:w="1720" w:type="dxa"/>
            <w:tcBorders>
              <w:top w:val="nil"/>
              <w:left w:val="nil"/>
              <w:bottom w:val="nil"/>
              <w:right w:val="nil"/>
            </w:tcBorders>
            <w:shd w:val="clear" w:color="auto" w:fill="auto"/>
            <w:noWrap/>
            <w:vAlign w:val="center"/>
            <w:hideMark/>
          </w:tcPr>
          <w:p w:rsidR="007053F1" w:rsidRPr="007053F1" w:rsidRDefault="007053F1" w:rsidP="007053F1">
            <w:pPr>
              <w:jc w:val="center"/>
              <w:rPr>
                <w:rFonts w:ascii="Calibri" w:hAnsi="Calibri" w:cs="Calibri"/>
                <w:color w:val="000000"/>
                <w:sz w:val="22"/>
                <w:szCs w:val="22"/>
              </w:rPr>
            </w:pPr>
            <w:r w:rsidRPr="007053F1">
              <w:rPr>
                <w:rFonts w:ascii="Calibri" w:hAnsi="Calibri" w:cs="Calibri"/>
                <w:color w:val="000000"/>
                <w:sz w:val="22"/>
                <w:szCs w:val="22"/>
              </w:rPr>
              <w:t>(39,893)</w:t>
            </w:r>
          </w:p>
        </w:tc>
        <w:tc>
          <w:tcPr>
            <w:tcW w:w="1815" w:type="dxa"/>
            <w:tcBorders>
              <w:top w:val="nil"/>
              <w:left w:val="nil"/>
              <w:bottom w:val="nil"/>
              <w:right w:val="nil"/>
            </w:tcBorders>
            <w:shd w:val="clear" w:color="auto" w:fill="auto"/>
            <w:noWrap/>
            <w:vAlign w:val="center"/>
            <w:hideMark/>
          </w:tcPr>
          <w:p w:rsidR="007053F1" w:rsidRPr="007053F1" w:rsidRDefault="007053F1" w:rsidP="007053F1">
            <w:pPr>
              <w:jc w:val="center"/>
              <w:rPr>
                <w:rFonts w:ascii="Calibri" w:hAnsi="Calibri" w:cs="Calibri"/>
                <w:color w:val="000000"/>
                <w:sz w:val="22"/>
                <w:szCs w:val="22"/>
              </w:rPr>
            </w:pPr>
            <w:r w:rsidRPr="007053F1">
              <w:rPr>
                <w:rFonts w:ascii="Calibri" w:hAnsi="Calibri" w:cs="Calibri"/>
                <w:color w:val="000000"/>
                <w:sz w:val="22"/>
                <w:szCs w:val="22"/>
              </w:rPr>
              <w:t>(19,212)</w:t>
            </w:r>
          </w:p>
        </w:tc>
        <w:tc>
          <w:tcPr>
            <w:tcW w:w="1891" w:type="dxa"/>
            <w:tcBorders>
              <w:top w:val="nil"/>
              <w:left w:val="nil"/>
              <w:bottom w:val="nil"/>
              <w:right w:val="single" w:sz="4" w:space="0" w:color="auto"/>
            </w:tcBorders>
            <w:shd w:val="clear" w:color="auto" w:fill="auto"/>
            <w:noWrap/>
            <w:vAlign w:val="center"/>
            <w:hideMark/>
          </w:tcPr>
          <w:p w:rsidR="007053F1" w:rsidRPr="007053F1" w:rsidRDefault="007053F1" w:rsidP="007053F1">
            <w:pPr>
              <w:jc w:val="center"/>
              <w:rPr>
                <w:rFonts w:ascii="Calibri" w:hAnsi="Calibri" w:cs="Calibri"/>
                <w:color w:val="000000"/>
                <w:sz w:val="22"/>
                <w:szCs w:val="22"/>
              </w:rPr>
            </w:pPr>
            <w:r w:rsidRPr="007053F1">
              <w:rPr>
                <w:rFonts w:ascii="Calibri" w:hAnsi="Calibri" w:cs="Calibri"/>
                <w:color w:val="000000"/>
                <w:sz w:val="22"/>
                <w:szCs w:val="22"/>
              </w:rPr>
              <w:t>(20,681)</w:t>
            </w:r>
          </w:p>
        </w:tc>
      </w:tr>
      <w:tr w:rsidR="007053F1" w:rsidRPr="007053F1" w:rsidTr="00E070F4">
        <w:trPr>
          <w:trHeight w:val="666"/>
        </w:trPr>
        <w:tc>
          <w:tcPr>
            <w:tcW w:w="2884" w:type="dxa"/>
            <w:tcBorders>
              <w:top w:val="nil"/>
              <w:left w:val="single" w:sz="4" w:space="0" w:color="auto"/>
              <w:bottom w:val="nil"/>
              <w:right w:val="nil"/>
            </w:tcBorders>
            <w:shd w:val="clear" w:color="auto" w:fill="auto"/>
            <w:vAlign w:val="center"/>
            <w:hideMark/>
          </w:tcPr>
          <w:p w:rsidR="007053F1" w:rsidRPr="007053F1" w:rsidRDefault="007053F1" w:rsidP="007053F1">
            <w:pPr>
              <w:rPr>
                <w:rFonts w:ascii="Calibri" w:hAnsi="Calibri" w:cs="Calibri"/>
                <w:color w:val="000000"/>
                <w:sz w:val="22"/>
                <w:szCs w:val="22"/>
              </w:rPr>
            </w:pPr>
            <w:r w:rsidRPr="007053F1">
              <w:rPr>
                <w:rFonts w:ascii="Calibri" w:hAnsi="Calibri" w:cs="Calibri"/>
                <w:color w:val="000000"/>
                <w:sz w:val="22"/>
                <w:szCs w:val="22"/>
              </w:rPr>
              <w:t>Research Systems, Standards and HRA Approval</w:t>
            </w:r>
          </w:p>
        </w:tc>
        <w:tc>
          <w:tcPr>
            <w:tcW w:w="1570" w:type="dxa"/>
            <w:tcBorders>
              <w:top w:val="nil"/>
              <w:left w:val="nil"/>
              <w:bottom w:val="nil"/>
              <w:right w:val="nil"/>
            </w:tcBorders>
            <w:shd w:val="clear" w:color="auto" w:fill="auto"/>
            <w:noWrap/>
            <w:vAlign w:val="bottom"/>
            <w:hideMark/>
          </w:tcPr>
          <w:p w:rsidR="007053F1" w:rsidRPr="007053F1" w:rsidRDefault="007053F1" w:rsidP="007053F1">
            <w:pPr>
              <w:jc w:val="center"/>
              <w:rPr>
                <w:rFonts w:ascii="Calibri" w:hAnsi="Calibri" w:cs="Calibri"/>
                <w:color w:val="000000"/>
                <w:sz w:val="22"/>
                <w:szCs w:val="22"/>
              </w:rPr>
            </w:pPr>
            <w:r w:rsidRPr="007053F1">
              <w:rPr>
                <w:rFonts w:ascii="Calibri" w:hAnsi="Calibri" w:cs="Calibri"/>
                <w:color w:val="000000"/>
                <w:sz w:val="22"/>
                <w:szCs w:val="22"/>
              </w:rPr>
              <w:t>1,129,643</w:t>
            </w:r>
          </w:p>
        </w:tc>
        <w:tc>
          <w:tcPr>
            <w:tcW w:w="1607" w:type="dxa"/>
            <w:tcBorders>
              <w:top w:val="nil"/>
              <w:left w:val="nil"/>
              <w:bottom w:val="nil"/>
              <w:right w:val="nil"/>
            </w:tcBorders>
            <w:shd w:val="clear" w:color="auto" w:fill="auto"/>
            <w:noWrap/>
            <w:vAlign w:val="bottom"/>
            <w:hideMark/>
          </w:tcPr>
          <w:p w:rsidR="007053F1" w:rsidRPr="007053F1" w:rsidRDefault="007053F1" w:rsidP="007053F1">
            <w:pPr>
              <w:jc w:val="center"/>
              <w:rPr>
                <w:rFonts w:ascii="Calibri" w:hAnsi="Calibri" w:cs="Calibri"/>
                <w:color w:val="000000"/>
                <w:sz w:val="22"/>
                <w:szCs w:val="22"/>
              </w:rPr>
            </w:pPr>
            <w:r w:rsidRPr="007053F1">
              <w:rPr>
                <w:rFonts w:ascii="Calibri" w:hAnsi="Calibri" w:cs="Calibri"/>
                <w:color w:val="000000"/>
                <w:sz w:val="22"/>
                <w:szCs w:val="22"/>
              </w:rPr>
              <w:t>1,067,453</w:t>
            </w:r>
          </w:p>
        </w:tc>
        <w:tc>
          <w:tcPr>
            <w:tcW w:w="1720" w:type="dxa"/>
            <w:tcBorders>
              <w:top w:val="nil"/>
              <w:left w:val="nil"/>
              <w:bottom w:val="nil"/>
              <w:right w:val="nil"/>
            </w:tcBorders>
            <w:shd w:val="clear" w:color="auto" w:fill="auto"/>
            <w:noWrap/>
            <w:vAlign w:val="center"/>
            <w:hideMark/>
          </w:tcPr>
          <w:p w:rsidR="007053F1" w:rsidRPr="007053F1" w:rsidRDefault="007053F1" w:rsidP="007053F1">
            <w:pPr>
              <w:jc w:val="center"/>
              <w:rPr>
                <w:rFonts w:ascii="Calibri" w:hAnsi="Calibri" w:cs="Calibri"/>
                <w:color w:val="000000"/>
                <w:sz w:val="22"/>
                <w:szCs w:val="22"/>
              </w:rPr>
            </w:pPr>
            <w:r w:rsidRPr="007053F1">
              <w:rPr>
                <w:rFonts w:ascii="Calibri" w:hAnsi="Calibri" w:cs="Calibri"/>
                <w:color w:val="000000"/>
                <w:sz w:val="22"/>
                <w:szCs w:val="22"/>
              </w:rPr>
              <w:t>(62,190)</w:t>
            </w:r>
          </w:p>
        </w:tc>
        <w:tc>
          <w:tcPr>
            <w:tcW w:w="1815" w:type="dxa"/>
            <w:tcBorders>
              <w:top w:val="nil"/>
              <w:left w:val="nil"/>
              <w:bottom w:val="nil"/>
              <w:right w:val="nil"/>
            </w:tcBorders>
            <w:shd w:val="clear" w:color="auto" w:fill="auto"/>
            <w:noWrap/>
            <w:vAlign w:val="center"/>
            <w:hideMark/>
          </w:tcPr>
          <w:p w:rsidR="007053F1" w:rsidRPr="007053F1" w:rsidRDefault="007053F1" w:rsidP="007053F1">
            <w:pPr>
              <w:jc w:val="center"/>
              <w:rPr>
                <w:rFonts w:ascii="Calibri" w:hAnsi="Calibri" w:cs="Calibri"/>
                <w:color w:val="000000"/>
                <w:sz w:val="22"/>
                <w:szCs w:val="22"/>
              </w:rPr>
            </w:pPr>
            <w:r w:rsidRPr="007053F1">
              <w:rPr>
                <w:rFonts w:ascii="Calibri" w:hAnsi="Calibri" w:cs="Calibri"/>
                <w:color w:val="000000"/>
                <w:sz w:val="22"/>
                <w:szCs w:val="22"/>
              </w:rPr>
              <w:t>(21,727)</w:t>
            </w:r>
          </w:p>
        </w:tc>
        <w:tc>
          <w:tcPr>
            <w:tcW w:w="1891" w:type="dxa"/>
            <w:tcBorders>
              <w:top w:val="nil"/>
              <w:left w:val="nil"/>
              <w:bottom w:val="nil"/>
              <w:right w:val="single" w:sz="4" w:space="0" w:color="auto"/>
            </w:tcBorders>
            <w:shd w:val="clear" w:color="auto" w:fill="auto"/>
            <w:noWrap/>
            <w:vAlign w:val="center"/>
            <w:hideMark/>
          </w:tcPr>
          <w:p w:rsidR="007053F1" w:rsidRPr="007053F1" w:rsidRDefault="007053F1" w:rsidP="007053F1">
            <w:pPr>
              <w:jc w:val="center"/>
              <w:rPr>
                <w:rFonts w:ascii="Calibri" w:hAnsi="Calibri" w:cs="Calibri"/>
                <w:color w:val="000000"/>
                <w:sz w:val="22"/>
                <w:szCs w:val="22"/>
              </w:rPr>
            </w:pPr>
            <w:r w:rsidRPr="007053F1">
              <w:rPr>
                <w:rFonts w:ascii="Calibri" w:hAnsi="Calibri" w:cs="Calibri"/>
                <w:color w:val="000000"/>
                <w:sz w:val="22"/>
                <w:szCs w:val="22"/>
              </w:rPr>
              <w:t>(40,463)</w:t>
            </w:r>
          </w:p>
        </w:tc>
      </w:tr>
      <w:tr w:rsidR="007053F1" w:rsidRPr="007053F1" w:rsidTr="00E070F4">
        <w:trPr>
          <w:trHeight w:val="262"/>
        </w:trPr>
        <w:tc>
          <w:tcPr>
            <w:tcW w:w="2884" w:type="dxa"/>
            <w:tcBorders>
              <w:top w:val="nil"/>
              <w:left w:val="single" w:sz="4" w:space="0" w:color="auto"/>
              <w:bottom w:val="single" w:sz="4" w:space="0" w:color="auto"/>
              <w:right w:val="nil"/>
            </w:tcBorders>
            <w:shd w:val="clear" w:color="auto" w:fill="auto"/>
            <w:vAlign w:val="center"/>
            <w:hideMark/>
          </w:tcPr>
          <w:p w:rsidR="007053F1" w:rsidRPr="007053F1" w:rsidRDefault="007053F1" w:rsidP="007053F1">
            <w:pPr>
              <w:rPr>
                <w:rFonts w:ascii="Calibri" w:hAnsi="Calibri" w:cs="Calibri"/>
                <w:color w:val="000000"/>
                <w:sz w:val="22"/>
                <w:szCs w:val="22"/>
              </w:rPr>
            </w:pPr>
            <w:r w:rsidRPr="007053F1">
              <w:rPr>
                <w:rFonts w:ascii="Calibri" w:hAnsi="Calibri" w:cs="Calibri"/>
                <w:color w:val="000000"/>
                <w:sz w:val="22"/>
                <w:szCs w:val="22"/>
              </w:rPr>
              <w:t>Grand Total</w:t>
            </w:r>
          </w:p>
        </w:tc>
        <w:tc>
          <w:tcPr>
            <w:tcW w:w="1570" w:type="dxa"/>
            <w:tcBorders>
              <w:top w:val="single" w:sz="4" w:space="0" w:color="auto"/>
              <w:left w:val="nil"/>
              <w:bottom w:val="single" w:sz="4" w:space="0" w:color="auto"/>
              <w:right w:val="nil"/>
            </w:tcBorders>
            <w:shd w:val="clear" w:color="auto" w:fill="auto"/>
            <w:noWrap/>
            <w:vAlign w:val="bottom"/>
            <w:hideMark/>
          </w:tcPr>
          <w:p w:rsidR="007053F1" w:rsidRPr="007053F1" w:rsidRDefault="007053F1" w:rsidP="007053F1">
            <w:pPr>
              <w:jc w:val="center"/>
              <w:rPr>
                <w:rFonts w:ascii="Calibri" w:hAnsi="Calibri" w:cs="Calibri"/>
                <w:b/>
                <w:bCs/>
                <w:color w:val="000000"/>
                <w:sz w:val="22"/>
                <w:szCs w:val="22"/>
              </w:rPr>
            </w:pPr>
            <w:r w:rsidRPr="007053F1">
              <w:rPr>
                <w:rFonts w:ascii="Calibri" w:hAnsi="Calibri" w:cs="Calibri"/>
                <w:b/>
                <w:bCs/>
                <w:color w:val="000000"/>
                <w:sz w:val="22"/>
                <w:szCs w:val="22"/>
              </w:rPr>
              <w:t>2,943,889</w:t>
            </w:r>
          </w:p>
        </w:tc>
        <w:tc>
          <w:tcPr>
            <w:tcW w:w="1607" w:type="dxa"/>
            <w:tcBorders>
              <w:top w:val="single" w:sz="4" w:space="0" w:color="auto"/>
              <w:left w:val="nil"/>
              <w:bottom w:val="single" w:sz="4" w:space="0" w:color="auto"/>
              <w:right w:val="nil"/>
            </w:tcBorders>
            <w:shd w:val="clear" w:color="auto" w:fill="auto"/>
            <w:noWrap/>
            <w:vAlign w:val="bottom"/>
            <w:hideMark/>
          </w:tcPr>
          <w:p w:rsidR="007053F1" w:rsidRPr="007053F1" w:rsidRDefault="007053F1" w:rsidP="007053F1">
            <w:pPr>
              <w:jc w:val="center"/>
              <w:rPr>
                <w:rFonts w:ascii="Calibri" w:hAnsi="Calibri" w:cs="Calibri"/>
                <w:b/>
                <w:bCs/>
                <w:color w:val="000000"/>
                <w:sz w:val="22"/>
                <w:szCs w:val="22"/>
              </w:rPr>
            </w:pPr>
            <w:r w:rsidRPr="007053F1">
              <w:rPr>
                <w:rFonts w:ascii="Calibri" w:hAnsi="Calibri" w:cs="Calibri"/>
                <w:b/>
                <w:bCs/>
                <w:color w:val="000000"/>
                <w:sz w:val="22"/>
                <w:szCs w:val="22"/>
              </w:rPr>
              <w:t>2,808,006</w:t>
            </w:r>
          </w:p>
        </w:tc>
        <w:tc>
          <w:tcPr>
            <w:tcW w:w="1720" w:type="dxa"/>
            <w:tcBorders>
              <w:top w:val="single" w:sz="4" w:space="0" w:color="auto"/>
              <w:left w:val="nil"/>
              <w:bottom w:val="single" w:sz="4" w:space="0" w:color="auto"/>
              <w:right w:val="nil"/>
            </w:tcBorders>
            <w:shd w:val="clear" w:color="auto" w:fill="auto"/>
            <w:noWrap/>
            <w:vAlign w:val="center"/>
            <w:hideMark/>
          </w:tcPr>
          <w:p w:rsidR="007053F1" w:rsidRPr="007053F1" w:rsidRDefault="007053F1" w:rsidP="007053F1">
            <w:pPr>
              <w:jc w:val="center"/>
              <w:rPr>
                <w:rFonts w:ascii="Calibri" w:hAnsi="Calibri" w:cs="Calibri"/>
                <w:b/>
                <w:bCs/>
                <w:color w:val="000000"/>
                <w:sz w:val="22"/>
                <w:szCs w:val="22"/>
              </w:rPr>
            </w:pPr>
            <w:r w:rsidRPr="007053F1">
              <w:rPr>
                <w:rFonts w:ascii="Calibri" w:hAnsi="Calibri" w:cs="Calibri"/>
                <w:b/>
                <w:bCs/>
                <w:color w:val="000000"/>
                <w:sz w:val="22"/>
                <w:szCs w:val="22"/>
              </w:rPr>
              <w:t>(135,883)</w:t>
            </w:r>
          </w:p>
        </w:tc>
        <w:tc>
          <w:tcPr>
            <w:tcW w:w="1815" w:type="dxa"/>
            <w:tcBorders>
              <w:top w:val="single" w:sz="4" w:space="0" w:color="auto"/>
              <w:left w:val="nil"/>
              <w:bottom w:val="single" w:sz="4" w:space="0" w:color="auto"/>
              <w:right w:val="nil"/>
            </w:tcBorders>
            <w:shd w:val="clear" w:color="auto" w:fill="auto"/>
            <w:noWrap/>
            <w:vAlign w:val="center"/>
            <w:hideMark/>
          </w:tcPr>
          <w:p w:rsidR="007053F1" w:rsidRPr="007053F1" w:rsidRDefault="007053F1" w:rsidP="007053F1">
            <w:pPr>
              <w:jc w:val="center"/>
              <w:rPr>
                <w:rFonts w:ascii="Calibri" w:hAnsi="Calibri" w:cs="Calibri"/>
                <w:b/>
                <w:bCs/>
                <w:color w:val="000000"/>
                <w:sz w:val="22"/>
                <w:szCs w:val="22"/>
              </w:rPr>
            </w:pPr>
            <w:r w:rsidRPr="007053F1">
              <w:rPr>
                <w:rFonts w:ascii="Calibri" w:hAnsi="Calibri" w:cs="Calibri"/>
                <w:b/>
                <w:bCs/>
                <w:color w:val="000000"/>
                <w:sz w:val="22"/>
                <w:szCs w:val="22"/>
              </w:rPr>
              <w:t>(49,940)</w:t>
            </w:r>
          </w:p>
        </w:tc>
        <w:tc>
          <w:tcPr>
            <w:tcW w:w="1891" w:type="dxa"/>
            <w:tcBorders>
              <w:top w:val="single" w:sz="4" w:space="0" w:color="auto"/>
              <w:left w:val="nil"/>
              <w:bottom w:val="single" w:sz="4" w:space="0" w:color="auto"/>
              <w:right w:val="single" w:sz="4" w:space="0" w:color="auto"/>
            </w:tcBorders>
            <w:shd w:val="clear" w:color="auto" w:fill="auto"/>
            <w:noWrap/>
            <w:vAlign w:val="center"/>
            <w:hideMark/>
          </w:tcPr>
          <w:p w:rsidR="007053F1" w:rsidRPr="007053F1" w:rsidRDefault="007053F1" w:rsidP="007053F1">
            <w:pPr>
              <w:jc w:val="center"/>
              <w:rPr>
                <w:rFonts w:ascii="Calibri" w:hAnsi="Calibri" w:cs="Calibri"/>
                <w:b/>
                <w:bCs/>
                <w:color w:val="000000"/>
                <w:sz w:val="22"/>
                <w:szCs w:val="22"/>
              </w:rPr>
            </w:pPr>
            <w:r w:rsidRPr="007053F1">
              <w:rPr>
                <w:rFonts w:ascii="Calibri" w:hAnsi="Calibri" w:cs="Calibri"/>
                <w:b/>
                <w:bCs/>
                <w:color w:val="000000"/>
                <w:sz w:val="22"/>
                <w:szCs w:val="22"/>
              </w:rPr>
              <w:t>(85,943)</w:t>
            </w:r>
          </w:p>
        </w:tc>
      </w:tr>
    </w:tbl>
    <w:p w:rsidR="005113A0" w:rsidRPr="00FB4480" w:rsidRDefault="005113A0" w:rsidP="00FB4480">
      <w:pPr>
        <w:pStyle w:val="ListParagraph"/>
        <w:spacing w:after="200" w:line="276" w:lineRule="auto"/>
        <w:ind w:left="0" w:firstLine="709"/>
        <w:rPr>
          <w:rFonts w:ascii="Arial" w:hAnsi="Arial" w:cs="Arial"/>
          <w:b/>
          <w:sz w:val="22"/>
          <w:szCs w:val="22"/>
        </w:rPr>
      </w:pPr>
    </w:p>
    <w:p w:rsidR="00FB4480" w:rsidRPr="00FB4480" w:rsidRDefault="00FB4480" w:rsidP="00FB4480">
      <w:pPr>
        <w:pStyle w:val="ListParagraph"/>
        <w:spacing w:after="200" w:line="276" w:lineRule="auto"/>
        <w:ind w:left="1080"/>
        <w:rPr>
          <w:rFonts w:ascii="Arial" w:hAnsi="Arial" w:cs="Arial"/>
          <w:b/>
          <w:sz w:val="22"/>
          <w:szCs w:val="22"/>
        </w:rPr>
      </w:pPr>
    </w:p>
    <w:p w:rsidR="0055512B" w:rsidRDefault="001166D1" w:rsidP="001166D1">
      <w:pPr>
        <w:pStyle w:val="ListParagraph"/>
        <w:numPr>
          <w:ilvl w:val="0"/>
          <w:numId w:val="17"/>
        </w:numPr>
        <w:spacing w:after="200" w:line="276" w:lineRule="auto"/>
        <w:rPr>
          <w:rFonts w:ascii="Arial" w:hAnsi="Arial" w:cs="Arial"/>
          <w:sz w:val="22"/>
          <w:szCs w:val="22"/>
        </w:rPr>
      </w:pPr>
      <w:r>
        <w:rPr>
          <w:rFonts w:ascii="Arial" w:hAnsi="Arial" w:cs="Arial"/>
          <w:sz w:val="22"/>
          <w:szCs w:val="22"/>
        </w:rPr>
        <w:t>T</w:t>
      </w:r>
      <w:r w:rsidRPr="001166D1">
        <w:rPr>
          <w:rFonts w:ascii="Arial" w:hAnsi="Arial" w:cs="Arial"/>
          <w:sz w:val="22"/>
          <w:szCs w:val="22"/>
        </w:rPr>
        <w:t xml:space="preserve">ables </w:t>
      </w:r>
      <w:r w:rsidR="00FB4480">
        <w:rPr>
          <w:rFonts w:ascii="Arial" w:hAnsi="Arial" w:cs="Arial"/>
          <w:sz w:val="22"/>
          <w:szCs w:val="22"/>
        </w:rPr>
        <w:t>4 and 5</w:t>
      </w:r>
      <w:r>
        <w:rPr>
          <w:rFonts w:ascii="Arial" w:hAnsi="Arial" w:cs="Arial"/>
          <w:sz w:val="22"/>
          <w:szCs w:val="22"/>
        </w:rPr>
        <w:t xml:space="preserve"> below present the run rate of expenditure by type, pay and </w:t>
      </w:r>
      <w:proofErr w:type="spellStart"/>
      <w:r>
        <w:rPr>
          <w:rFonts w:ascii="Arial" w:hAnsi="Arial" w:cs="Arial"/>
          <w:sz w:val="22"/>
          <w:szCs w:val="22"/>
        </w:rPr>
        <w:t>non pa</w:t>
      </w:r>
      <w:r w:rsidR="00651D47">
        <w:rPr>
          <w:rFonts w:ascii="Arial" w:hAnsi="Arial" w:cs="Arial"/>
          <w:sz w:val="22"/>
          <w:szCs w:val="22"/>
        </w:rPr>
        <w:t>y</w:t>
      </w:r>
      <w:proofErr w:type="spellEnd"/>
      <w:r w:rsidR="00651D47">
        <w:rPr>
          <w:rFonts w:ascii="Arial" w:hAnsi="Arial" w:cs="Arial"/>
          <w:sz w:val="22"/>
          <w:szCs w:val="22"/>
        </w:rPr>
        <w:t>. T</w:t>
      </w:r>
      <w:r>
        <w:rPr>
          <w:rFonts w:ascii="Arial" w:hAnsi="Arial" w:cs="Arial"/>
          <w:sz w:val="22"/>
          <w:szCs w:val="22"/>
        </w:rPr>
        <w:t>he stepped increase in the trend lines between April and May is due to full accruals accounting being actioned in May which were not adjusted for in April, whilst the finance team concentrated on the financial year end for 2015/16.</w:t>
      </w:r>
    </w:p>
    <w:p w:rsidR="00E070F4" w:rsidRDefault="00E070F4" w:rsidP="001166D1">
      <w:pPr>
        <w:spacing w:after="200" w:line="276" w:lineRule="auto"/>
        <w:ind w:firstLine="709"/>
        <w:rPr>
          <w:rFonts w:ascii="Arial" w:hAnsi="Arial" w:cs="Arial"/>
          <w:b/>
          <w:sz w:val="22"/>
          <w:szCs w:val="22"/>
        </w:rPr>
      </w:pPr>
    </w:p>
    <w:p w:rsidR="00E070F4" w:rsidRDefault="00E070F4" w:rsidP="001166D1">
      <w:pPr>
        <w:spacing w:after="200" w:line="276" w:lineRule="auto"/>
        <w:ind w:firstLine="709"/>
        <w:rPr>
          <w:rFonts w:ascii="Arial" w:hAnsi="Arial" w:cs="Arial"/>
          <w:b/>
          <w:sz w:val="22"/>
          <w:szCs w:val="22"/>
        </w:rPr>
      </w:pPr>
    </w:p>
    <w:p w:rsidR="00E070F4" w:rsidRDefault="00E070F4" w:rsidP="001166D1">
      <w:pPr>
        <w:spacing w:after="200" w:line="276" w:lineRule="auto"/>
        <w:ind w:firstLine="709"/>
        <w:rPr>
          <w:rFonts w:ascii="Arial" w:hAnsi="Arial" w:cs="Arial"/>
          <w:b/>
          <w:sz w:val="22"/>
          <w:szCs w:val="22"/>
        </w:rPr>
      </w:pPr>
    </w:p>
    <w:p w:rsidR="00E070F4" w:rsidRDefault="00E070F4" w:rsidP="001166D1">
      <w:pPr>
        <w:spacing w:after="200" w:line="276" w:lineRule="auto"/>
        <w:ind w:firstLine="709"/>
        <w:rPr>
          <w:rFonts w:ascii="Arial" w:hAnsi="Arial" w:cs="Arial"/>
          <w:b/>
          <w:sz w:val="22"/>
          <w:szCs w:val="22"/>
        </w:rPr>
      </w:pPr>
    </w:p>
    <w:p w:rsidR="00E070F4" w:rsidRDefault="00E070F4" w:rsidP="001166D1">
      <w:pPr>
        <w:spacing w:after="200" w:line="276" w:lineRule="auto"/>
        <w:ind w:firstLine="709"/>
        <w:rPr>
          <w:rFonts w:ascii="Arial" w:hAnsi="Arial" w:cs="Arial"/>
          <w:b/>
          <w:sz w:val="22"/>
          <w:szCs w:val="22"/>
        </w:rPr>
      </w:pPr>
    </w:p>
    <w:p w:rsidR="00E070F4" w:rsidRDefault="00E070F4" w:rsidP="001166D1">
      <w:pPr>
        <w:spacing w:after="200" w:line="276" w:lineRule="auto"/>
        <w:ind w:firstLine="709"/>
        <w:rPr>
          <w:rFonts w:ascii="Arial" w:hAnsi="Arial" w:cs="Arial"/>
          <w:b/>
          <w:sz w:val="22"/>
          <w:szCs w:val="22"/>
        </w:rPr>
      </w:pPr>
    </w:p>
    <w:p w:rsidR="00E070F4" w:rsidRDefault="00E070F4" w:rsidP="001166D1">
      <w:pPr>
        <w:spacing w:after="200" w:line="276" w:lineRule="auto"/>
        <w:ind w:firstLine="709"/>
        <w:rPr>
          <w:rFonts w:ascii="Arial" w:hAnsi="Arial" w:cs="Arial"/>
          <w:b/>
          <w:sz w:val="22"/>
          <w:szCs w:val="22"/>
        </w:rPr>
      </w:pPr>
    </w:p>
    <w:p w:rsidR="00E070F4" w:rsidRDefault="00E070F4" w:rsidP="001166D1">
      <w:pPr>
        <w:spacing w:after="200" w:line="276" w:lineRule="auto"/>
        <w:ind w:firstLine="709"/>
        <w:rPr>
          <w:rFonts w:ascii="Arial" w:hAnsi="Arial" w:cs="Arial"/>
          <w:b/>
          <w:sz w:val="22"/>
          <w:szCs w:val="22"/>
        </w:rPr>
      </w:pPr>
    </w:p>
    <w:p w:rsidR="00E070F4" w:rsidRDefault="00E070F4" w:rsidP="001166D1">
      <w:pPr>
        <w:spacing w:after="200" w:line="276" w:lineRule="auto"/>
        <w:ind w:firstLine="709"/>
        <w:rPr>
          <w:rFonts w:ascii="Arial" w:hAnsi="Arial" w:cs="Arial"/>
          <w:b/>
          <w:sz w:val="22"/>
          <w:szCs w:val="22"/>
        </w:rPr>
      </w:pPr>
    </w:p>
    <w:p w:rsidR="00E070F4" w:rsidRDefault="00E070F4" w:rsidP="001166D1">
      <w:pPr>
        <w:spacing w:after="200" w:line="276" w:lineRule="auto"/>
        <w:ind w:firstLine="709"/>
        <w:rPr>
          <w:rFonts w:ascii="Arial" w:hAnsi="Arial" w:cs="Arial"/>
          <w:b/>
          <w:sz w:val="22"/>
          <w:szCs w:val="22"/>
        </w:rPr>
      </w:pPr>
    </w:p>
    <w:p w:rsidR="00E070F4" w:rsidRDefault="00E070F4" w:rsidP="001166D1">
      <w:pPr>
        <w:spacing w:after="200" w:line="276" w:lineRule="auto"/>
        <w:ind w:firstLine="709"/>
        <w:rPr>
          <w:rFonts w:ascii="Arial" w:hAnsi="Arial" w:cs="Arial"/>
          <w:b/>
          <w:sz w:val="22"/>
          <w:szCs w:val="22"/>
        </w:rPr>
      </w:pPr>
    </w:p>
    <w:p w:rsidR="001166D1" w:rsidRPr="001166D1" w:rsidRDefault="00FB4480" w:rsidP="001166D1">
      <w:pPr>
        <w:spacing w:after="200" w:line="276" w:lineRule="auto"/>
        <w:ind w:firstLine="709"/>
        <w:rPr>
          <w:rFonts w:ascii="Arial" w:hAnsi="Arial" w:cs="Arial"/>
          <w:b/>
          <w:sz w:val="22"/>
          <w:szCs w:val="22"/>
        </w:rPr>
      </w:pPr>
      <w:r>
        <w:rPr>
          <w:rFonts w:ascii="Arial" w:hAnsi="Arial" w:cs="Arial"/>
          <w:b/>
          <w:sz w:val="22"/>
          <w:szCs w:val="22"/>
        </w:rPr>
        <w:lastRenderedPageBreak/>
        <w:t>Table 4</w:t>
      </w:r>
      <w:r w:rsidR="001166D1" w:rsidRPr="001166D1">
        <w:rPr>
          <w:rFonts w:ascii="Arial" w:hAnsi="Arial" w:cs="Arial"/>
          <w:b/>
          <w:sz w:val="22"/>
          <w:szCs w:val="22"/>
        </w:rPr>
        <w:t>:  Profile of planned and actual Pay costs 2016/17</w:t>
      </w:r>
    </w:p>
    <w:p w:rsidR="00F03CDB" w:rsidRDefault="00605A97" w:rsidP="00E16DE6">
      <w:pPr>
        <w:pStyle w:val="ListParagraph"/>
        <w:spacing w:after="200" w:line="276" w:lineRule="auto"/>
        <w:ind w:left="709"/>
        <w:rPr>
          <w:rFonts w:ascii="Arial" w:hAnsi="Arial" w:cs="Arial"/>
          <w:b/>
          <w:sz w:val="22"/>
          <w:szCs w:val="22"/>
        </w:rPr>
      </w:pPr>
      <w:r>
        <w:rPr>
          <w:rFonts w:ascii="Arial" w:hAnsi="Arial" w:cs="Arial"/>
          <w:b/>
          <w:noProof/>
          <w:sz w:val="22"/>
          <w:szCs w:val="22"/>
        </w:rPr>
        <w:drawing>
          <wp:inline distT="0" distB="0" distL="0" distR="0" wp14:anchorId="09B4DBF5" wp14:editId="7A670697">
            <wp:extent cx="5541645" cy="3444240"/>
            <wp:effectExtent l="0" t="0" r="190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1645" cy="3444240"/>
                    </a:xfrm>
                    <a:prstGeom prst="rect">
                      <a:avLst/>
                    </a:prstGeom>
                    <a:noFill/>
                  </pic:spPr>
                </pic:pic>
              </a:graphicData>
            </a:graphic>
          </wp:inline>
        </w:drawing>
      </w:r>
    </w:p>
    <w:p w:rsidR="00A310F0" w:rsidRDefault="00A310F0" w:rsidP="00E16DE6">
      <w:pPr>
        <w:pStyle w:val="ListParagraph"/>
        <w:spacing w:after="200" w:line="276" w:lineRule="auto"/>
        <w:ind w:left="709"/>
        <w:rPr>
          <w:rFonts w:ascii="Arial" w:hAnsi="Arial" w:cs="Arial"/>
          <w:b/>
          <w:sz w:val="22"/>
          <w:szCs w:val="22"/>
        </w:rPr>
      </w:pPr>
    </w:p>
    <w:p w:rsidR="005C22E6" w:rsidRDefault="005C22E6" w:rsidP="00E16DE6">
      <w:pPr>
        <w:pStyle w:val="ListParagraph"/>
        <w:spacing w:after="200" w:line="276" w:lineRule="auto"/>
        <w:ind w:left="709"/>
        <w:rPr>
          <w:rFonts w:ascii="Arial" w:hAnsi="Arial" w:cs="Arial"/>
          <w:b/>
          <w:sz w:val="22"/>
          <w:szCs w:val="22"/>
        </w:rPr>
      </w:pPr>
    </w:p>
    <w:p w:rsidR="009D48D2" w:rsidRDefault="009D48D2" w:rsidP="00E16DE6">
      <w:pPr>
        <w:pStyle w:val="ListParagraph"/>
        <w:spacing w:after="200" w:line="276" w:lineRule="auto"/>
        <w:ind w:left="709"/>
        <w:rPr>
          <w:rFonts w:ascii="Arial" w:hAnsi="Arial" w:cs="Arial"/>
          <w:b/>
          <w:sz w:val="22"/>
          <w:szCs w:val="22"/>
        </w:rPr>
      </w:pPr>
      <w:r>
        <w:rPr>
          <w:rFonts w:ascii="Arial" w:hAnsi="Arial" w:cs="Arial"/>
          <w:b/>
          <w:sz w:val="22"/>
          <w:szCs w:val="22"/>
        </w:rPr>
        <w:t xml:space="preserve">Table </w:t>
      </w:r>
      <w:r w:rsidR="00FB4480">
        <w:rPr>
          <w:rFonts w:ascii="Arial" w:hAnsi="Arial" w:cs="Arial"/>
          <w:b/>
          <w:sz w:val="22"/>
          <w:szCs w:val="22"/>
        </w:rPr>
        <w:t>5</w:t>
      </w:r>
      <w:r>
        <w:rPr>
          <w:rFonts w:ascii="Arial" w:hAnsi="Arial" w:cs="Arial"/>
          <w:b/>
          <w:sz w:val="22"/>
          <w:szCs w:val="22"/>
        </w:rPr>
        <w:t xml:space="preserve">:  </w:t>
      </w:r>
      <w:r w:rsidRPr="009D48D2">
        <w:rPr>
          <w:rFonts w:ascii="Arial" w:hAnsi="Arial" w:cs="Arial"/>
          <w:b/>
          <w:sz w:val="22"/>
          <w:szCs w:val="22"/>
        </w:rPr>
        <w:t xml:space="preserve">Profile of planned and actual </w:t>
      </w:r>
      <w:r>
        <w:rPr>
          <w:rFonts w:ascii="Arial" w:hAnsi="Arial" w:cs="Arial"/>
          <w:b/>
          <w:sz w:val="22"/>
          <w:szCs w:val="22"/>
        </w:rPr>
        <w:t xml:space="preserve">Non </w:t>
      </w:r>
      <w:r w:rsidR="00D15B33">
        <w:rPr>
          <w:rFonts w:ascii="Arial" w:hAnsi="Arial" w:cs="Arial"/>
          <w:b/>
          <w:sz w:val="22"/>
          <w:szCs w:val="22"/>
        </w:rPr>
        <w:t>Pay costs 2016</w:t>
      </w:r>
      <w:r w:rsidRPr="009D48D2">
        <w:rPr>
          <w:rFonts w:ascii="Arial" w:hAnsi="Arial" w:cs="Arial"/>
          <w:b/>
          <w:sz w:val="22"/>
          <w:szCs w:val="22"/>
        </w:rPr>
        <w:t>/1</w:t>
      </w:r>
      <w:r w:rsidR="00D15B33">
        <w:rPr>
          <w:rFonts w:ascii="Arial" w:hAnsi="Arial" w:cs="Arial"/>
          <w:b/>
          <w:sz w:val="22"/>
          <w:szCs w:val="22"/>
        </w:rPr>
        <w:t>7</w:t>
      </w:r>
    </w:p>
    <w:p w:rsidR="00A310F0" w:rsidRDefault="00A310F0" w:rsidP="00E16DE6">
      <w:pPr>
        <w:pStyle w:val="ListParagraph"/>
        <w:spacing w:after="200" w:line="276" w:lineRule="auto"/>
        <w:ind w:left="709"/>
        <w:rPr>
          <w:rFonts w:ascii="Arial" w:hAnsi="Arial" w:cs="Arial"/>
          <w:b/>
          <w:sz w:val="22"/>
          <w:szCs w:val="22"/>
        </w:rPr>
      </w:pPr>
    </w:p>
    <w:p w:rsidR="00D15B33" w:rsidRDefault="00605A97" w:rsidP="00E16DE6">
      <w:pPr>
        <w:pStyle w:val="ListParagraph"/>
        <w:spacing w:after="200" w:line="276" w:lineRule="auto"/>
        <w:ind w:left="709"/>
        <w:rPr>
          <w:rFonts w:ascii="Arial" w:hAnsi="Arial" w:cs="Arial"/>
          <w:b/>
          <w:sz w:val="22"/>
          <w:szCs w:val="22"/>
        </w:rPr>
      </w:pPr>
      <w:r>
        <w:rPr>
          <w:rFonts w:ascii="Arial" w:hAnsi="Arial" w:cs="Arial"/>
          <w:b/>
          <w:noProof/>
          <w:sz w:val="22"/>
          <w:szCs w:val="22"/>
        </w:rPr>
        <w:drawing>
          <wp:inline distT="0" distB="0" distL="0" distR="0" wp14:anchorId="5D74BEB9" wp14:editId="62C5A063">
            <wp:extent cx="5541645" cy="346900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1645" cy="3469005"/>
                    </a:xfrm>
                    <a:prstGeom prst="rect">
                      <a:avLst/>
                    </a:prstGeom>
                    <a:noFill/>
                  </pic:spPr>
                </pic:pic>
              </a:graphicData>
            </a:graphic>
          </wp:inline>
        </w:drawing>
      </w:r>
    </w:p>
    <w:p w:rsidR="00A310F0" w:rsidRDefault="00A310F0" w:rsidP="00E16DE6">
      <w:pPr>
        <w:pStyle w:val="ListParagraph"/>
        <w:spacing w:after="200" w:line="276" w:lineRule="auto"/>
        <w:ind w:left="709"/>
        <w:rPr>
          <w:rFonts w:ascii="Arial" w:hAnsi="Arial" w:cs="Arial"/>
          <w:b/>
          <w:sz w:val="22"/>
          <w:szCs w:val="22"/>
        </w:rPr>
      </w:pPr>
    </w:p>
    <w:p w:rsidR="004B1C3A" w:rsidRDefault="004B1C3A" w:rsidP="00AC4AAD">
      <w:pPr>
        <w:pStyle w:val="ListParagraph"/>
        <w:spacing w:line="276" w:lineRule="auto"/>
        <w:ind w:left="709" w:hanging="709"/>
        <w:rPr>
          <w:rFonts w:ascii="Arial" w:hAnsi="Arial" w:cs="Arial"/>
          <w:sz w:val="22"/>
          <w:szCs w:val="22"/>
        </w:rPr>
      </w:pPr>
      <w:r>
        <w:rPr>
          <w:rFonts w:ascii="Arial" w:hAnsi="Arial" w:cs="Arial"/>
          <w:b/>
          <w:sz w:val="22"/>
          <w:szCs w:val="22"/>
        </w:rPr>
        <w:t>4.  Forecast outturn 201</w:t>
      </w:r>
      <w:r w:rsidR="00D15B33">
        <w:rPr>
          <w:rFonts w:ascii="Arial" w:hAnsi="Arial" w:cs="Arial"/>
          <w:b/>
          <w:sz w:val="22"/>
          <w:szCs w:val="22"/>
        </w:rPr>
        <w:t>6</w:t>
      </w:r>
      <w:r>
        <w:rPr>
          <w:rFonts w:ascii="Arial" w:hAnsi="Arial" w:cs="Arial"/>
          <w:b/>
          <w:sz w:val="22"/>
          <w:szCs w:val="22"/>
        </w:rPr>
        <w:t>/1</w:t>
      </w:r>
      <w:r w:rsidR="00D15B33">
        <w:rPr>
          <w:rFonts w:ascii="Arial" w:hAnsi="Arial" w:cs="Arial"/>
          <w:b/>
          <w:sz w:val="22"/>
          <w:szCs w:val="22"/>
        </w:rPr>
        <w:t>7</w:t>
      </w:r>
    </w:p>
    <w:p w:rsidR="001166D1" w:rsidRDefault="001166D1" w:rsidP="004B1C3A">
      <w:pPr>
        <w:pStyle w:val="ListParagraph"/>
        <w:spacing w:line="276" w:lineRule="auto"/>
        <w:ind w:left="0"/>
        <w:rPr>
          <w:rFonts w:ascii="Arial" w:hAnsi="Arial" w:cs="Arial"/>
          <w:sz w:val="22"/>
          <w:szCs w:val="22"/>
        </w:rPr>
      </w:pPr>
    </w:p>
    <w:p w:rsidR="00210E3A" w:rsidRPr="001166D1" w:rsidRDefault="004B1C3A" w:rsidP="004B1C3A">
      <w:pPr>
        <w:pStyle w:val="ListParagraph"/>
        <w:spacing w:line="276" w:lineRule="auto"/>
        <w:ind w:left="0"/>
        <w:rPr>
          <w:rFonts w:ascii="Arial" w:hAnsi="Arial" w:cs="Arial"/>
          <w:sz w:val="22"/>
          <w:szCs w:val="22"/>
        </w:rPr>
      </w:pPr>
      <w:r w:rsidRPr="001166D1">
        <w:rPr>
          <w:rFonts w:ascii="Arial" w:hAnsi="Arial" w:cs="Arial"/>
          <w:sz w:val="22"/>
          <w:szCs w:val="22"/>
        </w:rPr>
        <w:t xml:space="preserve">Early forecasts </w:t>
      </w:r>
      <w:r w:rsidR="00951DD0" w:rsidRPr="001166D1">
        <w:rPr>
          <w:rFonts w:ascii="Arial" w:hAnsi="Arial" w:cs="Arial"/>
          <w:sz w:val="22"/>
          <w:szCs w:val="22"/>
        </w:rPr>
        <w:t>point to a</w:t>
      </w:r>
      <w:r w:rsidR="001166D1">
        <w:rPr>
          <w:rFonts w:ascii="Arial" w:hAnsi="Arial" w:cs="Arial"/>
          <w:sz w:val="22"/>
          <w:szCs w:val="22"/>
        </w:rPr>
        <w:t xml:space="preserve"> break even.  The finance team will be working hard with budget managers to refine the forecasting process this year.  Returns have been issued for budget manager completion </w:t>
      </w:r>
      <w:r w:rsidR="00B0504F">
        <w:rPr>
          <w:rFonts w:ascii="Arial" w:hAnsi="Arial" w:cs="Arial"/>
          <w:sz w:val="22"/>
          <w:szCs w:val="22"/>
        </w:rPr>
        <w:t>with the expectation that the</w:t>
      </w:r>
      <w:r w:rsidR="008B07C2">
        <w:rPr>
          <w:rFonts w:ascii="Arial" w:hAnsi="Arial" w:cs="Arial"/>
          <w:sz w:val="22"/>
          <w:szCs w:val="22"/>
        </w:rPr>
        <w:t xml:space="preserve"> July position is discussed during </w:t>
      </w:r>
      <w:r w:rsidR="00665A34">
        <w:rPr>
          <w:rFonts w:ascii="Arial" w:hAnsi="Arial" w:cs="Arial"/>
          <w:sz w:val="22"/>
          <w:szCs w:val="22"/>
        </w:rPr>
        <w:t>August</w:t>
      </w:r>
      <w:r w:rsidR="008B07C2">
        <w:rPr>
          <w:rFonts w:ascii="Arial" w:hAnsi="Arial" w:cs="Arial"/>
          <w:sz w:val="22"/>
          <w:szCs w:val="22"/>
        </w:rPr>
        <w:t xml:space="preserve"> in light of the returns received. </w:t>
      </w:r>
      <w:r w:rsidR="00B0504F">
        <w:rPr>
          <w:rFonts w:ascii="Arial" w:hAnsi="Arial" w:cs="Arial"/>
          <w:sz w:val="22"/>
          <w:szCs w:val="22"/>
        </w:rPr>
        <w:t>T</w:t>
      </w:r>
      <w:r w:rsidR="001166D1">
        <w:rPr>
          <w:rFonts w:ascii="Arial" w:hAnsi="Arial" w:cs="Arial"/>
          <w:sz w:val="22"/>
          <w:szCs w:val="22"/>
        </w:rPr>
        <w:t>he aim is to provide an accurate forecast in September which will then form the basis of a month on month comparison to try to minimise any significant changes.</w:t>
      </w:r>
    </w:p>
    <w:p w:rsidR="004717CC" w:rsidRPr="005200F4" w:rsidRDefault="004717CC" w:rsidP="004B1C3A">
      <w:pPr>
        <w:pStyle w:val="ListParagraph"/>
        <w:spacing w:line="276" w:lineRule="auto"/>
        <w:ind w:left="0"/>
        <w:rPr>
          <w:rFonts w:ascii="Arial" w:hAnsi="Arial" w:cs="Arial"/>
          <w:sz w:val="22"/>
          <w:szCs w:val="22"/>
        </w:rPr>
      </w:pPr>
    </w:p>
    <w:p w:rsidR="005200F4" w:rsidRDefault="00831A14" w:rsidP="004B1C3A">
      <w:pPr>
        <w:pStyle w:val="ListParagraph"/>
        <w:spacing w:line="276" w:lineRule="auto"/>
        <w:ind w:left="0"/>
        <w:rPr>
          <w:rFonts w:ascii="Arial" w:hAnsi="Arial" w:cs="Arial"/>
          <w:sz w:val="22"/>
          <w:szCs w:val="22"/>
        </w:rPr>
      </w:pPr>
      <w:r>
        <w:rPr>
          <w:rFonts w:ascii="Arial" w:hAnsi="Arial" w:cs="Arial"/>
          <w:sz w:val="22"/>
          <w:szCs w:val="22"/>
        </w:rPr>
        <w:t>The table</w:t>
      </w:r>
      <w:r w:rsidR="005200F4">
        <w:rPr>
          <w:rFonts w:ascii="Arial" w:hAnsi="Arial" w:cs="Arial"/>
          <w:sz w:val="22"/>
          <w:szCs w:val="22"/>
        </w:rPr>
        <w:t xml:space="preserve"> below highlight</w:t>
      </w:r>
      <w:r w:rsidR="00D15B33">
        <w:rPr>
          <w:rFonts w:ascii="Arial" w:hAnsi="Arial" w:cs="Arial"/>
          <w:sz w:val="22"/>
          <w:szCs w:val="22"/>
        </w:rPr>
        <w:t>s</w:t>
      </w:r>
      <w:r>
        <w:rPr>
          <w:rFonts w:ascii="Arial" w:hAnsi="Arial" w:cs="Arial"/>
          <w:sz w:val="22"/>
          <w:szCs w:val="22"/>
        </w:rPr>
        <w:t xml:space="preserve"> the </w:t>
      </w:r>
      <w:r w:rsidR="00D15B33">
        <w:rPr>
          <w:rFonts w:ascii="Arial" w:hAnsi="Arial" w:cs="Arial"/>
          <w:sz w:val="22"/>
          <w:szCs w:val="22"/>
        </w:rPr>
        <w:t xml:space="preserve">current </w:t>
      </w:r>
      <w:r>
        <w:rPr>
          <w:rFonts w:ascii="Arial" w:hAnsi="Arial" w:cs="Arial"/>
          <w:sz w:val="22"/>
          <w:szCs w:val="22"/>
        </w:rPr>
        <w:t>accumulated underspend</w:t>
      </w:r>
      <w:r w:rsidR="00D15B33">
        <w:rPr>
          <w:rFonts w:ascii="Arial" w:hAnsi="Arial" w:cs="Arial"/>
          <w:sz w:val="22"/>
          <w:szCs w:val="22"/>
        </w:rPr>
        <w:t xml:space="preserve">. Future monthly reports will present the position by month as the year progresses. </w:t>
      </w:r>
      <w:r>
        <w:rPr>
          <w:rFonts w:ascii="Arial" w:hAnsi="Arial" w:cs="Arial"/>
          <w:sz w:val="22"/>
          <w:szCs w:val="22"/>
        </w:rPr>
        <w:t xml:space="preserve"> </w:t>
      </w:r>
    </w:p>
    <w:p w:rsidR="00ED6F79" w:rsidRDefault="00ED6F79" w:rsidP="004B1C3A">
      <w:pPr>
        <w:pStyle w:val="ListParagraph"/>
        <w:spacing w:line="276" w:lineRule="auto"/>
        <w:ind w:left="0"/>
        <w:rPr>
          <w:rFonts w:ascii="Arial" w:hAnsi="Arial" w:cs="Arial"/>
          <w:sz w:val="22"/>
          <w:szCs w:val="22"/>
        </w:rPr>
      </w:pPr>
    </w:p>
    <w:p w:rsidR="00ED6F79" w:rsidRPr="00ED6F79" w:rsidRDefault="00ED6F79" w:rsidP="004B1C3A">
      <w:pPr>
        <w:pStyle w:val="ListParagraph"/>
        <w:spacing w:line="276" w:lineRule="auto"/>
        <w:ind w:left="0"/>
        <w:rPr>
          <w:rFonts w:ascii="Arial" w:hAnsi="Arial" w:cs="Arial"/>
          <w:b/>
          <w:sz w:val="22"/>
          <w:szCs w:val="22"/>
        </w:rPr>
      </w:pPr>
      <w:r w:rsidRPr="00ED6F79">
        <w:rPr>
          <w:rFonts w:ascii="Arial" w:hAnsi="Arial" w:cs="Arial"/>
          <w:b/>
          <w:sz w:val="22"/>
          <w:szCs w:val="22"/>
        </w:rPr>
        <w:t>Table 5:  Overall (£) variance position by month</w:t>
      </w:r>
    </w:p>
    <w:p w:rsidR="00ED6F79" w:rsidRDefault="00ED6F79" w:rsidP="004B1C3A">
      <w:pPr>
        <w:pStyle w:val="ListParagraph"/>
        <w:spacing w:line="276" w:lineRule="auto"/>
        <w:ind w:left="0"/>
        <w:rPr>
          <w:rFonts w:ascii="Arial" w:hAnsi="Arial" w:cs="Arial"/>
          <w:sz w:val="22"/>
          <w:szCs w:val="22"/>
        </w:rPr>
      </w:pPr>
    </w:p>
    <w:p w:rsidR="005200F4" w:rsidRDefault="00992ACA" w:rsidP="004B1C3A">
      <w:pPr>
        <w:pStyle w:val="ListParagraph"/>
        <w:spacing w:line="276" w:lineRule="auto"/>
        <w:ind w:left="0"/>
        <w:rPr>
          <w:rFonts w:ascii="Arial" w:hAnsi="Arial" w:cs="Arial"/>
          <w:sz w:val="22"/>
          <w:szCs w:val="22"/>
        </w:rPr>
      </w:pPr>
      <w:r>
        <w:rPr>
          <w:rFonts w:ascii="Arial" w:hAnsi="Arial" w:cs="Arial"/>
          <w:noProof/>
          <w:sz w:val="22"/>
          <w:szCs w:val="22"/>
        </w:rPr>
        <w:drawing>
          <wp:inline distT="0" distB="0" distL="0" distR="0" wp14:anchorId="52A6E65B" wp14:editId="67E01C94">
            <wp:extent cx="4584700" cy="27432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743200"/>
                    </a:xfrm>
                    <a:prstGeom prst="rect">
                      <a:avLst/>
                    </a:prstGeom>
                    <a:noFill/>
                  </pic:spPr>
                </pic:pic>
              </a:graphicData>
            </a:graphic>
          </wp:inline>
        </w:drawing>
      </w:r>
    </w:p>
    <w:p w:rsidR="00B91162" w:rsidRDefault="00B91162" w:rsidP="00951DD0">
      <w:pPr>
        <w:pStyle w:val="ListParagraph"/>
        <w:spacing w:line="276" w:lineRule="auto"/>
        <w:ind w:left="0"/>
        <w:rPr>
          <w:rFonts w:ascii="Arial" w:hAnsi="Arial" w:cs="Arial"/>
          <w:b/>
          <w:sz w:val="22"/>
          <w:szCs w:val="22"/>
        </w:rPr>
      </w:pPr>
    </w:p>
    <w:p w:rsidR="00B91162" w:rsidRDefault="00B91162" w:rsidP="00951DD0">
      <w:pPr>
        <w:pStyle w:val="ListParagraph"/>
        <w:spacing w:line="276" w:lineRule="auto"/>
        <w:ind w:left="0"/>
        <w:rPr>
          <w:rFonts w:ascii="Arial" w:hAnsi="Arial" w:cs="Arial"/>
          <w:b/>
          <w:sz w:val="22"/>
          <w:szCs w:val="22"/>
        </w:rPr>
      </w:pPr>
    </w:p>
    <w:p w:rsidR="00DD6897" w:rsidRPr="00996C5F" w:rsidRDefault="00BA3A5A" w:rsidP="00951DD0">
      <w:pPr>
        <w:pStyle w:val="ListParagraph"/>
        <w:spacing w:line="276" w:lineRule="auto"/>
        <w:ind w:left="0"/>
        <w:rPr>
          <w:rFonts w:ascii="Arial" w:hAnsi="Arial" w:cs="Arial"/>
          <w:b/>
          <w:color w:val="FF0000"/>
          <w:sz w:val="22"/>
          <w:szCs w:val="22"/>
        </w:rPr>
      </w:pPr>
      <w:r>
        <w:rPr>
          <w:rFonts w:ascii="Arial" w:hAnsi="Arial" w:cs="Arial"/>
          <w:b/>
          <w:sz w:val="22"/>
          <w:szCs w:val="22"/>
        </w:rPr>
        <w:t>5</w:t>
      </w:r>
      <w:r w:rsidR="006976EC">
        <w:rPr>
          <w:rFonts w:ascii="Arial" w:hAnsi="Arial" w:cs="Arial"/>
          <w:b/>
          <w:sz w:val="22"/>
          <w:szCs w:val="22"/>
        </w:rPr>
        <w:t xml:space="preserve">. </w:t>
      </w:r>
      <w:r w:rsidR="00DD6897">
        <w:rPr>
          <w:rFonts w:ascii="Arial" w:hAnsi="Arial" w:cs="Arial"/>
          <w:b/>
          <w:sz w:val="22"/>
          <w:szCs w:val="22"/>
        </w:rPr>
        <w:t>Better payments performance</w:t>
      </w:r>
      <w:r w:rsidR="00996C5F">
        <w:rPr>
          <w:rFonts w:ascii="Arial" w:hAnsi="Arial" w:cs="Arial"/>
          <w:b/>
          <w:sz w:val="22"/>
          <w:szCs w:val="22"/>
        </w:rPr>
        <w:t xml:space="preserve"> </w:t>
      </w:r>
    </w:p>
    <w:p w:rsidR="00792336" w:rsidRPr="00301D79" w:rsidRDefault="00DD2D40" w:rsidP="00DD6897">
      <w:pPr>
        <w:rPr>
          <w:rFonts w:ascii="Arial" w:hAnsi="Arial" w:cs="Arial"/>
          <w:sz w:val="22"/>
          <w:szCs w:val="22"/>
        </w:rPr>
      </w:pPr>
      <w:r w:rsidRPr="00301D79">
        <w:rPr>
          <w:rFonts w:ascii="Arial" w:hAnsi="Arial" w:cs="Arial"/>
          <w:sz w:val="22"/>
          <w:szCs w:val="22"/>
        </w:rPr>
        <w:t xml:space="preserve">Better payment performance </w:t>
      </w:r>
      <w:r w:rsidR="00D15B33" w:rsidRPr="00301D79">
        <w:rPr>
          <w:rFonts w:ascii="Arial" w:hAnsi="Arial" w:cs="Arial"/>
          <w:sz w:val="22"/>
          <w:szCs w:val="22"/>
        </w:rPr>
        <w:t>provides an indicator to the board and stakeholders of the financial service being provided</w:t>
      </w:r>
      <w:r w:rsidR="00792336" w:rsidRPr="00301D79">
        <w:rPr>
          <w:rFonts w:ascii="Arial" w:hAnsi="Arial" w:cs="Arial"/>
          <w:sz w:val="22"/>
          <w:szCs w:val="22"/>
        </w:rPr>
        <w:t>.  These services are influenced by strong management of t</w:t>
      </w:r>
      <w:r w:rsidR="00D15B33" w:rsidRPr="00301D79">
        <w:rPr>
          <w:rFonts w:ascii="Arial" w:hAnsi="Arial" w:cs="Arial"/>
          <w:sz w:val="22"/>
          <w:szCs w:val="22"/>
        </w:rPr>
        <w:t>he finance and accounting service contract wi</w:t>
      </w:r>
      <w:r w:rsidR="00792336" w:rsidRPr="00301D79">
        <w:rPr>
          <w:rFonts w:ascii="Arial" w:hAnsi="Arial" w:cs="Arial"/>
          <w:sz w:val="22"/>
          <w:szCs w:val="22"/>
        </w:rPr>
        <w:t xml:space="preserve">th NHS Shared Business Services, the additional support service offered by the finance team and the performance of budget managers in approving invoices in a timely manner.  </w:t>
      </w:r>
    </w:p>
    <w:p w:rsidR="00792336" w:rsidRPr="00301D79" w:rsidRDefault="00792336" w:rsidP="00DD6897">
      <w:pPr>
        <w:rPr>
          <w:rFonts w:ascii="Arial" w:hAnsi="Arial" w:cs="Arial"/>
          <w:sz w:val="22"/>
          <w:szCs w:val="22"/>
        </w:rPr>
      </w:pPr>
    </w:p>
    <w:p w:rsidR="00BA3A5A" w:rsidRDefault="00792336" w:rsidP="00DD6897">
      <w:pPr>
        <w:rPr>
          <w:rFonts w:ascii="Arial" w:hAnsi="Arial" w:cs="Arial"/>
          <w:sz w:val="22"/>
          <w:szCs w:val="22"/>
        </w:rPr>
      </w:pPr>
      <w:r w:rsidRPr="00301D79">
        <w:rPr>
          <w:rFonts w:ascii="Arial" w:hAnsi="Arial" w:cs="Arial"/>
          <w:sz w:val="22"/>
          <w:szCs w:val="22"/>
        </w:rPr>
        <w:t xml:space="preserve">The HRA </w:t>
      </w:r>
      <w:r w:rsidR="00DD2D40" w:rsidRPr="00301D79">
        <w:rPr>
          <w:rFonts w:ascii="Arial" w:hAnsi="Arial" w:cs="Arial"/>
          <w:sz w:val="22"/>
          <w:szCs w:val="22"/>
        </w:rPr>
        <w:t xml:space="preserve">has </w:t>
      </w:r>
      <w:r w:rsidR="00E713F5" w:rsidRPr="00301D79">
        <w:rPr>
          <w:rFonts w:ascii="Arial" w:hAnsi="Arial" w:cs="Arial"/>
          <w:sz w:val="22"/>
          <w:szCs w:val="22"/>
        </w:rPr>
        <w:t xml:space="preserve">continued to </w:t>
      </w:r>
      <w:r w:rsidR="00DD2D40" w:rsidRPr="00301D79">
        <w:rPr>
          <w:rFonts w:ascii="Arial" w:hAnsi="Arial" w:cs="Arial"/>
          <w:sz w:val="22"/>
          <w:szCs w:val="22"/>
        </w:rPr>
        <w:t>me</w:t>
      </w:r>
      <w:r w:rsidR="00E713F5" w:rsidRPr="00301D79">
        <w:rPr>
          <w:rFonts w:ascii="Arial" w:hAnsi="Arial" w:cs="Arial"/>
          <w:sz w:val="22"/>
          <w:szCs w:val="22"/>
        </w:rPr>
        <w:t>e</w:t>
      </w:r>
      <w:r w:rsidR="00DD2D40" w:rsidRPr="00301D79">
        <w:rPr>
          <w:rFonts w:ascii="Arial" w:hAnsi="Arial" w:cs="Arial"/>
          <w:sz w:val="22"/>
          <w:szCs w:val="22"/>
        </w:rPr>
        <w:t xml:space="preserve">t the duty to pay 95% of </w:t>
      </w:r>
      <w:r w:rsidR="00F053C9" w:rsidRPr="00301D79">
        <w:rPr>
          <w:rFonts w:ascii="Arial" w:hAnsi="Arial" w:cs="Arial"/>
          <w:sz w:val="22"/>
          <w:szCs w:val="22"/>
        </w:rPr>
        <w:t>invoices in 30 days achieving 9</w:t>
      </w:r>
      <w:r w:rsidR="00643FCA" w:rsidRPr="00301D79">
        <w:rPr>
          <w:rFonts w:ascii="Arial" w:hAnsi="Arial" w:cs="Arial"/>
          <w:sz w:val="22"/>
          <w:szCs w:val="22"/>
        </w:rPr>
        <w:t>7</w:t>
      </w:r>
      <w:r w:rsidR="00DD2D40" w:rsidRPr="00301D79">
        <w:rPr>
          <w:rFonts w:ascii="Arial" w:hAnsi="Arial" w:cs="Arial"/>
          <w:sz w:val="22"/>
          <w:szCs w:val="22"/>
        </w:rPr>
        <w:t xml:space="preserve">% based on number of invoices, </w:t>
      </w:r>
      <w:r w:rsidR="003C121B" w:rsidRPr="00301D79">
        <w:rPr>
          <w:rFonts w:ascii="Arial" w:hAnsi="Arial" w:cs="Arial"/>
          <w:sz w:val="22"/>
          <w:szCs w:val="22"/>
        </w:rPr>
        <w:t xml:space="preserve">and </w:t>
      </w:r>
      <w:r w:rsidR="00945882" w:rsidRPr="00301D79">
        <w:rPr>
          <w:rFonts w:ascii="Arial" w:hAnsi="Arial" w:cs="Arial"/>
          <w:sz w:val="22"/>
          <w:szCs w:val="22"/>
        </w:rPr>
        <w:t>achieved the targe</w:t>
      </w:r>
      <w:r w:rsidR="000D47A6" w:rsidRPr="00301D79">
        <w:rPr>
          <w:rFonts w:ascii="Arial" w:hAnsi="Arial" w:cs="Arial"/>
          <w:sz w:val="22"/>
          <w:szCs w:val="22"/>
        </w:rPr>
        <w:t>t based on</w:t>
      </w:r>
      <w:r w:rsidR="00CA3C40" w:rsidRPr="00301D79">
        <w:rPr>
          <w:rFonts w:ascii="Arial" w:hAnsi="Arial" w:cs="Arial"/>
          <w:sz w:val="22"/>
          <w:szCs w:val="22"/>
        </w:rPr>
        <w:t xml:space="preserve"> value by achieving 9</w:t>
      </w:r>
      <w:r w:rsidR="0060431A">
        <w:rPr>
          <w:rFonts w:ascii="Arial" w:hAnsi="Arial" w:cs="Arial"/>
          <w:sz w:val="22"/>
          <w:szCs w:val="22"/>
        </w:rPr>
        <w:t>9</w:t>
      </w:r>
      <w:r w:rsidR="00945882" w:rsidRPr="00301D79">
        <w:rPr>
          <w:rFonts w:ascii="Arial" w:hAnsi="Arial" w:cs="Arial"/>
          <w:sz w:val="22"/>
          <w:szCs w:val="22"/>
        </w:rPr>
        <w:t>%</w:t>
      </w:r>
      <w:r w:rsidR="0016044C" w:rsidRPr="00301D79">
        <w:rPr>
          <w:rFonts w:ascii="Arial" w:hAnsi="Arial" w:cs="Arial"/>
          <w:sz w:val="22"/>
          <w:szCs w:val="22"/>
        </w:rPr>
        <w:t xml:space="preserve">.  HRA are committed to paying suppliers promptly and have </w:t>
      </w:r>
      <w:r w:rsidR="00643FCA" w:rsidRPr="00301D79">
        <w:rPr>
          <w:rFonts w:ascii="Arial" w:hAnsi="Arial" w:cs="Arial"/>
          <w:sz w:val="22"/>
          <w:szCs w:val="22"/>
        </w:rPr>
        <w:t xml:space="preserve">maintained </w:t>
      </w:r>
      <w:r w:rsidR="00D15B33" w:rsidRPr="00301D79">
        <w:rPr>
          <w:rFonts w:ascii="Arial" w:hAnsi="Arial" w:cs="Arial"/>
          <w:sz w:val="22"/>
          <w:szCs w:val="22"/>
        </w:rPr>
        <w:t>a</w:t>
      </w:r>
      <w:r w:rsidR="0016044C" w:rsidRPr="00301D79">
        <w:rPr>
          <w:rFonts w:ascii="Arial" w:hAnsi="Arial" w:cs="Arial"/>
          <w:sz w:val="22"/>
          <w:szCs w:val="22"/>
        </w:rPr>
        <w:t xml:space="preserve"> target of paying suppliers within 10 days to 60% for 201</w:t>
      </w:r>
      <w:r w:rsidR="00643FCA" w:rsidRPr="00301D79">
        <w:rPr>
          <w:rFonts w:ascii="Arial" w:hAnsi="Arial" w:cs="Arial"/>
          <w:sz w:val="22"/>
          <w:szCs w:val="22"/>
        </w:rPr>
        <w:t>6</w:t>
      </w:r>
      <w:r w:rsidR="0016044C" w:rsidRPr="00301D79">
        <w:rPr>
          <w:rFonts w:ascii="Arial" w:hAnsi="Arial" w:cs="Arial"/>
          <w:sz w:val="22"/>
          <w:szCs w:val="22"/>
        </w:rPr>
        <w:t>/1</w:t>
      </w:r>
      <w:r w:rsidR="00643FCA" w:rsidRPr="00301D79">
        <w:rPr>
          <w:rFonts w:ascii="Arial" w:hAnsi="Arial" w:cs="Arial"/>
          <w:sz w:val="22"/>
          <w:szCs w:val="22"/>
        </w:rPr>
        <w:t>7</w:t>
      </w:r>
      <w:r w:rsidR="0016044C" w:rsidRPr="00301D79">
        <w:rPr>
          <w:rFonts w:ascii="Arial" w:hAnsi="Arial" w:cs="Arial"/>
          <w:sz w:val="22"/>
          <w:szCs w:val="22"/>
        </w:rPr>
        <w:t>.</w:t>
      </w:r>
      <w:r w:rsidR="00DD2D40" w:rsidRPr="00301D79">
        <w:rPr>
          <w:rFonts w:ascii="Arial" w:hAnsi="Arial" w:cs="Arial"/>
          <w:sz w:val="22"/>
          <w:szCs w:val="22"/>
        </w:rPr>
        <w:t xml:space="preserve">  </w:t>
      </w:r>
      <w:r w:rsidR="004D1652" w:rsidRPr="00301D79">
        <w:rPr>
          <w:rFonts w:ascii="Arial" w:hAnsi="Arial" w:cs="Arial"/>
          <w:sz w:val="22"/>
          <w:szCs w:val="22"/>
        </w:rPr>
        <w:t xml:space="preserve">The performance </w:t>
      </w:r>
      <w:r w:rsidR="00F053C9" w:rsidRPr="00301D79">
        <w:rPr>
          <w:rFonts w:ascii="Arial" w:hAnsi="Arial" w:cs="Arial"/>
          <w:sz w:val="22"/>
          <w:szCs w:val="22"/>
        </w:rPr>
        <w:t>at the end o</w:t>
      </w:r>
      <w:r w:rsidR="0060431A">
        <w:rPr>
          <w:rFonts w:ascii="Arial" w:hAnsi="Arial" w:cs="Arial"/>
          <w:sz w:val="22"/>
          <w:szCs w:val="22"/>
        </w:rPr>
        <w:t>f July</w:t>
      </w:r>
      <w:r w:rsidR="00CA3C40" w:rsidRPr="00301D79">
        <w:rPr>
          <w:rFonts w:ascii="Arial" w:hAnsi="Arial" w:cs="Arial"/>
          <w:sz w:val="22"/>
          <w:szCs w:val="22"/>
        </w:rPr>
        <w:t xml:space="preserve"> 2016</w:t>
      </w:r>
      <w:r w:rsidR="0016044C" w:rsidRPr="00301D79">
        <w:rPr>
          <w:rFonts w:ascii="Arial" w:hAnsi="Arial" w:cs="Arial"/>
          <w:sz w:val="22"/>
          <w:szCs w:val="22"/>
        </w:rPr>
        <w:t xml:space="preserve"> </w:t>
      </w:r>
      <w:r w:rsidR="004D1652" w:rsidRPr="00301D79">
        <w:rPr>
          <w:rFonts w:ascii="Arial" w:hAnsi="Arial" w:cs="Arial"/>
          <w:sz w:val="22"/>
          <w:szCs w:val="22"/>
        </w:rPr>
        <w:t>for pa</w:t>
      </w:r>
      <w:r w:rsidR="00E54475" w:rsidRPr="00301D79">
        <w:rPr>
          <w:rFonts w:ascii="Arial" w:hAnsi="Arial" w:cs="Arial"/>
          <w:sz w:val="22"/>
          <w:szCs w:val="22"/>
        </w:rPr>
        <w:t xml:space="preserve">yments made within 10 days is </w:t>
      </w:r>
      <w:r w:rsidR="0060431A">
        <w:rPr>
          <w:rFonts w:ascii="Arial" w:hAnsi="Arial" w:cs="Arial"/>
          <w:sz w:val="22"/>
          <w:szCs w:val="22"/>
        </w:rPr>
        <w:t>71</w:t>
      </w:r>
      <w:r w:rsidR="004D1652" w:rsidRPr="00301D79">
        <w:rPr>
          <w:rFonts w:ascii="Arial" w:hAnsi="Arial" w:cs="Arial"/>
          <w:sz w:val="22"/>
          <w:szCs w:val="22"/>
        </w:rPr>
        <w:t>%</w:t>
      </w:r>
      <w:r w:rsidR="00F70F38" w:rsidRPr="00301D79">
        <w:rPr>
          <w:rFonts w:ascii="Arial" w:hAnsi="Arial" w:cs="Arial"/>
          <w:sz w:val="22"/>
          <w:szCs w:val="22"/>
        </w:rPr>
        <w:t xml:space="preserve"> (number of invoice</w:t>
      </w:r>
      <w:r w:rsidR="00B06BAE" w:rsidRPr="00301D79">
        <w:rPr>
          <w:rFonts w:ascii="Arial" w:hAnsi="Arial" w:cs="Arial"/>
          <w:sz w:val="22"/>
          <w:szCs w:val="22"/>
        </w:rPr>
        <w:t>s</w:t>
      </w:r>
      <w:r w:rsidR="00643FCA" w:rsidRPr="00301D79">
        <w:rPr>
          <w:rFonts w:ascii="Arial" w:hAnsi="Arial" w:cs="Arial"/>
          <w:sz w:val="22"/>
          <w:szCs w:val="22"/>
        </w:rPr>
        <w:t>)</w:t>
      </w:r>
      <w:r w:rsidR="00E54475" w:rsidRPr="00301D79">
        <w:rPr>
          <w:rFonts w:ascii="Arial" w:hAnsi="Arial" w:cs="Arial"/>
          <w:sz w:val="22"/>
          <w:szCs w:val="22"/>
        </w:rPr>
        <w:t xml:space="preserve"> and </w:t>
      </w:r>
      <w:r w:rsidR="0060431A">
        <w:rPr>
          <w:rFonts w:ascii="Arial" w:hAnsi="Arial" w:cs="Arial"/>
          <w:sz w:val="22"/>
          <w:szCs w:val="22"/>
        </w:rPr>
        <w:t>66</w:t>
      </w:r>
      <w:r w:rsidR="00643FCA" w:rsidRPr="00301D79">
        <w:rPr>
          <w:rFonts w:ascii="Arial" w:hAnsi="Arial" w:cs="Arial"/>
          <w:sz w:val="22"/>
          <w:szCs w:val="22"/>
        </w:rPr>
        <w:t>% (</w:t>
      </w:r>
      <w:r w:rsidR="00E54475" w:rsidRPr="00301D79">
        <w:rPr>
          <w:rFonts w:ascii="Arial" w:hAnsi="Arial" w:cs="Arial"/>
          <w:sz w:val="22"/>
          <w:szCs w:val="22"/>
        </w:rPr>
        <w:t>value of invoices</w:t>
      </w:r>
      <w:r w:rsidR="00B06BAE" w:rsidRPr="00301D79">
        <w:rPr>
          <w:rFonts w:ascii="Arial" w:hAnsi="Arial" w:cs="Arial"/>
          <w:sz w:val="22"/>
          <w:szCs w:val="22"/>
        </w:rPr>
        <w:t>)</w:t>
      </w:r>
      <w:r w:rsidR="00E54475" w:rsidRPr="00301D79">
        <w:rPr>
          <w:rFonts w:ascii="Arial" w:hAnsi="Arial" w:cs="Arial"/>
          <w:sz w:val="22"/>
          <w:szCs w:val="22"/>
        </w:rPr>
        <w:t xml:space="preserve">, both achieving the </w:t>
      </w:r>
      <w:r w:rsidR="00E575FA" w:rsidRPr="00301D79">
        <w:rPr>
          <w:rFonts w:ascii="Arial" w:hAnsi="Arial" w:cs="Arial"/>
          <w:sz w:val="22"/>
          <w:szCs w:val="22"/>
        </w:rPr>
        <w:t>stretched 60% target</w:t>
      </w:r>
      <w:r w:rsidR="00E54475" w:rsidRPr="00301D79">
        <w:rPr>
          <w:rFonts w:ascii="Arial" w:hAnsi="Arial" w:cs="Arial"/>
          <w:sz w:val="22"/>
          <w:szCs w:val="22"/>
        </w:rPr>
        <w:t>.</w:t>
      </w:r>
      <w:r w:rsidR="0016044C" w:rsidRPr="00301D79">
        <w:rPr>
          <w:rFonts w:ascii="Arial" w:hAnsi="Arial" w:cs="Arial"/>
          <w:sz w:val="22"/>
          <w:szCs w:val="22"/>
        </w:rPr>
        <w:t xml:space="preserve">  </w:t>
      </w:r>
      <w:r w:rsidR="00272AA5" w:rsidRPr="00301D79">
        <w:rPr>
          <w:rFonts w:ascii="Arial" w:hAnsi="Arial" w:cs="Arial"/>
          <w:sz w:val="22"/>
          <w:szCs w:val="22"/>
        </w:rPr>
        <w:t xml:space="preserve">The escalation days for invoices awaiting approval </w:t>
      </w:r>
      <w:r w:rsidR="00643FCA" w:rsidRPr="00301D79">
        <w:rPr>
          <w:rFonts w:ascii="Arial" w:hAnsi="Arial" w:cs="Arial"/>
          <w:sz w:val="22"/>
          <w:szCs w:val="22"/>
        </w:rPr>
        <w:t>continues to be</w:t>
      </w:r>
      <w:r w:rsidR="00272AA5" w:rsidRPr="00301D79">
        <w:rPr>
          <w:rFonts w:ascii="Arial" w:hAnsi="Arial" w:cs="Arial"/>
          <w:sz w:val="22"/>
          <w:szCs w:val="22"/>
        </w:rPr>
        <w:t xml:space="preserve"> 4 days </w:t>
      </w:r>
      <w:r w:rsidR="00F961F3" w:rsidRPr="00301D79">
        <w:rPr>
          <w:rFonts w:ascii="Arial" w:hAnsi="Arial" w:cs="Arial"/>
          <w:sz w:val="22"/>
          <w:szCs w:val="22"/>
        </w:rPr>
        <w:t xml:space="preserve">(after which invoices are escalated to line managers) </w:t>
      </w:r>
      <w:r w:rsidR="00272AA5" w:rsidRPr="00301D79">
        <w:rPr>
          <w:rFonts w:ascii="Arial" w:hAnsi="Arial" w:cs="Arial"/>
          <w:sz w:val="22"/>
          <w:szCs w:val="22"/>
        </w:rPr>
        <w:t>and further reminders on vacation rules and the importance of c</w:t>
      </w:r>
      <w:r w:rsidR="00785D39" w:rsidRPr="00301D79">
        <w:rPr>
          <w:rFonts w:ascii="Arial" w:hAnsi="Arial" w:cs="Arial"/>
          <w:sz w:val="22"/>
          <w:szCs w:val="22"/>
        </w:rPr>
        <w:t xml:space="preserve">hecking the workflow daily </w:t>
      </w:r>
      <w:r w:rsidR="0060431A">
        <w:rPr>
          <w:rFonts w:ascii="Arial" w:hAnsi="Arial" w:cs="Arial"/>
          <w:sz w:val="22"/>
          <w:szCs w:val="22"/>
        </w:rPr>
        <w:t xml:space="preserve">have recently been issued.  </w:t>
      </w:r>
      <w:r w:rsidR="00643FCA" w:rsidRPr="00301D79">
        <w:rPr>
          <w:rFonts w:ascii="Arial" w:hAnsi="Arial" w:cs="Arial"/>
          <w:sz w:val="22"/>
          <w:szCs w:val="22"/>
        </w:rPr>
        <w:t xml:space="preserve">The HRA continues to have 3 </w:t>
      </w:r>
      <w:proofErr w:type="gramStart"/>
      <w:r w:rsidR="00643FCA" w:rsidRPr="00301D79">
        <w:rPr>
          <w:rFonts w:ascii="Arial" w:hAnsi="Arial" w:cs="Arial"/>
          <w:sz w:val="22"/>
          <w:szCs w:val="22"/>
        </w:rPr>
        <w:t>payment</w:t>
      </w:r>
      <w:proofErr w:type="gramEnd"/>
      <w:r w:rsidR="00643FCA" w:rsidRPr="00301D79">
        <w:rPr>
          <w:rFonts w:ascii="Arial" w:hAnsi="Arial" w:cs="Arial"/>
          <w:sz w:val="22"/>
          <w:szCs w:val="22"/>
        </w:rPr>
        <w:t xml:space="preserve"> runs each week to </w:t>
      </w:r>
      <w:r w:rsidRPr="00301D79">
        <w:rPr>
          <w:rFonts w:ascii="Arial" w:hAnsi="Arial" w:cs="Arial"/>
          <w:sz w:val="22"/>
          <w:szCs w:val="22"/>
        </w:rPr>
        <w:t xml:space="preserve">maintain </w:t>
      </w:r>
      <w:r w:rsidR="00643FCA" w:rsidRPr="00301D79">
        <w:rPr>
          <w:rFonts w:ascii="Arial" w:hAnsi="Arial" w:cs="Arial"/>
          <w:sz w:val="22"/>
          <w:szCs w:val="22"/>
        </w:rPr>
        <w:t>the performance.</w:t>
      </w:r>
    </w:p>
    <w:p w:rsidR="00552D9B" w:rsidRDefault="00552D9B" w:rsidP="00DD6897">
      <w:pPr>
        <w:rPr>
          <w:rFonts w:ascii="Arial" w:hAnsi="Arial" w:cs="Arial"/>
          <w:sz w:val="22"/>
          <w:szCs w:val="22"/>
        </w:rPr>
      </w:pPr>
    </w:p>
    <w:p w:rsidR="00AE0798" w:rsidRPr="00ED6F79" w:rsidRDefault="00BA3A5A" w:rsidP="00DD6897">
      <w:pPr>
        <w:rPr>
          <w:rFonts w:ascii="Arial" w:hAnsi="Arial" w:cs="Arial"/>
          <w:b/>
          <w:sz w:val="22"/>
          <w:szCs w:val="22"/>
        </w:rPr>
      </w:pPr>
      <w:r w:rsidRPr="00ED6F79">
        <w:rPr>
          <w:rFonts w:ascii="Arial" w:hAnsi="Arial" w:cs="Arial"/>
          <w:b/>
          <w:sz w:val="22"/>
          <w:szCs w:val="22"/>
        </w:rPr>
        <w:t>6</w:t>
      </w:r>
      <w:r w:rsidR="006976EC" w:rsidRPr="00ED6F79">
        <w:rPr>
          <w:rFonts w:ascii="Arial" w:hAnsi="Arial" w:cs="Arial"/>
          <w:b/>
          <w:sz w:val="22"/>
          <w:szCs w:val="22"/>
        </w:rPr>
        <w:t xml:space="preserve">. </w:t>
      </w:r>
      <w:r w:rsidR="00AE0798" w:rsidRPr="00ED6F79">
        <w:rPr>
          <w:rFonts w:ascii="Arial" w:hAnsi="Arial" w:cs="Arial"/>
          <w:b/>
          <w:sz w:val="22"/>
          <w:szCs w:val="22"/>
        </w:rPr>
        <w:t>Travel costs</w:t>
      </w:r>
    </w:p>
    <w:p w:rsidR="00E904C3" w:rsidRDefault="007C66A5" w:rsidP="00AE0798">
      <w:pPr>
        <w:spacing w:after="200" w:line="276" w:lineRule="auto"/>
        <w:rPr>
          <w:rFonts w:ascii="Arial" w:hAnsi="Arial" w:cs="Arial"/>
          <w:sz w:val="22"/>
          <w:szCs w:val="22"/>
        </w:rPr>
      </w:pPr>
      <w:r w:rsidRPr="00ED6F79">
        <w:rPr>
          <w:rFonts w:ascii="Arial" w:hAnsi="Arial" w:cs="Arial"/>
          <w:sz w:val="22"/>
          <w:szCs w:val="22"/>
        </w:rPr>
        <w:t>£5</w:t>
      </w:r>
      <w:r w:rsidR="00ED6F79">
        <w:rPr>
          <w:rFonts w:ascii="Arial" w:hAnsi="Arial" w:cs="Arial"/>
          <w:sz w:val="22"/>
          <w:szCs w:val="22"/>
        </w:rPr>
        <w:t>35</w:t>
      </w:r>
      <w:r w:rsidRPr="00ED6F79">
        <w:rPr>
          <w:rFonts w:ascii="Arial" w:hAnsi="Arial" w:cs="Arial"/>
          <w:sz w:val="22"/>
          <w:szCs w:val="22"/>
        </w:rPr>
        <w:t>k ha</w:t>
      </w:r>
      <w:r w:rsidR="00ED6F79">
        <w:rPr>
          <w:rFonts w:ascii="Arial" w:hAnsi="Arial" w:cs="Arial"/>
          <w:sz w:val="22"/>
          <w:szCs w:val="22"/>
        </w:rPr>
        <w:t>s</w:t>
      </w:r>
      <w:r w:rsidRPr="00ED6F79">
        <w:rPr>
          <w:rFonts w:ascii="Arial" w:hAnsi="Arial" w:cs="Arial"/>
          <w:sz w:val="22"/>
          <w:szCs w:val="22"/>
        </w:rPr>
        <w:t xml:space="preserve"> been </w:t>
      </w:r>
      <w:r w:rsidR="00605A97">
        <w:rPr>
          <w:rFonts w:ascii="Arial" w:hAnsi="Arial" w:cs="Arial"/>
          <w:sz w:val="22"/>
          <w:szCs w:val="22"/>
        </w:rPr>
        <w:t xml:space="preserve">initially </w:t>
      </w:r>
      <w:r w:rsidRPr="00ED6F79">
        <w:rPr>
          <w:rFonts w:ascii="Arial" w:hAnsi="Arial" w:cs="Arial"/>
          <w:sz w:val="22"/>
          <w:szCs w:val="22"/>
        </w:rPr>
        <w:t>allocated for planned travel costs in 201</w:t>
      </w:r>
      <w:r w:rsidR="00ED6F79">
        <w:rPr>
          <w:rFonts w:ascii="Arial" w:hAnsi="Arial" w:cs="Arial"/>
          <w:sz w:val="22"/>
          <w:szCs w:val="22"/>
        </w:rPr>
        <w:t>6</w:t>
      </w:r>
      <w:r w:rsidRPr="00ED6F79">
        <w:rPr>
          <w:rFonts w:ascii="Arial" w:hAnsi="Arial" w:cs="Arial"/>
          <w:sz w:val="22"/>
          <w:szCs w:val="22"/>
        </w:rPr>
        <w:t>/1</w:t>
      </w:r>
      <w:r w:rsidR="00ED6F79">
        <w:rPr>
          <w:rFonts w:ascii="Arial" w:hAnsi="Arial" w:cs="Arial"/>
          <w:sz w:val="22"/>
          <w:szCs w:val="22"/>
        </w:rPr>
        <w:t>7</w:t>
      </w:r>
      <w:r w:rsidRPr="00ED6F79">
        <w:rPr>
          <w:rFonts w:ascii="Arial" w:hAnsi="Arial" w:cs="Arial"/>
          <w:sz w:val="22"/>
          <w:szCs w:val="22"/>
        </w:rPr>
        <w:t xml:space="preserve">. </w:t>
      </w:r>
      <w:r w:rsidR="00ED6F79">
        <w:rPr>
          <w:rFonts w:ascii="Arial" w:hAnsi="Arial" w:cs="Arial"/>
          <w:sz w:val="22"/>
          <w:szCs w:val="22"/>
        </w:rPr>
        <w:t xml:space="preserve"> This budget covers staff travel costs as well as volunteer REC member travel.  £586k was allocated in 2015/16 and it </w:t>
      </w:r>
      <w:r w:rsidRPr="00ED6F79">
        <w:rPr>
          <w:rFonts w:ascii="Arial" w:hAnsi="Arial" w:cs="Arial"/>
          <w:sz w:val="22"/>
          <w:szCs w:val="22"/>
        </w:rPr>
        <w:t xml:space="preserve">continues to be </w:t>
      </w:r>
      <w:r w:rsidR="00B7000D" w:rsidRPr="00ED6F79">
        <w:rPr>
          <w:rFonts w:ascii="Arial" w:hAnsi="Arial" w:cs="Arial"/>
          <w:sz w:val="22"/>
          <w:szCs w:val="22"/>
        </w:rPr>
        <w:t xml:space="preserve">an area which </w:t>
      </w:r>
      <w:r w:rsidR="008F0A10" w:rsidRPr="00ED6F79">
        <w:rPr>
          <w:rFonts w:ascii="Arial" w:hAnsi="Arial" w:cs="Arial"/>
          <w:sz w:val="22"/>
          <w:szCs w:val="22"/>
        </w:rPr>
        <w:t xml:space="preserve">is being </w:t>
      </w:r>
      <w:r w:rsidR="00B7000D" w:rsidRPr="00ED6F79">
        <w:rPr>
          <w:rFonts w:ascii="Arial" w:hAnsi="Arial" w:cs="Arial"/>
          <w:sz w:val="22"/>
          <w:szCs w:val="22"/>
        </w:rPr>
        <w:t xml:space="preserve">intentionally monitored and </w:t>
      </w:r>
      <w:r w:rsidR="00585FFC" w:rsidRPr="00ED6F79">
        <w:rPr>
          <w:rFonts w:ascii="Arial" w:hAnsi="Arial" w:cs="Arial"/>
          <w:sz w:val="22"/>
          <w:szCs w:val="22"/>
        </w:rPr>
        <w:t xml:space="preserve">managed </w:t>
      </w:r>
      <w:r w:rsidR="00B7000D" w:rsidRPr="00ED6F79">
        <w:rPr>
          <w:rFonts w:ascii="Arial" w:hAnsi="Arial" w:cs="Arial"/>
          <w:sz w:val="22"/>
          <w:szCs w:val="22"/>
        </w:rPr>
        <w:t xml:space="preserve">with a view to </w:t>
      </w:r>
      <w:r w:rsidR="00ED6F79">
        <w:rPr>
          <w:rFonts w:ascii="Arial" w:hAnsi="Arial" w:cs="Arial"/>
          <w:sz w:val="22"/>
          <w:szCs w:val="22"/>
        </w:rPr>
        <w:t xml:space="preserve">reducing </w:t>
      </w:r>
      <w:r w:rsidR="00E904C3">
        <w:rPr>
          <w:rFonts w:ascii="Arial" w:hAnsi="Arial" w:cs="Arial"/>
          <w:sz w:val="22"/>
          <w:szCs w:val="22"/>
        </w:rPr>
        <w:t xml:space="preserve">staff travel </w:t>
      </w:r>
      <w:r w:rsidR="00ED6F79">
        <w:rPr>
          <w:rFonts w:ascii="Arial" w:hAnsi="Arial" w:cs="Arial"/>
          <w:sz w:val="22"/>
          <w:szCs w:val="22"/>
        </w:rPr>
        <w:t xml:space="preserve">expenditure given the significant investments made to facilitate flexible working. </w:t>
      </w:r>
      <w:r w:rsidR="00590197" w:rsidRPr="00ED6F79">
        <w:rPr>
          <w:rFonts w:ascii="Arial" w:hAnsi="Arial" w:cs="Arial"/>
          <w:sz w:val="22"/>
          <w:szCs w:val="22"/>
        </w:rPr>
        <w:t xml:space="preserve"> </w:t>
      </w:r>
    </w:p>
    <w:p w:rsidR="007C66A5" w:rsidRDefault="00590197" w:rsidP="00AE0798">
      <w:pPr>
        <w:spacing w:after="200" w:line="276" w:lineRule="auto"/>
        <w:rPr>
          <w:rFonts w:ascii="Arial" w:hAnsi="Arial" w:cs="Arial"/>
          <w:sz w:val="22"/>
          <w:szCs w:val="22"/>
        </w:rPr>
      </w:pPr>
      <w:r w:rsidRPr="00ED6F79">
        <w:rPr>
          <w:rFonts w:ascii="Arial" w:hAnsi="Arial" w:cs="Arial"/>
          <w:sz w:val="22"/>
          <w:szCs w:val="22"/>
        </w:rPr>
        <w:t xml:space="preserve">The graph below shows </w:t>
      </w:r>
      <w:r w:rsidR="00ED6F79">
        <w:rPr>
          <w:rFonts w:ascii="Arial" w:hAnsi="Arial" w:cs="Arial"/>
          <w:sz w:val="22"/>
          <w:szCs w:val="22"/>
        </w:rPr>
        <w:t xml:space="preserve">the </w:t>
      </w:r>
      <w:r w:rsidR="00E904C3">
        <w:rPr>
          <w:rFonts w:ascii="Arial" w:hAnsi="Arial" w:cs="Arial"/>
          <w:sz w:val="22"/>
          <w:szCs w:val="22"/>
        </w:rPr>
        <w:t xml:space="preserve">staff </w:t>
      </w:r>
      <w:r w:rsidR="00ED6F79">
        <w:rPr>
          <w:rFonts w:ascii="Arial" w:hAnsi="Arial" w:cs="Arial"/>
          <w:sz w:val="22"/>
          <w:szCs w:val="22"/>
        </w:rPr>
        <w:t xml:space="preserve">costs per head incurred to date </w:t>
      </w:r>
      <w:r w:rsidRPr="00ED6F79">
        <w:rPr>
          <w:rFonts w:ascii="Arial" w:hAnsi="Arial" w:cs="Arial"/>
          <w:sz w:val="22"/>
          <w:szCs w:val="22"/>
        </w:rPr>
        <w:t xml:space="preserve">compared to </w:t>
      </w:r>
      <w:r w:rsidR="002E7A27" w:rsidRPr="00ED6F79">
        <w:rPr>
          <w:rFonts w:ascii="Arial" w:hAnsi="Arial" w:cs="Arial"/>
          <w:sz w:val="22"/>
          <w:szCs w:val="22"/>
        </w:rPr>
        <w:t xml:space="preserve">a benchmark of </w:t>
      </w:r>
      <w:r w:rsidRPr="00ED6F79">
        <w:rPr>
          <w:rFonts w:ascii="Arial" w:hAnsi="Arial" w:cs="Arial"/>
          <w:sz w:val="22"/>
          <w:szCs w:val="22"/>
        </w:rPr>
        <w:t xml:space="preserve">2013/14. </w:t>
      </w:r>
      <w:r w:rsidR="00E904C3">
        <w:rPr>
          <w:rFonts w:ascii="Arial" w:hAnsi="Arial" w:cs="Arial"/>
          <w:sz w:val="22"/>
          <w:szCs w:val="22"/>
        </w:rPr>
        <w:t xml:space="preserve">  The increase in staff travel costs per head is due to the timing of the all staff day in May.</w:t>
      </w:r>
    </w:p>
    <w:p w:rsidR="00E070F4" w:rsidRPr="00ED6F79" w:rsidRDefault="00E070F4" w:rsidP="00AE0798">
      <w:pPr>
        <w:spacing w:after="200" w:line="276" w:lineRule="auto"/>
        <w:rPr>
          <w:rFonts w:ascii="Arial" w:hAnsi="Arial" w:cs="Arial"/>
          <w:sz w:val="22"/>
          <w:szCs w:val="22"/>
        </w:rPr>
      </w:pPr>
    </w:p>
    <w:p w:rsidR="00B0504F" w:rsidRDefault="00B0504F" w:rsidP="006976EC">
      <w:pPr>
        <w:pStyle w:val="ListParagraph"/>
        <w:spacing w:after="200" w:line="276" w:lineRule="auto"/>
        <w:ind w:left="0"/>
        <w:rPr>
          <w:rFonts w:ascii="Arial" w:hAnsi="Arial" w:cs="Arial"/>
          <w:b/>
          <w:sz w:val="22"/>
          <w:szCs w:val="22"/>
        </w:rPr>
      </w:pPr>
    </w:p>
    <w:p w:rsidR="009D48D2" w:rsidRPr="00ED6F79" w:rsidRDefault="009D48D2" w:rsidP="006976EC">
      <w:pPr>
        <w:pStyle w:val="ListParagraph"/>
        <w:spacing w:after="200" w:line="276" w:lineRule="auto"/>
        <w:ind w:left="0"/>
        <w:rPr>
          <w:rFonts w:ascii="Arial" w:hAnsi="Arial" w:cs="Arial"/>
          <w:b/>
          <w:sz w:val="22"/>
          <w:szCs w:val="22"/>
        </w:rPr>
      </w:pPr>
      <w:r w:rsidRPr="00ED6F79">
        <w:rPr>
          <w:rFonts w:ascii="Arial" w:hAnsi="Arial" w:cs="Arial"/>
          <w:b/>
          <w:sz w:val="22"/>
          <w:szCs w:val="22"/>
        </w:rPr>
        <w:lastRenderedPageBreak/>
        <w:t>Table 6:  Staff travel costs per head</w:t>
      </w:r>
    </w:p>
    <w:p w:rsidR="008A7910" w:rsidRPr="00792336" w:rsidRDefault="008A7910" w:rsidP="006976EC">
      <w:pPr>
        <w:pStyle w:val="ListParagraph"/>
        <w:spacing w:after="200" w:line="276" w:lineRule="auto"/>
        <w:ind w:left="0"/>
        <w:rPr>
          <w:rFonts w:ascii="Arial" w:hAnsi="Arial" w:cs="Arial"/>
          <w:b/>
          <w:sz w:val="22"/>
          <w:szCs w:val="22"/>
          <w:highlight w:val="yellow"/>
        </w:rPr>
      </w:pPr>
    </w:p>
    <w:p w:rsidR="007C66A5" w:rsidRPr="00792336" w:rsidRDefault="00B91162" w:rsidP="006976EC">
      <w:pPr>
        <w:pStyle w:val="ListParagraph"/>
        <w:spacing w:after="200" w:line="276" w:lineRule="auto"/>
        <w:ind w:left="0"/>
        <w:rPr>
          <w:rFonts w:ascii="Arial" w:hAnsi="Arial" w:cs="Arial"/>
          <w:sz w:val="22"/>
          <w:szCs w:val="22"/>
          <w:highlight w:val="yellow"/>
        </w:rPr>
      </w:pPr>
      <w:r>
        <w:rPr>
          <w:rFonts w:ascii="Arial" w:hAnsi="Arial" w:cs="Arial"/>
          <w:noProof/>
          <w:sz w:val="22"/>
          <w:szCs w:val="22"/>
        </w:rPr>
        <w:drawing>
          <wp:inline distT="0" distB="0" distL="0" distR="0" wp14:anchorId="1BB54CB5" wp14:editId="154C87A9">
            <wp:extent cx="4785995" cy="36944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85995" cy="3694430"/>
                    </a:xfrm>
                    <a:prstGeom prst="rect">
                      <a:avLst/>
                    </a:prstGeom>
                    <a:noFill/>
                  </pic:spPr>
                </pic:pic>
              </a:graphicData>
            </a:graphic>
          </wp:inline>
        </w:drawing>
      </w:r>
    </w:p>
    <w:p w:rsidR="00F22918" w:rsidRDefault="00ED6F79" w:rsidP="00ED6F79">
      <w:pPr>
        <w:spacing w:after="200" w:line="276" w:lineRule="auto"/>
        <w:rPr>
          <w:rFonts w:ascii="Arial" w:hAnsi="Arial" w:cs="Arial"/>
          <w:sz w:val="22"/>
          <w:szCs w:val="22"/>
        </w:rPr>
      </w:pPr>
      <w:r w:rsidRPr="00E904C3">
        <w:rPr>
          <w:rFonts w:ascii="Arial" w:hAnsi="Arial" w:cs="Arial"/>
          <w:sz w:val="22"/>
          <w:szCs w:val="22"/>
        </w:rPr>
        <w:t xml:space="preserve">Table </w:t>
      </w:r>
      <w:r w:rsidR="00BB7F83">
        <w:rPr>
          <w:rFonts w:ascii="Arial" w:hAnsi="Arial" w:cs="Arial"/>
          <w:sz w:val="22"/>
          <w:szCs w:val="22"/>
        </w:rPr>
        <w:t>7</w:t>
      </w:r>
      <w:r w:rsidRPr="00E904C3">
        <w:rPr>
          <w:rFonts w:ascii="Arial" w:hAnsi="Arial" w:cs="Arial"/>
          <w:sz w:val="22"/>
          <w:szCs w:val="22"/>
        </w:rPr>
        <w:t xml:space="preserve"> below sets out the total travel costs position (staff, members inclusi</w:t>
      </w:r>
      <w:r w:rsidR="00732803">
        <w:rPr>
          <w:rFonts w:ascii="Arial" w:hAnsi="Arial" w:cs="Arial"/>
          <w:sz w:val="22"/>
          <w:szCs w:val="22"/>
        </w:rPr>
        <w:t>ve) at the end of June</w:t>
      </w:r>
      <w:r w:rsidRPr="00E904C3">
        <w:rPr>
          <w:rFonts w:ascii="Arial" w:hAnsi="Arial" w:cs="Arial"/>
          <w:sz w:val="22"/>
          <w:szCs w:val="22"/>
        </w:rPr>
        <w:t xml:space="preserve"> </w:t>
      </w:r>
      <w:r w:rsidR="00D17E9C">
        <w:rPr>
          <w:rFonts w:ascii="Arial" w:hAnsi="Arial" w:cs="Arial"/>
          <w:sz w:val="22"/>
          <w:szCs w:val="22"/>
        </w:rPr>
        <w:t>2016.  £19</w:t>
      </w:r>
      <w:r w:rsidR="00732803">
        <w:rPr>
          <w:rFonts w:ascii="Arial" w:hAnsi="Arial" w:cs="Arial"/>
          <w:sz w:val="22"/>
          <w:szCs w:val="22"/>
        </w:rPr>
        <w:t>1</w:t>
      </w:r>
      <w:r w:rsidR="00E904C3">
        <w:rPr>
          <w:rFonts w:ascii="Arial" w:hAnsi="Arial" w:cs="Arial"/>
          <w:sz w:val="22"/>
          <w:szCs w:val="22"/>
        </w:rPr>
        <w:t>k has b</w:t>
      </w:r>
      <w:r w:rsidR="00732803">
        <w:rPr>
          <w:rFonts w:ascii="Arial" w:hAnsi="Arial" w:cs="Arial"/>
          <w:sz w:val="22"/>
          <w:szCs w:val="22"/>
        </w:rPr>
        <w:t>een</w:t>
      </w:r>
      <w:r w:rsidR="00D17E9C">
        <w:rPr>
          <w:rFonts w:ascii="Arial" w:hAnsi="Arial" w:cs="Arial"/>
          <w:sz w:val="22"/>
          <w:szCs w:val="22"/>
        </w:rPr>
        <w:t xml:space="preserve"> spent year to date with a £3.5</w:t>
      </w:r>
      <w:r w:rsidR="00E904C3">
        <w:rPr>
          <w:rFonts w:ascii="Arial" w:hAnsi="Arial" w:cs="Arial"/>
          <w:sz w:val="22"/>
          <w:szCs w:val="22"/>
        </w:rPr>
        <w:t>k over spend against the plan</w:t>
      </w:r>
      <w:r w:rsidR="00B91162">
        <w:rPr>
          <w:rFonts w:ascii="Arial" w:hAnsi="Arial" w:cs="Arial"/>
          <w:sz w:val="22"/>
          <w:szCs w:val="22"/>
        </w:rPr>
        <w:t xml:space="preserve"> (£10k overspend in June)</w:t>
      </w:r>
      <w:r w:rsidR="00E904C3">
        <w:rPr>
          <w:rFonts w:ascii="Arial" w:hAnsi="Arial" w:cs="Arial"/>
          <w:sz w:val="22"/>
          <w:szCs w:val="22"/>
        </w:rPr>
        <w:t xml:space="preserve">.  </w:t>
      </w:r>
      <w:r w:rsidRPr="00E904C3">
        <w:rPr>
          <w:rFonts w:ascii="Arial" w:hAnsi="Arial" w:cs="Arial"/>
          <w:sz w:val="22"/>
          <w:szCs w:val="22"/>
        </w:rPr>
        <w:t xml:space="preserve">It should be noted that one explanation for the over spend is due to the </w:t>
      </w:r>
      <w:r w:rsidR="00E904C3">
        <w:rPr>
          <w:rFonts w:ascii="Arial" w:hAnsi="Arial" w:cs="Arial"/>
          <w:sz w:val="22"/>
          <w:szCs w:val="22"/>
        </w:rPr>
        <w:t>all staff day in May</w:t>
      </w:r>
      <w:r w:rsidR="0006597A">
        <w:rPr>
          <w:rFonts w:ascii="Arial" w:hAnsi="Arial" w:cs="Arial"/>
          <w:sz w:val="22"/>
          <w:szCs w:val="22"/>
        </w:rPr>
        <w:t xml:space="preserve"> alongside the replacement Video Conference (VC) service, which resulted in the VC not being available for a period of time</w:t>
      </w:r>
      <w:r w:rsidR="00E904C3">
        <w:rPr>
          <w:rFonts w:ascii="Arial" w:hAnsi="Arial" w:cs="Arial"/>
          <w:sz w:val="22"/>
          <w:szCs w:val="22"/>
        </w:rPr>
        <w:t xml:space="preserve">. </w:t>
      </w:r>
      <w:r w:rsidR="00F22918">
        <w:rPr>
          <w:rFonts w:ascii="Arial" w:hAnsi="Arial" w:cs="Arial"/>
          <w:sz w:val="22"/>
          <w:szCs w:val="22"/>
        </w:rPr>
        <w:t xml:space="preserve">  </w:t>
      </w:r>
    </w:p>
    <w:p w:rsidR="00ED6F79" w:rsidRPr="00E904C3" w:rsidRDefault="00ED6F79" w:rsidP="00ED6F79">
      <w:pPr>
        <w:spacing w:after="200" w:line="276" w:lineRule="auto"/>
        <w:rPr>
          <w:rFonts w:ascii="Arial" w:hAnsi="Arial" w:cs="Arial"/>
          <w:b/>
          <w:sz w:val="22"/>
          <w:szCs w:val="22"/>
        </w:rPr>
      </w:pPr>
      <w:r w:rsidRPr="00E904C3">
        <w:rPr>
          <w:rFonts w:ascii="Arial" w:hAnsi="Arial" w:cs="Arial"/>
          <w:b/>
          <w:sz w:val="22"/>
          <w:szCs w:val="22"/>
        </w:rPr>
        <w:t xml:space="preserve">Table </w:t>
      </w:r>
      <w:r w:rsidR="00B445AE">
        <w:rPr>
          <w:rFonts w:ascii="Arial" w:hAnsi="Arial" w:cs="Arial"/>
          <w:b/>
          <w:sz w:val="22"/>
          <w:szCs w:val="22"/>
        </w:rPr>
        <w:t>7</w:t>
      </w:r>
      <w:r w:rsidRPr="00E904C3">
        <w:rPr>
          <w:rFonts w:ascii="Arial" w:hAnsi="Arial" w:cs="Arial"/>
          <w:b/>
          <w:sz w:val="22"/>
          <w:szCs w:val="22"/>
        </w:rPr>
        <w:t>:  Travel costs and budget across the HRA by Directorate</w:t>
      </w:r>
    </w:p>
    <w:p w:rsidR="00CB67F3" w:rsidRDefault="00CB67F3" w:rsidP="006976EC">
      <w:pPr>
        <w:pStyle w:val="ListParagraph"/>
        <w:spacing w:after="200" w:line="276" w:lineRule="auto"/>
        <w:ind w:left="0"/>
        <w:rPr>
          <w:rFonts w:ascii="Arial" w:hAnsi="Arial" w:cs="Arial"/>
          <w:b/>
          <w:sz w:val="22"/>
          <w:szCs w:val="22"/>
        </w:rPr>
      </w:pPr>
      <w:r w:rsidRPr="00CB67F3">
        <w:rPr>
          <w:noProof/>
        </w:rPr>
        <w:drawing>
          <wp:inline distT="0" distB="0" distL="0" distR="0" wp14:anchorId="33FD11F2" wp14:editId="0EA6498F">
            <wp:extent cx="5760085" cy="278530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85" cy="2785304"/>
                    </a:xfrm>
                    <a:prstGeom prst="rect">
                      <a:avLst/>
                    </a:prstGeom>
                    <a:noFill/>
                    <a:ln>
                      <a:noFill/>
                    </a:ln>
                  </pic:spPr>
                </pic:pic>
              </a:graphicData>
            </a:graphic>
          </wp:inline>
        </w:drawing>
      </w:r>
    </w:p>
    <w:p w:rsidR="00CB67F3" w:rsidRDefault="00CB67F3" w:rsidP="006976EC">
      <w:pPr>
        <w:pStyle w:val="ListParagraph"/>
        <w:spacing w:after="200" w:line="276" w:lineRule="auto"/>
        <w:ind w:left="0"/>
        <w:rPr>
          <w:rFonts w:ascii="Arial" w:hAnsi="Arial" w:cs="Arial"/>
          <w:b/>
          <w:sz w:val="22"/>
          <w:szCs w:val="22"/>
        </w:rPr>
      </w:pPr>
    </w:p>
    <w:p w:rsidR="00F22918" w:rsidRDefault="00F22918" w:rsidP="006976EC">
      <w:pPr>
        <w:pStyle w:val="ListParagraph"/>
        <w:spacing w:after="200" w:line="276" w:lineRule="auto"/>
        <w:ind w:left="0"/>
        <w:rPr>
          <w:rFonts w:ascii="Arial" w:hAnsi="Arial" w:cs="Arial"/>
          <w:sz w:val="22"/>
          <w:szCs w:val="22"/>
        </w:rPr>
      </w:pPr>
      <w:r w:rsidRPr="00F22918">
        <w:rPr>
          <w:rFonts w:ascii="Arial" w:hAnsi="Arial" w:cs="Arial"/>
          <w:sz w:val="22"/>
          <w:szCs w:val="22"/>
        </w:rPr>
        <w:t xml:space="preserve">Table 8 highlights the fact that </w:t>
      </w:r>
      <w:r>
        <w:rPr>
          <w:rFonts w:ascii="Arial" w:hAnsi="Arial" w:cs="Arial"/>
          <w:sz w:val="22"/>
          <w:szCs w:val="22"/>
        </w:rPr>
        <w:t xml:space="preserve">although overall year to date </w:t>
      </w:r>
      <w:r w:rsidRPr="00F22918">
        <w:rPr>
          <w:rFonts w:ascii="Arial" w:hAnsi="Arial" w:cs="Arial"/>
          <w:sz w:val="22"/>
          <w:szCs w:val="22"/>
        </w:rPr>
        <w:t xml:space="preserve">travel costs are </w:t>
      </w:r>
      <w:r>
        <w:rPr>
          <w:rFonts w:ascii="Arial" w:hAnsi="Arial" w:cs="Arial"/>
          <w:sz w:val="22"/>
          <w:szCs w:val="22"/>
        </w:rPr>
        <w:t xml:space="preserve">slightly higher than at this time in 2015/16 due to the all staff day in May 2016 (£185k compared to £191k),  they are showing a steeper reduction in the monthly run rate, implying that savings are being made.  Provided all travel decisions are carefully considered, the savings in this area can be delivered.  </w:t>
      </w:r>
    </w:p>
    <w:p w:rsidR="00F22918" w:rsidRDefault="00F22918" w:rsidP="006976EC">
      <w:pPr>
        <w:pStyle w:val="ListParagraph"/>
        <w:spacing w:after="200" w:line="276" w:lineRule="auto"/>
        <w:ind w:left="0"/>
        <w:rPr>
          <w:rFonts w:ascii="Arial" w:hAnsi="Arial" w:cs="Arial"/>
          <w:sz w:val="22"/>
          <w:szCs w:val="22"/>
        </w:rPr>
      </w:pPr>
      <w:r w:rsidRPr="00F22918">
        <w:rPr>
          <w:rFonts w:ascii="Arial" w:hAnsi="Arial" w:cs="Arial"/>
          <w:sz w:val="22"/>
          <w:szCs w:val="22"/>
        </w:rPr>
        <w:lastRenderedPageBreak/>
        <w:t xml:space="preserve">The treatment of travel costs associated with training continues to be investigated and a solution is expected to be implemented during September.  The arrangements for staff training continue to be reviewed to see if any savings can be realised from the choice of venue and methods of training provision.  The estates strategy work is also encouraging greater use of video conferencing or “Lync” </w:t>
      </w:r>
      <w:proofErr w:type="gramStart"/>
      <w:r w:rsidRPr="00F22918">
        <w:rPr>
          <w:rFonts w:ascii="Arial" w:hAnsi="Arial" w:cs="Arial"/>
          <w:sz w:val="22"/>
          <w:szCs w:val="22"/>
        </w:rPr>
        <w:t>meetings,</w:t>
      </w:r>
      <w:proofErr w:type="gramEnd"/>
      <w:r w:rsidRPr="00F22918">
        <w:rPr>
          <w:rFonts w:ascii="Arial" w:hAnsi="Arial" w:cs="Arial"/>
          <w:sz w:val="22"/>
          <w:szCs w:val="22"/>
        </w:rPr>
        <w:t xml:space="preserve"> however this aspect is strongly dependent on the reliability and capacity of the IT service.  </w:t>
      </w:r>
    </w:p>
    <w:p w:rsidR="00F22918" w:rsidRPr="00F22918" w:rsidRDefault="00F22918" w:rsidP="006976EC">
      <w:pPr>
        <w:pStyle w:val="ListParagraph"/>
        <w:spacing w:after="200" w:line="276" w:lineRule="auto"/>
        <w:ind w:left="0"/>
        <w:rPr>
          <w:rFonts w:ascii="Arial" w:hAnsi="Arial" w:cs="Arial"/>
          <w:sz w:val="22"/>
          <w:szCs w:val="22"/>
        </w:rPr>
      </w:pPr>
    </w:p>
    <w:p w:rsidR="00F22918" w:rsidRDefault="00F22918" w:rsidP="006976EC">
      <w:pPr>
        <w:pStyle w:val="ListParagraph"/>
        <w:spacing w:after="200" w:line="276" w:lineRule="auto"/>
        <w:ind w:left="0"/>
        <w:rPr>
          <w:rFonts w:ascii="Arial" w:hAnsi="Arial" w:cs="Arial"/>
          <w:b/>
          <w:sz w:val="22"/>
          <w:szCs w:val="22"/>
        </w:rPr>
      </w:pPr>
      <w:r>
        <w:rPr>
          <w:rFonts w:ascii="Arial" w:hAnsi="Arial" w:cs="Arial"/>
          <w:b/>
          <w:sz w:val="22"/>
          <w:szCs w:val="22"/>
        </w:rPr>
        <w:t>Table 8:  Year on year travel costs</w:t>
      </w:r>
    </w:p>
    <w:p w:rsidR="00F22918" w:rsidRDefault="00F22918" w:rsidP="006976EC">
      <w:pPr>
        <w:pStyle w:val="ListParagraph"/>
        <w:spacing w:after="200" w:line="276" w:lineRule="auto"/>
        <w:ind w:left="0"/>
        <w:rPr>
          <w:rFonts w:ascii="Arial" w:hAnsi="Arial" w:cs="Arial"/>
          <w:b/>
          <w:sz w:val="22"/>
          <w:szCs w:val="22"/>
        </w:rPr>
      </w:pPr>
    </w:p>
    <w:p w:rsidR="00F22918" w:rsidRDefault="00F22918" w:rsidP="006976EC">
      <w:pPr>
        <w:pStyle w:val="ListParagraph"/>
        <w:spacing w:after="200" w:line="276" w:lineRule="auto"/>
        <w:ind w:left="0"/>
        <w:rPr>
          <w:rFonts w:ascii="Arial" w:hAnsi="Arial" w:cs="Arial"/>
          <w:b/>
          <w:sz w:val="22"/>
          <w:szCs w:val="22"/>
        </w:rPr>
      </w:pPr>
      <w:r>
        <w:rPr>
          <w:rFonts w:ascii="Arial" w:hAnsi="Arial" w:cs="Arial"/>
          <w:b/>
          <w:noProof/>
          <w:sz w:val="22"/>
          <w:szCs w:val="22"/>
        </w:rPr>
        <w:drawing>
          <wp:inline distT="0" distB="0" distL="0" distR="0" wp14:anchorId="1C60A1DB" wp14:editId="422E1D29">
            <wp:extent cx="4584700" cy="3481070"/>
            <wp:effectExtent l="0" t="0" r="635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3481070"/>
                    </a:xfrm>
                    <a:prstGeom prst="rect">
                      <a:avLst/>
                    </a:prstGeom>
                    <a:noFill/>
                  </pic:spPr>
                </pic:pic>
              </a:graphicData>
            </a:graphic>
          </wp:inline>
        </w:drawing>
      </w:r>
    </w:p>
    <w:p w:rsidR="00F22918" w:rsidRDefault="00F22918" w:rsidP="006976EC">
      <w:pPr>
        <w:pStyle w:val="ListParagraph"/>
        <w:spacing w:after="200" w:line="276" w:lineRule="auto"/>
        <w:ind w:left="0"/>
        <w:rPr>
          <w:rFonts w:ascii="Arial" w:hAnsi="Arial" w:cs="Arial"/>
          <w:b/>
          <w:sz w:val="22"/>
          <w:szCs w:val="22"/>
        </w:rPr>
      </w:pPr>
    </w:p>
    <w:p w:rsidR="00F22918" w:rsidRDefault="00F22918" w:rsidP="006976EC">
      <w:pPr>
        <w:pStyle w:val="ListParagraph"/>
        <w:spacing w:after="200" w:line="276" w:lineRule="auto"/>
        <w:ind w:left="0"/>
        <w:rPr>
          <w:rFonts w:ascii="Arial" w:hAnsi="Arial" w:cs="Arial"/>
          <w:b/>
          <w:sz w:val="22"/>
          <w:szCs w:val="22"/>
        </w:rPr>
      </w:pPr>
    </w:p>
    <w:p w:rsidR="006976EC" w:rsidRPr="00C51E87" w:rsidRDefault="000C0ACC" w:rsidP="006976EC">
      <w:pPr>
        <w:pStyle w:val="ListParagraph"/>
        <w:spacing w:after="200" w:line="276" w:lineRule="auto"/>
        <w:ind w:left="0"/>
        <w:rPr>
          <w:rFonts w:ascii="Arial" w:hAnsi="Arial" w:cs="Arial"/>
          <w:b/>
          <w:sz w:val="22"/>
          <w:szCs w:val="22"/>
        </w:rPr>
      </w:pPr>
      <w:r w:rsidRPr="00C51E87">
        <w:rPr>
          <w:rFonts w:ascii="Arial" w:hAnsi="Arial" w:cs="Arial"/>
          <w:b/>
          <w:sz w:val="22"/>
          <w:szCs w:val="22"/>
        </w:rPr>
        <w:t>7</w:t>
      </w:r>
      <w:r w:rsidR="006976EC" w:rsidRPr="00C51E87">
        <w:rPr>
          <w:rFonts w:ascii="Arial" w:hAnsi="Arial" w:cs="Arial"/>
          <w:b/>
          <w:sz w:val="22"/>
          <w:szCs w:val="22"/>
        </w:rPr>
        <w:t>. Staff numbers</w:t>
      </w:r>
    </w:p>
    <w:p w:rsidR="00C51E87" w:rsidRDefault="00C51E87" w:rsidP="006976EC">
      <w:pPr>
        <w:pStyle w:val="ListParagraph"/>
        <w:spacing w:after="200" w:line="276" w:lineRule="auto"/>
        <w:ind w:left="0"/>
        <w:rPr>
          <w:rFonts w:ascii="Arial" w:hAnsi="Arial" w:cs="Arial"/>
          <w:sz w:val="22"/>
          <w:szCs w:val="22"/>
        </w:rPr>
      </w:pPr>
    </w:p>
    <w:p w:rsidR="009E5B29" w:rsidRDefault="001A2303" w:rsidP="006976EC">
      <w:pPr>
        <w:pStyle w:val="ListParagraph"/>
        <w:spacing w:after="200" w:line="276" w:lineRule="auto"/>
        <w:ind w:left="0"/>
        <w:rPr>
          <w:rFonts w:ascii="Arial" w:hAnsi="Arial" w:cs="Arial"/>
          <w:sz w:val="22"/>
          <w:szCs w:val="22"/>
        </w:rPr>
      </w:pPr>
      <w:r w:rsidRPr="00C51E87">
        <w:rPr>
          <w:rFonts w:ascii="Arial" w:hAnsi="Arial" w:cs="Arial"/>
          <w:sz w:val="22"/>
          <w:szCs w:val="22"/>
        </w:rPr>
        <w:t>P</w:t>
      </w:r>
      <w:r w:rsidR="00E10273" w:rsidRPr="00C51E87">
        <w:rPr>
          <w:rFonts w:ascii="Arial" w:hAnsi="Arial" w:cs="Arial"/>
          <w:sz w:val="22"/>
          <w:szCs w:val="22"/>
        </w:rPr>
        <w:t>ay repre</w:t>
      </w:r>
      <w:r w:rsidR="00A015C8" w:rsidRPr="00C51E87">
        <w:rPr>
          <w:rFonts w:ascii="Arial" w:hAnsi="Arial" w:cs="Arial"/>
          <w:sz w:val="22"/>
          <w:szCs w:val="22"/>
        </w:rPr>
        <w:t>sents 6</w:t>
      </w:r>
      <w:r w:rsidR="00D17E9C">
        <w:rPr>
          <w:rFonts w:ascii="Arial" w:hAnsi="Arial" w:cs="Arial"/>
          <w:sz w:val="22"/>
          <w:szCs w:val="22"/>
        </w:rPr>
        <w:t>8</w:t>
      </w:r>
      <w:r w:rsidR="006D14D3" w:rsidRPr="00C51E87">
        <w:rPr>
          <w:rFonts w:ascii="Arial" w:hAnsi="Arial" w:cs="Arial"/>
          <w:sz w:val="22"/>
          <w:szCs w:val="22"/>
        </w:rPr>
        <w:t xml:space="preserve">% of the costs </w:t>
      </w:r>
      <w:proofErr w:type="gramStart"/>
      <w:r w:rsidR="006D14D3" w:rsidRPr="00C51E87">
        <w:rPr>
          <w:rFonts w:ascii="Arial" w:hAnsi="Arial" w:cs="Arial"/>
          <w:sz w:val="22"/>
          <w:szCs w:val="22"/>
        </w:rPr>
        <w:t xml:space="preserve">incurred </w:t>
      </w:r>
      <w:r w:rsidR="007C66A5" w:rsidRPr="00C51E87">
        <w:rPr>
          <w:rFonts w:ascii="Arial" w:hAnsi="Arial" w:cs="Arial"/>
          <w:sz w:val="22"/>
          <w:szCs w:val="22"/>
        </w:rPr>
        <w:t xml:space="preserve"> </w:t>
      </w:r>
      <w:r w:rsidR="00E31CA4" w:rsidRPr="00C51E87">
        <w:rPr>
          <w:rFonts w:ascii="Arial" w:hAnsi="Arial" w:cs="Arial"/>
          <w:sz w:val="22"/>
          <w:szCs w:val="22"/>
        </w:rPr>
        <w:t>in</w:t>
      </w:r>
      <w:proofErr w:type="gramEnd"/>
      <w:r w:rsidR="00E31CA4" w:rsidRPr="00C51E87">
        <w:rPr>
          <w:rFonts w:ascii="Arial" w:hAnsi="Arial" w:cs="Arial"/>
          <w:sz w:val="22"/>
          <w:szCs w:val="22"/>
        </w:rPr>
        <w:t xml:space="preserve"> year</w:t>
      </w:r>
      <w:r w:rsidR="007C66A5" w:rsidRPr="00C51E87">
        <w:rPr>
          <w:rFonts w:ascii="Arial" w:hAnsi="Arial" w:cs="Arial"/>
          <w:sz w:val="22"/>
          <w:szCs w:val="22"/>
        </w:rPr>
        <w:t>.  T</w:t>
      </w:r>
      <w:r w:rsidR="006D14D3" w:rsidRPr="00C51E87">
        <w:rPr>
          <w:rFonts w:ascii="Arial" w:hAnsi="Arial" w:cs="Arial"/>
          <w:sz w:val="22"/>
          <w:szCs w:val="22"/>
        </w:rPr>
        <w:t xml:space="preserve">he profile of our staff headcount is presented </w:t>
      </w:r>
      <w:r w:rsidR="00C2265B" w:rsidRPr="00C51E87">
        <w:rPr>
          <w:rFonts w:ascii="Arial" w:hAnsi="Arial" w:cs="Arial"/>
          <w:sz w:val="22"/>
          <w:szCs w:val="22"/>
        </w:rPr>
        <w:t xml:space="preserve">in Table </w:t>
      </w:r>
      <w:r w:rsidR="00B445AE">
        <w:rPr>
          <w:rFonts w:ascii="Arial" w:hAnsi="Arial" w:cs="Arial"/>
          <w:sz w:val="22"/>
          <w:szCs w:val="22"/>
        </w:rPr>
        <w:t>8</w:t>
      </w:r>
      <w:r w:rsidR="00C2265B" w:rsidRPr="00C51E87">
        <w:rPr>
          <w:rFonts w:ascii="Arial" w:hAnsi="Arial" w:cs="Arial"/>
          <w:sz w:val="22"/>
          <w:szCs w:val="22"/>
        </w:rPr>
        <w:t xml:space="preserve"> </w:t>
      </w:r>
      <w:r w:rsidR="006D14D3" w:rsidRPr="00C51E87">
        <w:rPr>
          <w:rFonts w:ascii="Arial" w:hAnsi="Arial" w:cs="Arial"/>
          <w:sz w:val="22"/>
          <w:szCs w:val="22"/>
        </w:rPr>
        <w:t>below for information</w:t>
      </w:r>
      <w:r w:rsidR="004717CC" w:rsidRPr="00C51E87">
        <w:rPr>
          <w:rFonts w:ascii="Arial" w:hAnsi="Arial" w:cs="Arial"/>
          <w:sz w:val="22"/>
          <w:szCs w:val="22"/>
        </w:rPr>
        <w:t xml:space="preserve">.  </w:t>
      </w:r>
    </w:p>
    <w:p w:rsidR="00C51E87" w:rsidRDefault="00C51E87" w:rsidP="006976EC">
      <w:pPr>
        <w:pStyle w:val="ListParagraph"/>
        <w:spacing w:after="200" w:line="276" w:lineRule="auto"/>
        <w:ind w:left="0"/>
        <w:rPr>
          <w:rFonts w:ascii="Arial" w:hAnsi="Arial" w:cs="Arial"/>
          <w:sz w:val="22"/>
          <w:szCs w:val="22"/>
        </w:rPr>
      </w:pPr>
    </w:p>
    <w:p w:rsidR="00C51E87" w:rsidRPr="00C51E87" w:rsidRDefault="00C51E87" w:rsidP="006976EC">
      <w:pPr>
        <w:pStyle w:val="ListParagraph"/>
        <w:spacing w:after="200" w:line="276" w:lineRule="auto"/>
        <w:ind w:left="0"/>
        <w:rPr>
          <w:rFonts w:ascii="Arial" w:hAnsi="Arial" w:cs="Arial"/>
          <w:b/>
          <w:sz w:val="22"/>
          <w:szCs w:val="22"/>
        </w:rPr>
      </w:pPr>
      <w:r w:rsidRPr="00C51E87">
        <w:rPr>
          <w:rFonts w:ascii="Arial" w:hAnsi="Arial" w:cs="Arial"/>
          <w:b/>
          <w:sz w:val="22"/>
          <w:szCs w:val="22"/>
        </w:rPr>
        <w:t xml:space="preserve">Table </w:t>
      </w:r>
      <w:r w:rsidR="00B445AE">
        <w:rPr>
          <w:rFonts w:ascii="Arial" w:hAnsi="Arial" w:cs="Arial"/>
          <w:b/>
          <w:sz w:val="22"/>
          <w:szCs w:val="22"/>
        </w:rPr>
        <w:t>8</w:t>
      </w:r>
      <w:r w:rsidRPr="00C51E87">
        <w:rPr>
          <w:rFonts w:ascii="Arial" w:hAnsi="Arial" w:cs="Arial"/>
          <w:b/>
          <w:sz w:val="22"/>
          <w:szCs w:val="22"/>
        </w:rPr>
        <w:t xml:space="preserve">:  </w:t>
      </w:r>
      <w:r>
        <w:rPr>
          <w:rFonts w:ascii="Arial" w:hAnsi="Arial" w:cs="Arial"/>
          <w:b/>
          <w:sz w:val="22"/>
          <w:szCs w:val="22"/>
        </w:rPr>
        <w:t>Chart to show actual s</w:t>
      </w:r>
      <w:r w:rsidRPr="00C51E87">
        <w:rPr>
          <w:rFonts w:ascii="Arial" w:hAnsi="Arial" w:cs="Arial"/>
          <w:b/>
          <w:sz w:val="22"/>
          <w:szCs w:val="22"/>
        </w:rPr>
        <w:t xml:space="preserve">taffing </w:t>
      </w:r>
      <w:r>
        <w:rPr>
          <w:rFonts w:ascii="Arial" w:hAnsi="Arial" w:cs="Arial"/>
          <w:b/>
          <w:sz w:val="22"/>
          <w:szCs w:val="22"/>
        </w:rPr>
        <w:t>h</w:t>
      </w:r>
      <w:r w:rsidRPr="00C51E87">
        <w:rPr>
          <w:rFonts w:ascii="Arial" w:hAnsi="Arial" w:cs="Arial"/>
          <w:b/>
          <w:sz w:val="22"/>
          <w:szCs w:val="22"/>
        </w:rPr>
        <w:t>eadcount</w:t>
      </w:r>
      <w:r>
        <w:rPr>
          <w:rFonts w:ascii="Arial" w:hAnsi="Arial" w:cs="Arial"/>
          <w:b/>
          <w:sz w:val="22"/>
          <w:szCs w:val="22"/>
        </w:rPr>
        <w:t xml:space="preserve"> so far in 2016</w:t>
      </w:r>
    </w:p>
    <w:p w:rsidR="00C51E87" w:rsidRDefault="00C51E87" w:rsidP="006976EC">
      <w:pPr>
        <w:pStyle w:val="ListParagraph"/>
        <w:spacing w:after="200" w:line="276" w:lineRule="auto"/>
        <w:ind w:left="0"/>
        <w:rPr>
          <w:rFonts w:ascii="Arial" w:hAnsi="Arial" w:cs="Arial"/>
          <w:sz w:val="22"/>
          <w:szCs w:val="22"/>
        </w:rPr>
      </w:pPr>
    </w:p>
    <w:p w:rsidR="00C51E87" w:rsidRPr="00C51E87" w:rsidRDefault="00D17E9C" w:rsidP="006976EC">
      <w:pPr>
        <w:pStyle w:val="ListParagraph"/>
        <w:spacing w:after="200" w:line="276" w:lineRule="auto"/>
        <w:ind w:left="0"/>
        <w:rPr>
          <w:rFonts w:ascii="Arial" w:hAnsi="Arial" w:cs="Arial"/>
          <w:sz w:val="22"/>
          <w:szCs w:val="22"/>
        </w:rPr>
      </w:pPr>
      <w:r>
        <w:rPr>
          <w:rFonts w:ascii="Arial" w:hAnsi="Arial" w:cs="Arial"/>
          <w:noProof/>
          <w:sz w:val="22"/>
          <w:szCs w:val="22"/>
        </w:rPr>
        <w:drawing>
          <wp:inline distT="0" distB="0" distL="0" distR="0" wp14:anchorId="7E21761F" wp14:editId="64BD875C">
            <wp:extent cx="4584700" cy="2395855"/>
            <wp:effectExtent l="0" t="0" r="635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4700" cy="2395855"/>
                    </a:xfrm>
                    <a:prstGeom prst="rect">
                      <a:avLst/>
                    </a:prstGeom>
                    <a:noFill/>
                  </pic:spPr>
                </pic:pic>
              </a:graphicData>
            </a:graphic>
          </wp:inline>
        </w:drawing>
      </w:r>
    </w:p>
    <w:p w:rsidR="00C51E87" w:rsidRDefault="00C51E87" w:rsidP="006976EC">
      <w:pPr>
        <w:pStyle w:val="ListParagraph"/>
        <w:spacing w:after="200" w:line="276" w:lineRule="auto"/>
        <w:ind w:left="0"/>
        <w:rPr>
          <w:rFonts w:ascii="Arial" w:hAnsi="Arial" w:cs="Arial"/>
          <w:sz w:val="22"/>
          <w:szCs w:val="22"/>
        </w:rPr>
      </w:pPr>
    </w:p>
    <w:p w:rsidR="0062568C" w:rsidRPr="00792336" w:rsidRDefault="00C51E87" w:rsidP="006976EC">
      <w:pPr>
        <w:pStyle w:val="ListParagraph"/>
        <w:spacing w:after="200" w:line="276" w:lineRule="auto"/>
        <w:ind w:left="0"/>
        <w:rPr>
          <w:rFonts w:ascii="Arial" w:hAnsi="Arial" w:cs="Arial"/>
          <w:sz w:val="22"/>
          <w:szCs w:val="22"/>
          <w:highlight w:val="yellow"/>
        </w:rPr>
      </w:pPr>
      <w:r>
        <w:rPr>
          <w:rFonts w:ascii="Arial" w:hAnsi="Arial" w:cs="Arial"/>
          <w:sz w:val="22"/>
          <w:szCs w:val="22"/>
        </w:rPr>
        <w:lastRenderedPageBreak/>
        <w:t>The overall headcount has reduced as expected.  Whilst p</w:t>
      </w:r>
      <w:r w:rsidR="009E5B29" w:rsidRPr="00C51E87">
        <w:rPr>
          <w:rFonts w:ascii="Arial" w:hAnsi="Arial" w:cs="Arial"/>
          <w:sz w:val="22"/>
          <w:szCs w:val="22"/>
        </w:rPr>
        <w:t>ermanent</w:t>
      </w:r>
      <w:r>
        <w:rPr>
          <w:rFonts w:ascii="Arial" w:hAnsi="Arial" w:cs="Arial"/>
          <w:sz w:val="22"/>
          <w:szCs w:val="22"/>
        </w:rPr>
        <w:t xml:space="preserve">, </w:t>
      </w:r>
      <w:r w:rsidR="009E5B29" w:rsidRPr="00C51E87">
        <w:rPr>
          <w:rFonts w:ascii="Arial" w:hAnsi="Arial" w:cs="Arial"/>
          <w:sz w:val="22"/>
          <w:szCs w:val="22"/>
        </w:rPr>
        <w:t xml:space="preserve">fixed term headcount </w:t>
      </w:r>
      <w:r>
        <w:rPr>
          <w:rFonts w:ascii="Arial" w:hAnsi="Arial" w:cs="Arial"/>
          <w:sz w:val="22"/>
          <w:szCs w:val="22"/>
        </w:rPr>
        <w:t xml:space="preserve">has remained broadly steady, secondments have reduced as project posts came to the end of their expected terms.  </w:t>
      </w:r>
    </w:p>
    <w:p w:rsidR="00136DAB" w:rsidRDefault="000C0ACC" w:rsidP="00136DAB">
      <w:pPr>
        <w:spacing w:line="276" w:lineRule="auto"/>
        <w:rPr>
          <w:rFonts w:ascii="Arial" w:hAnsi="Arial" w:cs="Arial"/>
          <w:b/>
          <w:sz w:val="22"/>
          <w:szCs w:val="22"/>
        </w:rPr>
      </w:pPr>
      <w:r>
        <w:rPr>
          <w:rFonts w:ascii="Arial" w:hAnsi="Arial" w:cs="Arial"/>
          <w:b/>
          <w:sz w:val="22"/>
          <w:szCs w:val="22"/>
        </w:rPr>
        <w:t>8</w:t>
      </w:r>
      <w:r w:rsidR="00B75EB4">
        <w:rPr>
          <w:rFonts w:ascii="Arial" w:hAnsi="Arial" w:cs="Arial"/>
          <w:b/>
          <w:sz w:val="22"/>
          <w:szCs w:val="22"/>
        </w:rPr>
        <w:t>. Month end faster close</w:t>
      </w:r>
    </w:p>
    <w:p w:rsidR="00F77351" w:rsidRDefault="00136DAB" w:rsidP="00136DAB">
      <w:pPr>
        <w:spacing w:line="276" w:lineRule="auto"/>
        <w:rPr>
          <w:rFonts w:ascii="Arial" w:hAnsi="Arial" w:cs="Arial"/>
          <w:sz w:val="22"/>
          <w:szCs w:val="22"/>
        </w:rPr>
      </w:pPr>
      <w:r>
        <w:rPr>
          <w:rFonts w:ascii="Arial" w:hAnsi="Arial" w:cs="Arial"/>
          <w:sz w:val="22"/>
          <w:szCs w:val="22"/>
        </w:rPr>
        <w:t xml:space="preserve">The achievement of key deadlines </w:t>
      </w:r>
      <w:r w:rsidR="00D773F0">
        <w:rPr>
          <w:rFonts w:ascii="Arial" w:hAnsi="Arial" w:cs="Arial"/>
          <w:sz w:val="22"/>
          <w:szCs w:val="22"/>
        </w:rPr>
        <w:t>continues to be maintained</w:t>
      </w:r>
      <w:r>
        <w:rPr>
          <w:rFonts w:ascii="Arial" w:hAnsi="Arial" w:cs="Arial"/>
          <w:sz w:val="22"/>
          <w:szCs w:val="22"/>
        </w:rPr>
        <w:t>.</w:t>
      </w:r>
      <w:r w:rsidR="00F00ED6">
        <w:rPr>
          <w:rFonts w:ascii="Arial" w:hAnsi="Arial" w:cs="Arial"/>
          <w:sz w:val="22"/>
          <w:szCs w:val="22"/>
        </w:rPr>
        <w:t xml:space="preserve">  Finance </w:t>
      </w:r>
      <w:r w:rsidR="00792336">
        <w:rPr>
          <w:rFonts w:ascii="Arial" w:hAnsi="Arial" w:cs="Arial"/>
          <w:sz w:val="22"/>
          <w:szCs w:val="22"/>
        </w:rPr>
        <w:t>aim to complete the month end within 4 working days of the end o</w:t>
      </w:r>
      <w:r w:rsidR="00301D79">
        <w:rPr>
          <w:rFonts w:ascii="Arial" w:hAnsi="Arial" w:cs="Arial"/>
          <w:sz w:val="22"/>
          <w:szCs w:val="22"/>
        </w:rPr>
        <w:t>f</w:t>
      </w:r>
      <w:r w:rsidR="008235F9">
        <w:rPr>
          <w:rFonts w:ascii="Arial" w:hAnsi="Arial" w:cs="Arial"/>
          <w:sz w:val="22"/>
          <w:szCs w:val="22"/>
        </w:rPr>
        <w:t xml:space="preserve"> the month in question.  In July</w:t>
      </w:r>
      <w:r w:rsidR="00301D79">
        <w:rPr>
          <w:rFonts w:ascii="Arial" w:hAnsi="Arial" w:cs="Arial"/>
          <w:sz w:val="22"/>
          <w:szCs w:val="22"/>
        </w:rPr>
        <w:t xml:space="preserve"> month end close took 4</w:t>
      </w:r>
      <w:r w:rsidR="00792336">
        <w:rPr>
          <w:rFonts w:ascii="Arial" w:hAnsi="Arial" w:cs="Arial"/>
          <w:sz w:val="22"/>
          <w:szCs w:val="22"/>
        </w:rPr>
        <w:t xml:space="preserve"> working days</w:t>
      </w:r>
      <w:r w:rsidR="00301D79">
        <w:rPr>
          <w:rFonts w:ascii="Arial" w:hAnsi="Arial" w:cs="Arial"/>
          <w:sz w:val="22"/>
          <w:szCs w:val="22"/>
        </w:rPr>
        <w:t>.</w:t>
      </w:r>
      <w:r w:rsidR="00792336">
        <w:rPr>
          <w:rFonts w:ascii="Arial" w:hAnsi="Arial" w:cs="Arial"/>
          <w:sz w:val="22"/>
          <w:szCs w:val="22"/>
        </w:rPr>
        <w:t xml:space="preserve"> </w:t>
      </w:r>
      <w:r w:rsidR="00273479">
        <w:rPr>
          <w:rFonts w:ascii="Arial" w:hAnsi="Arial" w:cs="Arial"/>
          <w:sz w:val="22"/>
          <w:szCs w:val="22"/>
        </w:rPr>
        <w:t>A</w:t>
      </w:r>
      <w:r w:rsidR="00B45965">
        <w:rPr>
          <w:rFonts w:ascii="Arial" w:hAnsi="Arial" w:cs="Arial"/>
          <w:sz w:val="22"/>
          <w:szCs w:val="22"/>
        </w:rPr>
        <w:t xml:space="preserve">ll agreed deadlines for completion of </w:t>
      </w:r>
      <w:r w:rsidR="0030786C">
        <w:rPr>
          <w:rFonts w:ascii="Arial" w:hAnsi="Arial" w:cs="Arial"/>
          <w:sz w:val="22"/>
          <w:szCs w:val="22"/>
        </w:rPr>
        <w:t>required</w:t>
      </w:r>
      <w:r w:rsidR="00B45965">
        <w:rPr>
          <w:rFonts w:ascii="Arial" w:hAnsi="Arial" w:cs="Arial"/>
          <w:sz w:val="22"/>
          <w:szCs w:val="22"/>
        </w:rPr>
        <w:t xml:space="preserve"> reports for EMT and Board </w:t>
      </w:r>
      <w:r w:rsidR="00273479">
        <w:rPr>
          <w:rFonts w:ascii="Arial" w:hAnsi="Arial" w:cs="Arial"/>
          <w:sz w:val="22"/>
          <w:szCs w:val="22"/>
        </w:rPr>
        <w:t>were</w:t>
      </w:r>
      <w:r w:rsidR="00B45965">
        <w:rPr>
          <w:rFonts w:ascii="Arial" w:hAnsi="Arial" w:cs="Arial"/>
          <w:sz w:val="22"/>
          <w:szCs w:val="22"/>
        </w:rPr>
        <w:t xml:space="preserve"> achieved</w:t>
      </w:r>
      <w:r w:rsidR="00A454CF">
        <w:rPr>
          <w:rFonts w:ascii="Arial" w:hAnsi="Arial" w:cs="Arial"/>
          <w:sz w:val="22"/>
          <w:szCs w:val="22"/>
        </w:rPr>
        <w:t>.</w:t>
      </w:r>
    </w:p>
    <w:p w:rsidR="00306328" w:rsidRDefault="00306328" w:rsidP="00136DAB">
      <w:pPr>
        <w:spacing w:line="276" w:lineRule="auto"/>
        <w:rPr>
          <w:rFonts w:ascii="Arial" w:hAnsi="Arial" w:cs="Arial"/>
          <w:sz w:val="22"/>
          <w:szCs w:val="22"/>
        </w:rPr>
      </w:pPr>
    </w:p>
    <w:p w:rsidR="00DE6E33" w:rsidRDefault="000C0ACC" w:rsidP="00DE6E33">
      <w:pPr>
        <w:spacing w:line="276" w:lineRule="auto"/>
        <w:rPr>
          <w:rFonts w:ascii="Arial" w:hAnsi="Arial" w:cs="Arial"/>
          <w:b/>
          <w:sz w:val="22"/>
          <w:szCs w:val="22"/>
        </w:rPr>
      </w:pPr>
      <w:r w:rsidRPr="00DE6E33">
        <w:rPr>
          <w:rFonts w:ascii="Arial" w:hAnsi="Arial" w:cs="Arial"/>
          <w:b/>
          <w:sz w:val="22"/>
          <w:szCs w:val="22"/>
        </w:rPr>
        <w:t>9</w:t>
      </w:r>
      <w:r w:rsidR="00716AC4" w:rsidRPr="00DE6E33">
        <w:rPr>
          <w:rFonts w:ascii="Arial" w:hAnsi="Arial" w:cs="Arial"/>
          <w:b/>
          <w:sz w:val="22"/>
          <w:szCs w:val="22"/>
        </w:rPr>
        <w:t>.  Capital</w:t>
      </w:r>
      <w:r w:rsidR="00DE6E33">
        <w:rPr>
          <w:rFonts w:ascii="Arial" w:hAnsi="Arial" w:cs="Arial"/>
          <w:b/>
          <w:sz w:val="22"/>
          <w:szCs w:val="22"/>
        </w:rPr>
        <w:tab/>
      </w:r>
    </w:p>
    <w:p w:rsidR="00DE6E33" w:rsidRPr="006976EC" w:rsidRDefault="00DE6E33" w:rsidP="00DE6E33">
      <w:pPr>
        <w:spacing w:line="276" w:lineRule="auto"/>
        <w:rPr>
          <w:rFonts w:ascii="Arial" w:hAnsi="Arial" w:cs="Arial"/>
          <w:b/>
          <w:sz w:val="22"/>
          <w:szCs w:val="22"/>
        </w:rPr>
      </w:pPr>
    </w:p>
    <w:p w:rsidR="005536F5" w:rsidRDefault="00C129B5" w:rsidP="009B1C6A">
      <w:pPr>
        <w:spacing w:after="200" w:line="276" w:lineRule="auto"/>
        <w:rPr>
          <w:rFonts w:ascii="Arial" w:hAnsi="Arial" w:cs="Arial"/>
          <w:sz w:val="22"/>
          <w:szCs w:val="22"/>
        </w:rPr>
      </w:pPr>
      <w:r w:rsidRPr="00765609">
        <w:rPr>
          <w:rFonts w:ascii="Arial" w:hAnsi="Arial" w:cs="Arial"/>
          <w:sz w:val="22"/>
          <w:szCs w:val="22"/>
        </w:rPr>
        <w:t xml:space="preserve">The </w:t>
      </w:r>
      <w:r w:rsidR="009B2F1B" w:rsidRPr="00765609">
        <w:rPr>
          <w:rFonts w:ascii="Arial" w:hAnsi="Arial" w:cs="Arial"/>
          <w:sz w:val="22"/>
          <w:szCs w:val="22"/>
        </w:rPr>
        <w:t>capital expenditure position is presented b</w:t>
      </w:r>
      <w:r w:rsidR="00871912">
        <w:rPr>
          <w:rFonts w:ascii="Arial" w:hAnsi="Arial" w:cs="Arial"/>
          <w:sz w:val="22"/>
          <w:szCs w:val="22"/>
        </w:rPr>
        <w:t>elow for July</w:t>
      </w:r>
      <w:r w:rsidR="00EE12A9">
        <w:rPr>
          <w:rFonts w:ascii="Arial" w:hAnsi="Arial" w:cs="Arial"/>
          <w:sz w:val="22"/>
          <w:szCs w:val="22"/>
        </w:rPr>
        <w:t xml:space="preserve"> 2016</w:t>
      </w:r>
      <w:r w:rsidR="00DD6D45">
        <w:rPr>
          <w:rFonts w:ascii="Arial" w:hAnsi="Arial" w:cs="Arial"/>
          <w:sz w:val="22"/>
          <w:szCs w:val="22"/>
        </w:rPr>
        <w:t xml:space="preserve"> a</w:t>
      </w:r>
      <w:r w:rsidR="00016856">
        <w:rPr>
          <w:rFonts w:ascii="Arial" w:hAnsi="Arial" w:cs="Arial"/>
          <w:sz w:val="22"/>
          <w:szCs w:val="22"/>
        </w:rPr>
        <w:t>nd is running at a slight under</w:t>
      </w:r>
      <w:r w:rsidR="00DD6D45">
        <w:rPr>
          <w:rFonts w:ascii="Arial" w:hAnsi="Arial" w:cs="Arial"/>
          <w:sz w:val="22"/>
          <w:szCs w:val="22"/>
        </w:rPr>
        <w:t>spend</w:t>
      </w:r>
      <w:r w:rsidR="005536F5">
        <w:rPr>
          <w:rFonts w:ascii="Arial" w:hAnsi="Arial" w:cs="Arial"/>
          <w:sz w:val="22"/>
          <w:szCs w:val="22"/>
        </w:rPr>
        <w:t xml:space="preserve"> of £9k</w:t>
      </w:r>
      <w:r w:rsidR="008E34B5" w:rsidRPr="00765609">
        <w:rPr>
          <w:rFonts w:ascii="Arial" w:hAnsi="Arial" w:cs="Arial"/>
          <w:sz w:val="22"/>
          <w:szCs w:val="22"/>
        </w:rPr>
        <w:t>.</w:t>
      </w:r>
      <w:r w:rsidR="005536F5">
        <w:rPr>
          <w:rFonts w:ascii="Arial" w:hAnsi="Arial" w:cs="Arial"/>
          <w:sz w:val="22"/>
          <w:szCs w:val="22"/>
        </w:rPr>
        <w:t xml:space="preserve">  This is mainly due to </w:t>
      </w:r>
      <w:proofErr w:type="gramStart"/>
      <w:r w:rsidR="005536F5">
        <w:rPr>
          <w:rFonts w:ascii="Arial" w:hAnsi="Arial" w:cs="Arial"/>
          <w:sz w:val="22"/>
          <w:szCs w:val="22"/>
        </w:rPr>
        <w:t>an underspend</w:t>
      </w:r>
      <w:proofErr w:type="gramEnd"/>
      <w:r w:rsidR="005536F5">
        <w:rPr>
          <w:rFonts w:ascii="Arial" w:hAnsi="Arial" w:cs="Arial"/>
          <w:sz w:val="22"/>
          <w:szCs w:val="22"/>
        </w:rPr>
        <w:t xml:space="preserve"> on the capitalised salaries (17k), as a result of contractors leaving earlier than originally budgeted for and a delay in one post being recruited to.  The underspend in the capitalised salaries is offsetting a slight overspend on the BGO contract (£8k), which is due to more senior posts being used during June and July on the developments to the </w:t>
      </w:r>
      <w:r w:rsidR="0019002F">
        <w:rPr>
          <w:rFonts w:ascii="Arial" w:hAnsi="Arial" w:cs="Arial"/>
          <w:sz w:val="22"/>
          <w:szCs w:val="22"/>
        </w:rPr>
        <w:t xml:space="preserve">IRAS </w:t>
      </w:r>
      <w:r w:rsidR="005536F5">
        <w:rPr>
          <w:rFonts w:ascii="Arial" w:hAnsi="Arial" w:cs="Arial"/>
          <w:sz w:val="22"/>
          <w:szCs w:val="22"/>
        </w:rPr>
        <w:t xml:space="preserve">system.  </w:t>
      </w:r>
    </w:p>
    <w:p w:rsidR="009B1C6A" w:rsidRPr="00765609" w:rsidRDefault="009B1C6A" w:rsidP="009B1C6A">
      <w:pPr>
        <w:spacing w:after="200" w:line="276" w:lineRule="auto"/>
        <w:rPr>
          <w:rFonts w:ascii="Arial" w:hAnsi="Arial" w:cs="Arial"/>
          <w:sz w:val="22"/>
          <w:szCs w:val="22"/>
        </w:rPr>
      </w:pPr>
      <w:r w:rsidRPr="00765609">
        <w:rPr>
          <w:rFonts w:ascii="Arial" w:hAnsi="Arial" w:cs="Arial"/>
          <w:sz w:val="22"/>
          <w:szCs w:val="22"/>
        </w:rPr>
        <w:t>The HRA received confirmation of the capital funding of £</w:t>
      </w:r>
      <w:r>
        <w:rPr>
          <w:rFonts w:ascii="Arial" w:hAnsi="Arial" w:cs="Arial"/>
          <w:sz w:val="22"/>
          <w:szCs w:val="22"/>
        </w:rPr>
        <w:t>910k</w:t>
      </w:r>
      <w:r w:rsidRPr="00765609">
        <w:rPr>
          <w:rFonts w:ascii="Arial" w:hAnsi="Arial" w:cs="Arial"/>
          <w:sz w:val="22"/>
          <w:szCs w:val="22"/>
        </w:rPr>
        <w:t xml:space="preserve"> from the Department of Health</w:t>
      </w:r>
      <w:r w:rsidR="00F04163">
        <w:rPr>
          <w:rFonts w:ascii="Arial" w:hAnsi="Arial" w:cs="Arial"/>
          <w:sz w:val="22"/>
          <w:szCs w:val="22"/>
        </w:rPr>
        <w:t xml:space="preserve"> in line with the amount included within the Spending Review</w:t>
      </w:r>
      <w:r w:rsidRPr="00765609">
        <w:rPr>
          <w:rFonts w:ascii="Arial" w:hAnsi="Arial" w:cs="Arial"/>
          <w:sz w:val="22"/>
          <w:szCs w:val="22"/>
        </w:rPr>
        <w:t xml:space="preserve">.  </w:t>
      </w:r>
    </w:p>
    <w:p w:rsidR="0056428E" w:rsidRDefault="008E34B5" w:rsidP="00716AC4">
      <w:pPr>
        <w:spacing w:after="200" w:line="276" w:lineRule="auto"/>
        <w:rPr>
          <w:rFonts w:ascii="Arial" w:hAnsi="Arial" w:cs="Arial"/>
          <w:sz w:val="22"/>
          <w:szCs w:val="22"/>
        </w:rPr>
      </w:pPr>
      <w:r w:rsidRPr="00765609">
        <w:rPr>
          <w:rFonts w:ascii="Arial" w:hAnsi="Arial" w:cs="Arial"/>
          <w:sz w:val="22"/>
          <w:szCs w:val="22"/>
        </w:rPr>
        <w:t xml:space="preserve">The </w:t>
      </w:r>
      <w:r w:rsidR="009B2F1B" w:rsidRPr="00765609">
        <w:rPr>
          <w:rFonts w:ascii="Arial" w:hAnsi="Arial" w:cs="Arial"/>
          <w:sz w:val="22"/>
          <w:szCs w:val="22"/>
        </w:rPr>
        <w:t>capital plan includes</w:t>
      </w:r>
      <w:r w:rsidR="00BB4161" w:rsidRPr="00765609">
        <w:rPr>
          <w:rFonts w:ascii="Arial" w:hAnsi="Arial" w:cs="Arial"/>
          <w:sz w:val="22"/>
          <w:szCs w:val="22"/>
        </w:rPr>
        <w:t xml:space="preserve"> budget for th</w:t>
      </w:r>
      <w:r w:rsidR="00643FCA">
        <w:rPr>
          <w:rFonts w:ascii="Arial" w:hAnsi="Arial" w:cs="Arial"/>
          <w:sz w:val="22"/>
          <w:szCs w:val="22"/>
        </w:rPr>
        <w:t>e development of the HARP and IRAS systems and for th</w:t>
      </w:r>
      <w:r w:rsidR="004E2AEC">
        <w:rPr>
          <w:rFonts w:ascii="Arial" w:hAnsi="Arial" w:cs="Arial"/>
          <w:sz w:val="22"/>
          <w:szCs w:val="22"/>
        </w:rPr>
        <w:t>ose</w:t>
      </w:r>
      <w:r w:rsidR="009B2F1B" w:rsidRPr="00765609">
        <w:rPr>
          <w:rFonts w:ascii="Arial" w:hAnsi="Arial" w:cs="Arial"/>
          <w:sz w:val="22"/>
          <w:szCs w:val="22"/>
        </w:rPr>
        <w:t xml:space="preserve"> I</w:t>
      </w:r>
      <w:r w:rsidR="004E2AEC">
        <w:rPr>
          <w:rFonts w:ascii="Arial" w:hAnsi="Arial" w:cs="Arial"/>
          <w:sz w:val="22"/>
          <w:szCs w:val="22"/>
        </w:rPr>
        <w:t xml:space="preserve">nformation </w:t>
      </w:r>
      <w:r w:rsidR="009B2F1B" w:rsidRPr="00765609">
        <w:rPr>
          <w:rFonts w:ascii="Arial" w:hAnsi="Arial" w:cs="Arial"/>
          <w:sz w:val="22"/>
          <w:szCs w:val="22"/>
        </w:rPr>
        <w:t>S</w:t>
      </w:r>
      <w:r w:rsidR="004E2AEC">
        <w:rPr>
          <w:rFonts w:ascii="Arial" w:hAnsi="Arial" w:cs="Arial"/>
          <w:sz w:val="22"/>
          <w:szCs w:val="22"/>
        </w:rPr>
        <w:t>ystems</w:t>
      </w:r>
      <w:r w:rsidR="009B2F1B" w:rsidRPr="00765609">
        <w:rPr>
          <w:rFonts w:ascii="Arial" w:hAnsi="Arial" w:cs="Arial"/>
          <w:sz w:val="22"/>
          <w:szCs w:val="22"/>
        </w:rPr>
        <w:t xml:space="preserve"> posts which include an element of </w:t>
      </w:r>
      <w:r w:rsidR="004E2AEC">
        <w:rPr>
          <w:rFonts w:ascii="Arial" w:hAnsi="Arial" w:cs="Arial"/>
          <w:sz w:val="22"/>
          <w:szCs w:val="22"/>
        </w:rPr>
        <w:t xml:space="preserve">development or </w:t>
      </w:r>
      <w:r w:rsidR="009B2F1B" w:rsidRPr="00765609">
        <w:rPr>
          <w:rFonts w:ascii="Arial" w:hAnsi="Arial" w:cs="Arial"/>
          <w:sz w:val="22"/>
          <w:szCs w:val="22"/>
        </w:rPr>
        <w:t>capital work within their roles.</w:t>
      </w:r>
      <w:r w:rsidR="000F4DF3">
        <w:rPr>
          <w:rFonts w:ascii="Arial" w:hAnsi="Arial" w:cs="Arial"/>
          <w:sz w:val="22"/>
          <w:szCs w:val="22"/>
        </w:rPr>
        <w:t xml:space="preserve">  </w:t>
      </w:r>
      <w:r w:rsidR="00643FCA">
        <w:rPr>
          <w:rFonts w:ascii="Arial" w:hAnsi="Arial" w:cs="Arial"/>
          <w:sz w:val="22"/>
          <w:szCs w:val="22"/>
        </w:rPr>
        <w:t xml:space="preserve">An additional budget was initially identified for laptop refreshment, but following the advice from the auditors that these could </w:t>
      </w:r>
      <w:r w:rsidR="009B1C6A">
        <w:rPr>
          <w:rFonts w:ascii="Arial" w:hAnsi="Arial" w:cs="Arial"/>
          <w:sz w:val="22"/>
          <w:szCs w:val="22"/>
        </w:rPr>
        <w:t xml:space="preserve">be charged to revenue, and the subsequent recent completion of the statutory audit, where this was discussed and concluded that the treatment was correct, </w:t>
      </w:r>
      <w:proofErr w:type="gramStart"/>
      <w:r w:rsidR="009B1C6A">
        <w:rPr>
          <w:rFonts w:ascii="Arial" w:hAnsi="Arial" w:cs="Arial"/>
          <w:sz w:val="22"/>
          <w:szCs w:val="22"/>
        </w:rPr>
        <w:t>this</w:t>
      </w:r>
      <w:proofErr w:type="gramEnd"/>
      <w:r w:rsidR="009B1C6A">
        <w:rPr>
          <w:rFonts w:ascii="Arial" w:hAnsi="Arial" w:cs="Arial"/>
          <w:sz w:val="22"/>
          <w:szCs w:val="22"/>
        </w:rPr>
        <w:t xml:space="preserve"> budget will no longer be required.  </w:t>
      </w:r>
      <w:r w:rsidR="00A75048">
        <w:rPr>
          <w:rFonts w:ascii="Arial" w:hAnsi="Arial" w:cs="Arial"/>
          <w:sz w:val="22"/>
          <w:szCs w:val="22"/>
        </w:rPr>
        <w:t>As work</w:t>
      </w:r>
      <w:r w:rsidR="009B1C6A">
        <w:rPr>
          <w:rFonts w:ascii="Arial" w:hAnsi="Arial" w:cs="Arial"/>
          <w:sz w:val="22"/>
          <w:szCs w:val="22"/>
        </w:rPr>
        <w:t xml:space="preserve"> is completed on forecasting for the year end position, any surplus on the</w:t>
      </w:r>
      <w:r w:rsidR="00A75048">
        <w:rPr>
          <w:rFonts w:ascii="Arial" w:hAnsi="Arial" w:cs="Arial"/>
          <w:sz w:val="22"/>
          <w:szCs w:val="22"/>
        </w:rPr>
        <w:t xml:space="preserve"> allocated </w:t>
      </w:r>
      <w:r w:rsidR="009B1C6A">
        <w:rPr>
          <w:rFonts w:ascii="Arial" w:hAnsi="Arial" w:cs="Arial"/>
          <w:sz w:val="22"/>
          <w:szCs w:val="22"/>
        </w:rPr>
        <w:t>budget will be identified and notified to DH</w:t>
      </w:r>
      <w:r w:rsidR="00A75048">
        <w:rPr>
          <w:rFonts w:ascii="Arial" w:hAnsi="Arial" w:cs="Arial"/>
          <w:sz w:val="22"/>
          <w:szCs w:val="22"/>
        </w:rPr>
        <w:t xml:space="preserve"> through the quarterly returns</w:t>
      </w:r>
      <w:r w:rsidR="009B1C6A">
        <w:rPr>
          <w:rFonts w:ascii="Arial" w:hAnsi="Arial" w:cs="Arial"/>
          <w:sz w:val="22"/>
          <w:szCs w:val="22"/>
        </w:rPr>
        <w:t xml:space="preserve"> for use by the wider system. </w:t>
      </w:r>
    </w:p>
    <w:p w:rsidR="00AF07FE" w:rsidRPr="00B55ECA" w:rsidRDefault="00F51731" w:rsidP="00716AC4">
      <w:pPr>
        <w:spacing w:after="200" w:line="276" w:lineRule="auto"/>
        <w:rPr>
          <w:rFonts w:ascii="Arial" w:hAnsi="Arial" w:cs="Arial"/>
          <w:sz w:val="22"/>
          <w:szCs w:val="22"/>
        </w:rPr>
      </w:pPr>
      <w:r>
        <w:rPr>
          <w:rFonts w:ascii="Arial" w:hAnsi="Arial" w:cs="Arial"/>
          <w:sz w:val="22"/>
          <w:szCs w:val="22"/>
        </w:rPr>
        <w:t>A</w:t>
      </w:r>
      <w:r w:rsidR="008E34B5" w:rsidRPr="00765609">
        <w:rPr>
          <w:rFonts w:ascii="Arial" w:hAnsi="Arial" w:cs="Arial"/>
          <w:sz w:val="22"/>
          <w:szCs w:val="22"/>
        </w:rPr>
        <w:t xml:space="preserve"> report on the monthly spend against budget </w:t>
      </w:r>
      <w:r w:rsidR="00BB4161" w:rsidRPr="00765609">
        <w:rPr>
          <w:rFonts w:ascii="Arial" w:hAnsi="Arial" w:cs="Arial"/>
          <w:sz w:val="22"/>
          <w:szCs w:val="22"/>
        </w:rPr>
        <w:t>for each of the capital programmes</w:t>
      </w:r>
      <w:r>
        <w:rPr>
          <w:rFonts w:ascii="Arial" w:hAnsi="Arial" w:cs="Arial"/>
          <w:sz w:val="22"/>
          <w:szCs w:val="22"/>
        </w:rPr>
        <w:t xml:space="preserve"> </w:t>
      </w:r>
      <w:r w:rsidR="009B1C6A">
        <w:rPr>
          <w:rFonts w:ascii="Arial" w:hAnsi="Arial" w:cs="Arial"/>
          <w:sz w:val="22"/>
          <w:szCs w:val="22"/>
        </w:rPr>
        <w:t xml:space="preserve">is shared with </w:t>
      </w:r>
      <w:r>
        <w:rPr>
          <w:rFonts w:ascii="Arial" w:hAnsi="Arial" w:cs="Arial"/>
          <w:sz w:val="22"/>
          <w:szCs w:val="22"/>
        </w:rPr>
        <w:t xml:space="preserve">the </w:t>
      </w:r>
      <w:r w:rsidR="00C1038A">
        <w:rPr>
          <w:rFonts w:ascii="Arial" w:hAnsi="Arial" w:cs="Arial"/>
          <w:sz w:val="22"/>
          <w:szCs w:val="22"/>
        </w:rPr>
        <w:t>Deputy Director – Research Information Systems</w:t>
      </w:r>
      <w:r w:rsidR="005536F5">
        <w:rPr>
          <w:rFonts w:ascii="Arial" w:hAnsi="Arial" w:cs="Arial"/>
          <w:sz w:val="22"/>
          <w:szCs w:val="22"/>
        </w:rPr>
        <w:t xml:space="preserve"> and monthly meetings are taking place to monitor the capital posi</w:t>
      </w:r>
      <w:r w:rsidR="00991AF4">
        <w:rPr>
          <w:rFonts w:ascii="Arial" w:hAnsi="Arial" w:cs="Arial"/>
          <w:sz w:val="22"/>
          <w:szCs w:val="22"/>
        </w:rPr>
        <w:t>tion, which enable</w:t>
      </w:r>
      <w:r w:rsidR="00BB4161" w:rsidRPr="00765609">
        <w:rPr>
          <w:rFonts w:ascii="Arial" w:hAnsi="Arial" w:cs="Arial"/>
          <w:sz w:val="22"/>
          <w:szCs w:val="22"/>
        </w:rPr>
        <w:t xml:space="preserve"> us to</w:t>
      </w:r>
      <w:r w:rsidR="009B2F1B" w:rsidRPr="00765609">
        <w:rPr>
          <w:rFonts w:ascii="Arial" w:hAnsi="Arial" w:cs="Arial"/>
          <w:sz w:val="22"/>
          <w:szCs w:val="22"/>
        </w:rPr>
        <w:t xml:space="preserve"> highlight any potential forecast </w:t>
      </w:r>
      <w:r w:rsidR="00C04A23">
        <w:rPr>
          <w:rFonts w:ascii="Arial" w:hAnsi="Arial" w:cs="Arial"/>
          <w:sz w:val="22"/>
          <w:szCs w:val="22"/>
        </w:rPr>
        <w:t>under spend</w:t>
      </w:r>
      <w:r w:rsidR="009B2F1B" w:rsidRPr="00765609">
        <w:rPr>
          <w:rFonts w:ascii="Arial" w:hAnsi="Arial" w:cs="Arial"/>
          <w:sz w:val="22"/>
          <w:szCs w:val="22"/>
        </w:rPr>
        <w:t xml:space="preserve"> or </w:t>
      </w:r>
      <w:r w:rsidR="00D773F0">
        <w:rPr>
          <w:rFonts w:ascii="Arial" w:hAnsi="Arial" w:cs="Arial"/>
          <w:sz w:val="22"/>
          <w:szCs w:val="22"/>
        </w:rPr>
        <w:t>over spend</w:t>
      </w:r>
      <w:r w:rsidR="009B2F1B" w:rsidRPr="00765609">
        <w:rPr>
          <w:rFonts w:ascii="Arial" w:hAnsi="Arial" w:cs="Arial"/>
          <w:sz w:val="22"/>
          <w:szCs w:val="22"/>
        </w:rPr>
        <w:t xml:space="preserve"> at an early stage.</w:t>
      </w:r>
      <w:r w:rsidR="00486466">
        <w:rPr>
          <w:rFonts w:ascii="Arial" w:hAnsi="Arial" w:cs="Arial"/>
          <w:sz w:val="22"/>
          <w:szCs w:val="22"/>
        </w:rPr>
        <w:t xml:space="preserve">  </w:t>
      </w:r>
    </w:p>
    <w:p w:rsidR="001F7421" w:rsidRPr="001F7421" w:rsidRDefault="001F7421" w:rsidP="00716AC4">
      <w:pPr>
        <w:spacing w:after="200" w:line="276" w:lineRule="auto"/>
        <w:rPr>
          <w:rFonts w:ascii="Arial" w:hAnsi="Arial" w:cs="Arial"/>
          <w:b/>
          <w:color w:val="FF0000"/>
          <w:sz w:val="22"/>
          <w:szCs w:val="22"/>
        </w:rPr>
      </w:pPr>
      <w:r w:rsidRPr="00DE6E33">
        <w:rPr>
          <w:rFonts w:ascii="Arial" w:hAnsi="Arial" w:cs="Arial"/>
          <w:b/>
          <w:sz w:val="22"/>
          <w:szCs w:val="22"/>
        </w:rPr>
        <w:t>Capital expenditure 2</w:t>
      </w:r>
      <w:r w:rsidR="00534292" w:rsidRPr="00DE6E33">
        <w:rPr>
          <w:rFonts w:ascii="Arial" w:hAnsi="Arial" w:cs="Arial"/>
          <w:b/>
          <w:sz w:val="22"/>
          <w:szCs w:val="22"/>
        </w:rPr>
        <w:t>01</w:t>
      </w:r>
      <w:r w:rsidR="009B1C6A" w:rsidRPr="00DE6E33">
        <w:rPr>
          <w:rFonts w:ascii="Arial" w:hAnsi="Arial" w:cs="Arial"/>
          <w:b/>
          <w:sz w:val="22"/>
          <w:szCs w:val="22"/>
        </w:rPr>
        <w:t>6</w:t>
      </w:r>
      <w:r w:rsidR="00534292" w:rsidRPr="00DE6E33">
        <w:rPr>
          <w:rFonts w:ascii="Arial" w:hAnsi="Arial" w:cs="Arial"/>
          <w:b/>
          <w:sz w:val="22"/>
          <w:szCs w:val="22"/>
        </w:rPr>
        <w:t>/1</w:t>
      </w:r>
      <w:r w:rsidR="009B1C6A" w:rsidRPr="00DE6E33">
        <w:rPr>
          <w:rFonts w:ascii="Arial" w:hAnsi="Arial" w:cs="Arial"/>
          <w:b/>
          <w:sz w:val="22"/>
          <w:szCs w:val="22"/>
        </w:rPr>
        <w:t>7</w:t>
      </w:r>
    </w:p>
    <w:p w:rsidR="004E06FA" w:rsidRDefault="005536F5" w:rsidP="00716AC4">
      <w:pPr>
        <w:spacing w:after="200" w:line="276" w:lineRule="auto"/>
        <w:rPr>
          <w:rFonts w:ascii="Arial" w:hAnsi="Arial" w:cs="Arial"/>
          <w:b/>
          <w:sz w:val="22"/>
          <w:szCs w:val="22"/>
        </w:rPr>
      </w:pPr>
      <w:r w:rsidRPr="005536F5">
        <w:rPr>
          <w:noProof/>
        </w:rPr>
        <w:drawing>
          <wp:inline distT="0" distB="0" distL="0" distR="0" wp14:anchorId="55FEB740" wp14:editId="27C9027F">
            <wp:extent cx="5760085" cy="178468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085" cy="1784682"/>
                    </a:xfrm>
                    <a:prstGeom prst="rect">
                      <a:avLst/>
                    </a:prstGeom>
                    <a:noFill/>
                    <a:ln>
                      <a:noFill/>
                    </a:ln>
                  </pic:spPr>
                </pic:pic>
              </a:graphicData>
            </a:graphic>
          </wp:inline>
        </w:drawing>
      </w:r>
    </w:p>
    <w:p w:rsidR="009B0708" w:rsidRPr="009B0708" w:rsidRDefault="000C0ACC" w:rsidP="00DE6E33">
      <w:pPr>
        <w:spacing w:after="200" w:line="276" w:lineRule="auto"/>
        <w:rPr>
          <w:rFonts w:ascii="Arial" w:hAnsi="Arial" w:cs="Arial"/>
          <w:b/>
          <w:sz w:val="22"/>
          <w:szCs w:val="22"/>
        </w:rPr>
      </w:pPr>
      <w:r w:rsidRPr="00DE6E33">
        <w:rPr>
          <w:rFonts w:ascii="Arial" w:hAnsi="Arial" w:cs="Arial"/>
          <w:b/>
          <w:sz w:val="22"/>
          <w:szCs w:val="22"/>
        </w:rPr>
        <w:t>10</w:t>
      </w:r>
      <w:r w:rsidR="00544EF0" w:rsidRPr="00DE6E33">
        <w:rPr>
          <w:rFonts w:ascii="Arial" w:hAnsi="Arial" w:cs="Arial"/>
          <w:b/>
          <w:sz w:val="22"/>
          <w:szCs w:val="22"/>
        </w:rPr>
        <w:t>. Statement of Financial Position</w:t>
      </w:r>
      <w:r w:rsidR="009B0708" w:rsidRPr="00DE6E33">
        <w:rPr>
          <w:rFonts w:ascii="Arial" w:hAnsi="Arial" w:cs="Arial"/>
          <w:b/>
          <w:sz w:val="22"/>
          <w:szCs w:val="22"/>
        </w:rPr>
        <w:t xml:space="preserve"> and cash</w:t>
      </w:r>
    </w:p>
    <w:p w:rsidR="00991AF4" w:rsidRDefault="00991AF4" w:rsidP="00991AF4">
      <w:pPr>
        <w:tabs>
          <w:tab w:val="left" w:pos="2172"/>
        </w:tabs>
        <w:contextualSpacing/>
        <w:rPr>
          <w:rFonts w:ascii="Arial" w:hAnsi="Arial" w:cs="Arial"/>
          <w:sz w:val="22"/>
          <w:szCs w:val="22"/>
        </w:rPr>
      </w:pPr>
      <w:r w:rsidRPr="00553F42">
        <w:rPr>
          <w:rFonts w:ascii="Arial" w:hAnsi="Arial" w:cs="Arial"/>
          <w:sz w:val="22"/>
          <w:szCs w:val="22"/>
        </w:rPr>
        <w:t xml:space="preserve">To align with the quarterly accountability meetings with the Department of Health, </w:t>
      </w:r>
      <w:r>
        <w:rPr>
          <w:rFonts w:ascii="Arial" w:hAnsi="Arial" w:cs="Arial"/>
          <w:sz w:val="22"/>
          <w:szCs w:val="22"/>
        </w:rPr>
        <w:t>during 2016/17</w:t>
      </w:r>
      <w:r w:rsidRPr="00553F42">
        <w:rPr>
          <w:rFonts w:ascii="Arial" w:hAnsi="Arial" w:cs="Arial"/>
          <w:sz w:val="22"/>
          <w:szCs w:val="22"/>
        </w:rPr>
        <w:t xml:space="preserve"> </w:t>
      </w:r>
      <w:r>
        <w:rPr>
          <w:rFonts w:ascii="Arial" w:hAnsi="Arial" w:cs="Arial"/>
          <w:sz w:val="22"/>
          <w:szCs w:val="22"/>
        </w:rPr>
        <w:t>a quarterly Statement of Financial Position</w:t>
      </w:r>
      <w:r w:rsidRPr="00553F42">
        <w:rPr>
          <w:rFonts w:ascii="Arial" w:hAnsi="Arial" w:cs="Arial"/>
          <w:sz w:val="22"/>
          <w:szCs w:val="22"/>
        </w:rPr>
        <w:t xml:space="preserve"> and </w:t>
      </w:r>
      <w:proofErr w:type="spellStart"/>
      <w:r w:rsidRPr="00553F42">
        <w:rPr>
          <w:rFonts w:ascii="Arial" w:hAnsi="Arial" w:cs="Arial"/>
          <w:sz w:val="22"/>
          <w:szCs w:val="22"/>
        </w:rPr>
        <w:t>cashflow</w:t>
      </w:r>
      <w:proofErr w:type="spellEnd"/>
      <w:r w:rsidRPr="00553F42">
        <w:rPr>
          <w:rFonts w:ascii="Arial" w:hAnsi="Arial" w:cs="Arial"/>
          <w:sz w:val="22"/>
          <w:szCs w:val="22"/>
        </w:rPr>
        <w:t xml:space="preserve"> forecast will be produced and reported to EMT.</w:t>
      </w:r>
      <w:r>
        <w:rPr>
          <w:rFonts w:ascii="Arial" w:hAnsi="Arial" w:cs="Arial"/>
          <w:sz w:val="22"/>
          <w:szCs w:val="22"/>
        </w:rPr>
        <w:t xml:space="preserve">   The next Statement of Financial Position and cash flow therefore will be produced for the end of September 2016.</w:t>
      </w:r>
    </w:p>
    <w:p w:rsidR="009B0708" w:rsidRPr="00553F42" w:rsidRDefault="009B0708" w:rsidP="009B0708">
      <w:pPr>
        <w:tabs>
          <w:tab w:val="left" w:pos="2172"/>
        </w:tabs>
        <w:contextualSpacing/>
        <w:rPr>
          <w:rFonts w:ascii="Arial" w:hAnsi="Arial" w:cs="Arial"/>
          <w:sz w:val="22"/>
          <w:szCs w:val="22"/>
        </w:rPr>
      </w:pPr>
    </w:p>
    <w:p w:rsidR="00EE12A9" w:rsidRDefault="00D15F0D" w:rsidP="00803D4B">
      <w:pPr>
        <w:tabs>
          <w:tab w:val="left" w:pos="2172"/>
        </w:tabs>
        <w:contextualSpacing/>
        <w:rPr>
          <w:rFonts w:ascii="Arial" w:hAnsi="Arial" w:cs="Arial"/>
          <w:sz w:val="22"/>
          <w:szCs w:val="22"/>
        </w:rPr>
      </w:pPr>
      <w:r w:rsidRPr="00B90EA0">
        <w:rPr>
          <w:rFonts w:ascii="Arial" w:hAnsi="Arial" w:cs="Arial"/>
          <w:sz w:val="22"/>
          <w:szCs w:val="22"/>
        </w:rPr>
        <w:t xml:space="preserve">At the end of the reporting period, the cash balance was </w:t>
      </w:r>
      <w:r w:rsidR="00272AA5" w:rsidRPr="00B90EA0">
        <w:rPr>
          <w:rFonts w:ascii="Arial" w:hAnsi="Arial" w:cs="Arial"/>
          <w:sz w:val="22"/>
          <w:szCs w:val="22"/>
        </w:rPr>
        <w:t>£</w:t>
      </w:r>
      <w:r w:rsidR="00991AF4">
        <w:rPr>
          <w:rFonts w:ascii="Arial" w:hAnsi="Arial" w:cs="Arial"/>
          <w:sz w:val="22"/>
          <w:szCs w:val="22"/>
        </w:rPr>
        <w:t>2.694</w:t>
      </w:r>
      <w:r w:rsidR="00544EF0" w:rsidRPr="00B90EA0">
        <w:rPr>
          <w:rFonts w:ascii="Arial" w:hAnsi="Arial" w:cs="Arial"/>
          <w:sz w:val="22"/>
          <w:szCs w:val="22"/>
        </w:rPr>
        <w:t>m, which is</w:t>
      </w:r>
      <w:r w:rsidR="00A07739" w:rsidRPr="00B90EA0">
        <w:rPr>
          <w:rFonts w:ascii="Arial" w:hAnsi="Arial" w:cs="Arial"/>
          <w:sz w:val="22"/>
          <w:szCs w:val="22"/>
        </w:rPr>
        <w:t xml:space="preserve"> </w:t>
      </w:r>
      <w:r w:rsidR="00286A07" w:rsidRPr="00B90EA0">
        <w:rPr>
          <w:rFonts w:ascii="Arial" w:hAnsi="Arial" w:cs="Arial"/>
          <w:sz w:val="22"/>
          <w:szCs w:val="22"/>
        </w:rPr>
        <w:t xml:space="preserve">a reduction against the </w:t>
      </w:r>
      <w:r w:rsidR="00562279" w:rsidRPr="00B90EA0">
        <w:rPr>
          <w:rFonts w:ascii="Arial" w:hAnsi="Arial" w:cs="Arial"/>
          <w:sz w:val="22"/>
          <w:szCs w:val="22"/>
        </w:rPr>
        <w:t>balance of £3.</w:t>
      </w:r>
      <w:r w:rsidR="006F24A4">
        <w:rPr>
          <w:rFonts w:ascii="Arial" w:hAnsi="Arial" w:cs="Arial"/>
          <w:sz w:val="22"/>
          <w:szCs w:val="22"/>
        </w:rPr>
        <w:t>485</w:t>
      </w:r>
      <w:r w:rsidR="00562279" w:rsidRPr="00B90EA0">
        <w:rPr>
          <w:rFonts w:ascii="Arial" w:hAnsi="Arial" w:cs="Arial"/>
          <w:sz w:val="22"/>
          <w:szCs w:val="22"/>
        </w:rPr>
        <w:t xml:space="preserve">m held at the end of the </w:t>
      </w:r>
      <w:r w:rsidR="001C4432" w:rsidRPr="00B90EA0">
        <w:rPr>
          <w:rFonts w:ascii="Arial" w:hAnsi="Arial" w:cs="Arial"/>
          <w:sz w:val="22"/>
          <w:szCs w:val="22"/>
        </w:rPr>
        <w:t>201</w:t>
      </w:r>
      <w:r w:rsidR="006F24A4">
        <w:rPr>
          <w:rFonts w:ascii="Arial" w:hAnsi="Arial" w:cs="Arial"/>
          <w:sz w:val="22"/>
          <w:szCs w:val="22"/>
        </w:rPr>
        <w:t>5</w:t>
      </w:r>
      <w:r w:rsidR="001C4432" w:rsidRPr="00B90EA0">
        <w:rPr>
          <w:rFonts w:ascii="Arial" w:hAnsi="Arial" w:cs="Arial"/>
          <w:sz w:val="22"/>
          <w:szCs w:val="22"/>
        </w:rPr>
        <w:t>/1</w:t>
      </w:r>
      <w:r w:rsidR="006F24A4">
        <w:rPr>
          <w:rFonts w:ascii="Arial" w:hAnsi="Arial" w:cs="Arial"/>
          <w:sz w:val="22"/>
          <w:szCs w:val="22"/>
        </w:rPr>
        <w:t>6</w:t>
      </w:r>
      <w:r w:rsidR="001C4432" w:rsidRPr="00B90EA0">
        <w:rPr>
          <w:rFonts w:ascii="Arial" w:hAnsi="Arial" w:cs="Arial"/>
          <w:sz w:val="22"/>
          <w:szCs w:val="22"/>
        </w:rPr>
        <w:t xml:space="preserve"> financial </w:t>
      </w:r>
      <w:r w:rsidR="00985214">
        <w:rPr>
          <w:rFonts w:ascii="Arial" w:hAnsi="Arial" w:cs="Arial"/>
          <w:sz w:val="22"/>
          <w:szCs w:val="22"/>
        </w:rPr>
        <w:t xml:space="preserve">year.  </w:t>
      </w:r>
      <w:r w:rsidR="006F24A4" w:rsidRPr="00011FDF">
        <w:rPr>
          <w:rFonts w:ascii="Arial" w:hAnsi="Arial" w:cs="Arial"/>
          <w:sz w:val="22"/>
          <w:szCs w:val="22"/>
        </w:rPr>
        <w:t>In order to fulfil the duty to avoid holding excess levels of cash, the HRA will continue to monit</w:t>
      </w:r>
      <w:r w:rsidR="006F24A4">
        <w:rPr>
          <w:rFonts w:ascii="Arial" w:hAnsi="Arial" w:cs="Arial"/>
          <w:sz w:val="22"/>
          <w:szCs w:val="22"/>
        </w:rPr>
        <w:t>or the cash position during 2016/17</w:t>
      </w:r>
      <w:r w:rsidR="00B55ECA">
        <w:rPr>
          <w:rFonts w:ascii="Arial" w:hAnsi="Arial" w:cs="Arial"/>
          <w:sz w:val="22"/>
          <w:szCs w:val="22"/>
        </w:rPr>
        <w:t>,</w:t>
      </w:r>
      <w:r w:rsidR="006F24A4" w:rsidRPr="00011FDF">
        <w:rPr>
          <w:rFonts w:ascii="Arial" w:hAnsi="Arial" w:cs="Arial"/>
          <w:sz w:val="22"/>
          <w:szCs w:val="22"/>
        </w:rPr>
        <w:t xml:space="preserve"> to ensure that sufficient cash is held for future needs, but will aim to reduce the cash balances held.</w:t>
      </w:r>
      <w:r w:rsidR="006F24A4">
        <w:rPr>
          <w:rFonts w:ascii="Arial" w:hAnsi="Arial" w:cs="Arial"/>
          <w:sz w:val="22"/>
          <w:szCs w:val="22"/>
        </w:rPr>
        <w:t xml:space="preserve"> </w:t>
      </w:r>
    </w:p>
    <w:p w:rsidR="00B40EA9" w:rsidRPr="00011FDF" w:rsidRDefault="00DB1038" w:rsidP="00803D4B">
      <w:pPr>
        <w:tabs>
          <w:tab w:val="left" w:pos="2172"/>
        </w:tabs>
        <w:contextualSpacing/>
        <w:rPr>
          <w:rFonts w:ascii="Arial" w:hAnsi="Arial" w:cs="Arial"/>
          <w:sz w:val="22"/>
          <w:szCs w:val="22"/>
        </w:rPr>
      </w:pPr>
      <w:r>
        <w:rPr>
          <w:rFonts w:ascii="Arial" w:hAnsi="Arial" w:cs="Arial"/>
          <w:sz w:val="22"/>
          <w:szCs w:val="22"/>
        </w:rPr>
        <w:t xml:space="preserve"> </w:t>
      </w:r>
    </w:p>
    <w:p w:rsidR="00B40EA9" w:rsidRDefault="00B40EA9" w:rsidP="00B40EA9">
      <w:pPr>
        <w:jc w:val="both"/>
        <w:rPr>
          <w:rFonts w:ascii="Arial" w:hAnsi="Arial" w:cs="Arial"/>
          <w:b/>
          <w:sz w:val="22"/>
          <w:szCs w:val="22"/>
          <w:highlight w:val="yellow"/>
        </w:rPr>
      </w:pPr>
    </w:p>
    <w:p w:rsidR="007326AA" w:rsidRDefault="0028079F" w:rsidP="0028079F">
      <w:pPr>
        <w:jc w:val="both"/>
        <w:rPr>
          <w:rFonts w:ascii="Arial" w:hAnsi="Arial" w:cs="Arial"/>
          <w:b/>
          <w:sz w:val="22"/>
          <w:szCs w:val="22"/>
        </w:rPr>
      </w:pPr>
      <w:r w:rsidRPr="00B1174F">
        <w:rPr>
          <w:rFonts w:ascii="Arial" w:hAnsi="Arial" w:cs="Arial"/>
          <w:b/>
          <w:sz w:val="22"/>
          <w:szCs w:val="22"/>
        </w:rPr>
        <w:t xml:space="preserve">11. </w:t>
      </w:r>
      <w:r w:rsidR="007326AA">
        <w:rPr>
          <w:rFonts w:ascii="Arial" w:hAnsi="Arial" w:cs="Arial"/>
          <w:b/>
          <w:sz w:val="22"/>
          <w:szCs w:val="22"/>
        </w:rPr>
        <w:t>Cash releasing Savings</w:t>
      </w:r>
    </w:p>
    <w:p w:rsidR="007326AA" w:rsidRDefault="007326AA" w:rsidP="0028079F">
      <w:pPr>
        <w:jc w:val="both"/>
        <w:rPr>
          <w:rFonts w:ascii="Arial" w:hAnsi="Arial" w:cs="Arial"/>
          <w:sz w:val="22"/>
          <w:szCs w:val="22"/>
        </w:rPr>
      </w:pPr>
    </w:p>
    <w:p w:rsidR="007326AA" w:rsidRDefault="007326AA" w:rsidP="0028079F">
      <w:pPr>
        <w:jc w:val="both"/>
        <w:rPr>
          <w:rFonts w:ascii="Arial" w:hAnsi="Arial" w:cs="Arial"/>
          <w:sz w:val="22"/>
          <w:szCs w:val="22"/>
        </w:rPr>
      </w:pPr>
      <w:r>
        <w:rPr>
          <w:rFonts w:ascii="Arial" w:hAnsi="Arial" w:cs="Arial"/>
          <w:sz w:val="22"/>
          <w:szCs w:val="22"/>
        </w:rPr>
        <w:t>The following areas will form the basis of ensuring that the HRA continues to remain within its financial envelope over the term of the spending review:</w:t>
      </w:r>
    </w:p>
    <w:p w:rsidR="007326AA" w:rsidRDefault="007326AA" w:rsidP="0028079F">
      <w:pPr>
        <w:jc w:val="both"/>
        <w:rPr>
          <w:rFonts w:ascii="Arial" w:hAnsi="Arial" w:cs="Arial"/>
          <w:sz w:val="22"/>
          <w:szCs w:val="22"/>
        </w:rPr>
      </w:pPr>
    </w:p>
    <w:p w:rsidR="007326AA" w:rsidRDefault="007326AA" w:rsidP="007326AA">
      <w:pPr>
        <w:pStyle w:val="ListParagraph"/>
        <w:numPr>
          <w:ilvl w:val="0"/>
          <w:numId w:val="27"/>
        </w:numPr>
        <w:jc w:val="both"/>
        <w:rPr>
          <w:rFonts w:ascii="Arial" w:hAnsi="Arial" w:cs="Arial"/>
          <w:sz w:val="22"/>
          <w:szCs w:val="22"/>
        </w:rPr>
      </w:pPr>
      <w:r>
        <w:rPr>
          <w:rFonts w:ascii="Arial" w:hAnsi="Arial" w:cs="Arial"/>
          <w:sz w:val="22"/>
          <w:szCs w:val="22"/>
        </w:rPr>
        <w:t>Vacancy factor</w:t>
      </w:r>
      <w:r w:rsidR="00C51E87">
        <w:rPr>
          <w:rFonts w:ascii="Arial" w:hAnsi="Arial" w:cs="Arial"/>
          <w:sz w:val="22"/>
          <w:szCs w:val="22"/>
        </w:rPr>
        <w:t>.</w:t>
      </w:r>
    </w:p>
    <w:p w:rsidR="00B445AE" w:rsidRDefault="007326AA" w:rsidP="007326AA">
      <w:pPr>
        <w:pStyle w:val="ListParagraph"/>
        <w:numPr>
          <w:ilvl w:val="0"/>
          <w:numId w:val="27"/>
        </w:numPr>
        <w:jc w:val="both"/>
        <w:rPr>
          <w:rFonts w:ascii="Arial" w:hAnsi="Arial" w:cs="Arial"/>
          <w:sz w:val="22"/>
          <w:szCs w:val="22"/>
        </w:rPr>
      </w:pPr>
      <w:r w:rsidRPr="00B445AE">
        <w:rPr>
          <w:rFonts w:ascii="Arial" w:hAnsi="Arial" w:cs="Arial"/>
          <w:sz w:val="22"/>
          <w:szCs w:val="22"/>
        </w:rPr>
        <w:t xml:space="preserve">Continued savings in estates costs through improved use of footprint.    </w:t>
      </w:r>
    </w:p>
    <w:p w:rsidR="00E71109" w:rsidRPr="00B445AE" w:rsidRDefault="00E71109" w:rsidP="007326AA">
      <w:pPr>
        <w:pStyle w:val="ListParagraph"/>
        <w:numPr>
          <w:ilvl w:val="0"/>
          <w:numId w:val="27"/>
        </w:numPr>
        <w:jc w:val="both"/>
        <w:rPr>
          <w:rFonts w:ascii="Arial" w:hAnsi="Arial" w:cs="Arial"/>
          <w:sz w:val="22"/>
          <w:szCs w:val="22"/>
        </w:rPr>
      </w:pPr>
      <w:r w:rsidRPr="00B445AE">
        <w:rPr>
          <w:rFonts w:ascii="Arial" w:hAnsi="Arial" w:cs="Arial"/>
          <w:sz w:val="22"/>
          <w:szCs w:val="22"/>
        </w:rPr>
        <w:t xml:space="preserve">Savings in per head </w:t>
      </w:r>
      <w:r w:rsidR="00D211BF" w:rsidRPr="00B445AE">
        <w:rPr>
          <w:rFonts w:ascii="Arial" w:hAnsi="Arial" w:cs="Arial"/>
          <w:sz w:val="22"/>
          <w:szCs w:val="22"/>
        </w:rPr>
        <w:t xml:space="preserve">staff </w:t>
      </w:r>
      <w:r w:rsidRPr="00B445AE">
        <w:rPr>
          <w:rFonts w:ascii="Arial" w:hAnsi="Arial" w:cs="Arial"/>
          <w:sz w:val="22"/>
          <w:szCs w:val="22"/>
        </w:rPr>
        <w:t>travel costs to justify the inves</w:t>
      </w:r>
      <w:r w:rsidR="009D724D" w:rsidRPr="00B445AE">
        <w:rPr>
          <w:rFonts w:ascii="Arial" w:hAnsi="Arial" w:cs="Arial"/>
          <w:sz w:val="22"/>
          <w:szCs w:val="22"/>
        </w:rPr>
        <w:t>tment made in digital telephony.  Given the expenditure on travel in 2015/16, this area poses a risk and a challenge and will require concerted management action.</w:t>
      </w:r>
    </w:p>
    <w:p w:rsidR="007326AA" w:rsidRDefault="00086661" w:rsidP="007326AA">
      <w:pPr>
        <w:pStyle w:val="ListParagraph"/>
        <w:numPr>
          <w:ilvl w:val="0"/>
          <w:numId w:val="27"/>
        </w:numPr>
        <w:jc w:val="both"/>
        <w:rPr>
          <w:rFonts w:ascii="Arial" w:hAnsi="Arial" w:cs="Arial"/>
          <w:sz w:val="22"/>
          <w:szCs w:val="22"/>
        </w:rPr>
      </w:pPr>
      <w:r>
        <w:rPr>
          <w:rFonts w:ascii="Arial" w:hAnsi="Arial" w:cs="Arial"/>
          <w:sz w:val="22"/>
          <w:szCs w:val="22"/>
        </w:rPr>
        <w:t>Savings in introduction of Managed Print Service and roll out of this service as leases expire on current photocopier agreements.</w:t>
      </w:r>
    </w:p>
    <w:p w:rsidR="00086661" w:rsidRPr="00D211BF" w:rsidRDefault="00086661" w:rsidP="00D211BF">
      <w:pPr>
        <w:pStyle w:val="ListParagraph"/>
        <w:numPr>
          <w:ilvl w:val="0"/>
          <w:numId w:val="27"/>
        </w:numPr>
        <w:jc w:val="both"/>
        <w:rPr>
          <w:rFonts w:ascii="Arial" w:hAnsi="Arial" w:cs="Arial"/>
          <w:sz w:val="22"/>
          <w:szCs w:val="22"/>
        </w:rPr>
      </w:pPr>
      <w:r>
        <w:rPr>
          <w:rFonts w:ascii="Arial" w:hAnsi="Arial" w:cs="Arial"/>
          <w:sz w:val="22"/>
          <w:szCs w:val="22"/>
        </w:rPr>
        <w:t>Savings through the use of the Member Portal</w:t>
      </w:r>
      <w:r w:rsidR="00D211BF">
        <w:rPr>
          <w:rFonts w:ascii="Arial" w:hAnsi="Arial" w:cs="Arial"/>
          <w:sz w:val="22"/>
          <w:szCs w:val="22"/>
        </w:rPr>
        <w:t>.</w:t>
      </w:r>
    </w:p>
    <w:p w:rsidR="00086661" w:rsidRDefault="00086661" w:rsidP="007326AA">
      <w:pPr>
        <w:pStyle w:val="ListParagraph"/>
        <w:numPr>
          <w:ilvl w:val="0"/>
          <w:numId w:val="27"/>
        </w:numPr>
        <w:jc w:val="both"/>
        <w:rPr>
          <w:rFonts w:ascii="Arial" w:hAnsi="Arial" w:cs="Arial"/>
          <w:sz w:val="22"/>
          <w:szCs w:val="22"/>
        </w:rPr>
      </w:pPr>
      <w:r>
        <w:rPr>
          <w:rFonts w:ascii="Arial" w:hAnsi="Arial" w:cs="Arial"/>
          <w:sz w:val="22"/>
          <w:szCs w:val="22"/>
        </w:rPr>
        <w:t xml:space="preserve">Savings on </w:t>
      </w:r>
      <w:r w:rsidR="009D724D">
        <w:rPr>
          <w:rFonts w:ascii="Arial" w:hAnsi="Arial" w:cs="Arial"/>
          <w:sz w:val="22"/>
          <w:szCs w:val="22"/>
        </w:rPr>
        <w:t xml:space="preserve">HRA’s </w:t>
      </w:r>
      <w:r>
        <w:rPr>
          <w:rFonts w:ascii="Arial" w:hAnsi="Arial" w:cs="Arial"/>
          <w:sz w:val="22"/>
          <w:szCs w:val="22"/>
        </w:rPr>
        <w:t>largest information systems contract.</w:t>
      </w:r>
    </w:p>
    <w:p w:rsidR="00086661" w:rsidRPr="007326AA" w:rsidRDefault="00086661" w:rsidP="00086661">
      <w:pPr>
        <w:pStyle w:val="ListParagraph"/>
        <w:jc w:val="both"/>
        <w:rPr>
          <w:rFonts w:ascii="Arial" w:hAnsi="Arial" w:cs="Arial"/>
          <w:sz w:val="22"/>
          <w:szCs w:val="22"/>
        </w:rPr>
      </w:pPr>
    </w:p>
    <w:p w:rsidR="007326AA" w:rsidRDefault="007326AA" w:rsidP="0028079F">
      <w:pPr>
        <w:jc w:val="both"/>
        <w:rPr>
          <w:rFonts w:ascii="Arial" w:hAnsi="Arial" w:cs="Arial"/>
          <w:b/>
          <w:sz w:val="22"/>
          <w:szCs w:val="22"/>
        </w:rPr>
      </w:pPr>
    </w:p>
    <w:p w:rsidR="0028079F" w:rsidRPr="00B1174F" w:rsidRDefault="007326AA" w:rsidP="0028079F">
      <w:pPr>
        <w:jc w:val="both"/>
        <w:rPr>
          <w:rFonts w:ascii="Arial" w:hAnsi="Arial" w:cs="Arial"/>
          <w:b/>
          <w:sz w:val="22"/>
          <w:szCs w:val="22"/>
        </w:rPr>
      </w:pPr>
      <w:r>
        <w:rPr>
          <w:rFonts w:ascii="Arial" w:hAnsi="Arial" w:cs="Arial"/>
          <w:b/>
          <w:sz w:val="22"/>
          <w:szCs w:val="22"/>
        </w:rPr>
        <w:t xml:space="preserve">12. </w:t>
      </w:r>
      <w:r w:rsidR="0028079F" w:rsidRPr="00B1174F">
        <w:rPr>
          <w:rFonts w:ascii="Arial" w:hAnsi="Arial" w:cs="Arial"/>
          <w:b/>
          <w:sz w:val="22"/>
          <w:szCs w:val="22"/>
        </w:rPr>
        <w:t>Recommendations</w:t>
      </w:r>
    </w:p>
    <w:p w:rsidR="0028079F" w:rsidRPr="00B1174F" w:rsidRDefault="0028079F" w:rsidP="00B40EA9">
      <w:pPr>
        <w:jc w:val="both"/>
        <w:rPr>
          <w:rFonts w:ascii="Arial" w:hAnsi="Arial" w:cs="Arial"/>
          <w:b/>
          <w:sz w:val="22"/>
          <w:szCs w:val="22"/>
        </w:rPr>
      </w:pPr>
    </w:p>
    <w:p w:rsidR="001A2303" w:rsidRPr="00B1174F" w:rsidRDefault="00B40EA9" w:rsidP="00115E84">
      <w:pPr>
        <w:overflowPunct w:val="0"/>
        <w:autoSpaceDE w:val="0"/>
        <w:autoSpaceDN w:val="0"/>
        <w:adjustRightInd w:val="0"/>
        <w:textAlignment w:val="baseline"/>
        <w:rPr>
          <w:rFonts w:ascii="Arial" w:hAnsi="Arial" w:cs="Arial"/>
          <w:sz w:val="22"/>
          <w:szCs w:val="22"/>
        </w:rPr>
      </w:pPr>
      <w:r w:rsidRPr="00B1174F">
        <w:rPr>
          <w:rFonts w:ascii="Arial" w:hAnsi="Arial" w:cs="Arial"/>
          <w:sz w:val="22"/>
          <w:szCs w:val="22"/>
        </w:rPr>
        <w:t xml:space="preserve">That </w:t>
      </w:r>
      <w:r w:rsidR="00D773F0">
        <w:rPr>
          <w:rFonts w:ascii="Arial" w:hAnsi="Arial" w:cs="Arial"/>
          <w:sz w:val="22"/>
          <w:szCs w:val="22"/>
        </w:rPr>
        <w:t xml:space="preserve">EMT and </w:t>
      </w:r>
      <w:r w:rsidRPr="00B1174F">
        <w:rPr>
          <w:rFonts w:ascii="Arial" w:hAnsi="Arial" w:cs="Arial"/>
          <w:sz w:val="22"/>
          <w:szCs w:val="22"/>
        </w:rPr>
        <w:t xml:space="preserve">the </w:t>
      </w:r>
      <w:r w:rsidR="00D211BF">
        <w:rPr>
          <w:rFonts w:ascii="Arial" w:hAnsi="Arial" w:cs="Arial"/>
          <w:sz w:val="22"/>
          <w:szCs w:val="22"/>
        </w:rPr>
        <w:t>Board note</w:t>
      </w:r>
      <w:r w:rsidR="001C4432">
        <w:rPr>
          <w:rFonts w:ascii="Arial" w:hAnsi="Arial" w:cs="Arial"/>
          <w:sz w:val="22"/>
          <w:szCs w:val="22"/>
        </w:rPr>
        <w:t xml:space="preserve"> </w:t>
      </w:r>
      <w:r w:rsidRPr="00B1174F">
        <w:rPr>
          <w:rFonts w:ascii="Arial" w:hAnsi="Arial" w:cs="Arial"/>
          <w:sz w:val="22"/>
          <w:szCs w:val="22"/>
        </w:rPr>
        <w:t>the financial position</w:t>
      </w:r>
      <w:r w:rsidR="00115E84" w:rsidRPr="00B1174F">
        <w:rPr>
          <w:rFonts w:ascii="Arial" w:hAnsi="Arial" w:cs="Arial"/>
          <w:sz w:val="22"/>
          <w:szCs w:val="22"/>
        </w:rPr>
        <w:t xml:space="preserve"> and </w:t>
      </w:r>
      <w:r w:rsidR="00B14BF6" w:rsidRPr="00B1174F">
        <w:rPr>
          <w:rFonts w:ascii="Arial" w:hAnsi="Arial" w:cs="Arial"/>
          <w:sz w:val="22"/>
          <w:szCs w:val="22"/>
        </w:rPr>
        <w:t xml:space="preserve">to particularly </w:t>
      </w:r>
      <w:r w:rsidR="00115E84" w:rsidRPr="00B1174F">
        <w:rPr>
          <w:rFonts w:ascii="Arial" w:hAnsi="Arial" w:cs="Arial"/>
          <w:sz w:val="22"/>
          <w:szCs w:val="22"/>
        </w:rPr>
        <w:t xml:space="preserve">note the </w:t>
      </w:r>
      <w:r w:rsidR="00B14BF6" w:rsidRPr="00B1174F">
        <w:rPr>
          <w:rFonts w:ascii="Arial" w:hAnsi="Arial" w:cs="Arial"/>
          <w:sz w:val="22"/>
          <w:szCs w:val="22"/>
        </w:rPr>
        <w:t>following:</w:t>
      </w:r>
    </w:p>
    <w:p w:rsidR="001A2303" w:rsidRPr="00B1174F" w:rsidRDefault="001A2303" w:rsidP="00115E84">
      <w:pPr>
        <w:overflowPunct w:val="0"/>
        <w:autoSpaceDE w:val="0"/>
        <w:autoSpaceDN w:val="0"/>
        <w:adjustRightInd w:val="0"/>
        <w:textAlignment w:val="baseline"/>
        <w:rPr>
          <w:rFonts w:ascii="Arial" w:hAnsi="Arial" w:cs="Arial"/>
          <w:sz w:val="22"/>
          <w:szCs w:val="22"/>
        </w:rPr>
      </w:pPr>
    </w:p>
    <w:p w:rsidR="00EE7DB7" w:rsidRDefault="00273479" w:rsidP="00E31CA4">
      <w:pPr>
        <w:pStyle w:val="ListParagraph"/>
        <w:numPr>
          <w:ilvl w:val="0"/>
          <w:numId w:val="11"/>
        </w:numPr>
        <w:overflowPunct w:val="0"/>
        <w:autoSpaceDE w:val="0"/>
        <w:autoSpaceDN w:val="0"/>
        <w:adjustRightInd w:val="0"/>
        <w:textAlignment w:val="baseline"/>
        <w:rPr>
          <w:rFonts w:ascii="Arial" w:hAnsi="Arial" w:cs="Arial"/>
          <w:sz w:val="22"/>
          <w:szCs w:val="22"/>
        </w:rPr>
      </w:pPr>
      <w:r w:rsidRPr="00B1174F">
        <w:rPr>
          <w:rFonts w:ascii="Arial" w:hAnsi="Arial" w:cs="Arial"/>
          <w:sz w:val="22"/>
          <w:szCs w:val="22"/>
        </w:rPr>
        <w:t xml:space="preserve">The </w:t>
      </w:r>
      <w:r w:rsidR="008235F9">
        <w:rPr>
          <w:rFonts w:ascii="Arial" w:hAnsi="Arial" w:cs="Arial"/>
          <w:sz w:val="22"/>
          <w:szCs w:val="22"/>
        </w:rPr>
        <w:t>current und</w:t>
      </w:r>
      <w:r w:rsidR="00E070F4">
        <w:rPr>
          <w:rFonts w:ascii="Arial" w:hAnsi="Arial" w:cs="Arial"/>
          <w:sz w:val="22"/>
          <w:szCs w:val="22"/>
        </w:rPr>
        <w:t>erspend position, with forecast outturn to be</w:t>
      </w:r>
      <w:r w:rsidR="008235F9">
        <w:rPr>
          <w:rFonts w:ascii="Arial" w:hAnsi="Arial" w:cs="Arial"/>
          <w:sz w:val="22"/>
          <w:szCs w:val="22"/>
        </w:rPr>
        <w:t xml:space="preserve"> included from September</w:t>
      </w:r>
      <w:r w:rsidR="00EE7DB7">
        <w:rPr>
          <w:rFonts w:ascii="Arial" w:hAnsi="Arial" w:cs="Arial"/>
          <w:sz w:val="22"/>
          <w:szCs w:val="22"/>
        </w:rPr>
        <w:t>.</w:t>
      </w:r>
    </w:p>
    <w:p w:rsidR="009D724D" w:rsidRDefault="009D724D" w:rsidP="00E31CA4">
      <w:pPr>
        <w:pStyle w:val="ListParagraph"/>
        <w:numPr>
          <w:ilvl w:val="0"/>
          <w:numId w:val="11"/>
        </w:numPr>
        <w:overflowPunct w:val="0"/>
        <w:autoSpaceDE w:val="0"/>
        <w:autoSpaceDN w:val="0"/>
        <w:adjustRightInd w:val="0"/>
        <w:textAlignment w:val="baseline"/>
        <w:rPr>
          <w:rFonts w:ascii="Arial" w:hAnsi="Arial" w:cs="Arial"/>
          <w:sz w:val="22"/>
          <w:szCs w:val="22"/>
        </w:rPr>
      </w:pPr>
      <w:r w:rsidRPr="009D724D">
        <w:rPr>
          <w:rFonts w:ascii="Arial" w:hAnsi="Arial" w:cs="Arial"/>
          <w:sz w:val="22"/>
          <w:szCs w:val="22"/>
        </w:rPr>
        <w:t>T</w:t>
      </w:r>
      <w:r w:rsidR="00254D93" w:rsidRPr="009D724D">
        <w:rPr>
          <w:rFonts w:ascii="Arial" w:hAnsi="Arial" w:cs="Arial"/>
          <w:sz w:val="22"/>
          <w:szCs w:val="22"/>
        </w:rPr>
        <w:t>he und</w:t>
      </w:r>
      <w:r w:rsidR="00D211BF">
        <w:rPr>
          <w:rFonts w:ascii="Arial" w:hAnsi="Arial" w:cs="Arial"/>
          <w:sz w:val="22"/>
          <w:szCs w:val="22"/>
        </w:rPr>
        <w:t xml:space="preserve">er spend on pay offset by an over spend on </w:t>
      </w:r>
      <w:proofErr w:type="spellStart"/>
      <w:r w:rsidR="00D211BF">
        <w:rPr>
          <w:rFonts w:ascii="Arial" w:hAnsi="Arial" w:cs="Arial"/>
          <w:sz w:val="22"/>
          <w:szCs w:val="22"/>
        </w:rPr>
        <w:t>non pay</w:t>
      </w:r>
      <w:proofErr w:type="spellEnd"/>
      <w:r w:rsidR="00AF07FE">
        <w:rPr>
          <w:rFonts w:ascii="Arial" w:hAnsi="Arial" w:cs="Arial"/>
          <w:sz w:val="22"/>
          <w:szCs w:val="22"/>
        </w:rPr>
        <w:t xml:space="preserve"> and the reasons</w:t>
      </w:r>
      <w:r w:rsidR="00D211BF">
        <w:rPr>
          <w:rFonts w:ascii="Arial" w:hAnsi="Arial" w:cs="Arial"/>
          <w:sz w:val="22"/>
          <w:szCs w:val="22"/>
        </w:rPr>
        <w:t>.</w:t>
      </w:r>
    </w:p>
    <w:p w:rsidR="001A2303" w:rsidRDefault="003450BD" w:rsidP="001A2303">
      <w:pPr>
        <w:pStyle w:val="ListParagraph"/>
        <w:numPr>
          <w:ilvl w:val="0"/>
          <w:numId w:val="11"/>
        </w:numPr>
        <w:overflowPunct w:val="0"/>
        <w:autoSpaceDE w:val="0"/>
        <w:autoSpaceDN w:val="0"/>
        <w:adjustRightInd w:val="0"/>
        <w:textAlignment w:val="baseline"/>
        <w:rPr>
          <w:rFonts w:ascii="Arial" w:hAnsi="Arial" w:cs="Arial"/>
          <w:sz w:val="22"/>
          <w:szCs w:val="22"/>
        </w:rPr>
      </w:pPr>
      <w:r w:rsidRPr="001C4432">
        <w:rPr>
          <w:rFonts w:ascii="Arial" w:hAnsi="Arial" w:cs="Arial"/>
          <w:sz w:val="22"/>
          <w:szCs w:val="22"/>
        </w:rPr>
        <w:t xml:space="preserve">The </w:t>
      </w:r>
      <w:r w:rsidR="00E550F2">
        <w:rPr>
          <w:rFonts w:ascii="Arial" w:hAnsi="Arial" w:cs="Arial"/>
          <w:sz w:val="22"/>
          <w:szCs w:val="22"/>
        </w:rPr>
        <w:t xml:space="preserve">excellent performance on the </w:t>
      </w:r>
      <w:r w:rsidR="001A2303" w:rsidRPr="001C4432">
        <w:rPr>
          <w:rFonts w:ascii="Arial" w:hAnsi="Arial" w:cs="Arial"/>
          <w:sz w:val="22"/>
          <w:szCs w:val="22"/>
        </w:rPr>
        <w:t>Better Payments Practice Code pos</w:t>
      </w:r>
      <w:r w:rsidR="003F3BB4" w:rsidRPr="001C4432">
        <w:rPr>
          <w:rFonts w:ascii="Arial" w:hAnsi="Arial" w:cs="Arial"/>
          <w:sz w:val="22"/>
          <w:szCs w:val="22"/>
        </w:rPr>
        <w:t>i</w:t>
      </w:r>
      <w:r w:rsidR="001A2303" w:rsidRPr="001C4432">
        <w:rPr>
          <w:rFonts w:ascii="Arial" w:hAnsi="Arial" w:cs="Arial"/>
          <w:sz w:val="22"/>
          <w:szCs w:val="22"/>
        </w:rPr>
        <w:t>tion</w:t>
      </w:r>
      <w:r w:rsidR="00560E95" w:rsidRPr="001C4432">
        <w:rPr>
          <w:rFonts w:ascii="Arial" w:hAnsi="Arial" w:cs="Arial"/>
          <w:sz w:val="22"/>
          <w:szCs w:val="22"/>
        </w:rPr>
        <w:t xml:space="preserve"> to meet the 95% target based on number of invoices and </w:t>
      </w:r>
      <w:r w:rsidR="00560E95" w:rsidRPr="00B1174F">
        <w:rPr>
          <w:rFonts w:ascii="Arial" w:hAnsi="Arial" w:cs="Arial"/>
          <w:sz w:val="22"/>
          <w:szCs w:val="22"/>
        </w:rPr>
        <w:t>the value</w:t>
      </w:r>
      <w:r w:rsidR="00E550F2">
        <w:rPr>
          <w:rFonts w:ascii="Arial" w:hAnsi="Arial" w:cs="Arial"/>
          <w:sz w:val="22"/>
          <w:szCs w:val="22"/>
        </w:rPr>
        <w:t xml:space="preserve"> and the 60% achievement of payments within 10 days.</w:t>
      </w:r>
    </w:p>
    <w:p w:rsidR="003C1D2F" w:rsidRPr="00B1174F" w:rsidRDefault="003C1D2F" w:rsidP="001A2303">
      <w:pPr>
        <w:pStyle w:val="ListParagraph"/>
        <w:numPr>
          <w:ilvl w:val="0"/>
          <w:numId w:val="11"/>
        </w:numPr>
        <w:overflowPunct w:val="0"/>
        <w:autoSpaceDE w:val="0"/>
        <w:autoSpaceDN w:val="0"/>
        <w:adjustRightInd w:val="0"/>
        <w:textAlignment w:val="baseline"/>
        <w:rPr>
          <w:rFonts w:ascii="Arial" w:hAnsi="Arial" w:cs="Arial"/>
          <w:sz w:val="22"/>
          <w:szCs w:val="22"/>
        </w:rPr>
      </w:pPr>
      <w:r>
        <w:rPr>
          <w:rFonts w:ascii="Arial" w:hAnsi="Arial" w:cs="Arial"/>
          <w:sz w:val="22"/>
          <w:szCs w:val="22"/>
        </w:rPr>
        <w:t>The actual performance on travel costs which show that delivery of savings is achievable provided travel decisions and timings are carefully considered.</w:t>
      </w:r>
    </w:p>
    <w:p w:rsidR="000217E9" w:rsidRPr="001C4432" w:rsidRDefault="00562279" w:rsidP="00B40EA9">
      <w:pPr>
        <w:pStyle w:val="ListParagraph"/>
        <w:numPr>
          <w:ilvl w:val="0"/>
          <w:numId w:val="11"/>
        </w:numPr>
        <w:overflowPunct w:val="0"/>
        <w:autoSpaceDE w:val="0"/>
        <w:autoSpaceDN w:val="0"/>
        <w:adjustRightInd w:val="0"/>
        <w:spacing w:line="276" w:lineRule="auto"/>
        <w:textAlignment w:val="baseline"/>
        <w:rPr>
          <w:rFonts w:ascii="Arial" w:hAnsi="Arial" w:cs="Arial"/>
          <w:b/>
          <w:sz w:val="22"/>
          <w:szCs w:val="22"/>
        </w:rPr>
      </w:pPr>
      <w:r w:rsidRPr="001C4432">
        <w:rPr>
          <w:rFonts w:ascii="Arial" w:hAnsi="Arial" w:cs="Arial"/>
          <w:sz w:val="22"/>
          <w:szCs w:val="22"/>
        </w:rPr>
        <w:t xml:space="preserve">The </w:t>
      </w:r>
      <w:r w:rsidR="00803D4B" w:rsidRPr="001C4432">
        <w:rPr>
          <w:rFonts w:ascii="Arial" w:hAnsi="Arial" w:cs="Arial"/>
          <w:sz w:val="22"/>
          <w:szCs w:val="22"/>
        </w:rPr>
        <w:t>capital position</w:t>
      </w:r>
      <w:r w:rsidR="00161C29">
        <w:rPr>
          <w:rFonts w:ascii="Arial" w:hAnsi="Arial" w:cs="Arial"/>
          <w:sz w:val="22"/>
          <w:szCs w:val="22"/>
        </w:rPr>
        <w:t xml:space="preserve"> </w:t>
      </w:r>
      <w:r w:rsidR="00B43093">
        <w:rPr>
          <w:rFonts w:ascii="Arial" w:hAnsi="Arial" w:cs="Arial"/>
          <w:sz w:val="22"/>
          <w:szCs w:val="22"/>
        </w:rPr>
        <w:t xml:space="preserve">at the end of </w:t>
      </w:r>
      <w:r w:rsidR="006F24A4">
        <w:rPr>
          <w:rFonts w:ascii="Arial" w:hAnsi="Arial" w:cs="Arial"/>
          <w:sz w:val="22"/>
          <w:szCs w:val="22"/>
        </w:rPr>
        <w:t>the period</w:t>
      </w:r>
      <w:r w:rsidR="00DD6D45">
        <w:rPr>
          <w:rFonts w:ascii="Arial" w:hAnsi="Arial" w:cs="Arial"/>
          <w:sz w:val="22"/>
          <w:szCs w:val="22"/>
        </w:rPr>
        <w:t xml:space="preserve"> and likely forecast</w:t>
      </w:r>
      <w:r w:rsidR="006F24A4">
        <w:rPr>
          <w:rFonts w:ascii="Arial" w:hAnsi="Arial" w:cs="Arial"/>
          <w:sz w:val="22"/>
          <w:szCs w:val="22"/>
        </w:rPr>
        <w:t>.</w:t>
      </w:r>
    </w:p>
    <w:p w:rsidR="00CC740F" w:rsidRDefault="00CC740F" w:rsidP="00B40EA9">
      <w:pPr>
        <w:spacing w:line="276" w:lineRule="auto"/>
        <w:rPr>
          <w:rFonts w:ascii="Arial" w:hAnsi="Arial" w:cs="Arial"/>
          <w:b/>
          <w:sz w:val="22"/>
          <w:szCs w:val="22"/>
        </w:rPr>
      </w:pPr>
    </w:p>
    <w:p w:rsidR="00B40EA9" w:rsidRPr="00B40EA9" w:rsidRDefault="00B40EA9" w:rsidP="00B40EA9">
      <w:pPr>
        <w:spacing w:line="276" w:lineRule="auto"/>
        <w:rPr>
          <w:rFonts w:ascii="Arial" w:hAnsi="Arial" w:cs="Arial"/>
          <w:b/>
          <w:sz w:val="22"/>
          <w:szCs w:val="22"/>
        </w:rPr>
      </w:pPr>
      <w:r w:rsidRPr="00B40EA9">
        <w:rPr>
          <w:rFonts w:ascii="Arial" w:hAnsi="Arial" w:cs="Arial"/>
          <w:b/>
          <w:sz w:val="22"/>
          <w:szCs w:val="22"/>
        </w:rPr>
        <w:t>Debbie Corrigan</w:t>
      </w:r>
    </w:p>
    <w:p w:rsidR="00B40EA9" w:rsidRPr="00B40EA9" w:rsidRDefault="00B40EA9" w:rsidP="00B40EA9">
      <w:pPr>
        <w:spacing w:line="276" w:lineRule="auto"/>
        <w:rPr>
          <w:rFonts w:ascii="Arial" w:hAnsi="Arial" w:cs="Arial"/>
          <w:b/>
          <w:sz w:val="22"/>
          <w:szCs w:val="22"/>
        </w:rPr>
      </w:pPr>
      <w:r w:rsidRPr="00B40EA9">
        <w:rPr>
          <w:rFonts w:ascii="Arial" w:hAnsi="Arial" w:cs="Arial"/>
          <w:b/>
          <w:sz w:val="22"/>
          <w:szCs w:val="22"/>
        </w:rPr>
        <w:t>Director of Finance</w:t>
      </w:r>
      <w:r w:rsidR="00E05C45">
        <w:rPr>
          <w:rFonts w:ascii="Arial" w:hAnsi="Arial" w:cs="Arial"/>
          <w:b/>
          <w:sz w:val="22"/>
          <w:szCs w:val="22"/>
        </w:rPr>
        <w:t>, Procurement and Estates</w:t>
      </w:r>
    </w:p>
    <w:p w:rsidR="00A86A0C" w:rsidRPr="00480953" w:rsidRDefault="008235F9" w:rsidP="00480953">
      <w:pPr>
        <w:spacing w:line="276" w:lineRule="auto"/>
        <w:rPr>
          <w:rFonts w:ascii="Arial" w:hAnsi="Arial" w:cs="Arial"/>
          <w:b/>
          <w:sz w:val="22"/>
          <w:szCs w:val="22"/>
        </w:rPr>
        <w:sectPr w:rsidR="00A86A0C" w:rsidRPr="00480953" w:rsidSect="00467649">
          <w:headerReference w:type="default" r:id="rId18"/>
          <w:pgSz w:w="11906" w:h="16838"/>
          <w:pgMar w:top="992" w:right="1276" w:bottom="568" w:left="1559" w:header="567" w:footer="709" w:gutter="0"/>
          <w:cols w:space="708"/>
          <w:docGrid w:linePitch="360"/>
        </w:sectPr>
      </w:pPr>
      <w:r>
        <w:rPr>
          <w:rFonts w:ascii="Arial" w:hAnsi="Arial" w:cs="Arial"/>
          <w:b/>
          <w:sz w:val="22"/>
          <w:szCs w:val="22"/>
        </w:rPr>
        <w:t>12 August</w:t>
      </w:r>
      <w:r w:rsidR="0030786C">
        <w:rPr>
          <w:rFonts w:ascii="Arial" w:hAnsi="Arial" w:cs="Arial"/>
          <w:b/>
          <w:sz w:val="22"/>
          <w:szCs w:val="22"/>
        </w:rPr>
        <w:t xml:space="preserve"> 2016</w:t>
      </w:r>
    </w:p>
    <w:p w:rsidR="00597AF4" w:rsidRPr="00F64C33" w:rsidRDefault="00597AF4" w:rsidP="00254D93">
      <w:pPr>
        <w:keepNext/>
        <w:keepLines/>
        <w:pBdr>
          <w:top w:val="single" w:sz="8" w:space="3" w:color="FFFFFF"/>
          <w:left w:val="single" w:sz="8" w:space="4" w:color="FFFFFF"/>
          <w:bottom w:val="single" w:sz="8" w:space="4"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F64C33">
        <w:rPr>
          <w:rFonts w:ascii="Arial" w:eastAsia="Calibri" w:hAnsi="Arial"/>
          <w:b/>
          <w:bCs/>
          <w:color w:val="56008C"/>
          <w:szCs w:val="26"/>
          <w:lang w:eastAsia="en-US"/>
        </w:rPr>
        <w:lastRenderedPageBreak/>
        <w:t xml:space="preserve">Health Research Authority – Financial position as at </w:t>
      </w:r>
      <w:r w:rsidR="00D23AF7">
        <w:rPr>
          <w:rFonts w:ascii="Arial" w:eastAsia="Calibri" w:hAnsi="Arial"/>
          <w:b/>
          <w:bCs/>
          <w:color w:val="56008C"/>
          <w:szCs w:val="26"/>
          <w:lang w:eastAsia="en-US"/>
        </w:rPr>
        <w:t>31 July</w:t>
      </w:r>
      <w:r w:rsidR="00301D79">
        <w:rPr>
          <w:rFonts w:ascii="Arial" w:eastAsia="Calibri" w:hAnsi="Arial"/>
          <w:b/>
          <w:bCs/>
          <w:color w:val="56008C"/>
          <w:szCs w:val="26"/>
          <w:lang w:eastAsia="en-US"/>
        </w:rPr>
        <w:t xml:space="preserve"> 2016</w:t>
      </w:r>
      <w:r w:rsidR="00585FFC">
        <w:rPr>
          <w:rFonts w:ascii="Arial" w:eastAsia="Calibri" w:hAnsi="Arial"/>
          <w:b/>
          <w:bCs/>
          <w:color w:val="56008C"/>
          <w:szCs w:val="26"/>
          <w:lang w:eastAsia="en-US"/>
        </w:rPr>
        <w:t xml:space="preserve">  </w:t>
      </w:r>
      <w:r w:rsidR="00497F63">
        <w:rPr>
          <w:rFonts w:ascii="Arial" w:eastAsia="Calibri" w:hAnsi="Arial"/>
          <w:b/>
          <w:bCs/>
          <w:color w:val="56008C"/>
          <w:szCs w:val="26"/>
          <w:lang w:eastAsia="en-US"/>
        </w:rPr>
        <w:t xml:space="preserve">                     </w:t>
      </w:r>
      <w:r w:rsidR="00B01C8A">
        <w:rPr>
          <w:rFonts w:ascii="Arial" w:eastAsia="Calibri" w:hAnsi="Arial"/>
          <w:b/>
          <w:bCs/>
          <w:color w:val="56008C"/>
          <w:szCs w:val="26"/>
          <w:lang w:eastAsia="en-US"/>
        </w:rPr>
        <w:t xml:space="preserve">   </w:t>
      </w:r>
      <w:r w:rsidR="00497F63">
        <w:rPr>
          <w:rFonts w:ascii="Arial" w:eastAsia="Calibri" w:hAnsi="Arial"/>
          <w:b/>
          <w:bCs/>
          <w:color w:val="56008C"/>
          <w:szCs w:val="26"/>
          <w:lang w:eastAsia="en-US"/>
        </w:rPr>
        <w:t xml:space="preserve">  </w:t>
      </w:r>
      <w:r w:rsidR="000A469D">
        <w:rPr>
          <w:rFonts w:ascii="Arial" w:eastAsia="Calibri" w:hAnsi="Arial"/>
          <w:b/>
          <w:bCs/>
          <w:color w:val="56008C"/>
          <w:szCs w:val="26"/>
          <w:lang w:eastAsia="en-US"/>
        </w:rPr>
        <w:t xml:space="preserve">  </w:t>
      </w:r>
      <w:r w:rsidR="005E6E81">
        <w:rPr>
          <w:rFonts w:ascii="Arial" w:eastAsia="Calibri" w:hAnsi="Arial"/>
          <w:b/>
          <w:bCs/>
          <w:color w:val="56008C"/>
          <w:szCs w:val="26"/>
          <w:lang w:eastAsia="en-US"/>
        </w:rPr>
        <w:t xml:space="preserve">    </w:t>
      </w:r>
      <w:r w:rsidR="00497F63">
        <w:rPr>
          <w:rFonts w:ascii="Arial" w:eastAsia="Calibri" w:hAnsi="Arial"/>
          <w:b/>
          <w:bCs/>
          <w:color w:val="56008C"/>
          <w:szCs w:val="26"/>
          <w:lang w:eastAsia="en-US"/>
        </w:rPr>
        <w:t xml:space="preserve">    </w:t>
      </w:r>
      <w:r w:rsidR="00B40EA9" w:rsidRPr="00F64C33">
        <w:rPr>
          <w:rFonts w:ascii="Arial" w:eastAsia="Calibri" w:hAnsi="Arial"/>
          <w:b/>
          <w:bCs/>
          <w:color w:val="56008C"/>
          <w:szCs w:val="26"/>
          <w:lang w:eastAsia="en-US"/>
        </w:rPr>
        <w:t xml:space="preserve">        </w:t>
      </w:r>
      <w:r w:rsidR="00072739">
        <w:rPr>
          <w:rFonts w:ascii="Arial" w:eastAsia="Calibri" w:hAnsi="Arial"/>
          <w:b/>
          <w:bCs/>
          <w:color w:val="56008C"/>
          <w:szCs w:val="26"/>
          <w:lang w:eastAsia="en-US"/>
        </w:rPr>
        <w:t xml:space="preserve"> </w:t>
      </w:r>
      <w:r w:rsidR="00B40EA9" w:rsidRPr="00F64C33">
        <w:rPr>
          <w:rFonts w:ascii="Arial" w:eastAsia="Calibri" w:hAnsi="Arial"/>
          <w:b/>
          <w:bCs/>
          <w:color w:val="56008C"/>
          <w:szCs w:val="26"/>
          <w:lang w:eastAsia="en-US"/>
        </w:rPr>
        <w:t xml:space="preserve">                       </w:t>
      </w:r>
      <w:r w:rsidR="005C76AA">
        <w:rPr>
          <w:rFonts w:ascii="Arial" w:eastAsia="Calibri" w:hAnsi="Arial"/>
          <w:b/>
          <w:bCs/>
          <w:color w:val="56008C"/>
          <w:szCs w:val="26"/>
          <w:lang w:eastAsia="en-US"/>
        </w:rPr>
        <w:t xml:space="preserve"> </w:t>
      </w:r>
      <w:r w:rsidR="00B40EA9" w:rsidRPr="00F64C33">
        <w:rPr>
          <w:rFonts w:ascii="Arial" w:eastAsia="Calibri" w:hAnsi="Arial"/>
          <w:b/>
          <w:bCs/>
          <w:color w:val="56008C"/>
          <w:szCs w:val="26"/>
          <w:lang w:eastAsia="en-US"/>
        </w:rPr>
        <w:t xml:space="preserve">                Appendix A</w:t>
      </w:r>
    </w:p>
    <w:tbl>
      <w:tblPr>
        <w:tblStyle w:val="TableGrid"/>
        <w:tblW w:w="0" w:type="auto"/>
        <w:tblLook w:val="04A0" w:firstRow="1" w:lastRow="0" w:firstColumn="1" w:lastColumn="0" w:noHBand="0" w:noVBand="1"/>
      </w:tblPr>
      <w:tblGrid>
        <w:gridCol w:w="2088"/>
        <w:gridCol w:w="13540"/>
      </w:tblGrid>
      <w:tr w:rsidR="00C11CD4" w:rsidRPr="0039154E" w:rsidTr="00561B03">
        <w:trPr>
          <w:trHeight w:val="7837"/>
        </w:trPr>
        <w:tc>
          <w:tcPr>
            <w:tcW w:w="2088" w:type="dxa"/>
            <w:shd w:val="clear" w:color="auto" w:fill="56008C"/>
            <w:vAlign w:val="center"/>
          </w:tcPr>
          <w:p w:rsidR="00C11CD4" w:rsidRPr="00F64C33" w:rsidRDefault="00C11CD4" w:rsidP="000A469D">
            <w:pPr>
              <w:spacing w:after="200" w:line="276" w:lineRule="auto"/>
              <w:jc w:val="both"/>
              <w:rPr>
                <w:rFonts w:ascii="Arial" w:hAnsi="Arial" w:cs="Arial"/>
                <w:b/>
                <w:color w:val="E28C05"/>
              </w:rPr>
            </w:pPr>
            <w:r w:rsidRPr="00F64C33">
              <w:rPr>
                <w:rFonts w:ascii="Arial" w:hAnsi="Arial" w:cs="Arial"/>
                <w:b/>
                <w:color w:val="E28C05"/>
              </w:rPr>
              <w:t>FINANCIAL RESULTS</w:t>
            </w:r>
          </w:p>
          <w:p w:rsidR="00C11CD4" w:rsidRPr="00FC6EBF" w:rsidRDefault="00C11CD4" w:rsidP="000A469D">
            <w:pPr>
              <w:spacing w:after="200" w:line="276" w:lineRule="auto"/>
              <w:jc w:val="both"/>
              <w:rPr>
                <w:rFonts w:ascii="Arial" w:hAnsi="Arial" w:cs="Arial"/>
                <w:b/>
              </w:rPr>
            </w:pPr>
            <w:r w:rsidRPr="002132BF">
              <w:rPr>
                <w:rFonts w:ascii="Arial" w:hAnsi="Arial" w:cs="Arial"/>
                <w:b/>
                <w:color w:val="E28C05"/>
              </w:rPr>
              <w:t>HEADLINES</w:t>
            </w:r>
          </w:p>
        </w:tc>
        <w:tc>
          <w:tcPr>
            <w:tcW w:w="13540" w:type="dxa"/>
          </w:tcPr>
          <w:p w:rsidR="00C82BA9" w:rsidRPr="00C82BA9" w:rsidRDefault="00C11CD4" w:rsidP="00C82BA9">
            <w:pPr>
              <w:numPr>
                <w:ilvl w:val="0"/>
                <w:numId w:val="2"/>
              </w:numPr>
              <w:contextualSpacing/>
              <w:rPr>
                <w:rFonts w:ascii="Arial" w:hAnsi="Arial" w:cs="Arial"/>
                <w:sz w:val="22"/>
                <w:szCs w:val="22"/>
              </w:rPr>
            </w:pPr>
            <w:r w:rsidRPr="00C82BA9">
              <w:rPr>
                <w:rFonts w:ascii="Arial" w:hAnsi="Arial" w:cs="Arial"/>
                <w:sz w:val="22"/>
                <w:szCs w:val="22"/>
              </w:rPr>
              <w:t xml:space="preserve">HRA is reporting an </w:t>
            </w:r>
            <w:r w:rsidR="00252EDF" w:rsidRPr="00C82BA9">
              <w:rPr>
                <w:rFonts w:ascii="Arial" w:hAnsi="Arial" w:cs="Arial"/>
                <w:sz w:val="22"/>
                <w:szCs w:val="22"/>
              </w:rPr>
              <w:t xml:space="preserve">expenditure budget </w:t>
            </w:r>
            <w:r w:rsidR="008235F9">
              <w:rPr>
                <w:rFonts w:ascii="Arial" w:hAnsi="Arial" w:cs="Arial"/>
                <w:sz w:val="22"/>
                <w:szCs w:val="22"/>
              </w:rPr>
              <w:t>underspend</w:t>
            </w:r>
            <w:r w:rsidRPr="00C82BA9">
              <w:rPr>
                <w:rFonts w:ascii="Arial" w:hAnsi="Arial" w:cs="Arial"/>
                <w:sz w:val="22"/>
                <w:szCs w:val="22"/>
              </w:rPr>
              <w:t xml:space="preserve"> </w:t>
            </w:r>
            <w:r w:rsidR="00B734B9" w:rsidRPr="00C82BA9">
              <w:rPr>
                <w:rFonts w:ascii="Arial" w:hAnsi="Arial" w:cs="Arial"/>
                <w:sz w:val="22"/>
                <w:szCs w:val="22"/>
              </w:rPr>
              <w:t>of £</w:t>
            </w:r>
            <w:r w:rsidR="008235F9">
              <w:rPr>
                <w:rFonts w:ascii="Arial" w:hAnsi="Arial" w:cs="Arial"/>
                <w:sz w:val="22"/>
                <w:szCs w:val="22"/>
              </w:rPr>
              <w:t>35</w:t>
            </w:r>
            <w:r w:rsidR="00254D93" w:rsidRPr="00C82BA9">
              <w:rPr>
                <w:rFonts w:ascii="Arial" w:hAnsi="Arial" w:cs="Arial"/>
                <w:sz w:val="22"/>
                <w:szCs w:val="22"/>
              </w:rPr>
              <w:t>k</w:t>
            </w:r>
            <w:r w:rsidR="00252EDF" w:rsidRPr="00C82BA9">
              <w:rPr>
                <w:rFonts w:ascii="Arial" w:hAnsi="Arial" w:cs="Arial"/>
                <w:sz w:val="22"/>
                <w:szCs w:val="22"/>
              </w:rPr>
              <w:t xml:space="preserve"> </w:t>
            </w:r>
            <w:r w:rsidR="00987F84" w:rsidRPr="00C82BA9">
              <w:rPr>
                <w:rFonts w:ascii="Arial" w:hAnsi="Arial" w:cs="Arial"/>
                <w:sz w:val="22"/>
                <w:szCs w:val="22"/>
              </w:rPr>
              <w:t xml:space="preserve">at the end of </w:t>
            </w:r>
            <w:r w:rsidR="008235F9">
              <w:rPr>
                <w:rFonts w:ascii="Arial" w:hAnsi="Arial" w:cs="Arial"/>
                <w:sz w:val="22"/>
                <w:szCs w:val="22"/>
              </w:rPr>
              <w:t xml:space="preserve">July </w:t>
            </w:r>
            <w:proofErr w:type="gramStart"/>
            <w:r w:rsidR="008235F9">
              <w:rPr>
                <w:rFonts w:ascii="Arial" w:hAnsi="Arial" w:cs="Arial"/>
                <w:sz w:val="22"/>
                <w:szCs w:val="22"/>
              </w:rPr>
              <w:t>( £</w:t>
            </w:r>
            <w:proofErr w:type="gramEnd"/>
            <w:r w:rsidR="008235F9">
              <w:rPr>
                <w:rFonts w:ascii="Arial" w:hAnsi="Arial" w:cs="Arial"/>
                <w:sz w:val="22"/>
                <w:szCs w:val="22"/>
              </w:rPr>
              <w:t xml:space="preserve">4k overspend in </w:t>
            </w:r>
            <w:r w:rsidR="00301D79">
              <w:rPr>
                <w:rFonts w:ascii="Arial" w:hAnsi="Arial" w:cs="Arial"/>
                <w:sz w:val="22"/>
                <w:szCs w:val="22"/>
              </w:rPr>
              <w:t>June</w:t>
            </w:r>
            <w:r w:rsidR="008235F9">
              <w:rPr>
                <w:rFonts w:ascii="Arial" w:hAnsi="Arial" w:cs="Arial"/>
                <w:sz w:val="22"/>
                <w:szCs w:val="22"/>
              </w:rPr>
              <w:t>)</w:t>
            </w:r>
            <w:r w:rsidR="00C3142C">
              <w:rPr>
                <w:rFonts w:ascii="Arial" w:hAnsi="Arial" w:cs="Arial"/>
                <w:sz w:val="22"/>
                <w:szCs w:val="22"/>
              </w:rPr>
              <w:t>.</w:t>
            </w:r>
          </w:p>
          <w:p w:rsidR="00254D93" w:rsidRPr="00B12846" w:rsidRDefault="00254D93" w:rsidP="00254D93">
            <w:pPr>
              <w:ind w:left="720"/>
              <w:contextualSpacing/>
              <w:rPr>
                <w:rFonts w:ascii="Arial" w:hAnsi="Arial" w:cs="Arial"/>
                <w:sz w:val="22"/>
                <w:szCs w:val="22"/>
                <w:highlight w:val="yellow"/>
              </w:rPr>
            </w:pPr>
          </w:p>
          <w:p w:rsidR="00C11CD4" w:rsidRPr="00C82BA9" w:rsidRDefault="00E9014E" w:rsidP="004C7812">
            <w:pPr>
              <w:numPr>
                <w:ilvl w:val="0"/>
                <w:numId w:val="2"/>
              </w:numPr>
              <w:contextualSpacing/>
              <w:rPr>
                <w:rFonts w:ascii="Arial" w:hAnsi="Arial" w:cs="Arial"/>
                <w:sz w:val="22"/>
                <w:szCs w:val="22"/>
              </w:rPr>
            </w:pPr>
            <w:r>
              <w:rPr>
                <w:rFonts w:ascii="Arial" w:hAnsi="Arial" w:cs="Arial"/>
                <w:sz w:val="22"/>
                <w:szCs w:val="22"/>
              </w:rPr>
              <w:t>Pay budge</w:t>
            </w:r>
            <w:r w:rsidR="008235F9">
              <w:rPr>
                <w:rFonts w:ascii="Arial" w:hAnsi="Arial" w:cs="Arial"/>
                <w:sz w:val="22"/>
                <w:szCs w:val="22"/>
              </w:rPr>
              <w:t>ts are under spent by £86k.  This is including a £49.9</w:t>
            </w:r>
            <w:r>
              <w:rPr>
                <w:rFonts w:ascii="Arial" w:hAnsi="Arial" w:cs="Arial"/>
                <w:sz w:val="22"/>
                <w:szCs w:val="22"/>
              </w:rPr>
              <w:t>k year to date vacancy factor having been applied.</w:t>
            </w:r>
          </w:p>
          <w:p w:rsidR="00561B03" w:rsidRPr="00B12846" w:rsidRDefault="00561B03" w:rsidP="00561B03">
            <w:pPr>
              <w:pStyle w:val="ListParagraph"/>
              <w:rPr>
                <w:rFonts w:ascii="Arial" w:hAnsi="Arial" w:cs="Arial"/>
                <w:sz w:val="22"/>
                <w:szCs w:val="22"/>
                <w:highlight w:val="yellow"/>
              </w:rPr>
            </w:pPr>
          </w:p>
          <w:p w:rsidR="00E9014E" w:rsidRDefault="00E9014E" w:rsidP="00254D93">
            <w:pPr>
              <w:numPr>
                <w:ilvl w:val="0"/>
                <w:numId w:val="2"/>
              </w:numPr>
              <w:tabs>
                <w:tab w:val="left" w:pos="2172"/>
              </w:tabs>
              <w:contextualSpacing/>
              <w:rPr>
                <w:rFonts w:ascii="Arial" w:hAnsi="Arial" w:cs="Arial"/>
                <w:sz w:val="22"/>
                <w:szCs w:val="22"/>
              </w:rPr>
            </w:pPr>
            <w:r>
              <w:rPr>
                <w:rFonts w:ascii="Arial" w:hAnsi="Arial" w:cs="Arial"/>
                <w:sz w:val="22"/>
                <w:szCs w:val="22"/>
              </w:rPr>
              <w:t>Non p</w:t>
            </w:r>
            <w:r w:rsidR="008235F9">
              <w:rPr>
                <w:rFonts w:ascii="Arial" w:hAnsi="Arial" w:cs="Arial"/>
                <w:sz w:val="22"/>
                <w:szCs w:val="22"/>
              </w:rPr>
              <w:t xml:space="preserve">ay budgets are over </w:t>
            </w:r>
            <w:proofErr w:type="gramStart"/>
            <w:r w:rsidR="008235F9">
              <w:rPr>
                <w:rFonts w:ascii="Arial" w:hAnsi="Arial" w:cs="Arial"/>
                <w:sz w:val="22"/>
                <w:szCs w:val="22"/>
              </w:rPr>
              <w:t>spend</w:t>
            </w:r>
            <w:proofErr w:type="gramEnd"/>
            <w:r w:rsidR="008235F9">
              <w:rPr>
                <w:rFonts w:ascii="Arial" w:hAnsi="Arial" w:cs="Arial"/>
                <w:sz w:val="22"/>
                <w:szCs w:val="22"/>
              </w:rPr>
              <w:t xml:space="preserve"> by £51</w:t>
            </w:r>
            <w:r w:rsidR="00301D79">
              <w:rPr>
                <w:rFonts w:ascii="Arial" w:hAnsi="Arial" w:cs="Arial"/>
                <w:sz w:val="22"/>
                <w:szCs w:val="22"/>
              </w:rPr>
              <w:t xml:space="preserve">k largely due </w:t>
            </w:r>
            <w:r>
              <w:rPr>
                <w:rFonts w:ascii="Arial" w:hAnsi="Arial" w:cs="Arial"/>
                <w:sz w:val="22"/>
                <w:szCs w:val="22"/>
              </w:rPr>
              <w:t>the ov</w:t>
            </w:r>
            <w:r w:rsidR="00301D79">
              <w:rPr>
                <w:rFonts w:ascii="Arial" w:hAnsi="Arial" w:cs="Arial"/>
                <w:sz w:val="22"/>
                <w:szCs w:val="22"/>
              </w:rPr>
              <w:t>er run of the archiving project and the disposal of the video conferencing assets.</w:t>
            </w:r>
          </w:p>
          <w:p w:rsidR="00E9014E" w:rsidRDefault="00E9014E" w:rsidP="00E9014E">
            <w:pPr>
              <w:pStyle w:val="ListParagraph"/>
              <w:rPr>
                <w:rFonts w:ascii="Arial" w:hAnsi="Arial" w:cs="Arial"/>
                <w:sz w:val="22"/>
                <w:szCs w:val="22"/>
              </w:rPr>
            </w:pPr>
          </w:p>
          <w:p w:rsidR="00254D93" w:rsidRDefault="0039154E" w:rsidP="00E9014E">
            <w:pPr>
              <w:numPr>
                <w:ilvl w:val="0"/>
                <w:numId w:val="2"/>
              </w:numPr>
              <w:tabs>
                <w:tab w:val="left" w:pos="2172"/>
              </w:tabs>
              <w:contextualSpacing/>
              <w:rPr>
                <w:rFonts w:ascii="Arial" w:hAnsi="Arial" w:cs="Arial"/>
                <w:sz w:val="22"/>
                <w:szCs w:val="22"/>
              </w:rPr>
            </w:pPr>
            <w:r w:rsidRPr="00C3142C">
              <w:rPr>
                <w:rFonts w:ascii="Arial" w:hAnsi="Arial" w:cs="Arial"/>
                <w:sz w:val="22"/>
                <w:szCs w:val="22"/>
              </w:rPr>
              <w:t xml:space="preserve">The </w:t>
            </w:r>
            <w:r w:rsidR="00E9014E">
              <w:rPr>
                <w:rFonts w:ascii="Arial" w:hAnsi="Arial" w:cs="Arial"/>
                <w:sz w:val="22"/>
                <w:szCs w:val="22"/>
              </w:rPr>
              <w:t xml:space="preserve">largest directorate </w:t>
            </w:r>
            <w:r w:rsidR="0047213E" w:rsidRPr="00C3142C">
              <w:rPr>
                <w:rFonts w:ascii="Arial" w:hAnsi="Arial" w:cs="Arial"/>
                <w:sz w:val="22"/>
                <w:szCs w:val="22"/>
              </w:rPr>
              <w:t>u</w:t>
            </w:r>
            <w:r w:rsidRPr="00C3142C">
              <w:rPr>
                <w:rFonts w:ascii="Arial" w:hAnsi="Arial" w:cs="Arial"/>
                <w:sz w:val="22"/>
                <w:szCs w:val="22"/>
              </w:rPr>
              <w:t>nder</w:t>
            </w:r>
            <w:r w:rsidR="0047213E" w:rsidRPr="00C3142C">
              <w:rPr>
                <w:rFonts w:ascii="Arial" w:hAnsi="Arial" w:cs="Arial"/>
                <w:sz w:val="22"/>
                <w:szCs w:val="22"/>
              </w:rPr>
              <w:t xml:space="preserve"> </w:t>
            </w:r>
            <w:r w:rsidRPr="00C3142C">
              <w:rPr>
                <w:rFonts w:ascii="Arial" w:hAnsi="Arial" w:cs="Arial"/>
                <w:sz w:val="22"/>
                <w:szCs w:val="22"/>
              </w:rPr>
              <w:t xml:space="preserve">spend </w:t>
            </w:r>
            <w:r w:rsidR="00E9014E">
              <w:rPr>
                <w:rFonts w:ascii="Arial" w:hAnsi="Arial" w:cs="Arial"/>
                <w:sz w:val="22"/>
                <w:szCs w:val="22"/>
              </w:rPr>
              <w:t xml:space="preserve">is </w:t>
            </w:r>
            <w:r w:rsidR="00C3142C" w:rsidRPr="00C3142C">
              <w:rPr>
                <w:rFonts w:ascii="Arial" w:hAnsi="Arial" w:cs="Arial"/>
                <w:sz w:val="22"/>
                <w:szCs w:val="22"/>
              </w:rPr>
              <w:t>within Research systems, Standards and HRA Approval directorate</w:t>
            </w:r>
            <w:r w:rsidR="00E9014E">
              <w:rPr>
                <w:rFonts w:ascii="Arial" w:hAnsi="Arial" w:cs="Arial"/>
                <w:sz w:val="22"/>
                <w:szCs w:val="22"/>
              </w:rPr>
              <w:t xml:space="preserve"> </w:t>
            </w:r>
            <w:r w:rsidR="00D7554B">
              <w:rPr>
                <w:rFonts w:ascii="Arial" w:hAnsi="Arial" w:cs="Arial"/>
                <w:sz w:val="22"/>
                <w:szCs w:val="22"/>
              </w:rPr>
              <w:t>(£49</w:t>
            </w:r>
            <w:r w:rsidR="00E9014E" w:rsidRPr="00E9014E">
              <w:rPr>
                <w:rFonts w:ascii="Arial" w:hAnsi="Arial" w:cs="Arial"/>
                <w:sz w:val="22"/>
                <w:szCs w:val="22"/>
              </w:rPr>
              <w:t xml:space="preserve">k), of which </w:t>
            </w:r>
            <w:r w:rsidR="008235F9">
              <w:rPr>
                <w:rFonts w:ascii="Arial" w:hAnsi="Arial" w:cs="Arial"/>
                <w:sz w:val="22"/>
                <w:szCs w:val="22"/>
              </w:rPr>
              <w:t>£40</w:t>
            </w:r>
            <w:r w:rsidR="00301D79">
              <w:rPr>
                <w:rFonts w:ascii="Arial" w:hAnsi="Arial" w:cs="Arial"/>
                <w:sz w:val="22"/>
                <w:szCs w:val="22"/>
              </w:rPr>
              <w:t>k relates to pay</w:t>
            </w:r>
            <w:r w:rsidR="00E9014E" w:rsidRPr="00E9014E">
              <w:rPr>
                <w:rFonts w:ascii="Arial" w:hAnsi="Arial" w:cs="Arial"/>
                <w:sz w:val="22"/>
                <w:szCs w:val="22"/>
              </w:rPr>
              <w:t xml:space="preserve"> within performance management, collaboration &amp; development and assessment</w:t>
            </w:r>
            <w:r w:rsidR="00E9014E">
              <w:rPr>
                <w:rFonts w:ascii="Arial" w:hAnsi="Arial" w:cs="Arial"/>
                <w:sz w:val="22"/>
                <w:szCs w:val="22"/>
              </w:rPr>
              <w:t xml:space="preserve"> areas</w:t>
            </w:r>
            <w:r w:rsidR="00C3142C" w:rsidRPr="00C3142C">
              <w:rPr>
                <w:rFonts w:ascii="Arial" w:hAnsi="Arial" w:cs="Arial"/>
                <w:sz w:val="22"/>
                <w:szCs w:val="22"/>
              </w:rPr>
              <w:t>.</w:t>
            </w:r>
            <w:r w:rsidR="00E9014E">
              <w:rPr>
                <w:rFonts w:ascii="Arial" w:hAnsi="Arial" w:cs="Arial"/>
                <w:sz w:val="22"/>
                <w:szCs w:val="22"/>
              </w:rPr>
              <w:t xml:space="preserve">  </w:t>
            </w:r>
            <w:r w:rsidR="008235F9">
              <w:rPr>
                <w:rFonts w:ascii="Arial" w:hAnsi="Arial" w:cs="Arial"/>
                <w:sz w:val="22"/>
                <w:szCs w:val="22"/>
              </w:rPr>
              <w:t>This was a planned underspend to achieve the vacancy factor in the early part of the financial year.  These plans are currently being reviewed/re-</w:t>
            </w:r>
            <w:r w:rsidR="00E9014E">
              <w:rPr>
                <w:rFonts w:ascii="Arial" w:hAnsi="Arial" w:cs="Arial"/>
                <w:sz w:val="22"/>
                <w:szCs w:val="22"/>
              </w:rPr>
              <w:t xml:space="preserve"> developed t</w:t>
            </w:r>
            <w:r w:rsidR="008235F9">
              <w:rPr>
                <w:rFonts w:ascii="Arial" w:hAnsi="Arial" w:cs="Arial"/>
                <w:sz w:val="22"/>
                <w:szCs w:val="22"/>
              </w:rPr>
              <w:t>o meet the needs of the service and emerging workload pressures.</w:t>
            </w:r>
            <w:r w:rsidR="00254D93" w:rsidRPr="00C3142C">
              <w:rPr>
                <w:rFonts w:ascii="Arial" w:hAnsi="Arial" w:cs="Arial"/>
                <w:sz w:val="22"/>
                <w:szCs w:val="22"/>
              </w:rPr>
              <w:t xml:space="preserve"> </w:t>
            </w:r>
          </w:p>
          <w:p w:rsidR="00C3142C" w:rsidRDefault="00C3142C" w:rsidP="00C3142C">
            <w:pPr>
              <w:pStyle w:val="ListParagraph"/>
              <w:rPr>
                <w:rFonts w:ascii="Arial" w:hAnsi="Arial" w:cs="Arial"/>
                <w:sz w:val="22"/>
                <w:szCs w:val="22"/>
              </w:rPr>
            </w:pPr>
          </w:p>
          <w:p w:rsidR="00254D93" w:rsidRDefault="00254D93" w:rsidP="00254D93">
            <w:pPr>
              <w:numPr>
                <w:ilvl w:val="0"/>
                <w:numId w:val="2"/>
              </w:numPr>
              <w:tabs>
                <w:tab w:val="left" w:pos="2172"/>
              </w:tabs>
              <w:contextualSpacing/>
              <w:rPr>
                <w:rFonts w:ascii="Arial" w:hAnsi="Arial" w:cs="Arial"/>
                <w:sz w:val="22"/>
                <w:szCs w:val="22"/>
              </w:rPr>
            </w:pPr>
            <w:r w:rsidRPr="00E9014E">
              <w:rPr>
                <w:rFonts w:ascii="Arial" w:hAnsi="Arial" w:cs="Arial"/>
                <w:sz w:val="22"/>
                <w:szCs w:val="22"/>
              </w:rPr>
              <w:t>W</w:t>
            </w:r>
            <w:r w:rsidR="00951DD0" w:rsidRPr="00E9014E">
              <w:rPr>
                <w:rFonts w:ascii="Arial" w:hAnsi="Arial" w:cs="Arial"/>
                <w:sz w:val="22"/>
                <w:szCs w:val="22"/>
              </w:rPr>
              <w:t xml:space="preserve">ork has </w:t>
            </w:r>
            <w:r w:rsidR="00E9014E" w:rsidRPr="00E9014E">
              <w:rPr>
                <w:rFonts w:ascii="Arial" w:hAnsi="Arial" w:cs="Arial"/>
                <w:sz w:val="22"/>
                <w:szCs w:val="22"/>
              </w:rPr>
              <w:t xml:space="preserve">almost completed </w:t>
            </w:r>
            <w:r w:rsidRPr="00E9014E">
              <w:rPr>
                <w:rFonts w:ascii="Arial" w:hAnsi="Arial" w:cs="Arial"/>
                <w:sz w:val="22"/>
                <w:szCs w:val="22"/>
              </w:rPr>
              <w:t xml:space="preserve">to </w:t>
            </w:r>
            <w:r w:rsidR="00634D6C" w:rsidRPr="00E9014E">
              <w:rPr>
                <w:rFonts w:ascii="Arial" w:hAnsi="Arial" w:cs="Arial"/>
                <w:sz w:val="22"/>
                <w:szCs w:val="22"/>
              </w:rPr>
              <w:t xml:space="preserve">introduce </w:t>
            </w:r>
            <w:r w:rsidR="00951DD0" w:rsidRPr="00E9014E">
              <w:rPr>
                <w:rFonts w:ascii="Arial" w:hAnsi="Arial" w:cs="Arial"/>
                <w:sz w:val="22"/>
                <w:szCs w:val="22"/>
              </w:rPr>
              <w:t>a process to correctly capture</w:t>
            </w:r>
            <w:r w:rsidRPr="00E9014E">
              <w:rPr>
                <w:rFonts w:ascii="Arial" w:hAnsi="Arial" w:cs="Arial"/>
                <w:sz w:val="22"/>
                <w:szCs w:val="22"/>
              </w:rPr>
              <w:t xml:space="preserve"> </w:t>
            </w:r>
            <w:r w:rsidR="008235F9">
              <w:rPr>
                <w:rFonts w:ascii="Arial" w:hAnsi="Arial" w:cs="Arial"/>
                <w:sz w:val="22"/>
                <w:szCs w:val="22"/>
              </w:rPr>
              <w:t>training related travel costs and is anticipated go live in September.</w:t>
            </w:r>
          </w:p>
          <w:p w:rsidR="00E9014E" w:rsidRPr="00E9014E" w:rsidRDefault="00E9014E" w:rsidP="00E9014E">
            <w:pPr>
              <w:tabs>
                <w:tab w:val="left" w:pos="2172"/>
              </w:tabs>
              <w:contextualSpacing/>
              <w:rPr>
                <w:rFonts w:ascii="Arial" w:hAnsi="Arial" w:cs="Arial"/>
                <w:sz w:val="22"/>
                <w:szCs w:val="22"/>
              </w:rPr>
            </w:pPr>
          </w:p>
          <w:p w:rsidR="00344274" w:rsidRPr="00286A07" w:rsidRDefault="00DD6897" w:rsidP="00344274">
            <w:pPr>
              <w:numPr>
                <w:ilvl w:val="0"/>
                <w:numId w:val="2"/>
              </w:numPr>
              <w:tabs>
                <w:tab w:val="left" w:pos="2172"/>
              </w:tabs>
              <w:contextualSpacing/>
              <w:rPr>
                <w:rFonts w:ascii="Arial" w:hAnsi="Arial" w:cs="Arial"/>
                <w:sz w:val="22"/>
                <w:szCs w:val="22"/>
              </w:rPr>
            </w:pPr>
            <w:r w:rsidRPr="00286A07">
              <w:rPr>
                <w:rFonts w:ascii="Arial" w:hAnsi="Arial" w:cs="Arial"/>
                <w:sz w:val="22"/>
                <w:szCs w:val="22"/>
              </w:rPr>
              <w:t>The Better Payment Practice Code (B</w:t>
            </w:r>
            <w:r w:rsidR="003C2211" w:rsidRPr="00286A07">
              <w:rPr>
                <w:rFonts w:ascii="Arial" w:hAnsi="Arial" w:cs="Arial"/>
                <w:sz w:val="22"/>
                <w:szCs w:val="22"/>
              </w:rPr>
              <w:t>P</w:t>
            </w:r>
            <w:r w:rsidR="008A31A7" w:rsidRPr="00286A07">
              <w:rPr>
                <w:rFonts w:ascii="Arial" w:hAnsi="Arial" w:cs="Arial"/>
                <w:sz w:val="22"/>
                <w:szCs w:val="22"/>
              </w:rPr>
              <w:t>P</w:t>
            </w:r>
            <w:r w:rsidR="00FD0AE5" w:rsidRPr="00286A07">
              <w:rPr>
                <w:rFonts w:ascii="Arial" w:hAnsi="Arial" w:cs="Arial"/>
                <w:sz w:val="22"/>
                <w:szCs w:val="22"/>
              </w:rPr>
              <w:t>C) c</w:t>
            </w:r>
            <w:r w:rsidR="00703BA7" w:rsidRPr="00286A07">
              <w:rPr>
                <w:rFonts w:ascii="Arial" w:hAnsi="Arial" w:cs="Arial"/>
                <w:sz w:val="22"/>
                <w:szCs w:val="22"/>
              </w:rPr>
              <w:t>ompliance for April to</w:t>
            </w:r>
            <w:r w:rsidR="0060431A">
              <w:rPr>
                <w:rFonts w:ascii="Arial" w:hAnsi="Arial" w:cs="Arial"/>
                <w:sz w:val="22"/>
                <w:szCs w:val="22"/>
              </w:rPr>
              <w:t xml:space="preserve"> July</w:t>
            </w:r>
            <w:r w:rsidR="00DF0843" w:rsidRPr="00286A07">
              <w:rPr>
                <w:rFonts w:ascii="Arial" w:hAnsi="Arial" w:cs="Arial"/>
                <w:sz w:val="22"/>
                <w:szCs w:val="22"/>
              </w:rPr>
              <w:t xml:space="preserve"> </w:t>
            </w:r>
            <w:r w:rsidR="00F053C9" w:rsidRPr="00286A07">
              <w:rPr>
                <w:rFonts w:ascii="Arial" w:hAnsi="Arial" w:cs="Arial"/>
                <w:sz w:val="22"/>
                <w:szCs w:val="22"/>
              </w:rPr>
              <w:t>was 9</w:t>
            </w:r>
            <w:r w:rsidR="006F24A4">
              <w:rPr>
                <w:rFonts w:ascii="Arial" w:hAnsi="Arial" w:cs="Arial"/>
                <w:sz w:val="22"/>
                <w:szCs w:val="22"/>
              </w:rPr>
              <w:t>7</w:t>
            </w:r>
            <w:r w:rsidRPr="00286A07">
              <w:rPr>
                <w:rFonts w:ascii="Arial" w:hAnsi="Arial" w:cs="Arial"/>
                <w:sz w:val="22"/>
                <w:szCs w:val="22"/>
              </w:rPr>
              <w:t>% for the number</w:t>
            </w:r>
            <w:r w:rsidR="00DF0843" w:rsidRPr="00286A07">
              <w:rPr>
                <w:rFonts w:ascii="Arial" w:hAnsi="Arial" w:cs="Arial"/>
                <w:sz w:val="22"/>
                <w:szCs w:val="22"/>
              </w:rPr>
              <w:t xml:space="preserve"> of invoices p</w:t>
            </w:r>
            <w:r w:rsidR="00784B55" w:rsidRPr="00286A07">
              <w:rPr>
                <w:rFonts w:ascii="Arial" w:hAnsi="Arial" w:cs="Arial"/>
                <w:sz w:val="22"/>
                <w:szCs w:val="22"/>
              </w:rPr>
              <w:t>aid,</w:t>
            </w:r>
            <w:r w:rsidR="00210D21" w:rsidRPr="00286A07">
              <w:rPr>
                <w:rFonts w:ascii="Arial" w:hAnsi="Arial" w:cs="Arial"/>
                <w:sz w:val="22"/>
                <w:szCs w:val="22"/>
              </w:rPr>
              <w:t xml:space="preserve"> </w:t>
            </w:r>
            <w:r w:rsidR="00F053C9" w:rsidRPr="00286A07">
              <w:rPr>
                <w:rFonts w:ascii="Arial" w:hAnsi="Arial" w:cs="Arial"/>
                <w:sz w:val="22"/>
                <w:szCs w:val="22"/>
              </w:rPr>
              <w:t xml:space="preserve">which is in line with the </w:t>
            </w:r>
            <w:r w:rsidR="004E0021" w:rsidRPr="00286A07">
              <w:rPr>
                <w:rFonts w:ascii="Arial" w:hAnsi="Arial" w:cs="Arial"/>
                <w:sz w:val="22"/>
                <w:szCs w:val="22"/>
              </w:rPr>
              <w:t>overall performance for 201</w:t>
            </w:r>
            <w:r w:rsidR="006F24A4">
              <w:rPr>
                <w:rFonts w:ascii="Arial" w:hAnsi="Arial" w:cs="Arial"/>
                <w:sz w:val="22"/>
                <w:szCs w:val="22"/>
              </w:rPr>
              <w:t>5</w:t>
            </w:r>
            <w:r w:rsidR="004E0021" w:rsidRPr="00286A07">
              <w:rPr>
                <w:rFonts w:ascii="Arial" w:hAnsi="Arial" w:cs="Arial"/>
                <w:sz w:val="22"/>
                <w:szCs w:val="22"/>
              </w:rPr>
              <w:t>/1</w:t>
            </w:r>
            <w:r w:rsidR="006F24A4">
              <w:rPr>
                <w:rFonts w:ascii="Arial" w:hAnsi="Arial" w:cs="Arial"/>
                <w:sz w:val="22"/>
                <w:szCs w:val="22"/>
              </w:rPr>
              <w:t>6</w:t>
            </w:r>
            <w:r w:rsidR="004E0021" w:rsidRPr="00286A07">
              <w:rPr>
                <w:rFonts w:ascii="Arial" w:hAnsi="Arial" w:cs="Arial"/>
                <w:sz w:val="22"/>
                <w:szCs w:val="22"/>
              </w:rPr>
              <w:t xml:space="preserve">, </w:t>
            </w:r>
            <w:r w:rsidR="0086694E" w:rsidRPr="00286A07">
              <w:rPr>
                <w:rFonts w:ascii="Arial" w:hAnsi="Arial" w:cs="Arial"/>
                <w:sz w:val="22"/>
                <w:szCs w:val="22"/>
              </w:rPr>
              <w:t>and is</w:t>
            </w:r>
            <w:r w:rsidR="00B43093">
              <w:rPr>
                <w:rFonts w:ascii="Arial" w:hAnsi="Arial" w:cs="Arial"/>
                <w:sz w:val="22"/>
                <w:szCs w:val="22"/>
              </w:rPr>
              <w:t xml:space="preserve"> reporting 9</w:t>
            </w:r>
            <w:r w:rsidR="0060431A">
              <w:rPr>
                <w:rFonts w:ascii="Arial" w:hAnsi="Arial" w:cs="Arial"/>
                <w:sz w:val="22"/>
                <w:szCs w:val="22"/>
              </w:rPr>
              <w:t>9</w:t>
            </w:r>
            <w:r w:rsidR="00F053C9" w:rsidRPr="00286A07">
              <w:rPr>
                <w:rFonts w:ascii="Arial" w:hAnsi="Arial" w:cs="Arial"/>
                <w:sz w:val="22"/>
                <w:szCs w:val="22"/>
              </w:rPr>
              <w:t>%</w:t>
            </w:r>
            <w:r w:rsidR="004E0021" w:rsidRPr="00286A07">
              <w:rPr>
                <w:rFonts w:ascii="Arial" w:hAnsi="Arial" w:cs="Arial"/>
                <w:sz w:val="22"/>
                <w:szCs w:val="22"/>
              </w:rPr>
              <w:t xml:space="preserve"> for value of invoices paid.</w:t>
            </w:r>
            <w:r w:rsidR="003C2211" w:rsidRPr="00286A07">
              <w:rPr>
                <w:rFonts w:ascii="Arial" w:hAnsi="Arial" w:cs="Arial"/>
                <w:sz w:val="22"/>
                <w:szCs w:val="22"/>
              </w:rPr>
              <w:t xml:space="preserve">  </w:t>
            </w:r>
            <w:r w:rsidR="004E0021" w:rsidRPr="00286A07">
              <w:rPr>
                <w:rFonts w:ascii="Arial" w:hAnsi="Arial" w:cs="Arial"/>
                <w:sz w:val="22"/>
                <w:szCs w:val="22"/>
              </w:rPr>
              <w:t xml:space="preserve">Having achieved the </w:t>
            </w:r>
            <w:r w:rsidR="006F24A4">
              <w:rPr>
                <w:rFonts w:ascii="Arial" w:hAnsi="Arial" w:cs="Arial"/>
                <w:sz w:val="22"/>
                <w:szCs w:val="22"/>
              </w:rPr>
              <w:t>6</w:t>
            </w:r>
            <w:r w:rsidR="004E0021" w:rsidRPr="00286A07">
              <w:rPr>
                <w:rFonts w:ascii="Arial" w:hAnsi="Arial" w:cs="Arial"/>
                <w:sz w:val="22"/>
                <w:szCs w:val="22"/>
              </w:rPr>
              <w:t>0% target of paying invoices within 10 days during 201</w:t>
            </w:r>
            <w:r w:rsidR="006F24A4">
              <w:rPr>
                <w:rFonts w:ascii="Arial" w:hAnsi="Arial" w:cs="Arial"/>
                <w:sz w:val="22"/>
                <w:szCs w:val="22"/>
              </w:rPr>
              <w:t>5</w:t>
            </w:r>
            <w:r w:rsidR="004E0021" w:rsidRPr="00286A07">
              <w:rPr>
                <w:rFonts w:ascii="Arial" w:hAnsi="Arial" w:cs="Arial"/>
                <w:sz w:val="22"/>
                <w:szCs w:val="22"/>
              </w:rPr>
              <w:t>/1</w:t>
            </w:r>
            <w:r w:rsidR="006F24A4">
              <w:rPr>
                <w:rFonts w:ascii="Arial" w:hAnsi="Arial" w:cs="Arial"/>
                <w:sz w:val="22"/>
                <w:szCs w:val="22"/>
              </w:rPr>
              <w:t>6</w:t>
            </w:r>
            <w:r w:rsidR="004E0021" w:rsidRPr="00286A07">
              <w:rPr>
                <w:rFonts w:ascii="Arial" w:hAnsi="Arial" w:cs="Arial"/>
                <w:sz w:val="22"/>
                <w:szCs w:val="22"/>
              </w:rPr>
              <w:t xml:space="preserve">, the HRA </w:t>
            </w:r>
            <w:r w:rsidR="006F24A4">
              <w:rPr>
                <w:rFonts w:ascii="Arial" w:hAnsi="Arial" w:cs="Arial"/>
                <w:sz w:val="22"/>
                <w:szCs w:val="22"/>
              </w:rPr>
              <w:t>has maintained this target f</w:t>
            </w:r>
            <w:r w:rsidR="00CB08D8">
              <w:rPr>
                <w:rFonts w:ascii="Arial" w:hAnsi="Arial" w:cs="Arial"/>
                <w:sz w:val="22"/>
                <w:szCs w:val="22"/>
              </w:rPr>
              <w:t>o</w:t>
            </w:r>
            <w:r w:rsidR="0060431A">
              <w:rPr>
                <w:rFonts w:ascii="Arial" w:hAnsi="Arial" w:cs="Arial"/>
                <w:sz w:val="22"/>
                <w:szCs w:val="22"/>
              </w:rPr>
              <w:t>r 2016/17 and at the end of July</w:t>
            </w:r>
            <w:r w:rsidR="006F24A4">
              <w:rPr>
                <w:rFonts w:ascii="Arial" w:hAnsi="Arial" w:cs="Arial"/>
                <w:sz w:val="22"/>
                <w:szCs w:val="22"/>
              </w:rPr>
              <w:t xml:space="preserve">, this target has been achieved.  </w:t>
            </w:r>
            <w:r w:rsidRPr="00286A07">
              <w:rPr>
                <w:rFonts w:ascii="Arial" w:hAnsi="Arial" w:cs="Arial"/>
                <w:sz w:val="22"/>
                <w:szCs w:val="22"/>
              </w:rPr>
              <w:t>All approvers are asked to note this and to approve invoices promptly or place on hold if there is a dispute.  Performance is published on our website.</w:t>
            </w:r>
            <w:r w:rsidR="00344274" w:rsidRPr="00286A07">
              <w:rPr>
                <w:rFonts w:ascii="Arial" w:hAnsi="Arial" w:cs="Arial"/>
                <w:sz w:val="22"/>
                <w:szCs w:val="22"/>
              </w:rPr>
              <w:t xml:space="preserve"> </w:t>
            </w:r>
          </w:p>
          <w:p w:rsidR="00254D93" w:rsidRPr="00951DD0" w:rsidRDefault="00254D93" w:rsidP="0086694E">
            <w:pPr>
              <w:rPr>
                <w:rFonts w:ascii="Arial" w:hAnsi="Arial" w:cs="Arial"/>
                <w:sz w:val="22"/>
                <w:szCs w:val="22"/>
                <w:highlight w:val="yellow"/>
              </w:rPr>
            </w:pPr>
          </w:p>
          <w:p w:rsidR="00CA3C40" w:rsidRPr="00EE12A9" w:rsidRDefault="00CA3C40" w:rsidP="00CA3C40">
            <w:pPr>
              <w:numPr>
                <w:ilvl w:val="0"/>
                <w:numId w:val="2"/>
              </w:numPr>
              <w:tabs>
                <w:tab w:val="left" w:pos="2172"/>
              </w:tabs>
              <w:contextualSpacing/>
              <w:rPr>
                <w:rFonts w:ascii="Arial" w:hAnsi="Arial" w:cs="Arial"/>
                <w:sz w:val="22"/>
                <w:szCs w:val="22"/>
              </w:rPr>
            </w:pPr>
            <w:r w:rsidRPr="00EE12A9">
              <w:rPr>
                <w:rFonts w:ascii="Arial" w:hAnsi="Arial" w:cs="Arial"/>
                <w:sz w:val="22"/>
                <w:szCs w:val="22"/>
              </w:rPr>
              <w:t>Cash balance has reduced from year end £3.</w:t>
            </w:r>
            <w:r w:rsidR="006F24A4">
              <w:rPr>
                <w:rFonts w:ascii="Arial" w:hAnsi="Arial" w:cs="Arial"/>
                <w:sz w:val="22"/>
                <w:szCs w:val="22"/>
              </w:rPr>
              <w:t>485</w:t>
            </w:r>
            <w:r w:rsidRPr="00EE12A9">
              <w:rPr>
                <w:rFonts w:ascii="Arial" w:hAnsi="Arial" w:cs="Arial"/>
                <w:sz w:val="22"/>
                <w:szCs w:val="22"/>
              </w:rPr>
              <w:t xml:space="preserve"> million (with liabilities t</w:t>
            </w:r>
            <w:r w:rsidR="00B43093">
              <w:rPr>
                <w:rFonts w:ascii="Arial" w:hAnsi="Arial" w:cs="Arial"/>
                <w:sz w:val="22"/>
                <w:szCs w:val="22"/>
              </w:rPr>
              <w:t>o pay of £1.</w:t>
            </w:r>
            <w:r w:rsidR="006F24A4">
              <w:rPr>
                <w:rFonts w:ascii="Arial" w:hAnsi="Arial" w:cs="Arial"/>
                <w:sz w:val="22"/>
                <w:szCs w:val="22"/>
              </w:rPr>
              <w:t>296</w:t>
            </w:r>
            <w:r w:rsidR="00D23AF7">
              <w:rPr>
                <w:rFonts w:ascii="Arial" w:hAnsi="Arial" w:cs="Arial"/>
                <w:sz w:val="22"/>
                <w:szCs w:val="22"/>
              </w:rPr>
              <w:t>million) to £2.694</w:t>
            </w:r>
            <w:r w:rsidRPr="00EE12A9">
              <w:rPr>
                <w:rFonts w:ascii="Arial" w:hAnsi="Arial" w:cs="Arial"/>
                <w:sz w:val="22"/>
                <w:szCs w:val="22"/>
              </w:rPr>
              <w:t xml:space="preserve"> million (w</w:t>
            </w:r>
            <w:r w:rsidR="00B43093">
              <w:rPr>
                <w:rFonts w:ascii="Arial" w:hAnsi="Arial" w:cs="Arial"/>
                <w:sz w:val="22"/>
                <w:szCs w:val="22"/>
              </w:rPr>
              <w:t>ith liabilities to pay of £1</w:t>
            </w:r>
            <w:r w:rsidR="00D23AF7">
              <w:rPr>
                <w:rFonts w:ascii="Arial" w:hAnsi="Arial" w:cs="Arial"/>
                <w:sz w:val="22"/>
                <w:szCs w:val="22"/>
              </w:rPr>
              <w:t>.12</w:t>
            </w:r>
            <w:r w:rsidR="00CB08D8">
              <w:rPr>
                <w:rFonts w:ascii="Arial" w:hAnsi="Arial" w:cs="Arial"/>
                <w:sz w:val="22"/>
                <w:szCs w:val="22"/>
              </w:rPr>
              <w:t>5</w:t>
            </w:r>
            <w:r w:rsidRPr="00EE12A9">
              <w:rPr>
                <w:rFonts w:ascii="Arial" w:hAnsi="Arial" w:cs="Arial"/>
                <w:sz w:val="22"/>
                <w:szCs w:val="22"/>
              </w:rPr>
              <w:t>million).</w:t>
            </w:r>
          </w:p>
          <w:p w:rsidR="00CA3C40" w:rsidRPr="00EE12A9" w:rsidRDefault="00CA3C40" w:rsidP="00CA3C40">
            <w:pPr>
              <w:tabs>
                <w:tab w:val="left" w:pos="2172"/>
              </w:tabs>
              <w:contextualSpacing/>
              <w:rPr>
                <w:rFonts w:ascii="Arial" w:hAnsi="Arial" w:cs="Arial"/>
                <w:sz w:val="22"/>
                <w:szCs w:val="22"/>
              </w:rPr>
            </w:pPr>
          </w:p>
          <w:p w:rsidR="00CA3C40" w:rsidRPr="00EE12A9" w:rsidRDefault="00CA3C40" w:rsidP="00CA3C40">
            <w:pPr>
              <w:numPr>
                <w:ilvl w:val="0"/>
                <w:numId w:val="2"/>
              </w:numPr>
              <w:tabs>
                <w:tab w:val="left" w:pos="2172"/>
              </w:tabs>
              <w:contextualSpacing/>
              <w:rPr>
                <w:rFonts w:ascii="Arial" w:hAnsi="Arial" w:cs="Arial"/>
                <w:sz w:val="22"/>
                <w:szCs w:val="22"/>
              </w:rPr>
            </w:pPr>
            <w:r w:rsidRPr="00EE12A9">
              <w:rPr>
                <w:rFonts w:ascii="Arial" w:hAnsi="Arial" w:cs="Arial"/>
                <w:sz w:val="22"/>
                <w:szCs w:val="22"/>
              </w:rPr>
              <w:t>The cash bal</w:t>
            </w:r>
            <w:r w:rsidR="00D23AF7">
              <w:rPr>
                <w:rFonts w:ascii="Arial" w:hAnsi="Arial" w:cs="Arial"/>
                <w:sz w:val="22"/>
                <w:szCs w:val="22"/>
              </w:rPr>
              <w:t>ance at the end of July</w:t>
            </w:r>
            <w:r w:rsidR="00301D79">
              <w:rPr>
                <w:rFonts w:ascii="Arial" w:hAnsi="Arial" w:cs="Arial"/>
                <w:sz w:val="22"/>
                <w:szCs w:val="22"/>
              </w:rPr>
              <w:t xml:space="preserve"> </w:t>
            </w:r>
            <w:r w:rsidR="00CB08D8">
              <w:rPr>
                <w:rFonts w:ascii="Arial" w:hAnsi="Arial" w:cs="Arial"/>
                <w:sz w:val="22"/>
                <w:szCs w:val="22"/>
              </w:rPr>
              <w:t>2016 was £2.</w:t>
            </w:r>
            <w:r w:rsidR="00D23AF7">
              <w:rPr>
                <w:rFonts w:ascii="Arial" w:hAnsi="Arial" w:cs="Arial"/>
                <w:sz w:val="22"/>
                <w:szCs w:val="22"/>
              </w:rPr>
              <w:t>694</w:t>
            </w:r>
            <w:r w:rsidRPr="00EE12A9">
              <w:rPr>
                <w:rFonts w:ascii="Arial" w:hAnsi="Arial" w:cs="Arial"/>
                <w:sz w:val="22"/>
                <w:szCs w:val="22"/>
              </w:rPr>
              <w:t>m, which is</w:t>
            </w:r>
            <w:r w:rsidR="00D23AF7">
              <w:rPr>
                <w:rFonts w:ascii="Arial" w:hAnsi="Arial" w:cs="Arial"/>
                <w:sz w:val="22"/>
                <w:szCs w:val="22"/>
              </w:rPr>
              <w:t xml:space="preserve"> a reduction against the balance</w:t>
            </w:r>
            <w:r w:rsidR="00EE12A9" w:rsidRPr="00EE12A9">
              <w:rPr>
                <w:rFonts w:ascii="Arial" w:hAnsi="Arial" w:cs="Arial"/>
                <w:sz w:val="22"/>
                <w:szCs w:val="22"/>
              </w:rPr>
              <w:t xml:space="preserve"> held</w:t>
            </w:r>
            <w:r w:rsidR="00B43093">
              <w:rPr>
                <w:rFonts w:ascii="Arial" w:hAnsi="Arial" w:cs="Arial"/>
                <w:sz w:val="22"/>
                <w:szCs w:val="22"/>
              </w:rPr>
              <w:t xml:space="preserve"> at the end of</w:t>
            </w:r>
            <w:r w:rsidR="00D23AF7">
              <w:rPr>
                <w:rFonts w:ascii="Arial" w:hAnsi="Arial" w:cs="Arial"/>
                <w:sz w:val="22"/>
                <w:szCs w:val="22"/>
              </w:rPr>
              <w:t xml:space="preserve"> June </w:t>
            </w:r>
            <w:r w:rsidR="00B55ECA">
              <w:rPr>
                <w:rFonts w:ascii="Arial" w:hAnsi="Arial" w:cs="Arial"/>
                <w:sz w:val="22"/>
                <w:szCs w:val="22"/>
              </w:rPr>
              <w:t xml:space="preserve">16 (£2.999m) </w:t>
            </w:r>
            <w:r w:rsidR="00D23AF7">
              <w:rPr>
                <w:rFonts w:ascii="Arial" w:hAnsi="Arial" w:cs="Arial"/>
                <w:sz w:val="22"/>
                <w:szCs w:val="22"/>
              </w:rPr>
              <w:t>and less than the balance held at the end of</w:t>
            </w:r>
            <w:r w:rsidR="00B43093">
              <w:rPr>
                <w:rFonts w:ascii="Arial" w:hAnsi="Arial" w:cs="Arial"/>
                <w:sz w:val="22"/>
                <w:szCs w:val="22"/>
              </w:rPr>
              <w:t xml:space="preserve"> </w:t>
            </w:r>
            <w:r w:rsidR="006F24A4">
              <w:rPr>
                <w:rFonts w:ascii="Arial" w:hAnsi="Arial" w:cs="Arial"/>
                <w:sz w:val="22"/>
                <w:szCs w:val="22"/>
              </w:rPr>
              <w:t>March</w:t>
            </w:r>
            <w:r w:rsidR="00D23AF7">
              <w:rPr>
                <w:rFonts w:ascii="Arial" w:hAnsi="Arial" w:cs="Arial"/>
                <w:sz w:val="22"/>
                <w:szCs w:val="22"/>
              </w:rPr>
              <w:t xml:space="preserve"> 16</w:t>
            </w:r>
            <w:r w:rsidR="00B43093">
              <w:rPr>
                <w:rFonts w:ascii="Arial" w:hAnsi="Arial" w:cs="Arial"/>
                <w:sz w:val="22"/>
                <w:szCs w:val="22"/>
              </w:rPr>
              <w:t xml:space="preserve"> of £3.4</w:t>
            </w:r>
            <w:r w:rsidR="006F24A4">
              <w:rPr>
                <w:rFonts w:ascii="Arial" w:hAnsi="Arial" w:cs="Arial"/>
                <w:sz w:val="22"/>
                <w:szCs w:val="22"/>
              </w:rPr>
              <w:t>85</w:t>
            </w:r>
            <w:r w:rsidRPr="00EE12A9">
              <w:rPr>
                <w:rFonts w:ascii="Arial" w:hAnsi="Arial" w:cs="Arial"/>
                <w:sz w:val="22"/>
                <w:szCs w:val="22"/>
              </w:rPr>
              <w:t xml:space="preserve">m.  </w:t>
            </w:r>
          </w:p>
          <w:p w:rsidR="00CA3C40" w:rsidRPr="00EE12A9" w:rsidRDefault="00CA3C40" w:rsidP="00CA3C40">
            <w:pPr>
              <w:pStyle w:val="ListParagraph"/>
              <w:rPr>
                <w:rFonts w:ascii="Arial" w:hAnsi="Arial" w:cs="Arial"/>
                <w:sz w:val="22"/>
                <w:szCs w:val="22"/>
              </w:rPr>
            </w:pPr>
          </w:p>
          <w:p w:rsidR="00254D93" w:rsidRDefault="00254D93" w:rsidP="00254D93">
            <w:pPr>
              <w:tabs>
                <w:tab w:val="left" w:pos="2172"/>
              </w:tabs>
              <w:contextualSpacing/>
              <w:rPr>
                <w:rFonts w:ascii="Arial" w:hAnsi="Arial" w:cs="Arial"/>
                <w:sz w:val="22"/>
                <w:szCs w:val="22"/>
              </w:rPr>
            </w:pPr>
          </w:p>
          <w:p w:rsidR="00254D93" w:rsidRPr="004B6C9A" w:rsidRDefault="00254D93" w:rsidP="00254D93">
            <w:pPr>
              <w:tabs>
                <w:tab w:val="left" w:pos="2172"/>
              </w:tabs>
              <w:contextualSpacing/>
              <w:rPr>
                <w:rFonts w:ascii="Arial" w:hAnsi="Arial" w:cs="Arial"/>
                <w:sz w:val="22"/>
                <w:szCs w:val="22"/>
              </w:rPr>
            </w:pPr>
          </w:p>
          <w:p w:rsidR="00C11CD4" w:rsidRPr="00540FAA" w:rsidRDefault="00C11CD4" w:rsidP="00BB4161">
            <w:pPr>
              <w:tabs>
                <w:tab w:val="left" w:pos="2172"/>
              </w:tabs>
              <w:ind w:left="360"/>
              <w:contextualSpacing/>
              <w:rPr>
                <w:rFonts w:ascii="Arial" w:hAnsi="Arial" w:cs="Arial"/>
                <w:sz w:val="22"/>
                <w:szCs w:val="22"/>
              </w:rPr>
            </w:pPr>
          </w:p>
        </w:tc>
      </w:tr>
    </w:tbl>
    <w:p w:rsidR="009B64AA" w:rsidRDefault="009B64AA" w:rsidP="00445C3C">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p>
    <w:p w:rsidR="00C3142C" w:rsidRDefault="00C3142C" w:rsidP="00445C3C">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p>
    <w:p w:rsidR="00445C3C" w:rsidRPr="00F64C33" w:rsidRDefault="00445C3C" w:rsidP="00445C3C">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F64C33">
        <w:rPr>
          <w:rFonts w:ascii="Arial" w:eastAsia="Calibri" w:hAnsi="Arial"/>
          <w:b/>
          <w:bCs/>
          <w:color w:val="56008C"/>
          <w:szCs w:val="26"/>
          <w:lang w:eastAsia="en-US"/>
        </w:rPr>
        <w:t>Health Research Autho</w:t>
      </w:r>
      <w:r>
        <w:rPr>
          <w:rFonts w:ascii="Arial" w:eastAsia="Calibri" w:hAnsi="Arial"/>
          <w:b/>
          <w:bCs/>
          <w:color w:val="56008C"/>
          <w:szCs w:val="26"/>
          <w:lang w:eastAsia="en-US"/>
        </w:rPr>
        <w:t>rity – Non Pay Expenditure</w:t>
      </w:r>
      <w:r w:rsidR="004F1024">
        <w:rPr>
          <w:rFonts w:ascii="Arial" w:eastAsia="Calibri" w:hAnsi="Arial"/>
          <w:b/>
          <w:bCs/>
          <w:color w:val="56008C"/>
          <w:szCs w:val="26"/>
          <w:lang w:eastAsia="en-US"/>
        </w:rPr>
        <w:t xml:space="preserve"> Year to</w:t>
      </w:r>
      <w:r w:rsidR="008235F9">
        <w:rPr>
          <w:rFonts w:ascii="Arial" w:eastAsia="Calibri" w:hAnsi="Arial"/>
          <w:b/>
          <w:bCs/>
          <w:color w:val="56008C"/>
          <w:szCs w:val="26"/>
          <w:lang w:eastAsia="en-US"/>
        </w:rPr>
        <w:t xml:space="preserve"> end July</w:t>
      </w:r>
      <w:r w:rsidR="00563BB5">
        <w:rPr>
          <w:rFonts w:ascii="Arial" w:eastAsia="Calibri" w:hAnsi="Arial"/>
          <w:b/>
          <w:bCs/>
          <w:color w:val="56008C"/>
          <w:szCs w:val="26"/>
          <w:lang w:eastAsia="en-US"/>
        </w:rPr>
        <w:t xml:space="preserve"> 2016</w:t>
      </w:r>
      <w:r>
        <w:rPr>
          <w:rFonts w:ascii="Arial" w:eastAsia="Calibri" w:hAnsi="Arial"/>
          <w:b/>
          <w:bCs/>
          <w:color w:val="56008C"/>
          <w:szCs w:val="26"/>
          <w:lang w:eastAsia="en-US"/>
        </w:rPr>
        <w:t xml:space="preserve">                    </w:t>
      </w:r>
      <w:r w:rsidRPr="00F64C33">
        <w:rPr>
          <w:rFonts w:ascii="Arial" w:eastAsia="Calibri" w:hAnsi="Arial"/>
          <w:b/>
          <w:bCs/>
          <w:color w:val="56008C"/>
          <w:szCs w:val="26"/>
          <w:lang w:eastAsia="en-US"/>
        </w:rPr>
        <w:t xml:space="preserve">                   </w:t>
      </w:r>
      <w:r w:rsidR="00072739">
        <w:rPr>
          <w:rFonts w:ascii="Arial" w:eastAsia="Calibri" w:hAnsi="Arial"/>
          <w:b/>
          <w:bCs/>
          <w:color w:val="56008C"/>
          <w:szCs w:val="26"/>
          <w:lang w:eastAsia="en-US"/>
        </w:rPr>
        <w:t xml:space="preserve"> </w:t>
      </w:r>
      <w:r w:rsidRPr="00F64C33">
        <w:rPr>
          <w:rFonts w:ascii="Arial" w:eastAsia="Calibri" w:hAnsi="Arial"/>
          <w:b/>
          <w:bCs/>
          <w:color w:val="56008C"/>
          <w:szCs w:val="26"/>
          <w:lang w:eastAsia="en-US"/>
        </w:rPr>
        <w:t xml:space="preserve">            </w:t>
      </w:r>
      <w:r>
        <w:rPr>
          <w:rFonts w:ascii="Arial" w:eastAsia="Calibri" w:hAnsi="Arial"/>
          <w:b/>
          <w:bCs/>
          <w:color w:val="56008C"/>
          <w:szCs w:val="26"/>
          <w:lang w:eastAsia="en-US"/>
        </w:rPr>
        <w:t xml:space="preserve">                 Appendix B</w:t>
      </w:r>
    </w:p>
    <w:tbl>
      <w:tblPr>
        <w:tblStyle w:val="TableGrid"/>
        <w:tblW w:w="0" w:type="auto"/>
        <w:tblLayout w:type="fixed"/>
        <w:tblLook w:val="04A0" w:firstRow="1" w:lastRow="0" w:firstColumn="1" w:lastColumn="0" w:noHBand="0" w:noVBand="1"/>
      </w:tblPr>
      <w:tblGrid>
        <w:gridCol w:w="1668"/>
        <w:gridCol w:w="13960"/>
      </w:tblGrid>
      <w:tr w:rsidR="00445C3C" w:rsidRPr="00461E1B" w:rsidTr="00AA06F0">
        <w:tc>
          <w:tcPr>
            <w:tcW w:w="1668" w:type="dxa"/>
            <w:shd w:val="clear" w:color="auto" w:fill="56008C"/>
            <w:vAlign w:val="center"/>
          </w:tcPr>
          <w:p w:rsidR="00445C3C" w:rsidRPr="00FC6EBF" w:rsidRDefault="002132BF" w:rsidP="00B27E7E">
            <w:pPr>
              <w:spacing w:after="200" w:line="276" w:lineRule="auto"/>
              <w:jc w:val="center"/>
              <w:rPr>
                <w:rFonts w:ascii="Arial" w:hAnsi="Arial" w:cs="Arial"/>
                <w:b/>
              </w:rPr>
            </w:pPr>
            <w:r w:rsidRPr="002132BF">
              <w:rPr>
                <w:rFonts w:ascii="Arial" w:hAnsi="Arial" w:cs="Arial"/>
                <w:b/>
                <w:color w:val="E28C05"/>
              </w:rPr>
              <w:t>Areas of Non- Pay Expenditure</w:t>
            </w:r>
          </w:p>
        </w:tc>
        <w:tc>
          <w:tcPr>
            <w:tcW w:w="13960" w:type="dxa"/>
          </w:tcPr>
          <w:p w:rsidR="005810CF" w:rsidRDefault="00445C3C" w:rsidP="00BC0710">
            <w:pPr>
              <w:tabs>
                <w:tab w:val="left" w:pos="2172"/>
              </w:tabs>
              <w:spacing w:after="200" w:line="276" w:lineRule="auto"/>
              <w:rPr>
                <w:rFonts w:ascii="Arial" w:hAnsi="Arial" w:cs="Arial"/>
                <w:sz w:val="22"/>
                <w:szCs w:val="22"/>
              </w:rPr>
            </w:pPr>
            <w:r w:rsidRPr="00BC0710">
              <w:rPr>
                <w:rFonts w:ascii="Arial" w:hAnsi="Arial" w:cs="Arial"/>
                <w:sz w:val="22"/>
                <w:szCs w:val="22"/>
              </w:rPr>
              <w:t xml:space="preserve"> </w:t>
            </w:r>
          </w:p>
          <w:tbl>
            <w:tblPr>
              <w:tblW w:w="12280" w:type="dxa"/>
              <w:tblLayout w:type="fixed"/>
              <w:tblLook w:val="04A0" w:firstRow="1" w:lastRow="0" w:firstColumn="1" w:lastColumn="0" w:noHBand="0" w:noVBand="1"/>
            </w:tblPr>
            <w:tblGrid>
              <w:gridCol w:w="4600"/>
              <w:gridCol w:w="960"/>
              <w:gridCol w:w="960"/>
              <w:gridCol w:w="960"/>
              <w:gridCol w:w="960"/>
              <w:gridCol w:w="960"/>
              <w:gridCol w:w="960"/>
              <w:gridCol w:w="960"/>
              <w:gridCol w:w="960"/>
            </w:tblGrid>
            <w:tr w:rsidR="009B5B5B" w:rsidRPr="009B5B5B" w:rsidTr="009B5B5B">
              <w:trPr>
                <w:trHeight w:val="288"/>
              </w:trPr>
              <w:tc>
                <w:tcPr>
                  <w:tcW w:w="4600" w:type="dxa"/>
                  <w:tcBorders>
                    <w:top w:val="nil"/>
                    <w:left w:val="nil"/>
                    <w:bottom w:val="nil"/>
                    <w:right w:val="single" w:sz="4" w:space="0" w:color="FFFFFF"/>
                  </w:tcBorders>
                  <w:shd w:val="clear" w:color="000000" w:fill="0070B9"/>
                  <w:hideMark/>
                </w:tcPr>
                <w:p w:rsidR="009B5B5B" w:rsidRPr="009B5B5B" w:rsidRDefault="009B5B5B" w:rsidP="009B5B5B">
                  <w:pPr>
                    <w:jc w:val="center"/>
                    <w:rPr>
                      <w:rFonts w:ascii="Calibri" w:hAnsi="Calibri" w:cs="Calibri"/>
                      <w:b/>
                      <w:bCs/>
                      <w:color w:val="FFFFFF"/>
                      <w:sz w:val="16"/>
                      <w:szCs w:val="16"/>
                    </w:rPr>
                  </w:pPr>
                  <w:r w:rsidRPr="009B5B5B">
                    <w:rPr>
                      <w:rFonts w:ascii="Calibri" w:hAnsi="Calibri" w:cs="Calibri"/>
                      <w:b/>
                      <w:bCs/>
                      <w:color w:val="FFFFFF"/>
                      <w:sz w:val="16"/>
                      <w:szCs w:val="16"/>
                    </w:rPr>
                    <w:t>Subjective</w:t>
                  </w:r>
                </w:p>
              </w:tc>
              <w:tc>
                <w:tcPr>
                  <w:tcW w:w="960" w:type="dxa"/>
                  <w:tcBorders>
                    <w:top w:val="nil"/>
                    <w:left w:val="nil"/>
                    <w:bottom w:val="nil"/>
                    <w:right w:val="single" w:sz="4" w:space="0" w:color="FFFFFF"/>
                  </w:tcBorders>
                  <w:shd w:val="clear" w:color="000000" w:fill="0070B9"/>
                  <w:hideMark/>
                </w:tcPr>
                <w:p w:rsidR="009B5B5B" w:rsidRPr="009B5B5B" w:rsidRDefault="009B5B5B" w:rsidP="009B5B5B">
                  <w:pPr>
                    <w:rPr>
                      <w:rFonts w:ascii="Calibri" w:hAnsi="Calibri" w:cs="Calibri"/>
                      <w:b/>
                      <w:bCs/>
                      <w:color w:val="FFFFFF"/>
                      <w:sz w:val="16"/>
                      <w:szCs w:val="16"/>
                    </w:rPr>
                  </w:pPr>
                  <w:r w:rsidRPr="009B5B5B">
                    <w:rPr>
                      <w:rFonts w:ascii="Calibri" w:hAnsi="Calibri" w:cs="Calibri"/>
                      <w:b/>
                      <w:bCs/>
                      <w:color w:val="FFFFFF"/>
                      <w:sz w:val="16"/>
                      <w:szCs w:val="16"/>
                    </w:rPr>
                    <w:t>Annual</w:t>
                  </w:r>
                </w:p>
              </w:tc>
              <w:tc>
                <w:tcPr>
                  <w:tcW w:w="960" w:type="dxa"/>
                  <w:tcBorders>
                    <w:top w:val="nil"/>
                    <w:left w:val="nil"/>
                    <w:bottom w:val="nil"/>
                    <w:right w:val="single" w:sz="4" w:space="0" w:color="FFFFFF"/>
                  </w:tcBorders>
                  <w:shd w:val="clear" w:color="000000" w:fill="0070B9"/>
                  <w:hideMark/>
                </w:tcPr>
                <w:p w:rsidR="009B5B5B" w:rsidRPr="009B5B5B" w:rsidRDefault="009B5B5B" w:rsidP="009B5B5B">
                  <w:pPr>
                    <w:rPr>
                      <w:rFonts w:ascii="Calibri" w:hAnsi="Calibri" w:cs="Calibri"/>
                      <w:b/>
                      <w:bCs/>
                      <w:color w:val="FFFFFF"/>
                      <w:sz w:val="16"/>
                      <w:szCs w:val="16"/>
                    </w:rPr>
                  </w:pPr>
                  <w:r w:rsidRPr="009B5B5B">
                    <w:rPr>
                      <w:rFonts w:ascii="Calibri" w:hAnsi="Calibri" w:cs="Calibri"/>
                      <w:b/>
                      <w:bCs/>
                      <w:color w:val="FFFFFF"/>
                      <w:sz w:val="16"/>
                      <w:szCs w:val="16"/>
                    </w:rPr>
                    <w:t>Next year</w:t>
                  </w:r>
                </w:p>
              </w:tc>
              <w:tc>
                <w:tcPr>
                  <w:tcW w:w="2880" w:type="dxa"/>
                  <w:gridSpan w:val="3"/>
                  <w:tcBorders>
                    <w:top w:val="nil"/>
                    <w:left w:val="nil"/>
                    <w:bottom w:val="nil"/>
                    <w:right w:val="single" w:sz="4" w:space="0" w:color="FFFFFF"/>
                  </w:tcBorders>
                  <w:shd w:val="clear" w:color="000000" w:fill="0070B9"/>
                  <w:hideMark/>
                </w:tcPr>
                <w:p w:rsidR="009B5B5B" w:rsidRPr="009B5B5B" w:rsidRDefault="009B5B5B" w:rsidP="009B5B5B">
                  <w:pPr>
                    <w:rPr>
                      <w:rFonts w:ascii="Calibri" w:hAnsi="Calibri" w:cs="Calibri"/>
                      <w:b/>
                      <w:bCs/>
                      <w:color w:val="FFFFFF"/>
                      <w:sz w:val="16"/>
                      <w:szCs w:val="16"/>
                    </w:rPr>
                  </w:pPr>
                  <w:r w:rsidRPr="009B5B5B">
                    <w:rPr>
                      <w:rFonts w:ascii="Calibri" w:hAnsi="Calibri" w:cs="Calibri"/>
                      <w:b/>
                      <w:bCs/>
                      <w:color w:val="FFFFFF"/>
                      <w:sz w:val="16"/>
                      <w:szCs w:val="16"/>
                    </w:rPr>
                    <w:t>In month (£)</w:t>
                  </w:r>
                </w:p>
              </w:tc>
              <w:tc>
                <w:tcPr>
                  <w:tcW w:w="2880" w:type="dxa"/>
                  <w:gridSpan w:val="3"/>
                  <w:tcBorders>
                    <w:top w:val="nil"/>
                    <w:left w:val="nil"/>
                    <w:bottom w:val="nil"/>
                    <w:right w:val="single" w:sz="4" w:space="0" w:color="FFFFFF"/>
                  </w:tcBorders>
                  <w:shd w:val="clear" w:color="000000" w:fill="0070B9"/>
                  <w:hideMark/>
                </w:tcPr>
                <w:p w:rsidR="009B5B5B" w:rsidRPr="009B5B5B" w:rsidRDefault="009B5B5B" w:rsidP="009B5B5B">
                  <w:pPr>
                    <w:rPr>
                      <w:rFonts w:ascii="Calibri" w:hAnsi="Calibri" w:cs="Calibri"/>
                      <w:b/>
                      <w:bCs/>
                      <w:color w:val="FFFFFF"/>
                      <w:sz w:val="16"/>
                      <w:szCs w:val="16"/>
                    </w:rPr>
                  </w:pPr>
                  <w:r w:rsidRPr="009B5B5B">
                    <w:rPr>
                      <w:rFonts w:ascii="Calibri" w:hAnsi="Calibri" w:cs="Calibri"/>
                      <w:b/>
                      <w:bCs/>
                      <w:color w:val="FFFFFF"/>
                      <w:sz w:val="16"/>
                      <w:szCs w:val="16"/>
                    </w:rPr>
                    <w:t>Year to date (£)</w:t>
                  </w:r>
                </w:p>
              </w:tc>
            </w:tr>
            <w:tr w:rsidR="009B5B5B" w:rsidRPr="009B5B5B" w:rsidTr="009B5B5B">
              <w:trPr>
                <w:trHeight w:val="288"/>
              </w:trPr>
              <w:tc>
                <w:tcPr>
                  <w:tcW w:w="4600" w:type="dxa"/>
                  <w:tcBorders>
                    <w:top w:val="nil"/>
                    <w:left w:val="nil"/>
                    <w:bottom w:val="nil"/>
                    <w:right w:val="single" w:sz="4" w:space="0" w:color="FFFFFF"/>
                  </w:tcBorders>
                  <w:shd w:val="clear" w:color="000000" w:fill="0070B9"/>
                  <w:hideMark/>
                </w:tcPr>
                <w:p w:rsidR="009B5B5B" w:rsidRPr="009B5B5B" w:rsidRDefault="009B5B5B" w:rsidP="009B5B5B">
                  <w:pPr>
                    <w:rPr>
                      <w:rFonts w:ascii="Calibri" w:hAnsi="Calibri" w:cs="Calibri"/>
                      <w:b/>
                      <w:bCs/>
                      <w:color w:val="FFFFFF"/>
                      <w:sz w:val="16"/>
                      <w:szCs w:val="16"/>
                    </w:rPr>
                  </w:pPr>
                  <w:r w:rsidRPr="009B5B5B">
                    <w:rPr>
                      <w:rFonts w:ascii="Calibri" w:hAnsi="Calibri" w:cs="Calibri"/>
                      <w:b/>
                      <w:bCs/>
                      <w:color w:val="FFFFFF"/>
                      <w:sz w:val="16"/>
                      <w:szCs w:val="16"/>
                    </w:rPr>
                    <w:t>Name</w:t>
                  </w:r>
                </w:p>
              </w:tc>
              <w:tc>
                <w:tcPr>
                  <w:tcW w:w="960" w:type="dxa"/>
                  <w:tcBorders>
                    <w:top w:val="nil"/>
                    <w:left w:val="nil"/>
                    <w:bottom w:val="nil"/>
                    <w:right w:val="single" w:sz="4" w:space="0" w:color="FFFFFF"/>
                  </w:tcBorders>
                  <w:shd w:val="clear" w:color="000000" w:fill="0070B9"/>
                  <w:hideMark/>
                </w:tcPr>
                <w:p w:rsidR="009B5B5B" w:rsidRPr="009B5B5B" w:rsidRDefault="009B5B5B" w:rsidP="009B5B5B">
                  <w:pPr>
                    <w:rPr>
                      <w:rFonts w:ascii="Calibri" w:hAnsi="Calibri" w:cs="Calibri"/>
                      <w:b/>
                      <w:bCs/>
                      <w:color w:val="FFFFFF"/>
                      <w:sz w:val="16"/>
                      <w:szCs w:val="16"/>
                    </w:rPr>
                  </w:pPr>
                  <w:r w:rsidRPr="009B5B5B">
                    <w:rPr>
                      <w:rFonts w:ascii="Calibri" w:hAnsi="Calibri" w:cs="Calibri"/>
                      <w:b/>
                      <w:bCs/>
                      <w:color w:val="FFFFFF"/>
                      <w:sz w:val="16"/>
                      <w:szCs w:val="16"/>
                    </w:rPr>
                    <w:t>budget (£)</w:t>
                  </w:r>
                </w:p>
              </w:tc>
              <w:tc>
                <w:tcPr>
                  <w:tcW w:w="960" w:type="dxa"/>
                  <w:tcBorders>
                    <w:top w:val="nil"/>
                    <w:left w:val="nil"/>
                    <w:bottom w:val="nil"/>
                    <w:right w:val="single" w:sz="4" w:space="0" w:color="FFFFFF"/>
                  </w:tcBorders>
                  <w:shd w:val="clear" w:color="000000" w:fill="0070B9"/>
                  <w:hideMark/>
                </w:tcPr>
                <w:p w:rsidR="009B5B5B" w:rsidRPr="009B5B5B" w:rsidRDefault="009B5B5B" w:rsidP="009B5B5B">
                  <w:pPr>
                    <w:rPr>
                      <w:rFonts w:ascii="Calibri" w:hAnsi="Calibri" w:cs="Calibri"/>
                      <w:b/>
                      <w:bCs/>
                      <w:color w:val="FFFFFF"/>
                      <w:sz w:val="16"/>
                      <w:szCs w:val="16"/>
                    </w:rPr>
                  </w:pPr>
                  <w:r w:rsidRPr="009B5B5B">
                    <w:rPr>
                      <w:rFonts w:ascii="Calibri" w:hAnsi="Calibri" w:cs="Calibri"/>
                      <w:b/>
                      <w:bCs/>
                      <w:color w:val="FFFFFF"/>
                      <w:sz w:val="16"/>
                      <w:szCs w:val="16"/>
                    </w:rPr>
                    <w:t>plan (£)</w:t>
                  </w:r>
                </w:p>
              </w:tc>
              <w:tc>
                <w:tcPr>
                  <w:tcW w:w="960" w:type="dxa"/>
                  <w:tcBorders>
                    <w:top w:val="nil"/>
                    <w:left w:val="nil"/>
                    <w:bottom w:val="nil"/>
                    <w:right w:val="single" w:sz="4" w:space="0" w:color="FFFFFF"/>
                  </w:tcBorders>
                  <w:shd w:val="clear" w:color="000000" w:fill="0070B9"/>
                  <w:hideMark/>
                </w:tcPr>
                <w:p w:rsidR="009B5B5B" w:rsidRPr="009B5B5B" w:rsidRDefault="009B5B5B" w:rsidP="009B5B5B">
                  <w:pPr>
                    <w:rPr>
                      <w:rFonts w:ascii="Calibri" w:hAnsi="Calibri" w:cs="Calibri"/>
                      <w:b/>
                      <w:bCs/>
                      <w:color w:val="FFFFFF"/>
                      <w:sz w:val="16"/>
                      <w:szCs w:val="16"/>
                    </w:rPr>
                  </w:pPr>
                  <w:r w:rsidRPr="009B5B5B">
                    <w:rPr>
                      <w:rFonts w:ascii="Calibri" w:hAnsi="Calibri" w:cs="Calibri"/>
                      <w:b/>
                      <w:bCs/>
                      <w:color w:val="FFFFFF"/>
                      <w:sz w:val="16"/>
                      <w:szCs w:val="16"/>
                    </w:rPr>
                    <w:t>Budget</w:t>
                  </w:r>
                </w:p>
              </w:tc>
              <w:tc>
                <w:tcPr>
                  <w:tcW w:w="960" w:type="dxa"/>
                  <w:tcBorders>
                    <w:top w:val="nil"/>
                    <w:left w:val="nil"/>
                    <w:bottom w:val="nil"/>
                    <w:right w:val="single" w:sz="4" w:space="0" w:color="FFFFFF"/>
                  </w:tcBorders>
                  <w:shd w:val="clear" w:color="000000" w:fill="0070B9"/>
                  <w:hideMark/>
                </w:tcPr>
                <w:p w:rsidR="009B5B5B" w:rsidRPr="009B5B5B" w:rsidRDefault="009B5B5B" w:rsidP="009B5B5B">
                  <w:pPr>
                    <w:rPr>
                      <w:rFonts w:ascii="Calibri" w:hAnsi="Calibri" w:cs="Calibri"/>
                      <w:b/>
                      <w:bCs/>
                      <w:color w:val="FFFFFF"/>
                      <w:sz w:val="16"/>
                      <w:szCs w:val="16"/>
                    </w:rPr>
                  </w:pPr>
                  <w:r w:rsidRPr="009B5B5B">
                    <w:rPr>
                      <w:rFonts w:ascii="Calibri" w:hAnsi="Calibri" w:cs="Calibri"/>
                      <w:b/>
                      <w:bCs/>
                      <w:color w:val="FFFFFF"/>
                      <w:sz w:val="16"/>
                      <w:szCs w:val="16"/>
                    </w:rPr>
                    <w:t>Actual</w:t>
                  </w:r>
                </w:p>
              </w:tc>
              <w:tc>
                <w:tcPr>
                  <w:tcW w:w="960" w:type="dxa"/>
                  <w:tcBorders>
                    <w:top w:val="nil"/>
                    <w:left w:val="nil"/>
                    <w:bottom w:val="nil"/>
                    <w:right w:val="single" w:sz="4" w:space="0" w:color="FFFFFF"/>
                  </w:tcBorders>
                  <w:shd w:val="clear" w:color="000000" w:fill="0070B9"/>
                  <w:hideMark/>
                </w:tcPr>
                <w:p w:rsidR="009B5B5B" w:rsidRPr="009B5B5B" w:rsidRDefault="009B5B5B" w:rsidP="009B5B5B">
                  <w:pPr>
                    <w:rPr>
                      <w:rFonts w:ascii="Calibri" w:hAnsi="Calibri" w:cs="Calibri"/>
                      <w:b/>
                      <w:bCs/>
                      <w:color w:val="FFFFFF"/>
                      <w:sz w:val="16"/>
                      <w:szCs w:val="16"/>
                    </w:rPr>
                  </w:pPr>
                  <w:r w:rsidRPr="009B5B5B">
                    <w:rPr>
                      <w:rFonts w:ascii="Calibri" w:hAnsi="Calibri" w:cs="Calibri"/>
                      <w:b/>
                      <w:bCs/>
                      <w:color w:val="FFFFFF"/>
                      <w:sz w:val="16"/>
                      <w:szCs w:val="16"/>
                    </w:rPr>
                    <w:t>Variance</w:t>
                  </w:r>
                </w:p>
              </w:tc>
              <w:tc>
                <w:tcPr>
                  <w:tcW w:w="960" w:type="dxa"/>
                  <w:tcBorders>
                    <w:top w:val="nil"/>
                    <w:left w:val="nil"/>
                    <w:bottom w:val="nil"/>
                    <w:right w:val="single" w:sz="4" w:space="0" w:color="FFFFFF"/>
                  </w:tcBorders>
                  <w:shd w:val="clear" w:color="000000" w:fill="0070B9"/>
                  <w:hideMark/>
                </w:tcPr>
                <w:p w:rsidR="009B5B5B" w:rsidRPr="009B5B5B" w:rsidRDefault="009B5B5B" w:rsidP="009B5B5B">
                  <w:pPr>
                    <w:rPr>
                      <w:rFonts w:ascii="Calibri" w:hAnsi="Calibri" w:cs="Calibri"/>
                      <w:b/>
                      <w:bCs/>
                      <w:color w:val="FFFFFF"/>
                      <w:sz w:val="16"/>
                      <w:szCs w:val="16"/>
                    </w:rPr>
                  </w:pPr>
                  <w:r w:rsidRPr="009B5B5B">
                    <w:rPr>
                      <w:rFonts w:ascii="Calibri" w:hAnsi="Calibri" w:cs="Calibri"/>
                      <w:b/>
                      <w:bCs/>
                      <w:color w:val="FFFFFF"/>
                      <w:sz w:val="16"/>
                      <w:szCs w:val="16"/>
                    </w:rPr>
                    <w:t>Budget</w:t>
                  </w:r>
                </w:p>
              </w:tc>
              <w:tc>
                <w:tcPr>
                  <w:tcW w:w="960" w:type="dxa"/>
                  <w:tcBorders>
                    <w:top w:val="nil"/>
                    <w:left w:val="nil"/>
                    <w:bottom w:val="nil"/>
                    <w:right w:val="single" w:sz="4" w:space="0" w:color="FFFFFF"/>
                  </w:tcBorders>
                  <w:shd w:val="clear" w:color="000000" w:fill="0070B9"/>
                  <w:hideMark/>
                </w:tcPr>
                <w:p w:rsidR="009B5B5B" w:rsidRPr="009B5B5B" w:rsidRDefault="009B5B5B" w:rsidP="009B5B5B">
                  <w:pPr>
                    <w:rPr>
                      <w:rFonts w:ascii="Calibri" w:hAnsi="Calibri" w:cs="Calibri"/>
                      <w:b/>
                      <w:bCs/>
                      <w:color w:val="FFFFFF"/>
                      <w:sz w:val="16"/>
                      <w:szCs w:val="16"/>
                    </w:rPr>
                  </w:pPr>
                  <w:r w:rsidRPr="009B5B5B">
                    <w:rPr>
                      <w:rFonts w:ascii="Calibri" w:hAnsi="Calibri" w:cs="Calibri"/>
                      <w:b/>
                      <w:bCs/>
                      <w:color w:val="FFFFFF"/>
                      <w:sz w:val="16"/>
                      <w:szCs w:val="16"/>
                    </w:rPr>
                    <w:t>Actual</w:t>
                  </w:r>
                </w:p>
              </w:tc>
              <w:tc>
                <w:tcPr>
                  <w:tcW w:w="960" w:type="dxa"/>
                  <w:tcBorders>
                    <w:top w:val="nil"/>
                    <w:left w:val="nil"/>
                    <w:bottom w:val="nil"/>
                    <w:right w:val="single" w:sz="4" w:space="0" w:color="FFFFFF"/>
                  </w:tcBorders>
                  <w:shd w:val="clear" w:color="000000" w:fill="0070B9"/>
                  <w:hideMark/>
                </w:tcPr>
                <w:p w:rsidR="009B5B5B" w:rsidRPr="009B5B5B" w:rsidRDefault="009B5B5B" w:rsidP="009B5B5B">
                  <w:pPr>
                    <w:rPr>
                      <w:rFonts w:ascii="Calibri" w:hAnsi="Calibri" w:cs="Calibri"/>
                      <w:b/>
                      <w:bCs/>
                      <w:color w:val="FFFFFF"/>
                      <w:sz w:val="16"/>
                      <w:szCs w:val="16"/>
                    </w:rPr>
                  </w:pPr>
                  <w:r w:rsidRPr="009B5B5B">
                    <w:rPr>
                      <w:rFonts w:ascii="Calibri" w:hAnsi="Calibri" w:cs="Calibri"/>
                      <w:b/>
                      <w:bCs/>
                      <w:color w:val="FFFFFF"/>
                      <w:sz w:val="16"/>
                      <w:szCs w:val="16"/>
                    </w:rPr>
                    <w:t>Variance</w:t>
                  </w:r>
                </w:p>
              </w:tc>
            </w:tr>
            <w:tr w:rsidR="009B5B5B" w:rsidRPr="009B5B5B" w:rsidTr="009B5B5B">
              <w:trPr>
                <w:trHeight w:val="300"/>
              </w:trPr>
              <w:tc>
                <w:tcPr>
                  <w:tcW w:w="4600" w:type="dxa"/>
                  <w:tcBorders>
                    <w:top w:val="nil"/>
                    <w:left w:val="nil"/>
                    <w:bottom w:val="nil"/>
                    <w:right w:val="nil"/>
                  </w:tcBorders>
                  <w:shd w:val="clear" w:color="auto" w:fill="auto"/>
                  <w:noWrap/>
                  <w:vAlign w:val="bottom"/>
                  <w:hideMark/>
                </w:tcPr>
                <w:p w:rsidR="009B5B5B" w:rsidRPr="009B5B5B" w:rsidRDefault="009B5B5B" w:rsidP="009B5B5B">
                  <w:pPr>
                    <w:outlineLvl w:val="0"/>
                    <w:rPr>
                      <w:rFonts w:ascii="Arial Narrow" w:hAnsi="Arial Narrow" w:cs="Calibri"/>
                      <w:b/>
                      <w:bCs/>
                      <w:color w:val="000000"/>
                      <w:sz w:val="16"/>
                      <w:szCs w:val="16"/>
                    </w:rPr>
                  </w:pPr>
                  <w:r w:rsidRPr="009B5B5B">
                    <w:rPr>
                      <w:rFonts w:ascii="Arial Narrow" w:hAnsi="Arial Narrow" w:cs="Calibri"/>
                      <w:b/>
                      <w:bCs/>
                      <w:color w:val="000000"/>
                      <w:sz w:val="16"/>
                      <w:szCs w:val="16"/>
                    </w:rPr>
                    <w:t>Meeting Rooms/Catering</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217,281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219,040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13,521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12,335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(1,186)</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73,027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60,071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(12,956)</w:t>
                  </w:r>
                </w:p>
              </w:tc>
            </w:tr>
            <w:tr w:rsidR="009B5B5B" w:rsidRPr="009B5B5B" w:rsidTr="009B5B5B">
              <w:trPr>
                <w:trHeight w:val="300"/>
              </w:trPr>
              <w:tc>
                <w:tcPr>
                  <w:tcW w:w="4600" w:type="dxa"/>
                  <w:tcBorders>
                    <w:top w:val="nil"/>
                    <w:left w:val="nil"/>
                    <w:bottom w:val="nil"/>
                    <w:right w:val="nil"/>
                  </w:tcBorders>
                  <w:shd w:val="clear" w:color="auto" w:fill="auto"/>
                  <w:noWrap/>
                  <w:vAlign w:val="bottom"/>
                  <w:hideMark/>
                </w:tcPr>
                <w:p w:rsidR="009B5B5B" w:rsidRPr="009B5B5B" w:rsidRDefault="009B5B5B" w:rsidP="009B5B5B">
                  <w:pPr>
                    <w:outlineLvl w:val="0"/>
                    <w:rPr>
                      <w:rFonts w:ascii="Arial Narrow" w:hAnsi="Arial Narrow" w:cs="Calibri"/>
                      <w:b/>
                      <w:bCs/>
                      <w:color w:val="000000"/>
                      <w:sz w:val="16"/>
                      <w:szCs w:val="16"/>
                    </w:rPr>
                  </w:pPr>
                  <w:r w:rsidRPr="009B5B5B">
                    <w:rPr>
                      <w:rFonts w:ascii="Arial Narrow" w:hAnsi="Arial Narrow" w:cs="Calibri"/>
                      <w:b/>
                      <w:bCs/>
                      <w:color w:val="000000"/>
                      <w:sz w:val="16"/>
                      <w:szCs w:val="16"/>
                    </w:rPr>
                    <w:t>Office equipment/Stationery/Furniture/Consumable</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67,769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101,794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(28,714)</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2,588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31,302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21,253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14,011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(7,242)</w:t>
                  </w:r>
                </w:p>
              </w:tc>
            </w:tr>
            <w:tr w:rsidR="009B5B5B" w:rsidRPr="009B5B5B" w:rsidTr="009B5B5B">
              <w:trPr>
                <w:trHeight w:val="300"/>
              </w:trPr>
              <w:tc>
                <w:tcPr>
                  <w:tcW w:w="4600" w:type="dxa"/>
                  <w:tcBorders>
                    <w:top w:val="nil"/>
                    <w:left w:val="nil"/>
                    <w:bottom w:val="nil"/>
                    <w:right w:val="nil"/>
                  </w:tcBorders>
                  <w:shd w:val="clear" w:color="auto" w:fill="auto"/>
                  <w:noWrap/>
                  <w:vAlign w:val="bottom"/>
                  <w:hideMark/>
                </w:tcPr>
                <w:p w:rsidR="009B5B5B" w:rsidRPr="009B5B5B" w:rsidRDefault="009B5B5B" w:rsidP="009B5B5B">
                  <w:pPr>
                    <w:outlineLvl w:val="0"/>
                    <w:rPr>
                      <w:rFonts w:ascii="Arial Narrow" w:hAnsi="Arial Narrow" w:cs="Calibri"/>
                      <w:b/>
                      <w:bCs/>
                      <w:color w:val="000000"/>
                      <w:sz w:val="16"/>
                      <w:szCs w:val="16"/>
                    </w:rPr>
                  </w:pPr>
                  <w:r w:rsidRPr="009B5B5B">
                    <w:rPr>
                      <w:rFonts w:ascii="Arial Narrow" w:hAnsi="Arial Narrow" w:cs="Calibri"/>
                      <w:b/>
                      <w:bCs/>
                      <w:color w:val="000000"/>
                      <w:sz w:val="16"/>
                      <w:szCs w:val="16"/>
                    </w:rPr>
                    <w:t>Photocopying/Printing/Postage/Storage/Waste</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159,169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155,410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11,873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12,715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842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51,945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51,285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(660)</w:t>
                  </w:r>
                </w:p>
              </w:tc>
            </w:tr>
            <w:tr w:rsidR="009B5B5B" w:rsidRPr="009B5B5B" w:rsidTr="009B5B5B">
              <w:trPr>
                <w:trHeight w:val="300"/>
              </w:trPr>
              <w:tc>
                <w:tcPr>
                  <w:tcW w:w="4600" w:type="dxa"/>
                  <w:tcBorders>
                    <w:top w:val="nil"/>
                    <w:left w:val="nil"/>
                    <w:bottom w:val="nil"/>
                    <w:right w:val="nil"/>
                  </w:tcBorders>
                  <w:shd w:val="clear" w:color="auto" w:fill="auto"/>
                  <w:noWrap/>
                  <w:vAlign w:val="bottom"/>
                  <w:hideMark/>
                </w:tcPr>
                <w:p w:rsidR="009B5B5B" w:rsidRPr="009B5B5B" w:rsidRDefault="009B5B5B" w:rsidP="009B5B5B">
                  <w:pPr>
                    <w:outlineLvl w:val="0"/>
                    <w:rPr>
                      <w:rFonts w:ascii="Arial Narrow" w:hAnsi="Arial Narrow" w:cs="Calibri"/>
                      <w:b/>
                      <w:bCs/>
                      <w:color w:val="000000"/>
                      <w:sz w:val="16"/>
                      <w:szCs w:val="16"/>
                    </w:rPr>
                  </w:pPr>
                  <w:r w:rsidRPr="009B5B5B">
                    <w:rPr>
                      <w:rFonts w:ascii="Arial Narrow" w:hAnsi="Arial Narrow" w:cs="Calibri"/>
                      <w:b/>
                      <w:bCs/>
                      <w:color w:val="000000"/>
                      <w:sz w:val="16"/>
                      <w:szCs w:val="16"/>
                    </w:rPr>
                    <w:t xml:space="preserve">Premises - </w:t>
                  </w:r>
                  <w:proofErr w:type="spellStart"/>
                  <w:r w:rsidRPr="009B5B5B">
                    <w:rPr>
                      <w:rFonts w:ascii="Arial Narrow" w:hAnsi="Arial Narrow" w:cs="Calibri"/>
                      <w:b/>
                      <w:bCs/>
                      <w:color w:val="000000"/>
                      <w:sz w:val="16"/>
                      <w:szCs w:val="16"/>
                    </w:rPr>
                    <w:t>inc</w:t>
                  </w:r>
                  <w:proofErr w:type="spellEnd"/>
                  <w:r w:rsidRPr="009B5B5B">
                    <w:rPr>
                      <w:rFonts w:ascii="Arial Narrow" w:hAnsi="Arial Narrow" w:cs="Calibri"/>
                      <w:b/>
                      <w:bCs/>
                      <w:color w:val="000000"/>
                      <w:sz w:val="16"/>
                      <w:szCs w:val="16"/>
                    </w:rPr>
                    <w:t xml:space="preserve"> premise removal costs</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717,327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717,327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57,249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73,859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16,610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237,428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254,153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16,725 </w:t>
                  </w:r>
                </w:p>
              </w:tc>
            </w:tr>
            <w:tr w:rsidR="009B5B5B" w:rsidRPr="009B5B5B" w:rsidTr="009B5B5B">
              <w:trPr>
                <w:trHeight w:val="300"/>
              </w:trPr>
              <w:tc>
                <w:tcPr>
                  <w:tcW w:w="4600" w:type="dxa"/>
                  <w:tcBorders>
                    <w:top w:val="nil"/>
                    <w:left w:val="nil"/>
                    <w:bottom w:val="nil"/>
                    <w:right w:val="nil"/>
                  </w:tcBorders>
                  <w:shd w:val="clear" w:color="auto" w:fill="auto"/>
                  <w:noWrap/>
                  <w:vAlign w:val="bottom"/>
                  <w:hideMark/>
                </w:tcPr>
                <w:p w:rsidR="009B5B5B" w:rsidRPr="009B5B5B" w:rsidRDefault="009B5B5B" w:rsidP="009B5B5B">
                  <w:pPr>
                    <w:outlineLvl w:val="0"/>
                    <w:rPr>
                      <w:rFonts w:ascii="Arial Narrow" w:hAnsi="Arial Narrow" w:cs="Calibri"/>
                      <w:b/>
                      <w:bCs/>
                      <w:color w:val="000000"/>
                      <w:sz w:val="16"/>
                      <w:szCs w:val="16"/>
                    </w:rPr>
                  </w:pPr>
                  <w:r w:rsidRPr="009B5B5B">
                    <w:rPr>
                      <w:rFonts w:ascii="Arial Narrow" w:hAnsi="Arial Narrow" w:cs="Calibri"/>
                      <w:b/>
                      <w:bCs/>
                      <w:color w:val="000000"/>
                      <w:sz w:val="16"/>
                      <w:szCs w:val="16"/>
                    </w:rPr>
                    <w:t>Training Expenses - expenses/materials , conferences, workshops</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82,390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75,390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12,436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8,381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(4,055)</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29,876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42,610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12,734 </w:t>
                  </w:r>
                </w:p>
              </w:tc>
            </w:tr>
            <w:tr w:rsidR="009B5B5B" w:rsidRPr="009B5B5B" w:rsidTr="009B5B5B">
              <w:trPr>
                <w:trHeight w:val="300"/>
              </w:trPr>
              <w:tc>
                <w:tcPr>
                  <w:tcW w:w="4600" w:type="dxa"/>
                  <w:tcBorders>
                    <w:top w:val="nil"/>
                    <w:left w:val="nil"/>
                    <w:bottom w:val="nil"/>
                    <w:right w:val="nil"/>
                  </w:tcBorders>
                  <w:shd w:val="clear" w:color="auto" w:fill="auto"/>
                  <w:noWrap/>
                  <w:vAlign w:val="bottom"/>
                  <w:hideMark/>
                </w:tcPr>
                <w:p w:rsidR="009B5B5B" w:rsidRPr="009B5B5B" w:rsidRDefault="009B5B5B" w:rsidP="009B5B5B">
                  <w:pPr>
                    <w:outlineLvl w:val="0"/>
                    <w:rPr>
                      <w:rFonts w:ascii="Arial Narrow" w:hAnsi="Arial Narrow" w:cs="Calibri"/>
                      <w:b/>
                      <w:bCs/>
                      <w:color w:val="000000"/>
                      <w:sz w:val="16"/>
                      <w:szCs w:val="16"/>
                    </w:rPr>
                  </w:pPr>
                  <w:r w:rsidRPr="009B5B5B">
                    <w:rPr>
                      <w:rFonts w:ascii="Arial Narrow" w:hAnsi="Arial Narrow" w:cs="Calibri"/>
                      <w:b/>
                      <w:bCs/>
                      <w:color w:val="000000"/>
                      <w:sz w:val="16"/>
                      <w:szCs w:val="16"/>
                    </w:rPr>
                    <w:t>Other Staff costs - Recruitment/adverts/redundancy/PILON</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40,000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40,000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0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0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0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3,700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2,649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(1,051)</w:t>
                  </w:r>
                </w:p>
              </w:tc>
            </w:tr>
            <w:tr w:rsidR="009B5B5B" w:rsidRPr="009B5B5B" w:rsidTr="009B5B5B">
              <w:trPr>
                <w:trHeight w:val="300"/>
              </w:trPr>
              <w:tc>
                <w:tcPr>
                  <w:tcW w:w="4600" w:type="dxa"/>
                  <w:tcBorders>
                    <w:top w:val="nil"/>
                    <w:left w:val="nil"/>
                    <w:bottom w:val="nil"/>
                    <w:right w:val="nil"/>
                  </w:tcBorders>
                  <w:shd w:val="clear" w:color="auto" w:fill="auto"/>
                  <w:noWrap/>
                  <w:vAlign w:val="bottom"/>
                  <w:hideMark/>
                </w:tcPr>
                <w:p w:rsidR="009B5B5B" w:rsidRPr="009B5B5B" w:rsidRDefault="009B5B5B" w:rsidP="009B5B5B">
                  <w:pPr>
                    <w:outlineLvl w:val="0"/>
                    <w:rPr>
                      <w:rFonts w:ascii="Arial Narrow" w:hAnsi="Arial Narrow" w:cs="Calibri"/>
                      <w:b/>
                      <w:bCs/>
                      <w:color w:val="000000"/>
                      <w:sz w:val="16"/>
                      <w:szCs w:val="16"/>
                    </w:rPr>
                  </w:pPr>
                  <w:r w:rsidRPr="009B5B5B">
                    <w:rPr>
                      <w:rFonts w:ascii="Arial Narrow" w:hAnsi="Arial Narrow" w:cs="Calibri"/>
                      <w:b/>
                      <w:bCs/>
                      <w:color w:val="000000"/>
                      <w:sz w:val="16"/>
                      <w:szCs w:val="16"/>
                    </w:rPr>
                    <w:t>Travel costs - include excess mileage/interview expenses</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556,208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531,403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49,111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41,140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(7,971)</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192,789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198,254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5,465 </w:t>
                  </w:r>
                </w:p>
              </w:tc>
            </w:tr>
            <w:tr w:rsidR="009B5B5B" w:rsidRPr="009B5B5B" w:rsidTr="009B5B5B">
              <w:trPr>
                <w:trHeight w:val="300"/>
              </w:trPr>
              <w:tc>
                <w:tcPr>
                  <w:tcW w:w="4600" w:type="dxa"/>
                  <w:tcBorders>
                    <w:top w:val="nil"/>
                    <w:left w:val="nil"/>
                    <w:bottom w:val="nil"/>
                    <w:right w:val="nil"/>
                  </w:tcBorders>
                  <w:shd w:val="clear" w:color="auto" w:fill="auto"/>
                  <w:noWrap/>
                  <w:vAlign w:val="bottom"/>
                  <w:hideMark/>
                </w:tcPr>
                <w:p w:rsidR="009B5B5B" w:rsidRPr="009B5B5B" w:rsidRDefault="009B5B5B" w:rsidP="009B5B5B">
                  <w:pPr>
                    <w:outlineLvl w:val="0"/>
                    <w:rPr>
                      <w:rFonts w:ascii="Arial Narrow" w:hAnsi="Arial Narrow" w:cs="Calibri"/>
                      <w:b/>
                      <w:bCs/>
                      <w:color w:val="000000"/>
                      <w:sz w:val="16"/>
                      <w:szCs w:val="16"/>
                    </w:rPr>
                  </w:pPr>
                  <w:r w:rsidRPr="009B5B5B">
                    <w:rPr>
                      <w:rFonts w:ascii="Arial Narrow" w:hAnsi="Arial Narrow" w:cs="Calibri"/>
                      <w:b/>
                      <w:bCs/>
                      <w:color w:val="000000"/>
                      <w:sz w:val="16"/>
                      <w:szCs w:val="16"/>
                    </w:rPr>
                    <w:t>Chairs/Members/Participation - activity costs</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286,410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286,410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22,115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20,803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(1,312)</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91,785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81,436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(10,349)</w:t>
                  </w:r>
                </w:p>
              </w:tc>
            </w:tr>
            <w:tr w:rsidR="009B5B5B" w:rsidRPr="009B5B5B" w:rsidTr="009B5B5B">
              <w:trPr>
                <w:trHeight w:val="300"/>
              </w:trPr>
              <w:tc>
                <w:tcPr>
                  <w:tcW w:w="4600" w:type="dxa"/>
                  <w:tcBorders>
                    <w:top w:val="nil"/>
                    <w:left w:val="nil"/>
                    <w:bottom w:val="nil"/>
                    <w:right w:val="nil"/>
                  </w:tcBorders>
                  <w:shd w:val="clear" w:color="auto" w:fill="auto"/>
                  <w:noWrap/>
                  <w:vAlign w:val="bottom"/>
                  <w:hideMark/>
                </w:tcPr>
                <w:p w:rsidR="009B5B5B" w:rsidRPr="009B5B5B" w:rsidRDefault="009B5B5B" w:rsidP="009B5B5B">
                  <w:pPr>
                    <w:outlineLvl w:val="0"/>
                    <w:rPr>
                      <w:rFonts w:ascii="Arial Narrow" w:hAnsi="Arial Narrow" w:cs="Calibri"/>
                      <w:b/>
                      <w:bCs/>
                      <w:color w:val="000000"/>
                      <w:sz w:val="16"/>
                      <w:szCs w:val="16"/>
                    </w:rPr>
                  </w:pPr>
                  <w:r w:rsidRPr="009B5B5B">
                    <w:rPr>
                      <w:rFonts w:ascii="Arial Narrow" w:hAnsi="Arial Narrow" w:cs="Calibri"/>
                      <w:b/>
                      <w:bCs/>
                      <w:color w:val="000000"/>
                      <w:sz w:val="16"/>
                      <w:szCs w:val="16"/>
                    </w:rPr>
                    <w:t>Publications</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2,250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2,250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20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(767)</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(787)</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90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222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132 </w:t>
                  </w:r>
                </w:p>
              </w:tc>
            </w:tr>
            <w:tr w:rsidR="009B5B5B" w:rsidRPr="009B5B5B" w:rsidTr="009B5B5B">
              <w:trPr>
                <w:trHeight w:val="300"/>
              </w:trPr>
              <w:tc>
                <w:tcPr>
                  <w:tcW w:w="4600" w:type="dxa"/>
                  <w:tcBorders>
                    <w:top w:val="nil"/>
                    <w:left w:val="nil"/>
                    <w:bottom w:val="nil"/>
                    <w:right w:val="nil"/>
                  </w:tcBorders>
                  <w:shd w:val="clear" w:color="auto" w:fill="auto"/>
                  <w:noWrap/>
                  <w:vAlign w:val="bottom"/>
                  <w:hideMark/>
                </w:tcPr>
                <w:p w:rsidR="009B5B5B" w:rsidRPr="009B5B5B" w:rsidRDefault="009B5B5B" w:rsidP="009B5B5B">
                  <w:pPr>
                    <w:outlineLvl w:val="0"/>
                    <w:rPr>
                      <w:rFonts w:ascii="Arial Narrow" w:hAnsi="Arial Narrow" w:cs="Calibri"/>
                      <w:b/>
                      <w:bCs/>
                      <w:color w:val="000000"/>
                      <w:sz w:val="16"/>
                      <w:szCs w:val="16"/>
                    </w:rPr>
                  </w:pPr>
                  <w:r w:rsidRPr="009B5B5B">
                    <w:rPr>
                      <w:rFonts w:ascii="Arial Narrow" w:hAnsi="Arial Narrow" w:cs="Calibri"/>
                      <w:b/>
                      <w:bCs/>
                      <w:color w:val="000000"/>
                      <w:sz w:val="16"/>
                      <w:szCs w:val="16"/>
                    </w:rPr>
                    <w:t>Mobile Phones/Mobile Data</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18,661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18,661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1,543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295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(1,248)</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6,172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4,939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(1,233)</w:t>
                  </w:r>
                </w:p>
              </w:tc>
            </w:tr>
            <w:tr w:rsidR="009B5B5B" w:rsidRPr="009B5B5B" w:rsidTr="009B5B5B">
              <w:trPr>
                <w:trHeight w:val="300"/>
              </w:trPr>
              <w:tc>
                <w:tcPr>
                  <w:tcW w:w="4600" w:type="dxa"/>
                  <w:tcBorders>
                    <w:top w:val="nil"/>
                    <w:left w:val="nil"/>
                    <w:bottom w:val="nil"/>
                    <w:right w:val="nil"/>
                  </w:tcBorders>
                  <w:shd w:val="clear" w:color="auto" w:fill="auto"/>
                  <w:noWrap/>
                  <w:vAlign w:val="bottom"/>
                  <w:hideMark/>
                </w:tcPr>
                <w:p w:rsidR="009B5B5B" w:rsidRPr="009B5B5B" w:rsidRDefault="009B5B5B" w:rsidP="009B5B5B">
                  <w:pPr>
                    <w:outlineLvl w:val="0"/>
                    <w:rPr>
                      <w:rFonts w:ascii="Arial Narrow" w:hAnsi="Arial Narrow" w:cs="Calibri"/>
                      <w:b/>
                      <w:bCs/>
                      <w:color w:val="000000"/>
                      <w:sz w:val="16"/>
                      <w:szCs w:val="16"/>
                    </w:rPr>
                  </w:pPr>
                  <w:r w:rsidRPr="009B5B5B">
                    <w:rPr>
                      <w:rFonts w:ascii="Arial Narrow" w:hAnsi="Arial Narrow" w:cs="Calibri"/>
                      <w:b/>
                      <w:bCs/>
                      <w:color w:val="000000"/>
                      <w:sz w:val="16"/>
                      <w:szCs w:val="16"/>
                    </w:rPr>
                    <w:t>Statutory Costs - Health &amp; Safety/Legal/Audit Fees/Dep. &amp; Amort.</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549,365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549,365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5,080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2,717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(2,364)</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108,461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127,002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18,541 </w:t>
                  </w:r>
                </w:p>
              </w:tc>
            </w:tr>
            <w:tr w:rsidR="009B5B5B" w:rsidRPr="009B5B5B" w:rsidTr="009B5B5B">
              <w:trPr>
                <w:trHeight w:val="300"/>
              </w:trPr>
              <w:tc>
                <w:tcPr>
                  <w:tcW w:w="4600" w:type="dxa"/>
                  <w:tcBorders>
                    <w:top w:val="nil"/>
                    <w:left w:val="nil"/>
                    <w:bottom w:val="nil"/>
                    <w:right w:val="nil"/>
                  </w:tcBorders>
                  <w:shd w:val="clear" w:color="auto" w:fill="auto"/>
                  <w:noWrap/>
                  <w:vAlign w:val="bottom"/>
                  <w:hideMark/>
                </w:tcPr>
                <w:p w:rsidR="009B5B5B" w:rsidRPr="009B5B5B" w:rsidRDefault="009B5B5B" w:rsidP="009B5B5B">
                  <w:pPr>
                    <w:outlineLvl w:val="0"/>
                    <w:rPr>
                      <w:rFonts w:ascii="Arial Narrow" w:hAnsi="Arial Narrow" w:cs="Calibri"/>
                      <w:b/>
                      <w:bCs/>
                      <w:color w:val="000000"/>
                      <w:sz w:val="16"/>
                      <w:szCs w:val="16"/>
                    </w:rPr>
                  </w:pPr>
                  <w:r w:rsidRPr="009B5B5B">
                    <w:rPr>
                      <w:rFonts w:ascii="Arial Narrow" w:hAnsi="Arial Narrow" w:cs="Calibri"/>
                      <w:b/>
                      <w:bCs/>
                      <w:color w:val="000000"/>
                      <w:sz w:val="16"/>
                      <w:szCs w:val="16"/>
                    </w:rPr>
                    <w:t>Computer Costs - Software/licences/system maintenance/purchases</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352,422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346,722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36,383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21,668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(14,715)</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119,429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117,968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(1,461)</w:t>
                  </w:r>
                </w:p>
              </w:tc>
            </w:tr>
            <w:tr w:rsidR="009B5B5B" w:rsidRPr="009B5B5B" w:rsidTr="009B5B5B">
              <w:trPr>
                <w:trHeight w:val="300"/>
              </w:trPr>
              <w:tc>
                <w:tcPr>
                  <w:tcW w:w="4600" w:type="dxa"/>
                  <w:tcBorders>
                    <w:top w:val="nil"/>
                    <w:left w:val="nil"/>
                    <w:bottom w:val="nil"/>
                    <w:right w:val="nil"/>
                  </w:tcBorders>
                  <w:shd w:val="clear" w:color="auto" w:fill="auto"/>
                  <w:noWrap/>
                  <w:vAlign w:val="bottom"/>
                  <w:hideMark/>
                </w:tcPr>
                <w:p w:rsidR="009B5B5B" w:rsidRPr="009B5B5B" w:rsidRDefault="009B5B5B" w:rsidP="009B5B5B">
                  <w:pPr>
                    <w:outlineLvl w:val="0"/>
                    <w:rPr>
                      <w:rFonts w:ascii="Arial Narrow" w:hAnsi="Arial Narrow" w:cs="Calibri"/>
                      <w:b/>
                      <w:bCs/>
                      <w:color w:val="000000"/>
                      <w:sz w:val="16"/>
                      <w:szCs w:val="16"/>
                    </w:rPr>
                  </w:pPr>
                  <w:r w:rsidRPr="009B5B5B">
                    <w:rPr>
                      <w:rFonts w:ascii="Arial Narrow" w:hAnsi="Arial Narrow" w:cs="Calibri"/>
                      <w:b/>
                      <w:bCs/>
                      <w:color w:val="000000"/>
                      <w:sz w:val="16"/>
                      <w:szCs w:val="16"/>
                    </w:rPr>
                    <w:t>Other External Contracts - SLA's - Premises, SBS,BSA, DH IT</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993,674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879,231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81,827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51,533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(30,294)</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328,364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360,823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32,459 </w:t>
                  </w:r>
                </w:p>
              </w:tc>
            </w:tr>
            <w:tr w:rsidR="009B5B5B" w:rsidRPr="009B5B5B" w:rsidTr="009B5B5B">
              <w:trPr>
                <w:trHeight w:val="300"/>
              </w:trPr>
              <w:tc>
                <w:tcPr>
                  <w:tcW w:w="4600" w:type="dxa"/>
                  <w:tcBorders>
                    <w:top w:val="nil"/>
                    <w:left w:val="nil"/>
                    <w:bottom w:val="nil"/>
                    <w:right w:val="nil"/>
                  </w:tcBorders>
                  <w:shd w:val="clear" w:color="auto" w:fill="auto"/>
                  <w:noWrap/>
                  <w:vAlign w:val="bottom"/>
                  <w:hideMark/>
                </w:tcPr>
                <w:p w:rsidR="009B5B5B" w:rsidRPr="009B5B5B" w:rsidRDefault="009B5B5B" w:rsidP="009B5B5B">
                  <w:pPr>
                    <w:outlineLvl w:val="0"/>
                    <w:rPr>
                      <w:rFonts w:ascii="Arial Narrow" w:hAnsi="Arial Narrow" w:cs="Calibri"/>
                      <w:b/>
                      <w:bCs/>
                      <w:color w:val="000000"/>
                      <w:sz w:val="16"/>
                      <w:szCs w:val="16"/>
                    </w:rPr>
                  </w:pPr>
                  <w:r w:rsidRPr="009B5B5B">
                    <w:rPr>
                      <w:rFonts w:ascii="Arial Narrow" w:hAnsi="Arial Narrow" w:cs="Calibri"/>
                      <w:b/>
                      <w:bCs/>
                      <w:color w:val="000000"/>
                      <w:sz w:val="16"/>
                      <w:szCs w:val="16"/>
                    </w:rPr>
                    <w:t xml:space="preserve">Other - </w:t>
                  </w:r>
                  <w:proofErr w:type="spellStart"/>
                  <w:r w:rsidRPr="009B5B5B">
                    <w:rPr>
                      <w:rFonts w:ascii="Arial Narrow" w:hAnsi="Arial Narrow" w:cs="Calibri"/>
                      <w:b/>
                      <w:bCs/>
                      <w:color w:val="000000"/>
                      <w:sz w:val="16"/>
                      <w:szCs w:val="16"/>
                    </w:rPr>
                    <w:t>Misc</w:t>
                  </w:r>
                  <w:proofErr w:type="spellEnd"/>
                  <w:r w:rsidRPr="009B5B5B">
                    <w:rPr>
                      <w:rFonts w:ascii="Arial Narrow" w:hAnsi="Arial Narrow" w:cs="Calibri"/>
                      <w:b/>
                      <w:bCs/>
                      <w:color w:val="000000"/>
                      <w:sz w:val="16"/>
                      <w:szCs w:val="16"/>
                    </w:rPr>
                    <w:t>/Reserves</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565,389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(21,226)</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0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0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0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 xml:space="preserve">0 </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(6)</w:t>
                  </w:r>
                </w:p>
              </w:tc>
              <w:tc>
                <w:tcPr>
                  <w:tcW w:w="960" w:type="dxa"/>
                  <w:tcBorders>
                    <w:top w:val="nil"/>
                    <w:left w:val="nil"/>
                    <w:bottom w:val="nil"/>
                    <w:right w:val="nil"/>
                  </w:tcBorders>
                  <w:shd w:val="clear" w:color="auto" w:fill="auto"/>
                  <w:hideMark/>
                </w:tcPr>
                <w:p w:rsidR="009B5B5B" w:rsidRPr="009B5B5B" w:rsidRDefault="009B5B5B" w:rsidP="009B5B5B">
                  <w:pPr>
                    <w:jc w:val="right"/>
                    <w:outlineLvl w:val="0"/>
                    <w:rPr>
                      <w:rFonts w:ascii="Calibri" w:hAnsi="Calibri" w:cs="Calibri"/>
                      <w:color w:val="000000"/>
                      <w:sz w:val="16"/>
                      <w:szCs w:val="16"/>
                    </w:rPr>
                  </w:pPr>
                  <w:r w:rsidRPr="009B5B5B">
                    <w:rPr>
                      <w:rFonts w:ascii="Calibri" w:hAnsi="Calibri" w:cs="Calibri"/>
                      <w:color w:val="000000"/>
                      <w:sz w:val="16"/>
                      <w:szCs w:val="16"/>
                    </w:rPr>
                    <w:t>(6)</w:t>
                  </w:r>
                </w:p>
              </w:tc>
            </w:tr>
            <w:tr w:rsidR="009B5B5B" w:rsidRPr="009B5B5B" w:rsidTr="009B5B5B">
              <w:trPr>
                <w:trHeight w:val="300"/>
              </w:trPr>
              <w:tc>
                <w:tcPr>
                  <w:tcW w:w="4600" w:type="dxa"/>
                  <w:tcBorders>
                    <w:top w:val="nil"/>
                    <w:left w:val="nil"/>
                    <w:bottom w:val="nil"/>
                    <w:right w:val="nil"/>
                  </w:tcBorders>
                  <w:shd w:val="clear" w:color="auto" w:fill="auto"/>
                  <w:vAlign w:val="center"/>
                  <w:hideMark/>
                </w:tcPr>
                <w:p w:rsidR="009B5B5B" w:rsidRPr="009B5B5B" w:rsidRDefault="009B5B5B" w:rsidP="009B5B5B">
                  <w:pPr>
                    <w:rPr>
                      <w:rFonts w:ascii="Calibri" w:hAnsi="Calibri" w:cs="Calibri"/>
                      <w:b/>
                      <w:bCs/>
                      <w:color w:val="000000"/>
                      <w:sz w:val="16"/>
                      <w:szCs w:val="16"/>
                    </w:rPr>
                  </w:pPr>
                  <w:r w:rsidRPr="009B5B5B">
                    <w:rPr>
                      <w:rFonts w:ascii="Calibri" w:hAnsi="Calibri" w:cs="Calibri"/>
                      <w:b/>
                      <w:bCs/>
                      <w:color w:val="000000"/>
                      <w:sz w:val="16"/>
                      <w:szCs w:val="16"/>
                    </w:rPr>
                    <w:t>Grand Total</w:t>
                  </w:r>
                </w:p>
              </w:tc>
              <w:tc>
                <w:tcPr>
                  <w:tcW w:w="960" w:type="dxa"/>
                  <w:tcBorders>
                    <w:top w:val="nil"/>
                    <w:left w:val="nil"/>
                    <w:bottom w:val="nil"/>
                    <w:right w:val="nil"/>
                  </w:tcBorders>
                  <w:shd w:val="clear" w:color="000000" w:fill="0070B9"/>
                  <w:hideMark/>
                </w:tcPr>
                <w:p w:rsidR="009B5B5B" w:rsidRPr="009B5B5B" w:rsidRDefault="009B5B5B" w:rsidP="009B5B5B">
                  <w:pPr>
                    <w:jc w:val="right"/>
                    <w:rPr>
                      <w:rFonts w:ascii="Calibri" w:hAnsi="Calibri" w:cs="Calibri"/>
                      <w:color w:val="FFFFFF"/>
                      <w:sz w:val="16"/>
                      <w:szCs w:val="16"/>
                    </w:rPr>
                  </w:pPr>
                  <w:r w:rsidRPr="009B5B5B">
                    <w:rPr>
                      <w:rFonts w:ascii="Calibri" w:hAnsi="Calibri" w:cs="Calibri"/>
                      <w:color w:val="FFFFFF"/>
                      <w:sz w:val="16"/>
                      <w:szCs w:val="16"/>
                    </w:rPr>
                    <w:t xml:space="preserve">4,608,315 </w:t>
                  </w:r>
                </w:p>
              </w:tc>
              <w:tc>
                <w:tcPr>
                  <w:tcW w:w="960" w:type="dxa"/>
                  <w:tcBorders>
                    <w:top w:val="nil"/>
                    <w:left w:val="nil"/>
                    <w:bottom w:val="nil"/>
                    <w:right w:val="nil"/>
                  </w:tcBorders>
                  <w:shd w:val="clear" w:color="000000" w:fill="0070B9"/>
                  <w:hideMark/>
                </w:tcPr>
                <w:p w:rsidR="009B5B5B" w:rsidRPr="009B5B5B" w:rsidRDefault="009B5B5B" w:rsidP="009B5B5B">
                  <w:pPr>
                    <w:jc w:val="right"/>
                    <w:rPr>
                      <w:rFonts w:ascii="Calibri" w:hAnsi="Calibri" w:cs="Calibri"/>
                      <w:color w:val="FFFFFF"/>
                      <w:sz w:val="16"/>
                      <w:szCs w:val="16"/>
                    </w:rPr>
                  </w:pPr>
                  <w:r w:rsidRPr="009B5B5B">
                    <w:rPr>
                      <w:rFonts w:ascii="Calibri" w:hAnsi="Calibri" w:cs="Calibri"/>
                      <w:color w:val="FFFFFF"/>
                      <w:sz w:val="16"/>
                      <w:szCs w:val="16"/>
                    </w:rPr>
                    <w:t xml:space="preserve">3,901,777 </w:t>
                  </w:r>
                </w:p>
              </w:tc>
              <w:tc>
                <w:tcPr>
                  <w:tcW w:w="960" w:type="dxa"/>
                  <w:tcBorders>
                    <w:top w:val="nil"/>
                    <w:left w:val="nil"/>
                    <w:bottom w:val="nil"/>
                    <w:right w:val="nil"/>
                  </w:tcBorders>
                  <w:shd w:val="clear" w:color="000000" w:fill="0070B9"/>
                  <w:hideMark/>
                </w:tcPr>
                <w:p w:rsidR="009B5B5B" w:rsidRPr="009B5B5B" w:rsidRDefault="009B5B5B" w:rsidP="009B5B5B">
                  <w:pPr>
                    <w:jc w:val="right"/>
                    <w:rPr>
                      <w:rFonts w:ascii="Calibri" w:hAnsi="Calibri" w:cs="Calibri"/>
                      <w:color w:val="FFFFFF"/>
                      <w:sz w:val="16"/>
                      <w:szCs w:val="16"/>
                    </w:rPr>
                  </w:pPr>
                  <w:r w:rsidRPr="009B5B5B">
                    <w:rPr>
                      <w:rFonts w:ascii="Calibri" w:hAnsi="Calibri" w:cs="Calibri"/>
                      <w:color w:val="FFFFFF"/>
                      <w:sz w:val="16"/>
                      <w:szCs w:val="16"/>
                    </w:rPr>
                    <w:t xml:space="preserve">262,444 </w:t>
                  </w:r>
                </w:p>
              </w:tc>
              <w:tc>
                <w:tcPr>
                  <w:tcW w:w="960" w:type="dxa"/>
                  <w:tcBorders>
                    <w:top w:val="nil"/>
                    <w:left w:val="nil"/>
                    <w:bottom w:val="nil"/>
                    <w:right w:val="nil"/>
                  </w:tcBorders>
                  <w:shd w:val="clear" w:color="000000" w:fill="0070B9"/>
                  <w:hideMark/>
                </w:tcPr>
                <w:p w:rsidR="009B5B5B" w:rsidRPr="009B5B5B" w:rsidRDefault="009B5B5B" w:rsidP="009B5B5B">
                  <w:pPr>
                    <w:jc w:val="right"/>
                    <w:rPr>
                      <w:rFonts w:ascii="Calibri" w:hAnsi="Calibri" w:cs="Calibri"/>
                      <w:color w:val="FFFFFF"/>
                      <w:sz w:val="16"/>
                      <w:szCs w:val="16"/>
                    </w:rPr>
                  </w:pPr>
                  <w:r w:rsidRPr="009B5B5B">
                    <w:rPr>
                      <w:rFonts w:ascii="Calibri" w:hAnsi="Calibri" w:cs="Calibri"/>
                      <w:color w:val="FFFFFF"/>
                      <w:sz w:val="16"/>
                      <w:szCs w:val="16"/>
                    </w:rPr>
                    <w:t xml:space="preserve">247,267 </w:t>
                  </w:r>
                </w:p>
              </w:tc>
              <w:tc>
                <w:tcPr>
                  <w:tcW w:w="960" w:type="dxa"/>
                  <w:tcBorders>
                    <w:top w:val="nil"/>
                    <w:left w:val="nil"/>
                    <w:bottom w:val="nil"/>
                    <w:right w:val="nil"/>
                  </w:tcBorders>
                  <w:shd w:val="clear" w:color="000000" w:fill="0070B9"/>
                  <w:hideMark/>
                </w:tcPr>
                <w:p w:rsidR="009B5B5B" w:rsidRPr="009B5B5B" w:rsidRDefault="009B5B5B" w:rsidP="009B5B5B">
                  <w:pPr>
                    <w:jc w:val="right"/>
                    <w:rPr>
                      <w:rFonts w:ascii="Calibri" w:hAnsi="Calibri" w:cs="Calibri"/>
                      <w:color w:val="FFFFFF"/>
                      <w:sz w:val="16"/>
                      <w:szCs w:val="16"/>
                    </w:rPr>
                  </w:pPr>
                  <w:r w:rsidRPr="009B5B5B">
                    <w:rPr>
                      <w:rFonts w:ascii="Calibri" w:hAnsi="Calibri" w:cs="Calibri"/>
                      <w:color w:val="FFFFFF"/>
                      <w:sz w:val="16"/>
                      <w:szCs w:val="16"/>
                    </w:rPr>
                    <w:t>(15,177)</w:t>
                  </w:r>
                </w:p>
              </w:tc>
              <w:tc>
                <w:tcPr>
                  <w:tcW w:w="960" w:type="dxa"/>
                  <w:tcBorders>
                    <w:top w:val="nil"/>
                    <w:left w:val="nil"/>
                    <w:bottom w:val="nil"/>
                    <w:right w:val="nil"/>
                  </w:tcBorders>
                  <w:shd w:val="clear" w:color="000000" w:fill="0070B9"/>
                  <w:hideMark/>
                </w:tcPr>
                <w:p w:rsidR="009B5B5B" w:rsidRPr="009B5B5B" w:rsidRDefault="009B5B5B" w:rsidP="009B5B5B">
                  <w:pPr>
                    <w:jc w:val="right"/>
                    <w:rPr>
                      <w:rFonts w:ascii="Calibri" w:hAnsi="Calibri" w:cs="Calibri"/>
                      <w:color w:val="FFFFFF"/>
                      <w:sz w:val="16"/>
                      <w:szCs w:val="16"/>
                    </w:rPr>
                  </w:pPr>
                  <w:r w:rsidRPr="009B5B5B">
                    <w:rPr>
                      <w:rFonts w:ascii="Calibri" w:hAnsi="Calibri" w:cs="Calibri"/>
                      <w:color w:val="FFFFFF"/>
                      <w:sz w:val="16"/>
                      <w:szCs w:val="16"/>
                    </w:rPr>
                    <w:t xml:space="preserve">1,264,319 </w:t>
                  </w:r>
                </w:p>
              </w:tc>
              <w:tc>
                <w:tcPr>
                  <w:tcW w:w="960" w:type="dxa"/>
                  <w:tcBorders>
                    <w:top w:val="nil"/>
                    <w:left w:val="nil"/>
                    <w:bottom w:val="nil"/>
                    <w:right w:val="nil"/>
                  </w:tcBorders>
                  <w:shd w:val="clear" w:color="000000" w:fill="0070B9"/>
                  <w:hideMark/>
                </w:tcPr>
                <w:p w:rsidR="009B5B5B" w:rsidRPr="009B5B5B" w:rsidRDefault="009B5B5B" w:rsidP="009B5B5B">
                  <w:pPr>
                    <w:jc w:val="right"/>
                    <w:rPr>
                      <w:rFonts w:ascii="Calibri" w:hAnsi="Calibri" w:cs="Calibri"/>
                      <w:color w:val="FFFFFF"/>
                      <w:sz w:val="16"/>
                      <w:szCs w:val="16"/>
                    </w:rPr>
                  </w:pPr>
                  <w:r w:rsidRPr="009B5B5B">
                    <w:rPr>
                      <w:rFonts w:ascii="Calibri" w:hAnsi="Calibri" w:cs="Calibri"/>
                      <w:color w:val="FFFFFF"/>
                      <w:sz w:val="16"/>
                      <w:szCs w:val="16"/>
                    </w:rPr>
                    <w:t xml:space="preserve">1,315,415 </w:t>
                  </w:r>
                </w:p>
              </w:tc>
              <w:tc>
                <w:tcPr>
                  <w:tcW w:w="960" w:type="dxa"/>
                  <w:tcBorders>
                    <w:top w:val="nil"/>
                    <w:left w:val="nil"/>
                    <w:bottom w:val="nil"/>
                    <w:right w:val="nil"/>
                  </w:tcBorders>
                  <w:shd w:val="clear" w:color="000000" w:fill="0070B9"/>
                  <w:hideMark/>
                </w:tcPr>
                <w:p w:rsidR="009B5B5B" w:rsidRPr="009B5B5B" w:rsidRDefault="009B5B5B" w:rsidP="009B5B5B">
                  <w:pPr>
                    <w:jc w:val="right"/>
                    <w:rPr>
                      <w:rFonts w:ascii="Calibri" w:hAnsi="Calibri" w:cs="Calibri"/>
                      <w:color w:val="FFFFFF"/>
                      <w:sz w:val="16"/>
                      <w:szCs w:val="16"/>
                    </w:rPr>
                  </w:pPr>
                  <w:r w:rsidRPr="009B5B5B">
                    <w:rPr>
                      <w:rFonts w:ascii="Calibri" w:hAnsi="Calibri" w:cs="Calibri"/>
                      <w:color w:val="FFFFFF"/>
                      <w:sz w:val="16"/>
                      <w:szCs w:val="16"/>
                    </w:rPr>
                    <w:t xml:space="preserve">51,096 </w:t>
                  </w:r>
                </w:p>
              </w:tc>
            </w:tr>
          </w:tbl>
          <w:p w:rsidR="005810CF" w:rsidRDefault="005810CF" w:rsidP="00BC0710">
            <w:pPr>
              <w:tabs>
                <w:tab w:val="left" w:pos="2172"/>
              </w:tabs>
              <w:spacing w:after="200" w:line="276" w:lineRule="auto"/>
              <w:rPr>
                <w:rFonts w:ascii="Arial" w:hAnsi="Arial" w:cs="Arial"/>
                <w:sz w:val="22"/>
                <w:szCs w:val="22"/>
              </w:rPr>
            </w:pPr>
          </w:p>
          <w:p w:rsidR="005810CF" w:rsidRPr="00BC0710" w:rsidRDefault="005810CF" w:rsidP="00BC0710">
            <w:pPr>
              <w:tabs>
                <w:tab w:val="left" w:pos="2172"/>
              </w:tabs>
              <w:spacing w:after="200" w:line="276" w:lineRule="auto"/>
              <w:rPr>
                <w:rFonts w:ascii="Arial" w:hAnsi="Arial" w:cs="Arial"/>
                <w:sz w:val="22"/>
                <w:szCs w:val="22"/>
              </w:rPr>
            </w:pPr>
          </w:p>
          <w:p w:rsidR="00127C34" w:rsidRDefault="00DD4FE0" w:rsidP="005810CF">
            <w:pPr>
              <w:tabs>
                <w:tab w:val="left" w:pos="2172"/>
              </w:tabs>
              <w:spacing w:after="200" w:line="276" w:lineRule="auto"/>
              <w:rPr>
                <w:rFonts w:ascii="Arial" w:hAnsi="Arial" w:cs="Arial"/>
                <w:sz w:val="16"/>
                <w:szCs w:val="16"/>
              </w:rPr>
            </w:pPr>
            <w:r>
              <w:rPr>
                <w:rFonts w:ascii="Arial" w:hAnsi="Arial" w:cs="Arial"/>
                <w:sz w:val="22"/>
                <w:szCs w:val="22"/>
              </w:rPr>
              <w:t>Note:</w:t>
            </w:r>
            <w:r w:rsidR="00DD6AFF">
              <w:rPr>
                <w:rFonts w:ascii="Arial" w:hAnsi="Arial" w:cs="Arial"/>
                <w:sz w:val="16"/>
                <w:szCs w:val="16"/>
              </w:rPr>
              <w:t xml:space="preserve">  </w:t>
            </w:r>
            <w:r w:rsidR="00127C34">
              <w:rPr>
                <w:rFonts w:ascii="Arial" w:hAnsi="Arial" w:cs="Arial"/>
                <w:sz w:val="16"/>
                <w:szCs w:val="16"/>
              </w:rPr>
              <w:t xml:space="preserve"> The </w:t>
            </w:r>
            <w:proofErr w:type="gramStart"/>
            <w:r w:rsidR="00DD6AFF">
              <w:rPr>
                <w:rFonts w:ascii="Arial" w:hAnsi="Arial" w:cs="Arial"/>
                <w:sz w:val="16"/>
                <w:szCs w:val="16"/>
              </w:rPr>
              <w:t>overs</w:t>
            </w:r>
            <w:r w:rsidR="00127C34">
              <w:rPr>
                <w:rFonts w:ascii="Arial" w:hAnsi="Arial" w:cs="Arial"/>
                <w:sz w:val="16"/>
                <w:szCs w:val="16"/>
              </w:rPr>
              <w:t xml:space="preserve">pend  </w:t>
            </w:r>
            <w:r w:rsidR="00DD6AFF">
              <w:rPr>
                <w:rFonts w:ascii="Arial" w:hAnsi="Arial" w:cs="Arial"/>
                <w:sz w:val="16"/>
                <w:szCs w:val="16"/>
              </w:rPr>
              <w:t>on</w:t>
            </w:r>
            <w:proofErr w:type="gramEnd"/>
            <w:r w:rsidR="00DD6AFF">
              <w:rPr>
                <w:rFonts w:ascii="Arial" w:hAnsi="Arial" w:cs="Arial"/>
                <w:sz w:val="16"/>
                <w:szCs w:val="16"/>
              </w:rPr>
              <w:t xml:space="preserve"> other external contracts largely relates to the over run on the archiving project</w:t>
            </w:r>
            <w:r w:rsidR="005810CF">
              <w:rPr>
                <w:rFonts w:ascii="Arial" w:hAnsi="Arial" w:cs="Arial"/>
                <w:sz w:val="16"/>
                <w:szCs w:val="16"/>
              </w:rPr>
              <w:t>,</w:t>
            </w:r>
            <w:r w:rsidR="009B5B5B">
              <w:rPr>
                <w:rFonts w:ascii="Arial" w:hAnsi="Arial" w:cs="Arial"/>
                <w:sz w:val="16"/>
                <w:szCs w:val="16"/>
              </w:rPr>
              <w:t xml:space="preserve"> with the offset of the underspend on the IT contract. T</w:t>
            </w:r>
            <w:r w:rsidR="005810CF">
              <w:rPr>
                <w:rFonts w:ascii="Arial" w:hAnsi="Arial" w:cs="Arial"/>
                <w:sz w:val="16"/>
                <w:szCs w:val="16"/>
              </w:rPr>
              <w:t>he overspend within th</w:t>
            </w:r>
            <w:r w:rsidR="009B5B5B">
              <w:rPr>
                <w:rFonts w:ascii="Arial" w:hAnsi="Arial" w:cs="Arial"/>
                <w:sz w:val="16"/>
                <w:szCs w:val="16"/>
              </w:rPr>
              <w:t xml:space="preserve">e statutory costs </w:t>
            </w:r>
            <w:proofErr w:type="gramStart"/>
            <w:r w:rsidR="009B5B5B">
              <w:rPr>
                <w:rFonts w:ascii="Arial" w:hAnsi="Arial" w:cs="Arial"/>
                <w:sz w:val="16"/>
                <w:szCs w:val="16"/>
              </w:rPr>
              <w:t xml:space="preserve">relates </w:t>
            </w:r>
            <w:r w:rsidR="005810CF">
              <w:rPr>
                <w:rFonts w:ascii="Arial" w:hAnsi="Arial" w:cs="Arial"/>
                <w:sz w:val="16"/>
                <w:szCs w:val="16"/>
              </w:rPr>
              <w:t xml:space="preserve"> to</w:t>
            </w:r>
            <w:proofErr w:type="gramEnd"/>
            <w:r w:rsidR="005810CF">
              <w:rPr>
                <w:rFonts w:ascii="Arial" w:hAnsi="Arial" w:cs="Arial"/>
                <w:sz w:val="16"/>
                <w:szCs w:val="16"/>
              </w:rPr>
              <w:t xml:space="preserve"> the Asset disposal.</w:t>
            </w:r>
            <w:r w:rsidR="009B5B5B">
              <w:rPr>
                <w:rFonts w:ascii="Arial" w:hAnsi="Arial" w:cs="Arial"/>
                <w:sz w:val="16"/>
                <w:szCs w:val="16"/>
              </w:rPr>
              <w:t xml:space="preserve"> </w:t>
            </w:r>
            <w:proofErr w:type="gramStart"/>
            <w:r w:rsidR="009B5B5B">
              <w:rPr>
                <w:rFonts w:ascii="Arial" w:hAnsi="Arial" w:cs="Arial"/>
                <w:sz w:val="16"/>
                <w:szCs w:val="16"/>
              </w:rPr>
              <w:t>The overspend</w:t>
            </w:r>
            <w:proofErr w:type="gramEnd"/>
            <w:r w:rsidR="009B5B5B">
              <w:rPr>
                <w:rFonts w:ascii="Arial" w:hAnsi="Arial" w:cs="Arial"/>
                <w:sz w:val="16"/>
                <w:szCs w:val="16"/>
              </w:rPr>
              <w:t xml:space="preserve"> within Premises mostly relates to Skipton House costs and is offset by underspend within Estates Strategy</w:t>
            </w:r>
            <w:r w:rsidR="00992ACA">
              <w:rPr>
                <w:rFonts w:ascii="Arial" w:hAnsi="Arial" w:cs="Arial"/>
                <w:sz w:val="16"/>
                <w:szCs w:val="16"/>
              </w:rPr>
              <w:t xml:space="preserve"> and a service </w:t>
            </w:r>
            <w:proofErr w:type="spellStart"/>
            <w:r w:rsidR="00992ACA">
              <w:rPr>
                <w:rFonts w:ascii="Arial" w:hAnsi="Arial" w:cs="Arial"/>
                <w:sz w:val="16"/>
                <w:szCs w:val="16"/>
              </w:rPr>
              <w:t>ahrge</w:t>
            </w:r>
            <w:proofErr w:type="spellEnd"/>
            <w:r w:rsidR="00992ACA">
              <w:rPr>
                <w:rFonts w:ascii="Arial" w:hAnsi="Arial" w:cs="Arial"/>
                <w:sz w:val="16"/>
                <w:szCs w:val="16"/>
              </w:rPr>
              <w:t xml:space="preserve"> underspend in HRA Office Manchester.</w:t>
            </w:r>
          </w:p>
          <w:p w:rsidR="00391CF2" w:rsidRPr="00BC0710" w:rsidRDefault="00391CF2" w:rsidP="005810CF">
            <w:pPr>
              <w:tabs>
                <w:tab w:val="left" w:pos="2172"/>
              </w:tabs>
              <w:spacing w:after="200" w:line="276" w:lineRule="auto"/>
              <w:rPr>
                <w:rFonts w:ascii="Arial" w:hAnsi="Arial" w:cs="Arial"/>
                <w:sz w:val="22"/>
                <w:szCs w:val="22"/>
              </w:rPr>
            </w:pPr>
          </w:p>
        </w:tc>
      </w:tr>
    </w:tbl>
    <w:p w:rsidR="00391CF2" w:rsidRDefault="00CB08D8" w:rsidP="009B64AA">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Pr>
          <w:rFonts w:ascii="Arial" w:eastAsia="Calibri" w:hAnsi="Arial"/>
          <w:b/>
          <w:bCs/>
          <w:color w:val="56008C"/>
          <w:szCs w:val="26"/>
          <w:lang w:eastAsia="en-US"/>
        </w:rPr>
        <w:lastRenderedPageBreak/>
        <w:t>HR</w:t>
      </w:r>
      <w:r w:rsidR="005373EA" w:rsidRPr="009B64AA">
        <w:rPr>
          <w:rFonts w:ascii="Arial" w:eastAsia="Calibri" w:hAnsi="Arial"/>
          <w:b/>
          <w:bCs/>
          <w:color w:val="56008C"/>
          <w:szCs w:val="26"/>
          <w:lang w:eastAsia="en-US"/>
        </w:rPr>
        <w:t>A</w:t>
      </w:r>
      <w:r w:rsidR="005373EA" w:rsidRPr="009B64AA">
        <w:rPr>
          <w:rFonts w:ascii="Arial" w:eastAsia="Calibri" w:hAnsi="Arial"/>
          <w:b/>
          <w:bCs/>
          <w:color w:val="56008C"/>
          <w:szCs w:val="26"/>
          <w:highlight w:val="lightGray"/>
          <w:lang w:eastAsia="en-US"/>
        </w:rPr>
        <w:t xml:space="preserve"> </w:t>
      </w:r>
      <w:r w:rsidR="005373EA" w:rsidRPr="009B64AA">
        <w:rPr>
          <w:rFonts w:ascii="Arial" w:eastAsia="Calibri" w:hAnsi="Arial"/>
          <w:b/>
          <w:bCs/>
          <w:color w:val="56008C"/>
          <w:szCs w:val="26"/>
          <w:lang w:eastAsia="en-US"/>
        </w:rPr>
        <w:t>Better Payment Practice C</w:t>
      </w:r>
      <w:r w:rsidR="00606CBA" w:rsidRPr="009B64AA">
        <w:rPr>
          <w:rFonts w:ascii="Arial" w:eastAsia="Calibri" w:hAnsi="Arial"/>
          <w:b/>
          <w:bCs/>
          <w:color w:val="56008C"/>
          <w:szCs w:val="26"/>
          <w:lang w:eastAsia="en-US"/>
        </w:rPr>
        <w:t>ode</w:t>
      </w:r>
      <w:r w:rsidR="00714E4B" w:rsidRPr="009B64AA">
        <w:rPr>
          <w:rFonts w:ascii="Arial" w:eastAsia="Calibri" w:hAnsi="Arial"/>
          <w:b/>
          <w:bCs/>
          <w:color w:val="56008C"/>
          <w:szCs w:val="26"/>
          <w:lang w:eastAsia="en-US"/>
        </w:rPr>
        <w:t xml:space="preserve"> f</w:t>
      </w:r>
      <w:r w:rsidR="00D65E0A" w:rsidRPr="009B64AA">
        <w:rPr>
          <w:rFonts w:ascii="Arial" w:eastAsia="Calibri" w:hAnsi="Arial"/>
          <w:b/>
          <w:bCs/>
          <w:color w:val="56008C"/>
          <w:szCs w:val="26"/>
          <w:lang w:eastAsia="en-US"/>
        </w:rPr>
        <w:t xml:space="preserve">or </w:t>
      </w:r>
      <w:r w:rsidR="00F90C53" w:rsidRPr="009B64AA">
        <w:rPr>
          <w:rFonts w:ascii="Arial" w:eastAsia="Calibri" w:hAnsi="Arial"/>
          <w:b/>
          <w:bCs/>
          <w:color w:val="56008C"/>
          <w:szCs w:val="26"/>
          <w:lang w:eastAsia="en-US"/>
        </w:rPr>
        <w:t xml:space="preserve">the period 1 April </w:t>
      </w:r>
      <w:r w:rsidR="0060431A">
        <w:rPr>
          <w:rFonts w:ascii="Arial" w:eastAsia="Calibri" w:hAnsi="Arial"/>
          <w:b/>
          <w:bCs/>
          <w:color w:val="56008C"/>
          <w:szCs w:val="26"/>
          <w:lang w:eastAsia="en-US"/>
        </w:rPr>
        <w:t>to 31 July</w:t>
      </w:r>
      <w:r w:rsidR="00EE0578">
        <w:rPr>
          <w:rFonts w:ascii="Arial" w:eastAsia="Calibri" w:hAnsi="Arial"/>
          <w:b/>
          <w:bCs/>
          <w:color w:val="56008C"/>
          <w:szCs w:val="26"/>
          <w:lang w:eastAsia="en-US"/>
        </w:rPr>
        <w:t xml:space="preserve"> </w:t>
      </w:r>
      <w:r w:rsidR="00CA3C40">
        <w:rPr>
          <w:rFonts w:ascii="Arial" w:eastAsia="Calibri" w:hAnsi="Arial"/>
          <w:b/>
          <w:bCs/>
          <w:color w:val="56008C"/>
          <w:szCs w:val="26"/>
          <w:lang w:eastAsia="en-US"/>
        </w:rPr>
        <w:t>2016</w:t>
      </w:r>
      <w:r w:rsidR="00A46CA2">
        <w:rPr>
          <w:rFonts w:ascii="Arial" w:eastAsia="Calibri" w:hAnsi="Arial"/>
          <w:b/>
          <w:bCs/>
          <w:color w:val="56008C"/>
          <w:szCs w:val="26"/>
          <w:lang w:eastAsia="en-US"/>
        </w:rPr>
        <w:t xml:space="preserve">  </w:t>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t>Appendix C</w:t>
      </w:r>
    </w:p>
    <w:tbl>
      <w:tblPr>
        <w:tblW w:w="7140" w:type="dxa"/>
        <w:tblInd w:w="3135" w:type="dxa"/>
        <w:tblLook w:val="04A0" w:firstRow="1" w:lastRow="0" w:firstColumn="1" w:lastColumn="0" w:noHBand="0" w:noVBand="1"/>
      </w:tblPr>
      <w:tblGrid>
        <w:gridCol w:w="2200"/>
        <w:gridCol w:w="1300"/>
        <w:gridCol w:w="1160"/>
        <w:gridCol w:w="1320"/>
        <w:gridCol w:w="1160"/>
      </w:tblGrid>
      <w:tr w:rsidR="00236B2E" w:rsidRPr="00236B2E" w:rsidTr="00236B2E">
        <w:trPr>
          <w:trHeight w:val="330"/>
        </w:trPr>
        <w:tc>
          <w:tcPr>
            <w:tcW w:w="2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36B2E" w:rsidRPr="00236B2E" w:rsidRDefault="00236B2E" w:rsidP="00236B2E">
            <w:pPr>
              <w:rPr>
                <w:rFonts w:ascii="Calibri" w:hAnsi="Calibri" w:cs="Calibri"/>
                <w:color w:val="000000"/>
              </w:rPr>
            </w:pPr>
            <w:r w:rsidRPr="00236B2E">
              <w:rPr>
                <w:rFonts w:ascii="Calibri" w:hAnsi="Calibri" w:cs="Calibri"/>
                <w:color w:val="000000"/>
              </w:rPr>
              <w:t> </w:t>
            </w:r>
          </w:p>
        </w:tc>
        <w:tc>
          <w:tcPr>
            <w:tcW w:w="1300" w:type="dxa"/>
            <w:tcBorders>
              <w:top w:val="single" w:sz="8" w:space="0" w:color="auto"/>
              <w:left w:val="nil"/>
              <w:bottom w:val="single" w:sz="8" w:space="0" w:color="auto"/>
              <w:right w:val="single" w:sz="8" w:space="0" w:color="auto"/>
            </w:tcBorders>
            <w:shd w:val="clear" w:color="000000" w:fill="56008C"/>
            <w:noWrap/>
            <w:vAlign w:val="center"/>
            <w:hideMark/>
          </w:tcPr>
          <w:p w:rsidR="00236B2E" w:rsidRPr="00236B2E" w:rsidRDefault="00236B2E" w:rsidP="00236B2E">
            <w:pPr>
              <w:rPr>
                <w:rFonts w:ascii="Calibri" w:hAnsi="Calibri" w:cs="Calibri"/>
                <w:color w:val="FFFFFF"/>
                <w:sz w:val="22"/>
                <w:szCs w:val="22"/>
              </w:rPr>
            </w:pPr>
            <w:r w:rsidRPr="00236B2E">
              <w:rPr>
                <w:rFonts w:ascii="Calibri" w:hAnsi="Calibri" w:cs="Calibri"/>
                <w:color w:val="FFFFFF"/>
                <w:sz w:val="22"/>
                <w:szCs w:val="22"/>
              </w:rPr>
              <w:t>Number</w:t>
            </w:r>
          </w:p>
        </w:tc>
        <w:tc>
          <w:tcPr>
            <w:tcW w:w="1160" w:type="dxa"/>
            <w:tcBorders>
              <w:top w:val="single" w:sz="8" w:space="0" w:color="auto"/>
              <w:left w:val="nil"/>
              <w:bottom w:val="single" w:sz="8" w:space="0" w:color="auto"/>
              <w:right w:val="single" w:sz="8" w:space="0" w:color="auto"/>
            </w:tcBorders>
            <w:shd w:val="clear" w:color="000000" w:fill="56008C"/>
            <w:noWrap/>
            <w:vAlign w:val="center"/>
            <w:hideMark/>
          </w:tcPr>
          <w:p w:rsidR="00236B2E" w:rsidRPr="00236B2E" w:rsidRDefault="00236B2E" w:rsidP="00236B2E">
            <w:pPr>
              <w:jc w:val="center"/>
              <w:rPr>
                <w:rFonts w:ascii="Calibri" w:hAnsi="Calibri" w:cs="Calibri"/>
                <w:color w:val="FFFFFF"/>
                <w:sz w:val="22"/>
                <w:szCs w:val="22"/>
              </w:rPr>
            </w:pPr>
            <w:r w:rsidRPr="00236B2E">
              <w:rPr>
                <w:rFonts w:ascii="Calibri" w:hAnsi="Calibri" w:cs="Calibri"/>
                <w:color w:val="FFFFFF"/>
                <w:sz w:val="22"/>
                <w:szCs w:val="22"/>
              </w:rPr>
              <w:t>%</w:t>
            </w:r>
          </w:p>
        </w:tc>
        <w:tc>
          <w:tcPr>
            <w:tcW w:w="1320" w:type="dxa"/>
            <w:tcBorders>
              <w:top w:val="single" w:sz="8" w:space="0" w:color="auto"/>
              <w:left w:val="nil"/>
              <w:bottom w:val="single" w:sz="8" w:space="0" w:color="auto"/>
              <w:right w:val="single" w:sz="8" w:space="0" w:color="auto"/>
            </w:tcBorders>
            <w:shd w:val="clear" w:color="000000" w:fill="E28C05"/>
            <w:noWrap/>
            <w:vAlign w:val="center"/>
            <w:hideMark/>
          </w:tcPr>
          <w:p w:rsidR="00236B2E" w:rsidRPr="00236B2E" w:rsidRDefault="00236B2E" w:rsidP="00236B2E">
            <w:pPr>
              <w:rPr>
                <w:rFonts w:ascii="Calibri" w:hAnsi="Calibri" w:cs="Calibri"/>
                <w:color w:val="FFFFFF"/>
                <w:sz w:val="22"/>
                <w:szCs w:val="22"/>
              </w:rPr>
            </w:pPr>
            <w:r w:rsidRPr="00236B2E">
              <w:rPr>
                <w:rFonts w:ascii="Calibri" w:hAnsi="Calibri" w:cs="Calibri"/>
                <w:color w:val="FFFFFF"/>
                <w:sz w:val="22"/>
                <w:szCs w:val="22"/>
              </w:rPr>
              <w:t>Value (£)</w:t>
            </w:r>
          </w:p>
        </w:tc>
        <w:tc>
          <w:tcPr>
            <w:tcW w:w="1160" w:type="dxa"/>
            <w:tcBorders>
              <w:top w:val="single" w:sz="8" w:space="0" w:color="auto"/>
              <w:left w:val="nil"/>
              <w:bottom w:val="single" w:sz="8" w:space="0" w:color="auto"/>
              <w:right w:val="single" w:sz="8" w:space="0" w:color="auto"/>
            </w:tcBorders>
            <w:shd w:val="clear" w:color="000000" w:fill="E28C05"/>
            <w:noWrap/>
            <w:vAlign w:val="center"/>
            <w:hideMark/>
          </w:tcPr>
          <w:p w:rsidR="00236B2E" w:rsidRPr="00236B2E" w:rsidRDefault="00236B2E" w:rsidP="00236B2E">
            <w:pPr>
              <w:jc w:val="center"/>
              <w:rPr>
                <w:rFonts w:ascii="Calibri" w:hAnsi="Calibri" w:cs="Calibri"/>
                <w:color w:val="FFFFFF"/>
                <w:sz w:val="22"/>
                <w:szCs w:val="22"/>
              </w:rPr>
            </w:pPr>
            <w:r w:rsidRPr="00236B2E">
              <w:rPr>
                <w:rFonts w:ascii="Calibri" w:hAnsi="Calibri" w:cs="Calibri"/>
                <w:color w:val="FFFFFF"/>
                <w:sz w:val="22"/>
                <w:szCs w:val="22"/>
              </w:rPr>
              <w:t>%</w:t>
            </w:r>
          </w:p>
        </w:tc>
      </w:tr>
      <w:tr w:rsidR="0060431A" w:rsidRPr="00236B2E" w:rsidTr="00236B2E">
        <w:trPr>
          <w:trHeight w:val="330"/>
        </w:trPr>
        <w:tc>
          <w:tcPr>
            <w:tcW w:w="2200" w:type="dxa"/>
            <w:tcBorders>
              <w:top w:val="nil"/>
              <w:left w:val="single" w:sz="8" w:space="0" w:color="auto"/>
              <w:bottom w:val="single" w:sz="8" w:space="0" w:color="auto"/>
              <w:right w:val="single" w:sz="8" w:space="0" w:color="auto"/>
            </w:tcBorders>
            <w:shd w:val="clear" w:color="auto" w:fill="auto"/>
            <w:noWrap/>
            <w:vAlign w:val="bottom"/>
            <w:hideMark/>
          </w:tcPr>
          <w:p w:rsidR="0060431A" w:rsidRPr="00236B2E" w:rsidRDefault="0060431A" w:rsidP="00236B2E">
            <w:pPr>
              <w:rPr>
                <w:rFonts w:ascii="Calibri" w:hAnsi="Calibri" w:cs="Calibri"/>
                <w:color w:val="000000"/>
              </w:rPr>
            </w:pPr>
            <w:r w:rsidRPr="00236B2E">
              <w:rPr>
                <w:rFonts w:ascii="Calibri" w:hAnsi="Calibri" w:cs="Calibri"/>
                <w:color w:val="000000"/>
              </w:rPr>
              <w:t>0-5</w:t>
            </w:r>
          </w:p>
        </w:tc>
        <w:tc>
          <w:tcPr>
            <w:tcW w:w="1300" w:type="dxa"/>
            <w:tcBorders>
              <w:top w:val="nil"/>
              <w:left w:val="nil"/>
              <w:bottom w:val="nil"/>
              <w:right w:val="single" w:sz="8" w:space="0" w:color="auto"/>
            </w:tcBorders>
            <w:shd w:val="clear" w:color="000000" w:fill="56008C"/>
            <w:noWrap/>
            <w:vAlign w:val="bottom"/>
            <w:hideMark/>
          </w:tcPr>
          <w:p w:rsidR="0060431A" w:rsidRDefault="0060431A">
            <w:pPr>
              <w:jc w:val="right"/>
              <w:rPr>
                <w:rFonts w:ascii="Calibri" w:hAnsi="Calibri" w:cs="Calibri"/>
                <w:color w:val="FFFFFF"/>
                <w:sz w:val="22"/>
                <w:szCs w:val="22"/>
              </w:rPr>
            </w:pPr>
            <w:r>
              <w:rPr>
                <w:rFonts w:ascii="Calibri" w:hAnsi="Calibri" w:cs="Calibri"/>
                <w:color w:val="FFFFFF"/>
                <w:sz w:val="22"/>
                <w:szCs w:val="22"/>
              </w:rPr>
              <w:t>159</w:t>
            </w:r>
          </w:p>
        </w:tc>
        <w:tc>
          <w:tcPr>
            <w:tcW w:w="1160" w:type="dxa"/>
            <w:tcBorders>
              <w:top w:val="nil"/>
              <w:left w:val="nil"/>
              <w:bottom w:val="single" w:sz="8" w:space="0" w:color="auto"/>
              <w:right w:val="single" w:sz="8" w:space="0" w:color="auto"/>
            </w:tcBorders>
            <w:shd w:val="clear" w:color="000000" w:fill="56008C"/>
            <w:noWrap/>
            <w:vAlign w:val="center"/>
            <w:hideMark/>
          </w:tcPr>
          <w:p w:rsidR="0060431A" w:rsidRDefault="0060431A">
            <w:pPr>
              <w:jc w:val="right"/>
              <w:rPr>
                <w:rFonts w:ascii="Calibri" w:hAnsi="Calibri" w:cs="Calibri"/>
                <w:color w:val="FFFFFF"/>
                <w:sz w:val="22"/>
                <w:szCs w:val="22"/>
              </w:rPr>
            </w:pPr>
            <w:r>
              <w:rPr>
                <w:rFonts w:ascii="Calibri" w:hAnsi="Calibri" w:cs="Calibri"/>
                <w:color w:val="FFFFFF"/>
                <w:sz w:val="22"/>
                <w:szCs w:val="22"/>
              </w:rPr>
              <w:t>11%</w:t>
            </w:r>
          </w:p>
        </w:tc>
        <w:tc>
          <w:tcPr>
            <w:tcW w:w="1320" w:type="dxa"/>
            <w:tcBorders>
              <w:top w:val="nil"/>
              <w:left w:val="nil"/>
              <w:bottom w:val="single" w:sz="8" w:space="0" w:color="auto"/>
              <w:right w:val="single" w:sz="8" w:space="0" w:color="auto"/>
            </w:tcBorders>
            <w:shd w:val="clear" w:color="000000" w:fill="E28C05"/>
            <w:noWrap/>
            <w:vAlign w:val="center"/>
            <w:hideMark/>
          </w:tcPr>
          <w:p w:rsidR="0060431A" w:rsidRDefault="0060431A">
            <w:pPr>
              <w:jc w:val="right"/>
              <w:rPr>
                <w:rFonts w:ascii="Calibri" w:hAnsi="Calibri" w:cs="Calibri"/>
                <w:color w:val="FFFFFF"/>
                <w:sz w:val="22"/>
                <w:szCs w:val="22"/>
              </w:rPr>
            </w:pPr>
            <w:r>
              <w:rPr>
                <w:rFonts w:ascii="Calibri" w:hAnsi="Calibri" w:cs="Calibri"/>
                <w:color w:val="FFFFFF"/>
                <w:sz w:val="22"/>
                <w:szCs w:val="22"/>
              </w:rPr>
              <w:t>261,804</w:t>
            </w:r>
          </w:p>
        </w:tc>
        <w:tc>
          <w:tcPr>
            <w:tcW w:w="1160" w:type="dxa"/>
            <w:tcBorders>
              <w:top w:val="nil"/>
              <w:left w:val="nil"/>
              <w:bottom w:val="single" w:sz="8" w:space="0" w:color="auto"/>
              <w:right w:val="single" w:sz="8" w:space="0" w:color="auto"/>
            </w:tcBorders>
            <w:shd w:val="clear" w:color="000000" w:fill="E28C05"/>
            <w:noWrap/>
            <w:vAlign w:val="center"/>
            <w:hideMark/>
          </w:tcPr>
          <w:p w:rsidR="0060431A" w:rsidRDefault="0060431A">
            <w:pPr>
              <w:jc w:val="right"/>
              <w:rPr>
                <w:rFonts w:ascii="Calibri" w:hAnsi="Calibri" w:cs="Calibri"/>
                <w:color w:val="FFFFFF"/>
                <w:sz w:val="22"/>
                <w:szCs w:val="22"/>
              </w:rPr>
            </w:pPr>
            <w:r>
              <w:rPr>
                <w:rFonts w:ascii="Calibri" w:hAnsi="Calibri" w:cs="Calibri"/>
                <w:color w:val="FFFFFF"/>
                <w:sz w:val="22"/>
                <w:szCs w:val="22"/>
              </w:rPr>
              <w:t>14%</w:t>
            </w:r>
          </w:p>
        </w:tc>
      </w:tr>
      <w:tr w:rsidR="0060431A" w:rsidRPr="00236B2E" w:rsidTr="00236B2E">
        <w:trPr>
          <w:trHeight w:val="315"/>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60431A" w:rsidRPr="00236B2E" w:rsidRDefault="0060431A" w:rsidP="00236B2E">
            <w:pPr>
              <w:rPr>
                <w:rFonts w:ascii="Calibri" w:hAnsi="Calibri" w:cs="Calibri"/>
                <w:color w:val="000000"/>
                <w:sz w:val="22"/>
                <w:szCs w:val="22"/>
              </w:rPr>
            </w:pPr>
            <w:r w:rsidRPr="00236B2E">
              <w:rPr>
                <w:rFonts w:ascii="Calibri" w:hAnsi="Calibri" w:cs="Calibri"/>
                <w:color w:val="000000"/>
                <w:sz w:val="22"/>
                <w:szCs w:val="22"/>
              </w:rPr>
              <w:t>6-10 Days</w:t>
            </w:r>
          </w:p>
        </w:tc>
        <w:tc>
          <w:tcPr>
            <w:tcW w:w="1300" w:type="dxa"/>
            <w:tcBorders>
              <w:top w:val="single" w:sz="8" w:space="0" w:color="auto"/>
              <w:left w:val="nil"/>
              <w:bottom w:val="nil"/>
              <w:right w:val="single" w:sz="8" w:space="0" w:color="auto"/>
            </w:tcBorders>
            <w:shd w:val="clear" w:color="000000" w:fill="56008C"/>
            <w:noWrap/>
            <w:vAlign w:val="bottom"/>
            <w:hideMark/>
          </w:tcPr>
          <w:p w:rsidR="0060431A" w:rsidRDefault="0060431A">
            <w:pPr>
              <w:jc w:val="right"/>
              <w:rPr>
                <w:rFonts w:ascii="Calibri" w:hAnsi="Calibri" w:cs="Calibri"/>
                <w:color w:val="FFFFFF"/>
                <w:sz w:val="22"/>
                <w:szCs w:val="22"/>
              </w:rPr>
            </w:pPr>
            <w:r>
              <w:rPr>
                <w:rFonts w:ascii="Calibri" w:hAnsi="Calibri" w:cs="Calibri"/>
                <w:color w:val="FFFFFF"/>
                <w:sz w:val="22"/>
                <w:szCs w:val="22"/>
              </w:rPr>
              <w:t>902</w:t>
            </w:r>
          </w:p>
        </w:tc>
        <w:tc>
          <w:tcPr>
            <w:tcW w:w="1160" w:type="dxa"/>
            <w:tcBorders>
              <w:top w:val="nil"/>
              <w:left w:val="nil"/>
              <w:bottom w:val="single" w:sz="8" w:space="0" w:color="auto"/>
              <w:right w:val="single" w:sz="8" w:space="0" w:color="auto"/>
            </w:tcBorders>
            <w:shd w:val="clear" w:color="000000" w:fill="56008C"/>
            <w:noWrap/>
            <w:vAlign w:val="center"/>
            <w:hideMark/>
          </w:tcPr>
          <w:p w:rsidR="0060431A" w:rsidRDefault="0060431A">
            <w:pPr>
              <w:jc w:val="right"/>
              <w:rPr>
                <w:rFonts w:ascii="Calibri" w:hAnsi="Calibri" w:cs="Calibri"/>
                <w:color w:val="FFFFFF"/>
                <w:sz w:val="22"/>
                <w:szCs w:val="22"/>
              </w:rPr>
            </w:pPr>
            <w:r>
              <w:rPr>
                <w:rFonts w:ascii="Calibri" w:hAnsi="Calibri" w:cs="Calibri"/>
                <w:color w:val="FFFFFF"/>
                <w:sz w:val="22"/>
                <w:szCs w:val="22"/>
              </w:rPr>
              <w:t>60%</w:t>
            </w:r>
          </w:p>
        </w:tc>
        <w:tc>
          <w:tcPr>
            <w:tcW w:w="1320" w:type="dxa"/>
            <w:tcBorders>
              <w:top w:val="nil"/>
              <w:left w:val="nil"/>
              <w:bottom w:val="single" w:sz="8" w:space="0" w:color="auto"/>
              <w:right w:val="single" w:sz="8" w:space="0" w:color="auto"/>
            </w:tcBorders>
            <w:shd w:val="clear" w:color="000000" w:fill="E28C05"/>
            <w:noWrap/>
            <w:vAlign w:val="center"/>
            <w:hideMark/>
          </w:tcPr>
          <w:p w:rsidR="0060431A" w:rsidRDefault="0060431A">
            <w:pPr>
              <w:jc w:val="right"/>
              <w:rPr>
                <w:rFonts w:ascii="Calibri" w:hAnsi="Calibri" w:cs="Calibri"/>
                <w:color w:val="FFFFFF"/>
                <w:sz w:val="22"/>
                <w:szCs w:val="22"/>
              </w:rPr>
            </w:pPr>
            <w:r>
              <w:rPr>
                <w:rFonts w:ascii="Calibri" w:hAnsi="Calibri" w:cs="Calibri"/>
                <w:color w:val="FFFFFF"/>
                <w:sz w:val="22"/>
                <w:szCs w:val="22"/>
              </w:rPr>
              <w:t>1,011,109</w:t>
            </w:r>
          </w:p>
        </w:tc>
        <w:tc>
          <w:tcPr>
            <w:tcW w:w="1160" w:type="dxa"/>
            <w:tcBorders>
              <w:top w:val="nil"/>
              <w:left w:val="nil"/>
              <w:bottom w:val="single" w:sz="8" w:space="0" w:color="auto"/>
              <w:right w:val="single" w:sz="8" w:space="0" w:color="auto"/>
            </w:tcBorders>
            <w:shd w:val="clear" w:color="000000" w:fill="E28C05"/>
            <w:noWrap/>
            <w:vAlign w:val="center"/>
            <w:hideMark/>
          </w:tcPr>
          <w:p w:rsidR="0060431A" w:rsidRDefault="0060431A">
            <w:pPr>
              <w:jc w:val="right"/>
              <w:rPr>
                <w:rFonts w:ascii="Calibri" w:hAnsi="Calibri" w:cs="Calibri"/>
                <w:color w:val="FFFFFF"/>
                <w:sz w:val="22"/>
                <w:szCs w:val="22"/>
              </w:rPr>
            </w:pPr>
            <w:r>
              <w:rPr>
                <w:rFonts w:ascii="Calibri" w:hAnsi="Calibri" w:cs="Calibri"/>
                <w:color w:val="FFFFFF"/>
                <w:sz w:val="22"/>
                <w:szCs w:val="22"/>
              </w:rPr>
              <w:t>53%</w:t>
            </w:r>
          </w:p>
        </w:tc>
      </w:tr>
      <w:tr w:rsidR="0060431A" w:rsidRPr="00236B2E" w:rsidTr="00236B2E">
        <w:trPr>
          <w:trHeight w:val="315"/>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60431A" w:rsidRPr="00236B2E" w:rsidRDefault="0060431A" w:rsidP="00236B2E">
            <w:pPr>
              <w:rPr>
                <w:rFonts w:ascii="Calibri" w:hAnsi="Calibri" w:cs="Calibri"/>
                <w:color w:val="000000"/>
                <w:sz w:val="22"/>
                <w:szCs w:val="22"/>
              </w:rPr>
            </w:pPr>
            <w:r w:rsidRPr="00236B2E">
              <w:rPr>
                <w:rFonts w:ascii="Calibri" w:hAnsi="Calibri" w:cs="Calibri"/>
                <w:color w:val="000000"/>
                <w:sz w:val="22"/>
                <w:szCs w:val="22"/>
              </w:rPr>
              <w:t>11-20 Days</w:t>
            </w:r>
          </w:p>
        </w:tc>
        <w:tc>
          <w:tcPr>
            <w:tcW w:w="1300" w:type="dxa"/>
            <w:tcBorders>
              <w:top w:val="single" w:sz="8" w:space="0" w:color="auto"/>
              <w:left w:val="nil"/>
              <w:bottom w:val="single" w:sz="8" w:space="0" w:color="auto"/>
              <w:right w:val="single" w:sz="8" w:space="0" w:color="auto"/>
            </w:tcBorders>
            <w:shd w:val="clear" w:color="000000" w:fill="56008C"/>
            <w:noWrap/>
            <w:vAlign w:val="bottom"/>
            <w:hideMark/>
          </w:tcPr>
          <w:p w:rsidR="0060431A" w:rsidRDefault="0060431A">
            <w:pPr>
              <w:jc w:val="right"/>
              <w:rPr>
                <w:rFonts w:ascii="Calibri" w:hAnsi="Calibri" w:cs="Calibri"/>
                <w:color w:val="FFFFFF"/>
                <w:sz w:val="22"/>
                <w:szCs w:val="22"/>
              </w:rPr>
            </w:pPr>
            <w:r>
              <w:rPr>
                <w:rFonts w:ascii="Calibri" w:hAnsi="Calibri" w:cs="Calibri"/>
                <w:color w:val="FFFFFF"/>
                <w:sz w:val="22"/>
                <w:szCs w:val="22"/>
              </w:rPr>
              <w:t>376</w:t>
            </w:r>
          </w:p>
        </w:tc>
        <w:tc>
          <w:tcPr>
            <w:tcW w:w="1160" w:type="dxa"/>
            <w:tcBorders>
              <w:top w:val="nil"/>
              <w:left w:val="nil"/>
              <w:bottom w:val="single" w:sz="8" w:space="0" w:color="auto"/>
              <w:right w:val="single" w:sz="8" w:space="0" w:color="auto"/>
            </w:tcBorders>
            <w:shd w:val="clear" w:color="000000" w:fill="56008C"/>
            <w:noWrap/>
            <w:vAlign w:val="center"/>
            <w:hideMark/>
          </w:tcPr>
          <w:p w:rsidR="0060431A" w:rsidRDefault="0060431A">
            <w:pPr>
              <w:jc w:val="right"/>
              <w:rPr>
                <w:rFonts w:ascii="Calibri" w:hAnsi="Calibri" w:cs="Calibri"/>
                <w:color w:val="FFFFFF"/>
                <w:sz w:val="22"/>
                <w:szCs w:val="22"/>
              </w:rPr>
            </w:pPr>
            <w:r>
              <w:rPr>
                <w:rFonts w:ascii="Calibri" w:hAnsi="Calibri" w:cs="Calibri"/>
                <w:color w:val="FFFFFF"/>
                <w:sz w:val="22"/>
                <w:szCs w:val="22"/>
              </w:rPr>
              <w:t>25%</w:t>
            </w:r>
          </w:p>
        </w:tc>
        <w:tc>
          <w:tcPr>
            <w:tcW w:w="1320" w:type="dxa"/>
            <w:tcBorders>
              <w:top w:val="nil"/>
              <w:left w:val="nil"/>
              <w:bottom w:val="single" w:sz="8" w:space="0" w:color="auto"/>
              <w:right w:val="single" w:sz="8" w:space="0" w:color="auto"/>
            </w:tcBorders>
            <w:shd w:val="clear" w:color="000000" w:fill="E28C05"/>
            <w:noWrap/>
            <w:vAlign w:val="center"/>
            <w:hideMark/>
          </w:tcPr>
          <w:p w:rsidR="0060431A" w:rsidRDefault="0060431A">
            <w:pPr>
              <w:jc w:val="right"/>
              <w:rPr>
                <w:rFonts w:ascii="Calibri" w:hAnsi="Calibri" w:cs="Calibri"/>
                <w:color w:val="FFFFFF"/>
                <w:sz w:val="22"/>
                <w:szCs w:val="22"/>
              </w:rPr>
            </w:pPr>
            <w:r>
              <w:rPr>
                <w:rFonts w:ascii="Calibri" w:hAnsi="Calibri" w:cs="Calibri"/>
                <w:color w:val="FFFFFF"/>
                <w:sz w:val="22"/>
                <w:szCs w:val="22"/>
              </w:rPr>
              <w:t>576,137</w:t>
            </w:r>
          </w:p>
        </w:tc>
        <w:tc>
          <w:tcPr>
            <w:tcW w:w="1160" w:type="dxa"/>
            <w:tcBorders>
              <w:top w:val="nil"/>
              <w:left w:val="nil"/>
              <w:bottom w:val="single" w:sz="8" w:space="0" w:color="auto"/>
              <w:right w:val="single" w:sz="8" w:space="0" w:color="auto"/>
            </w:tcBorders>
            <w:shd w:val="clear" w:color="000000" w:fill="E28C05"/>
            <w:noWrap/>
            <w:vAlign w:val="center"/>
            <w:hideMark/>
          </w:tcPr>
          <w:p w:rsidR="0060431A" w:rsidRDefault="0060431A">
            <w:pPr>
              <w:jc w:val="right"/>
              <w:rPr>
                <w:rFonts w:ascii="Calibri" w:hAnsi="Calibri" w:cs="Calibri"/>
                <w:color w:val="FFFFFF"/>
                <w:sz w:val="22"/>
                <w:szCs w:val="22"/>
              </w:rPr>
            </w:pPr>
            <w:r>
              <w:rPr>
                <w:rFonts w:ascii="Calibri" w:hAnsi="Calibri" w:cs="Calibri"/>
                <w:color w:val="FFFFFF"/>
                <w:sz w:val="22"/>
                <w:szCs w:val="22"/>
              </w:rPr>
              <w:t>30%</w:t>
            </w:r>
          </w:p>
        </w:tc>
      </w:tr>
      <w:tr w:rsidR="0060431A" w:rsidRPr="00236B2E" w:rsidTr="00236B2E">
        <w:trPr>
          <w:trHeight w:val="315"/>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60431A" w:rsidRPr="00236B2E" w:rsidRDefault="0060431A" w:rsidP="00236B2E">
            <w:pPr>
              <w:rPr>
                <w:rFonts w:ascii="Calibri" w:hAnsi="Calibri" w:cs="Calibri"/>
                <w:color w:val="000000"/>
                <w:sz w:val="22"/>
                <w:szCs w:val="22"/>
              </w:rPr>
            </w:pPr>
            <w:r w:rsidRPr="00236B2E">
              <w:rPr>
                <w:rFonts w:ascii="Calibri" w:hAnsi="Calibri" w:cs="Calibri"/>
                <w:color w:val="000000"/>
                <w:sz w:val="22"/>
                <w:szCs w:val="22"/>
              </w:rPr>
              <w:t>21-30 Days</w:t>
            </w:r>
          </w:p>
        </w:tc>
        <w:tc>
          <w:tcPr>
            <w:tcW w:w="1300" w:type="dxa"/>
            <w:tcBorders>
              <w:top w:val="nil"/>
              <w:left w:val="nil"/>
              <w:bottom w:val="single" w:sz="8" w:space="0" w:color="auto"/>
              <w:right w:val="single" w:sz="8" w:space="0" w:color="auto"/>
            </w:tcBorders>
            <w:shd w:val="clear" w:color="000000" w:fill="56008C"/>
            <w:noWrap/>
            <w:vAlign w:val="bottom"/>
            <w:hideMark/>
          </w:tcPr>
          <w:p w:rsidR="0060431A" w:rsidRDefault="0060431A">
            <w:pPr>
              <w:jc w:val="right"/>
              <w:rPr>
                <w:rFonts w:ascii="Calibri" w:hAnsi="Calibri" w:cs="Calibri"/>
                <w:color w:val="FFFFFF"/>
                <w:sz w:val="22"/>
                <w:szCs w:val="22"/>
              </w:rPr>
            </w:pPr>
            <w:r>
              <w:rPr>
                <w:rFonts w:ascii="Calibri" w:hAnsi="Calibri" w:cs="Calibri"/>
                <w:color w:val="FFFFFF"/>
                <w:sz w:val="22"/>
                <w:szCs w:val="22"/>
              </w:rPr>
              <w:t>16</w:t>
            </w:r>
          </w:p>
        </w:tc>
        <w:tc>
          <w:tcPr>
            <w:tcW w:w="1160" w:type="dxa"/>
            <w:tcBorders>
              <w:top w:val="nil"/>
              <w:left w:val="nil"/>
              <w:bottom w:val="single" w:sz="8" w:space="0" w:color="auto"/>
              <w:right w:val="single" w:sz="8" w:space="0" w:color="auto"/>
            </w:tcBorders>
            <w:shd w:val="clear" w:color="000000" w:fill="56008C"/>
            <w:noWrap/>
            <w:vAlign w:val="center"/>
            <w:hideMark/>
          </w:tcPr>
          <w:p w:rsidR="0060431A" w:rsidRDefault="0060431A">
            <w:pPr>
              <w:jc w:val="right"/>
              <w:rPr>
                <w:rFonts w:ascii="Calibri" w:hAnsi="Calibri" w:cs="Calibri"/>
                <w:color w:val="FFFFFF"/>
                <w:sz w:val="22"/>
                <w:szCs w:val="22"/>
              </w:rPr>
            </w:pPr>
            <w:r>
              <w:rPr>
                <w:rFonts w:ascii="Calibri" w:hAnsi="Calibri" w:cs="Calibri"/>
                <w:color w:val="FFFFFF"/>
                <w:sz w:val="22"/>
                <w:szCs w:val="22"/>
              </w:rPr>
              <w:t>1%</w:t>
            </w:r>
          </w:p>
        </w:tc>
        <w:tc>
          <w:tcPr>
            <w:tcW w:w="1320" w:type="dxa"/>
            <w:tcBorders>
              <w:top w:val="nil"/>
              <w:left w:val="nil"/>
              <w:bottom w:val="single" w:sz="8" w:space="0" w:color="auto"/>
              <w:right w:val="single" w:sz="8" w:space="0" w:color="auto"/>
            </w:tcBorders>
            <w:shd w:val="clear" w:color="000000" w:fill="E28C05"/>
            <w:noWrap/>
            <w:vAlign w:val="center"/>
            <w:hideMark/>
          </w:tcPr>
          <w:p w:rsidR="0060431A" w:rsidRDefault="0060431A">
            <w:pPr>
              <w:jc w:val="right"/>
              <w:rPr>
                <w:rFonts w:ascii="Calibri" w:hAnsi="Calibri" w:cs="Calibri"/>
                <w:color w:val="FFFFFF"/>
                <w:sz w:val="22"/>
                <w:szCs w:val="22"/>
              </w:rPr>
            </w:pPr>
            <w:r>
              <w:rPr>
                <w:rFonts w:ascii="Calibri" w:hAnsi="Calibri" w:cs="Calibri"/>
                <w:color w:val="FFFFFF"/>
                <w:sz w:val="22"/>
                <w:szCs w:val="22"/>
              </w:rPr>
              <w:t>48,962</w:t>
            </w:r>
          </w:p>
        </w:tc>
        <w:tc>
          <w:tcPr>
            <w:tcW w:w="1160" w:type="dxa"/>
            <w:tcBorders>
              <w:top w:val="nil"/>
              <w:left w:val="nil"/>
              <w:bottom w:val="single" w:sz="8" w:space="0" w:color="auto"/>
              <w:right w:val="single" w:sz="8" w:space="0" w:color="auto"/>
            </w:tcBorders>
            <w:shd w:val="clear" w:color="000000" w:fill="E28C05"/>
            <w:noWrap/>
            <w:vAlign w:val="center"/>
            <w:hideMark/>
          </w:tcPr>
          <w:p w:rsidR="0060431A" w:rsidRDefault="0060431A">
            <w:pPr>
              <w:jc w:val="right"/>
              <w:rPr>
                <w:rFonts w:ascii="Calibri" w:hAnsi="Calibri" w:cs="Calibri"/>
                <w:color w:val="FFFFFF"/>
                <w:sz w:val="22"/>
                <w:szCs w:val="22"/>
              </w:rPr>
            </w:pPr>
            <w:r>
              <w:rPr>
                <w:rFonts w:ascii="Calibri" w:hAnsi="Calibri" w:cs="Calibri"/>
                <w:color w:val="FFFFFF"/>
                <w:sz w:val="22"/>
                <w:szCs w:val="22"/>
              </w:rPr>
              <w:t>3%</w:t>
            </w:r>
          </w:p>
        </w:tc>
      </w:tr>
      <w:tr w:rsidR="0060431A" w:rsidRPr="00236B2E" w:rsidTr="00236B2E">
        <w:trPr>
          <w:trHeight w:val="315"/>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60431A" w:rsidRPr="00236B2E" w:rsidRDefault="0060431A" w:rsidP="00236B2E">
            <w:pPr>
              <w:rPr>
                <w:rFonts w:ascii="Calibri" w:hAnsi="Calibri" w:cs="Calibri"/>
                <w:color w:val="000000"/>
                <w:sz w:val="22"/>
                <w:szCs w:val="22"/>
              </w:rPr>
            </w:pPr>
            <w:r w:rsidRPr="00236B2E">
              <w:rPr>
                <w:rFonts w:ascii="Calibri" w:hAnsi="Calibri" w:cs="Calibri"/>
                <w:color w:val="000000"/>
                <w:sz w:val="22"/>
                <w:szCs w:val="22"/>
              </w:rPr>
              <w:t>Over 30 Days</w:t>
            </w:r>
          </w:p>
        </w:tc>
        <w:tc>
          <w:tcPr>
            <w:tcW w:w="1300" w:type="dxa"/>
            <w:tcBorders>
              <w:top w:val="nil"/>
              <w:left w:val="nil"/>
              <w:bottom w:val="single" w:sz="8" w:space="0" w:color="auto"/>
              <w:right w:val="single" w:sz="8" w:space="0" w:color="auto"/>
            </w:tcBorders>
            <w:shd w:val="clear" w:color="000000" w:fill="56008C"/>
            <w:noWrap/>
            <w:vAlign w:val="bottom"/>
            <w:hideMark/>
          </w:tcPr>
          <w:p w:rsidR="0060431A" w:rsidRDefault="0060431A">
            <w:pPr>
              <w:jc w:val="right"/>
              <w:rPr>
                <w:rFonts w:ascii="Calibri" w:hAnsi="Calibri" w:cs="Calibri"/>
                <w:color w:val="FFFFFF"/>
                <w:sz w:val="22"/>
                <w:szCs w:val="22"/>
              </w:rPr>
            </w:pPr>
            <w:r>
              <w:rPr>
                <w:rFonts w:ascii="Calibri" w:hAnsi="Calibri" w:cs="Calibri"/>
                <w:color w:val="FFFFFF"/>
                <w:sz w:val="22"/>
                <w:szCs w:val="22"/>
              </w:rPr>
              <w:t>44</w:t>
            </w:r>
          </w:p>
        </w:tc>
        <w:tc>
          <w:tcPr>
            <w:tcW w:w="1160" w:type="dxa"/>
            <w:tcBorders>
              <w:top w:val="nil"/>
              <w:left w:val="nil"/>
              <w:bottom w:val="single" w:sz="8" w:space="0" w:color="auto"/>
              <w:right w:val="single" w:sz="8" w:space="0" w:color="auto"/>
            </w:tcBorders>
            <w:shd w:val="clear" w:color="000000" w:fill="56008C"/>
            <w:noWrap/>
            <w:vAlign w:val="center"/>
            <w:hideMark/>
          </w:tcPr>
          <w:p w:rsidR="0060431A" w:rsidRDefault="0060431A">
            <w:pPr>
              <w:jc w:val="right"/>
              <w:rPr>
                <w:rFonts w:ascii="Calibri" w:hAnsi="Calibri" w:cs="Calibri"/>
                <w:color w:val="FFFFFF"/>
                <w:sz w:val="22"/>
                <w:szCs w:val="22"/>
              </w:rPr>
            </w:pPr>
            <w:r>
              <w:rPr>
                <w:rFonts w:ascii="Calibri" w:hAnsi="Calibri" w:cs="Calibri"/>
                <w:color w:val="FFFFFF"/>
                <w:sz w:val="22"/>
                <w:szCs w:val="22"/>
              </w:rPr>
              <w:t>3%</w:t>
            </w:r>
          </w:p>
        </w:tc>
        <w:tc>
          <w:tcPr>
            <w:tcW w:w="1320" w:type="dxa"/>
            <w:tcBorders>
              <w:top w:val="nil"/>
              <w:left w:val="nil"/>
              <w:bottom w:val="single" w:sz="8" w:space="0" w:color="auto"/>
              <w:right w:val="single" w:sz="8" w:space="0" w:color="auto"/>
            </w:tcBorders>
            <w:shd w:val="clear" w:color="000000" w:fill="E28C05"/>
            <w:noWrap/>
            <w:vAlign w:val="center"/>
            <w:hideMark/>
          </w:tcPr>
          <w:p w:rsidR="0060431A" w:rsidRDefault="0060431A">
            <w:pPr>
              <w:jc w:val="right"/>
              <w:rPr>
                <w:rFonts w:ascii="Calibri" w:hAnsi="Calibri" w:cs="Calibri"/>
                <w:color w:val="FFFFFF"/>
                <w:sz w:val="22"/>
                <w:szCs w:val="22"/>
              </w:rPr>
            </w:pPr>
            <w:r>
              <w:rPr>
                <w:rFonts w:ascii="Calibri" w:hAnsi="Calibri" w:cs="Calibri"/>
                <w:color w:val="FFFFFF"/>
                <w:sz w:val="22"/>
                <w:szCs w:val="22"/>
              </w:rPr>
              <w:t>27,859</w:t>
            </w:r>
          </w:p>
        </w:tc>
        <w:tc>
          <w:tcPr>
            <w:tcW w:w="1160" w:type="dxa"/>
            <w:tcBorders>
              <w:top w:val="nil"/>
              <w:left w:val="nil"/>
              <w:bottom w:val="single" w:sz="8" w:space="0" w:color="auto"/>
              <w:right w:val="single" w:sz="8" w:space="0" w:color="auto"/>
            </w:tcBorders>
            <w:shd w:val="clear" w:color="000000" w:fill="E28C05"/>
            <w:noWrap/>
            <w:vAlign w:val="center"/>
            <w:hideMark/>
          </w:tcPr>
          <w:p w:rsidR="0060431A" w:rsidRDefault="0060431A">
            <w:pPr>
              <w:jc w:val="right"/>
              <w:rPr>
                <w:rFonts w:ascii="Calibri" w:hAnsi="Calibri" w:cs="Calibri"/>
                <w:color w:val="FFFFFF"/>
                <w:sz w:val="22"/>
                <w:szCs w:val="22"/>
              </w:rPr>
            </w:pPr>
            <w:r>
              <w:rPr>
                <w:rFonts w:ascii="Calibri" w:hAnsi="Calibri" w:cs="Calibri"/>
                <w:color w:val="FFFFFF"/>
                <w:sz w:val="22"/>
                <w:szCs w:val="22"/>
              </w:rPr>
              <w:t>1%</w:t>
            </w:r>
          </w:p>
        </w:tc>
      </w:tr>
      <w:tr w:rsidR="0060431A" w:rsidRPr="00236B2E" w:rsidTr="00236B2E">
        <w:trPr>
          <w:trHeight w:val="315"/>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60431A" w:rsidRPr="00236B2E" w:rsidRDefault="0060431A" w:rsidP="00236B2E">
            <w:pPr>
              <w:rPr>
                <w:rFonts w:ascii="Calibri" w:hAnsi="Calibri" w:cs="Calibri"/>
                <w:color w:val="000000"/>
                <w:sz w:val="22"/>
                <w:szCs w:val="22"/>
              </w:rPr>
            </w:pPr>
            <w:r w:rsidRPr="00236B2E">
              <w:rPr>
                <w:rFonts w:ascii="Calibri" w:hAnsi="Calibri" w:cs="Calibri"/>
                <w:color w:val="000000"/>
                <w:sz w:val="22"/>
                <w:szCs w:val="22"/>
              </w:rPr>
              <w:t>Total</w:t>
            </w:r>
          </w:p>
        </w:tc>
        <w:tc>
          <w:tcPr>
            <w:tcW w:w="1300" w:type="dxa"/>
            <w:tcBorders>
              <w:top w:val="nil"/>
              <w:left w:val="nil"/>
              <w:bottom w:val="single" w:sz="8" w:space="0" w:color="auto"/>
              <w:right w:val="single" w:sz="8" w:space="0" w:color="auto"/>
            </w:tcBorders>
            <w:shd w:val="clear" w:color="000000" w:fill="56008C"/>
            <w:noWrap/>
            <w:vAlign w:val="center"/>
            <w:hideMark/>
          </w:tcPr>
          <w:p w:rsidR="0060431A" w:rsidRDefault="0060431A">
            <w:pPr>
              <w:jc w:val="right"/>
              <w:rPr>
                <w:rFonts w:ascii="Calibri" w:hAnsi="Calibri" w:cs="Calibri"/>
                <w:color w:val="FFFFFF"/>
                <w:sz w:val="22"/>
                <w:szCs w:val="22"/>
              </w:rPr>
            </w:pPr>
            <w:r>
              <w:rPr>
                <w:rFonts w:ascii="Calibri" w:hAnsi="Calibri" w:cs="Calibri"/>
                <w:color w:val="FFFFFF"/>
                <w:sz w:val="22"/>
                <w:szCs w:val="22"/>
              </w:rPr>
              <w:t>1,497</w:t>
            </w:r>
          </w:p>
        </w:tc>
        <w:tc>
          <w:tcPr>
            <w:tcW w:w="1160" w:type="dxa"/>
            <w:tcBorders>
              <w:top w:val="nil"/>
              <w:left w:val="nil"/>
              <w:bottom w:val="single" w:sz="8" w:space="0" w:color="auto"/>
              <w:right w:val="single" w:sz="8" w:space="0" w:color="auto"/>
            </w:tcBorders>
            <w:shd w:val="clear" w:color="000000" w:fill="56008C"/>
            <w:noWrap/>
            <w:vAlign w:val="center"/>
            <w:hideMark/>
          </w:tcPr>
          <w:p w:rsidR="0060431A" w:rsidRDefault="0060431A">
            <w:pPr>
              <w:jc w:val="right"/>
              <w:rPr>
                <w:rFonts w:ascii="Calibri" w:hAnsi="Calibri" w:cs="Calibri"/>
                <w:color w:val="FFFFFF"/>
                <w:sz w:val="22"/>
                <w:szCs w:val="22"/>
              </w:rPr>
            </w:pPr>
            <w:r>
              <w:rPr>
                <w:rFonts w:ascii="Calibri" w:hAnsi="Calibri" w:cs="Calibri"/>
                <w:color w:val="FFFFFF"/>
                <w:sz w:val="22"/>
                <w:szCs w:val="22"/>
              </w:rPr>
              <w:t>100%</w:t>
            </w:r>
          </w:p>
        </w:tc>
        <w:tc>
          <w:tcPr>
            <w:tcW w:w="1320" w:type="dxa"/>
            <w:tcBorders>
              <w:top w:val="nil"/>
              <w:left w:val="nil"/>
              <w:bottom w:val="single" w:sz="8" w:space="0" w:color="auto"/>
              <w:right w:val="single" w:sz="8" w:space="0" w:color="auto"/>
            </w:tcBorders>
            <w:shd w:val="clear" w:color="000000" w:fill="E28C05"/>
            <w:noWrap/>
            <w:vAlign w:val="center"/>
            <w:hideMark/>
          </w:tcPr>
          <w:p w:rsidR="0060431A" w:rsidRDefault="0060431A">
            <w:pPr>
              <w:jc w:val="right"/>
              <w:rPr>
                <w:rFonts w:ascii="Calibri" w:hAnsi="Calibri" w:cs="Calibri"/>
                <w:color w:val="FFFFFF"/>
                <w:sz w:val="22"/>
                <w:szCs w:val="22"/>
              </w:rPr>
            </w:pPr>
            <w:r>
              <w:rPr>
                <w:rFonts w:ascii="Calibri" w:hAnsi="Calibri" w:cs="Calibri"/>
                <w:color w:val="FFFFFF"/>
                <w:sz w:val="22"/>
                <w:szCs w:val="22"/>
              </w:rPr>
              <w:t>1,925,871</w:t>
            </w:r>
          </w:p>
        </w:tc>
        <w:tc>
          <w:tcPr>
            <w:tcW w:w="1160" w:type="dxa"/>
            <w:tcBorders>
              <w:top w:val="nil"/>
              <w:left w:val="nil"/>
              <w:bottom w:val="single" w:sz="8" w:space="0" w:color="auto"/>
              <w:right w:val="single" w:sz="8" w:space="0" w:color="auto"/>
            </w:tcBorders>
            <w:shd w:val="clear" w:color="000000" w:fill="E28C05"/>
            <w:noWrap/>
            <w:vAlign w:val="center"/>
            <w:hideMark/>
          </w:tcPr>
          <w:p w:rsidR="0060431A" w:rsidRDefault="0060431A">
            <w:pPr>
              <w:jc w:val="right"/>
              <w:rPr>
                <w:rFonts w:ascii="Calibri" w:hAnsi="Calibri" w:cs="Calibri"/>
                <w:color w:val="FFFFFF"/>
                <w:sz w:val="22"/>
                <w:szCs w:val="22"/>
              </w:rPr>
            </w:pPr>
            <w:r>
              <w:rPr>
                <w:rFonts w:ascii="Calibri" w:hAnsi="Calibri" w:cs="Calibri"/>
                <w:color w:val="FFFFFF"/>
                <w:sz w:val="22"/>
                <w:szCs w:val="22"/>
              </w:rPr>
              <w:t>100%</w:t>
            </w:r>
          </w:p>
        </w:tc>
      </w:tr>
      <w:tr w:rsidR="0060431A" w:rsidRPr="00236B2E" w:rsidTr="00236B2E">
        <w:trPr>
          <w:trHeight w:val="315"/>
        </w:trPr>
        <w:tc>
          <w:tcPr>
            <w:tcW w:w="2200" w:type="dxa"/>
            <w:tcBorders>
              <w:top w:val="nil"/>
              <w:left w:val="nil"/>
              <w:bottom w:val="nil"/>
              <w:right w:val="nil"/>
            </w:tcBorders>
            <w:shd w:val="clear" w:color="auto" w:fill="auto"/>
            <w:noWrap/>
            <w:vAlign w:val="bottom"/>
            <w:hideMark/>
          </w:tcPr>
          <w:p w:rsidR="0060431A" w:rsidRPr="00236B2E" w:rsidRDefault="0060431A" w:rsidP="00236B2E">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60431A" w:rsidRDefault="0060431A">
            <w:pPr>
              <w:rPr>
                <w:rFonts w:ascii="Calibri" w:hAnsi="Calibri" w:cs="Calibri"/>
                <w:color w:val="FFFFFF"/>
                <w:sz w:val="22"/>
                <w:szCs w:val="22"/>
              </w:rPr>
            </w:pPr>
          </w:p>
        </w:tc>
        <w:tc>
          <w:tcPr>
            <w:tcW w:w="1160" w:type="dxa"/>
            <w:tcBorders>
              <w:top w:val="nil"/>
              <w:left w:val="nil"/>
              <w:bottom w:val="nil"/>
              <w:right w:val="nil"/>
            </w:tcBorders>
            <w:shd w:val="clear" w:color="auto" w:fill="auto"/>
            <w:noWrap/>
            <w:vAlign w:val="bottom"/>
            <w:hideMark/>
          </w:tcPr>
          <w:p w:rsidR="0060431A" w:rsidRDefault="0060431A">
            <w:pPr>
              <w:rPr>
                <w:rFonts w:ascii="Calibri" w:hAnsi="Calibri" w:cs="Calibri"/>
                <w:color w:val="FFFFFF"/>
                <w:sz w:val="22"/>
                <w:szCs w:val="22"/>
              </w:rPr>
            </w:pPr>
          </w:p>
        </w:tc>
        <w:tc>
          <w:tcPr>
            <w:tcW w:w="1320" w:type="dxa"/>
            <w:tcBorders>
              <w:top w:val="nil"/>
              <w:left w:val="nil"/>
              <w:bottom w:val="nil"/>
              <w:right w:val="nil"/>
            </w:tcBorders>
            <w:shd w:val="clear" w:color="auto" w:fill="auto"/>
            <w:noWrap/>
            <w:vAlign w:val="bottom"/>
            <w:hideMark/>
          </w:tcPr>
          <w:p w:rsidR="0060431A" w:rsidRDefault="0060431A">
            <w:pPr>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60431A" w:rsidRDefault="0060431A">
            <w:pPr>
              <w:rPr>
                <w:rFonts w:ascii="Calibri" w:hAnsi="Calibri" w:cs="Calibri"/>
                <w:color w:val="000000"/>
                <w:sz w:val="22"/>
                <w:szCs w:val="22"/>
              </w:rPr>
            </w:pPr>
          </w:p>
        </w:tc>
      </w:tr>
      <w:tr w:rsidR="0060431A" w:rsidRPr="00236B2E" w:rsidTr="00236B2E">
        <w:trPr>
          <w:trHeight w:val="315"/>
        </w:trPr>
        <w:tc>
          <w:tcPr>
            <w:tcW w:w="2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0431A" w:rsidRPr="00236B2E" w:rsidRDefault="0060431A" w:rsidP="00236B2E">
            <w:pPr>
              <w:rPr>
                <w:rFonts w:ascii="Calibri" w:hAnsi="Calibri" w:cs="Calibri"/>
                <w:b/>
                <w:bCs/>
                <w:color w:val="000000"/>
                <w:sz w:val="22"/>
                <w:szCs w:val="22"/>
              </w:rPr>
            </w:pPr>
            <w:r w:rsidRPr="00236B2E">
              <w:rPr>
                <w:rFonts w:ascii="Calibri" w:hAnsi="Calibri" w:cs="Calibri"/>
                <w:b/>
                <w:bCs/>
                <w:color w:val="000000"/>
                <w:sz w:val="22"/>
                <w:szCs w:val="22"/>
              </w:rPr>
              <w:t>BPPC achieved</w:t>
            </w:r>
          </w:p>
        </w:tc>
        <w:tc>
          <w:tcPr>
            <w:tcW w:w="1300" w:type="dxa"/>
            <w:tcBorders>
              <w:top w:val="single" w:sz="8" w:space="0" w:color="auto"/>
              <w:left w:val="nil"/>
              <w:bottom w:val="single" w:sz="8" w:space="0" w:color="auto"/>
              <w:right w:val="single" w:sz="8" w:space="0" w:color="auto"/>
            </w:tcBorders>
            <w:shd w:val="clear" w:color="000000" w:fill="56008C"/>
            <w:noWrap/>
            <w:vAlign w:val="center"/>
            <w:hideMark/>
          </w:tcPr>
          <w:p w:rsidR="0060431A" w:rsidRDefault="0060431A">
            <w:pPr>
              <w:jc w:val="right"/>
              <w:rPr>
                <w:rFonts w:ascii="Calibri" w:hAnsi="Calibri" w:cs="Calibri"/>
                <w:color w:val="FFFFFF"/>
                <w:sz w:val="22"/>
                <w:szCs w:val="22"/>
              </w:rPr>
            </w:pPr>
            <w:r>
              <w:rPr>
                <w:rFonts w:ascii="Calibri" w:hAnsi="Calibri" w:cs="Calibri"/>
                <w:color w:val="FFFFFF"/>
                <w:sz w:val="22"/>
                <w:szCs w:val="22"/>
              </w:rPr>
              <w:t>97%</w:t>
            </w:r>
          </w:p>
        </w:tc>
        <w:tc>
          <w:tcPr>
            <w:tcW w:w="1160" w:type="dxa"/>
            <w:tcBorders>
              <w:top w:val="single" w:sz="8" w:space="0" w:color="auto"/>
              <w:left w:val="nil"/>
              <w:bottom w:val="single" w:sz="8" w:space="0" w:color="auto"/>
              <w:right w:val="single" w:sz="8" w:space="0" w:color="auto"/>
            </w:tcBorders>
            <w:shd w:val="clear" w:color="000000" w:fill="56008C"/>
            <w:noWrap/>
            <w:vAlign w:val="center"/>
            <w:hideMark/>
          </w:tcPr>
          <w:p w:rsidR="0060431A" w:rsidRDefault="0060431A">
            <w:pPr>
              <w:jc w:val="right"/>
              <w:rPr>
                <w:rFonts w:ascii="Calibri" w:hAnsi="Calibri" w:cs="Calibri"/>
                <w:color w:val="FFFFFF"/>
                <w:sz w:val="22"/>
                <w:szCs w:val="22"/>
              </w:rPr>
            </w:pPr>
            <w:r>
              <w:rPr>
                <w:rFonts w:ascii="Calibri" w:hAnsi="Calibri" w:cs="Calibri"/>
                <w:color w:val="FFFFFF"/>
                <w:sz w:val="22"/>
                <w:szCs w:val="22"/>
              </w:rPr>
              <w:t>97%</w:t>
            </w:r>
          </w:p>
        </w:tc>
        <w:tc>
          <w:tcPr>
            <w:tcW w:w="1320" w:type="dxa"/>
            <w:tcBorders>
              <w:top w:val="single" w:sz="8" w:space="0" w:color="auto"/>
              <w:left w:val="nil"/>
              <w:bottom w:val="single" w:sz="8" w:space="0" w:color="auto"/>
              <w:right w:val="single" w:sz="8" w:space="0" w:color="auto"/>
            </w:tcBorders>
            <w:shd w:val="clear" w:color="000000" w:fill="E28C05"/>
            <w:noWrap/>
            <w:vAlign w:val="center"/>
            <w:hideMark/>
          </w:tcPr>
          <w:p w:rsidR="0060431A" w:rsidRDefault="0060431A">
            <w:pPr>
              <w:jc w:val="right"/>
              <w:rPr>
                <w:rFonts w:ascii="Calibri" w:hAnsi="Calibri" w:cs="Calibri"/>
                <w:color w:val="FFFFFF"/>
                <w:sz w:val="22"/>
                <w:szCs w:val="22"/>
              </w:rPr>
            </w:pPr>
            <w:r>
              <w:rPr>
                <w:rFonts w:ascii="Calibri" w:hAnsi="Calibri" w:cs="Calibri"/>
                <w:color w:val="FFFFFF"/>
                <w:sz w:val="22"/>
                <w:szCs w:val="22"/>
              </w:rPr>
              <w:t>99%</w:t>
            </w:r>
          </w:p>
        </w:tc>
        <w:tc>
          <w:tcPr>
            <w:tcW w:w="1160" w:type="dxa"/>
            <w:tcBorders>
              <w:top w:val="single" w:sz="8" w:space="0" w:color="auto"/>
              <w:left w:val="nil"/>
              <w:bottom w:val="single" w:sz="8" w:space="0" w:color="auto"/>
              <w:right w:val="single" w:sz="8" w:space="0" w:color="auto"/>
            </w:tcBorders>
            <w:shd w:val="clear" w:color="000000" w:fill="E28C05"/>
            <w:noWrap/>
            <w:vAlign w:val="center"/>
            <w:hideMark/>
          </w:tcPr>
          <w:p w:rsidR="0060431A" w:rsidRDefault="0060431A">
            <w:pPr>
              <w:jc w:val="right"/>
              <w:rPr>
                <w:rFonts w:ascii="Calibri" w:hAnsi="Calibri" w:cs="Calibri"/>
                <w:color w:val="FFFFFF"/>
                <w:sz w:val="22"/>
                <w:szCs w:val="22"/>
              </w:rPr>
            </w:pPr>
            <w:r>
              <w:rPr>
                <w:rFonts w:ascii="Calibri" w:hAnsi="Calibri" w:cs="Calibri"/>
                <w:color w:val="FFFFFF"/>
                <w:sz w:val="22"/>
                <w:szCs w:val="22"/>
              </w:rPr>
              <w:t>99%</w:t>
            </w:r>
          </w:p>
        </w:tc>
      </w:tr>
      <w:tr w:rsidR="00236B2E" w:rsidRPr="00236B2E" w:rsidTr="00236B2E">
        <w:trPr>
          <w:trHeight w:val="315"/>
        </w:trPr>
        <w:tc>
          <w:tcPr>
            <w:tcW w:w="2200" w:type="dxa"/>
            <w:tcBorders>
              <w:top w:val="nil"/>
              <w:left w:val="nil"/>
              <w:bottom w:val="nil"/>
              <w:right w:val="nil"/>
            </w:tcBorders>
            <w:shd w:val="clear" w:color="auto" w:fill="auto"/>
            <w:noWrap/>
            <w:vAlign w:val="center"/>
            <w:hideMark/>
          </w:tcPr>
          <w:p w:rsidR="00236B2E" w:rsidRPr="00236B2E" w:rsidRDefault="00236B2E" w:rsidP="00236B2E">
            <w:pPr>
              <w:rPr>
                <w:rFonts w:ascii="Calibri" w:hAnsi="Calibri" w:cs="Calibri"/>
                <w:b/>
                <w:bCs/>
                <w:color w:val="000000"/>
                <w:sz w:val="22"/>
                <w:szCs w:val="22"/>
              </w:rPr>
            </w:pPr>
          </w:p>
        </w:tc>
        <w:tc>
          <w:tcPr>
            <w:tcW w:w="1300" w:type="dxa"/>
            <w:tcBorders>
              <w:top w:val="nil"/>
              <w:left w:val="nil"/>
              <w:bottom w:val="nil"/>
              <w:right w:val="nil"/>
            </w:tcBorders>
            <w:shd w:val="clear" w:color="auto" w:fill="auto"/>
            <w:noWrap/>
            <w:vAlign w:val="center"/>
            <w:hideMark/>
          </w:tcPr>
          <w:p w:rsidR="00236B2E" w:rsidRPr="00236B2E" w:rsidRDefault="00236B2E" w:rsidP="00236B2E">
            <w:pPr>
              <w:jc w:val="right"/>
              <w:rPr>
                <w:rFonts w:ascii="Calibri" w:hAnsi="Calibri" w:cs="Calibri"/>
                <w:color w:val="000000"/>
                <w:sz w:val="22"/>
                <w:szCs w:val="22"/>
              </w:rPr>
            </w:pPr>
          </w:p>
        </w:tc>
        <w:tc>
          <w:tcPr>
            <w:tcW w:w="1160" w:type="dxa"/>
            <w:tcBorders>
              <w:top w:val="nil"/>
              <w:left w:val="nil"/>
              <w:bottom w:val="nil"/>
              <w:right w:val="nil"/>
            </w:tcBorders>
            <w:shd w:val="clear" w:color="auto" w:fill="auto"/>
            <w:noWrap/>
            <w:vAlign w:val="center"/>
            <w:hideMark/>
          </w:tcPr>
          <w:p w:rsidR="00236B2E" w:rsidRPr="00236B2E" w:rsidRDefault="00236B2E" w:rsidP="00236B2E">
            <w:pPr>
              <w:jc w:val="right"/>
              <w:rPr>
                <w:rFonts w:ascii="Calibri" w:hAnsi="Calibri" w:cs="Calibri"/>
                <w:color w:val="000000"/>
                <w:sz w:val="22"/>
                <w:szCs w:val="22"/>
              </w:rPr>
            </w:pPr>
          </w:p>
        </w:tc>
        <w:tc>
          <w:tcPr>
            <w:tcW w:w="1320" w:type="dxa"/>
            <w:tcBorders>
              <w:top w:val="nil"/>
              <w:left w:val="nil"/>
              <w:bottom w:val="nil"/>
              <w:right w:val="nil"/>
            </w:tcBorders>
            <w:shd w:val="clear" w:color="auto" w:fill="auto"/>
            <w:noWrap/>
            <w:vAlign w:val="center"/>
            <w:hideMark/>
          </w:tcPr>
          <w:p w:rsidR="00236B2E" w:rsidRPr="00236B2E" w:rsidRDefault="00236B2E" w:rsidP="00236B2E">
            <w:pPr>
              <w:jc w:val="right"/>
              <w:rPr>
                <w:rFonts w:ascii="Calibri" w:hAnsi="Calibri" w:cs="Calibri"/>
                <w:color w:val="000000"/>
                <w:sz w:val="22"/>
                <w:szCs w:val="22"/>
              </w:rPr>
            </w:pPr>
          </w:p>
        </w:tc>
        <w:tc>
          <w:tcPr>
            <w:tcW w:w="1160" w:type="dxa"/>
            <w:tcBorders>
              <w:top w:val="nil"/>
              <w:left w:val="nil"/>
              <w:bottom w:val="nil"/>
              <w:right w:val="nil"/>
            </w:tcBorders>
            <w:shd w:val="clear" w:color="auto" w:fill="auto"/>
            <w:noWrap/>
            <w:vAlign w:val="center"/>
            <w:hideMark/>
          </w:tcPr>
          <w:p w:rsidR="00236B2E" w:rsidRPr="00236B2E" w:rsidRDefault="00236B2E" w:rsidP="00236B2E">
            <w:pPr>
              <w:jc w:val="right"/>
              <w:rPr>
                <w:rFonts w:ascii="Calibri" w:hAnsi="Calibri" w:cs="Calibri"/>
                <w:color w:val="000000"/>
                <w:sz w:val="22"/>
                <w:szCs w:val="22"/>
              </w:rPr>
            </w:pPr>
          </w:p>
        </w:tc>
      </w:tr>
      <w:tr w:rsidR="00236B2E" w:rsidRPr="00236B2E" w:rsidTr="00236B2E">
        <w:trPr>
          <w:trHeight w:val="315"/>
        </w:trPr>
        <w:tc>
          <w:tcPr>
            <w:tcW w:w="2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36B2E" w:rsidRPr="00236B2E" w:rsidRDefault="00236B2E" w:rsidP="00236B2E">
            <w:pPr>
              <w:rPr>
                <w:rFonts w:ascii="Calibri" w:hAnsi="Calibri" w:cs="Calibri"/>
                <w:b/>
                <w:bCs/>
                <w:color w:val="000000"/>
                <w:sz w:val="22"/>
                <w:szCs w:val="22"/>
              </w:rPr>
            </w:pPr>
            <w:r w:rsidRPr="00236B2E">
              <w:rPr>
                <w:rFonts w:ascii="Calibri" w:hAnsi="Calibri" w:cs="Calibri"/>
                <w:b/>
                <w:bCs/>
                <w:color w:val="000000"/>
                <w:sz w:val="22"/>
                <w:szCs w:val="22"/>
              </w:rPr>
              <w:t>2015/16 Performance</w:t>
            </w:r>
          </w:p>
        </w:tc>
        <w:tc>
          <w:tcPr>
            <w:tcW w:w="1300" w:type="dxa"/>
            <w:tcBorders>
              <w:top w:val="single" w:sz="8" w:space="0" w:color="auto"/>
              <w:left w:val="nil"/>
              <w:bottom w:val="single" w:sz="8" w:space="0" w:color="auto"/>
              <w:right w:val="single" w:sz="8" w:space="0" w:color="auto"/>
            </w:tcBorders>
            <w:shd w:val="clear" w:color="000000" w:fill="56008C"/>
            <w:noWrap/>
            <w:vAlign w:val="center"/>
            <w:hideMark/>
          </w:tcPr>
          <w:p w:rsidR="00236B2E" w:rsidRPr="00236B2E" w:rsidRDefault="00236B2E" w:rsidP="00236B2E">
            <w:pPr>
              <w:jc w:val="right"/>
              <w:rPr>
                <w:rFonts w:ascii="Calibri" w:hAnsi="Calibri" w:cs="Calibri"/>
                <w:color w:val="FFFFFF"/>
                <w:sz w:val="22"/>
                <w:szCs w:val="22"/>
              </w:rPr>
            </w:pPr>
            <w:r w:rsidRPr="00236B2E">
              <w:rPr>
                <w:rFonts w:ascii="Calibri" w:hAnsi="Calibri" w:cs="Calibri"/>
                <w:color w:val="FFFFFF"/>
                <w:sz w:val="22"/>
                <w:szCs w:val="22"/>
              </w:rPr>
              <w:t>98%</w:t>
            </w:r>
          </w:p>
        </w:tc>
        <w:tc>
          <w:tcPr>
            <w:tcW w:w="1160" w:type="dxa"/>
            <w:tcBorders>
              <w:top w:val="single" w:sz="8" w:space="0" w:color="auto"/>
              <w:left w:val="nil"/>
              <w:bottom w:val="single" w:sz="8" w:space="0" w:color="auto"/>
              <w:right w:val="single" w:sz="8" w:space="0" w:color="auto"/>
            </w:tcBorders>
            <w:shd w:val="clear" w:color="000000" w:fill="56008C"/>
            <w:noWrap/>
            <w:vAlign w:val="center"/>
            <w:hideMark/>
          </w:tcPr>
          <w:p w:rsidR="00236B2E" w:rsidRPr="00236B2E" w:rsidRDefault="00236B2E" w:rsidP="00236B2E">
            <w:pPr>
              <w:jc w:val="right"/>
              <w:rPr>
                <w:rFonts w:ascii="Calibri" w:hAnsi="Calibri" w:cs="Calibri"/>
                <w:color w:val="FFFFFF"/>
                <w:sz w:val="22"/>
                <w:szCs w:val="22"/>
              </w:rPr>
            </w:pPr>
            <w:r w:rsidRPr="00236B2E">
              <w:rPr>
                <w:rFonts w:ascii="Calibri" w:hAnsi="Calibri" w:cs="Calibri"/>
                <w:color w:val="FFFFFF"/>
                <w:sz w:val="22"/>
                <w:szCs w:val="22"/>
              </w:rPr>
              <w:t>98%</w:t>
            </w:r>
          </w:p>
        </w:tc>
        <w:tc>
          <w:tcPr>
            <w:tcW w:w="1320" w:type="dxa"/>
            <w:tcBorders>
              <w:top w:val="single" w:sz="8" w:space="0" w:color="auto"/>
              <w:left w:val="nil"/>
              <w:bottom w:val="single" w:sz="8" w:space="0" w:color="auto"/>
              <w:right w:val="single" w:sz="8" w:space="0" w:color="auto"/>
            </w:tcBorders>
            <w:shd w:val="clear" w:color="000000" w:fill="E28C05"/>
            <w:noWrap/>
            <w:vAlign w:val="center"/>
            <w:hideMark/>
          </w:tcPr>
          <w:p w:rsidR="00236B2E" w:rsidRPr="00236B2E" w:rsidRDefault="00236B2E" w:rsidP="00236B2E">
            <w:pPr>
              <w:jc w:val="right"/>
              <w:rPr>
                <w:rFonts w:ascii="Calibri" w:hAnsi="Calibri" w:cs="Calibri"/>
                <w:color w:val="FFFFFF"/>
                <w:sz w:val="22"/>
                <w:szCs w:val="22"/>
              </w:rPr>
            </w:pPr>
            <w:r w:rsidRPr="00236B2E">
              <w:rPr>
                <w:rFonts w:ascii="Calibri" w:hAnsi="Calibri" w:cs="Calibri"/>
                <w:color w:val="FFFFFF"/>
                <w:sz w:val="22"/>
                <w:szCs w:val="22"/>
              </w:rPr>
              <w:t>97%</w:t>
            </w:r>
          </w:p>
        </w:tc>
        <w:tc>
          <w:tcPr>
            <w:tcW w:w="1160" w:type="dxa"/>
            <w:tcBorders>
              <w:top w:val="single" w:sz="8" w:space="0" w:color="auto"/>
              <w:left w:val="nil"/>
              <w:bottom w:val="single" w:sz="8" w:space="0" w:color="auto"/>
              <w:right w:val="single" w:sz="8" w:space="0" w:color="auto"/>
            </w:tcBorders>
            <w:shd w:val="clear" w:color="000000" w:fill="E28C05"/>
            <w:noWrap/>
            <w:vAlign w:val="center"/>
            <w:hideMark/>
          </w:tcPr>
          <w:p w:rsidR="00236B2E" w:rsidRPr="00236B2E" w:rsidRDefault="00236B2E" w:rsidP="00236B2E">
            <w:pPr>
              <w:jc w:val="right"/>
              <w:rPr>
                <w:rFonts w:ascii="Calibri" w:hAnsi="Calibri" w:cs="Calibri"/>
                <w:color w:val="FFFFFF"/>
                <w:sz w:val="22"/>
                <w:szCs w:val="22"/>
              </w:rPr>
            </w:pPr>
            <w:r w:rsidRPr="00236B2E">
              <w:rPr>
                <w:rFonts w:ascii="Calibri" w:hAnsi="Calibri" w:cs="Calibri"/>
                <w:color w:val="FFFFFF"/>
                <w:sz w:val="22"/>
                <w:szCs w:val="22"/>
              </w:rPr>
              <w:t>97%</w:t>
            </w:r>
          </w:p>
        </w:tc>
      </w:tr>
      <w:tr w:rsidR="00236B2E" w:rsidRPr="00236B2E" w:rsidTr="00236B2E">
        <w:trPr>
          <w:trHeight w:val="615"/>
        </w:trPr>
        <w:tc>
          <w:tcPr>
            <w:tcW w:w="2200" w:type="dxa"/>
            <w:tcBorders>
              <w:top w:val="nil"/>
              <w:left w:val="single" w:sz="8" w:space="0" w:color="auto"/>
              <w:bottom w:val="single" w:sz="8" w:space="0" w:color="auto"/>
              <w:right w:val="single" w:sz="8" w:space="0" w:color="auto"/>
            </w:tcBorders>
            <w:shd w:val="clear" w:color="auto" w:fill="auto"/>
            <w:vAlign w:val="center"/>
            <w:hideMark/>
          </w:tcPr>
          <w:p w:rsidR="00236B2E" w:rsidRPr="00236B2E" w:rsidRDefault="00236B2E" w:rsidP="00236B2E">
            <w:pPr>
              <w:rPr>
                <w:rFonts w:ascii="Calibri" w:hAnsi="Calibri" w:cs="Calibri"/>
                <w:b/>
                <w:bCs/>
                <w:color w:val="000000"/>
                <w:sz w:val="22"/>
                <w:szCs w:val="22"/>
              </w:rPr>
            </w:pPr>
            <w:r w:rsidRPr="00236B2E">
              <w:rPr>
                <w:rFonts w:ascii="Calibri" w:hAnsi="Calibri" w:cs="Calibri"/>
                <w:b/>
                <w:bCs/>
                <w:color w:val="000000"/>
                <w:sz w:val="22"/>
                <w:szCs w:val="22"/>
              </w:rPr>
              <w:t>2015/16 0-5 day performance</w:t>
            </w:r>
          </w:p>
        </w:tc>
        <w:tc>
          <w:tcPr>
            <w:tcW w:w="1300" w:type="dxa"/>
            <w:tcBorders>
              <w:top w:val="nil"/>
              <w:left w:val="nil"/>
              <w:bottom w:val="nil"/>
              <w:right w:val="single" w:sz="8" w:space="0" w:color="auto"/>
            </w:tcBorders>
            <w:shd w:val="clear" w:color="000000" w:fill="56008C"/>
            <w:noWrap/>
            <w:vAlign w:val="center"/>
            <w:hideMark/>
          </w:tcPr>
          <w:p w:rsidR="00236B2E" w:rsidRPr="00236B2E" w:rsidRDefault="00236B2E" w:rsidP="00236B2E">
            <w:pPr>
              <w:jc w:val="right"/>
              <w:rPr>
                <w:rFonts w:ascii="Calibri" w:hAnsi="Calibri" w:cs="Calibri"/>
                <w:color w:val="FFFFFF"/>
                <w:sz w:val="22"/>
                <w:szCs w:val="22"/>
              </w:rPr>
            </w:pPr>
            <w:r w:rsidRPr="00236B2E">
              <w:rPr>
                <w:rFonts w:ascii="Calibri" w:hAnsi="Calibri" w:cs="Calibri"/>
                <w:color w:val="FFFFFF"/>
                <w:sz w:val="22"/>
                <w:szCs w:val="22"/>
              </w:rPr>
              <w:t>306</w:t>
            </w:r>
          </w:p>
        </w:tc>
        <w:tc>
          <w:tcPr>
            <w:tcW w:w="1160" w:type="dxa"/>
            <w:tcBorders>
              <w:top w:val="nil"/>
              <w:left w:val="nil"/>
              <w:bottom w:val="single" w:sz="8" w:space="0" w:color="auto"/>
              <w:right w:val="single" w:sz="8" w:space="0" w:color="auto"/>
            </w:tcBorders>
            <w:shd w:val="clear" w:color="000000" w:fill="56008C"/>
            <w:noWrap/>
            <w:vAlign w:val="center"/>
            <w:hideMark/>
          </w:tcPr>
          <w:p w:rsidR="00236B2E" w:rsidRPr="00236B2E" w:rsidRDefault="00236B2E" w:rsidP="00236B2E">
            <w:pPr>
              <w:jc w:val="right"/>
              <w:rPr>
                <w:rFonts w:ascii="Calibri" w:hAnsi="Calibri" w:cs="Calibri"/>
                <w:color w:val="FFFFFF"/>
                <w:sz w:val="22"/>
                <w:szCs w:val="22"/>
              </w:rPr>
            </w:pPr>
            <w:r w:rsidRPr="00236B2E">
              <w:rPr>
                <w:rFonts w:ascii="Calibri" w:hAnsi="Calibri" w:cs="Calibri"/>
                <w:color w:val="FFFFFF"/>
                <w:sz w:val="22"/>
                <w:szCs w:val="22"/>
              </w:rPr>
              <w:t>7%</w:t>
            </w:r>
          </w:p>
        </w:tc>
        <w:tc>
          <w:tcPr>
            <w:tcW w:w="1320" w:type="dxa"/>
            <w:tcBorders>
              <w:top w:val="nil"/>
              <w:left w:val="nil"/>
              <w:bottom w:val="single" w:sz="8" w:space="0" w:color="auto"/>
              <w:right w:val="single" w:sz="8" w:space="0" w:color="auto"/>
            </w:tcBorders>
            <w:shd w:val="clear" w:color="000000" w:fill="E28C05"/>
            <w:noWrap/>
            <w:vAlign w:val="center"/>
            <w:hideMark/>
          </w:tcPr>
          <w:p w:rsidR="00236B2E" w:rsidRPr="00236B2E" w:rsidRDefault="00236B2E" w:rsidP="00236B2E">
            <w:pPr>
              <w:jc w:val="right"/>
              <w:rPr>
                <w:rFonts w:ascii="Calibri" w:hAnsi="Calibri" w:cs="Calibri"/>
                <w:color w:val="FFFFFF"/>
                <w:sz w:val="22"/>
                <w:szCs w:val="22"/>
              </w:rPr>
            </w:pPr>
            <w:r w:rsidRPr="00236B2E">
              <w:rPr>
                <w:rFonts w:ascii="Calibri" w:hAnsi="Calibri" w:cs="Calibri"/>
                <w:color w:val="FFFFFF"/>
                <w:sz w:val="22"/>
                <w:szCs w:val="22"/>
              </w:rPr>
              <w:t>1,395,005</w:t>
            </w:r>
          </w:p>
        </w:tc>
        <w:tc>
          <w:tcPr>
            <w:tcW w:w="1160" w:type="dxa"/>
            <w:tcBorders>
              <w:top w:val="nil"/>
              <w:left w:val="nil"/>
              <w:bottom w:val="single" w:sz="8" w:space="0" w:color="auto"/>
              <w:right w:val="single" w:sz="8" w:space="0" w:color="auto"/>
            </w:tcBorders>
            <w:shd w:val="clear" w:color="000000" w:fill="E28C05"/>
            <w:noWrap/>
            <w:vAlign w:val="center"/>
            <w:hideMark/>
          </w:tcPr>
          <w:p w:rsidR="00236B2E" w:rsidRPr="00236B2E" w:rsidRDefault="00236B2E" w:rsidP="00236B2E">
            <w:pPr>
              <w:jc w:val="right"/>
              <w:rPr>
                <w:rFonts w:ascii="Calibri" w:hAnsi="Calibri" w:cs="Calibri"/>
                <w:color w:val="FFFFFF"/>
                <w:sz w:val="22"/>
                <w:szCs w:val="22"/>
              </w:rPr>
            </w:pPr>
            <w:r w:rsidRPr="00236B2E">
              <w:rPr>
                <w:rFonts w:ascii="Calibri" w:hAnsi="Calibri" w:cs="Calibri"/>
                <w:color w:val="FFFFFF"/>
                <w:sz w:val="22"/>
                <w:szCs w:val="22"/>
              </w:rPr>
              <w:t>21%</w:t>
            </w:r>
          </w:p>
        </w:tc>
      </w:tr>
    </w:tbl>
    <w:p w:rsidR="00E32CA3" w:rsidRPr="007F458D" w:rsidRDefault="00236B2E" w:rsidP="00CB08D8">
      <w:pPr>
        <w:rPr>
          <w:rFonts w:eastAsia="Calibri"/>
        </w:rPr>
      </w:pPr>
      <w:r>
        <w:rPr>
          <w:rFonts w:eastAsia="Calibri"/>
        </w:rPr>
        <w:tab/>
      </w:r>
    </w:p>
    <w:p w:rsidR="00A05E1F" w:rsidRDefault="00606CBA" w:rsidP="007F458D">
      <w:pPr>
        <w:keepNext/>
        <w:keepLines/>
        <w:pBdr>
          <w:top w:val="single" w:sz="8" w:space="3" w:color="FFFFFF"/>
          <w:left w:val="single" w:sz="8" w:space="6"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A422D8">
        <w:rPr>
          <w:rFonts w:ascii="Arial" w:eastAsia="Calibri" w:hAnsi="Arial"/>
          <w:b/>
          <w:bCs/>
          <w:color w:val="56008C"/>
          <w:szCs w:val="26"/>
          <w:lang w:eastAsia="en-US"/>
        </w:rPr>
        <w:t>Ag</w:t>
      </w:r>
      <w:r w:rsidRPr="00A422D8">
        <w:rPr>
          <w:rFonts w:ascii="Arial" w:eastAsia="Calibri" w:hAnsi="Arial"/>
          <w:b/>
          <w:bCs/>
          <w:color w:val="56008C"/>
          <w:sz w:val="22"/>
          <w:szCs w:val="22"/>
          <w:lang w:eastAsia="en-US"/>
        </w:rPr>
        <w:t>ed</w:t>
      </w:r>
      <w:r w:rsidR="0088350C">
        <w:rPr>
          <w:rFonts w:ascii="Arial" w:eastAsia="Calibri" w:hAnsi="Arial"/>
          <w:b/>
          <w:bCs/>
          <w:color w:val="56008C"/>
          <w:szCs w:val="26"/>
          <w:lang w:eastAsia="en-US"/>
        </w:rPr>
        <w:t xml:space="preserve"> Cre</w:t>
      </w:r>
      <w:r w:rsidR="00391CF2">
        <w:rPr>
          <w:rFonts w:ascii="Arial" w:eastAsia="Calibri" w:hAnsi="Arial"/>
          <w:b/>
          <w:bCs/>
          <w:color w:val="56008C"/>
          <w:szCs w:val="26"/>
          <w:lang w:eastAsia="en-US"/>
        </w:rPr>
        <w:t>ditors at 31 July</w:t>
      </w:r>
      <w:r w:rsidR="00CA3C40">
        <w:rPr>
          <w:rFonts w:ascii="Arial" w:eastAsia="Calibri" w:hAnsi="Arial"/>
          <w:b/>
          <w:bCs/>
          <w:color w:val="56008C"/>
          <w:szCs w:val="26"/>
          <w:lang w:eastAsia="en-US"/>
        </w:rPr>
        <w:t xml:space="preserve"> 2016</w:t>
      </w:r>
    </w:p>
    <w:p w:rsidR="00A74E5F" w:rsidRDefault="00A74E5F" w:rsidP="00A74E5F">
      <w:pPr>
        <w:rPr>
          <w:rFonts w:ascii="Arial" w:hAnsi="Arial" w:cs="Arial"/>
          <w:bCs/>
          <w:sz w:val="22"/>
          <w:szCs w:val="22"/>
        </w:rPr>
      </w:pPr>
      <w:r w:rsidRPr="009B64AA">
        <w:rPr>
          <w:rFonts w:ascii="Arial" w:hAnsi="Arial" w:cs="Arial"/>
          <w:bCs/>
          <w:sz w:val="22"/>
          <w:szCs w:val="22"/>
        </w:rPr>
        <w:t>Headlines</w:t>
      </w:r>
      <w:r w:rsidR="00357BF3" w:rsidRPr="009B64AA">
        <w:rPr>
          <w:rFonts w:ascii="Arial" w:hAnsi="Arial" w:cs="Arial"/>
          <w:bCs/>
          <w:sz w:val="22"/>
          <w:szCs w:val="22"/>
        </w:rPr>
        <w:t xml:space="preserve"> – clock start date is the invoice date (regardless of when the invoice is received in the system)</w:t>
      </w:r>
      <w:r w:rsidR="00AC3DE8" w:rsidRPr="009B64AA">
        <w:rPr>
          <w:rFonts w:ascii="Arial" w:hAnsi="Arial" w:cs="Arial"/>
          <w:bCs/>
          <w:sz w:val="22"/>
          <w:szCs w:val="22"/>
        </w:rPr>
        <w:t xml:space="preserve"> –</w:t>
      </w:r>
      <w:r w:rsidR="00391CF2">
        <w:rPr>
          <w:rFonts w:ascii="Arial" w:hAnsi="Arial" w:cs="Arial"/>
          <w:bCs/>
          <w:sz w:val="22"/>
          <w:szCs w:val="22"/>
        </w:rPr>
        <w:t xml:space="preserve"> £101k of the £216k overdue in 1-30 days has been paid at the start of August, the balance relates mainly to one invoice with the Department of Health (£99k) which </w:t>
      </w:r>
      <w:r w:rsidR="00A00A5D">
        <w:rPr>
          <w:rFonts w:ascii="Arial" w:hAnsi="Arial" w:cs="Arial"/>
          <w:bCs/>
          <w:sz w:val="22"/>
          <w:szCs w:val="22"/>
        </w:rPr>
        <w:t>we is currently on hold due to a query on the amount.</w:t>
      </w:r>
    </w:p>
    <w:p w:rsidR="00CB08D8" w:rsidRPr="00CB08D8" w:rsidRDefault="00CB08D8" w:rsidP="00A74E5F">
      <w:pPr>
        <w:rPr>
          <w:rFonts w:ascii="Arial" w:hAnsi="Arial" w:cs="Arial"/>
          <w:bCs/>
          <w:sz w:val="22"/>
          <w:szCs w:val="22"/>
        </w:rPr>
      </w:pPr>
    </w:p>
    <w:tbl>
      <w:tblPr>
        <w:tblW w:w="8655" w:type="dxa"/>
        <w:jc w:val="center"/>
        <w:tblLook w:val="04A0" w:firstRow="1" w:lastRow="0" w:firstColumn="1" w:lastColumn="0" w:noHBand="0" w:noVBand="1"/>
      </w:tblPr>
      <w:tblGrid>
        <w:gridCol w:w="1773"/>
        <w:gridCol w:w="1752"/>
        <w:gridCol w:w="2700"/>
        <w:gridCol w:w="2430"/>
      </w:tblGrid>
      <w:tr w:rsidR="004C536A" w:rsidRPr="004C536A" w:rsidTr="0073688F">
        <w:trPr>
          <w:trHeight w:val="315"/>
          <w:jc w:val="center"/>
        </w:trPr>
        <w:tc>
          <w:tcPr>
            <w:tcW w:w="1773" w:type="dxa"/>
            <w:tcBorders>
              <w:top w:val="nil"/>
              <w:left w:val="nil"/>
              <w:bottom w:val="nil"/>
              <w:right w:val="nil"/>
            </w:tcBorders>
            <w:shd w:val="clear" w:color="auto" w:fill="auto"/>
            <w:noWrap/>
            <w:vAlign w:val="bottom"/>
            <w:hideMark/>
          </w:tcPr>
          <w:p w:rsidR="004C536A" w:rsidRPr="004C536A" w:rsidRDefault="004C536A" w:rsidP="004C536A">
            <w:pPr>
              <w:rPr>
                <w:rFonts w:ascii="Calibri" w:hAnsi="Calibri" w:cs="Calibri"/>
                <w:color w:val="000000"/>
                <w:sz w:val="22"/>
                <w:szCs w:val="22"/>
              </w:rPr>
            </w:pPr>
            <w:bookmarkStart w:id="1" w:name="OLE_LINK2"/>
          </w:p>
        </w:tc>
        <w:tc>
          <w:tcPr>
            <w:tcW w:w="6882" w:type="dxa"/>
            <w:gridSpan w:val="3"/>
            <w:tcBorders>
              <w:top w:val="single" w:sz="8" w:space="0" w:color="auto"/>
              <w:left w:val="single" w:sz="8" w:space="0" w:color="auto"/>
              <w:bottom w:val="nil"/>
              <w:right w:val="single" w:sz="8" w:space="0" w:color="000000"/>
            </w:tcBorders>
            <w:shd w:val="clear" w:color="000000" w:fill="56008C"/>
            <w:noWrap/>
            <w:vAlign w:val="center"/>
            <w:hideMark/>
          </w:tcPr>
          <w:p w:rsidR="004C536A" w:rsidRPr="004C536A" w:rsidRDefault="004C536A" w:rsidP="004C536A">
            <w:pPr>
              <w:jc w:val="center"/>
              <w:rPr>
                <w:rFonts w:ascii="Calibri" w:hAnsi="Calibri" w:cs="Calibri"/>
                <w:b/>
                <w:bCs/>
                <w:color w:val="FFFFFF"/>
                <w:sz w:val="22"/>
                <w:szCs w:val="22"/>
              </w:rPr>
            </w:pPr>
            <w:r w:rsidRPr="004C536A">
              <w:rPr>
                <w:rFonts w:ascii="Calibri" w:hAnsi="Calibri" w:cs="Calibri"/>
                <w:b/>
                <w:bCs/>
                <w:color w:val="FFFFFF"/>
                <w:sz w:val="22"/>
                <w:szCs w:val="22"/>
              </w:rPr>
              <w:t>Aged Creditors – (£) amounts past due date</w:t>
            </w:r>
          </w:p>
        </w:tc>
      </w:tr>
      <w:tr w:rsidR="004C536A" w:rsidRPr="004C536A" w:rsidTr="004D5ABD">
        <w:trPr>
          <w:trHeight w:val="368"/>
          <w:jc w:val="center"/>
        </w:trPr>
        <w:tc>
          <w:tcPr>
            <w:tcW w:w="17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C536A" w:rsidRPr="004C536A" w:rsidRDefault="004C536A" w:rsidP="004C536A">
            <w:pPr>
              <w:rPr>
                <w:rFonts w:ascii="Calibri" w:hAnsi="Calibri" w:cs="Calibri"/>
                <w:color w:val="000000"/>
                <w:sz w:val="22"/>
                <w:szCs w:val="22"/>
              </w:rPr>
            </w:pPr>
            <w:r w:rsidRPr="004C536A">
              <w:rPr>
                <w:rFonts w:ascii="Calibri" w:hAnsi="Calibri" w:cs="Calibri"/>
                <w:color w:val="000000"/>
                <w:sz w:val="22"/>
                <w:szCs w:val="22"/>
              </w:rPr>
              <w:t> </w:t>
            </w:r>
          </w:p>
        </w:tc>
        <w:tc>
          <w:tcPr>
            <w:tcW w:w="1752" w:type="dxa"/>
            <w:tcBorders>
              <w:top w:val="single" w:sz="8" w:space="0" w:color="auto"/>
              <w:left w:val="nil"/>
              <w:bottom w:val="single" w:sz="8" w:space="0" w:color="auto"/>
              <w:right w:val="single" w:sz="8" w:space="0" w:color="auto"/>
            </w:tcBorders>
            <w:shd w:val="clear" w:color="auto" w:fill="auto"/>
            <w:noWrap/>
            <w:vAlign w:val="bottom"/>
            <w:hideMark/>
          </w:tcPr>
          <w:p w:rsidR="004C536A" w:rsidRPr="004C536A" w:rsidRDefault="004C536A" w:rsidP="00534292">
            <w:pPr>
              <w:jc w:val="right"/>
              <w:rPr>
                <w:rFonts w:ascii="Calibri" w:hAnsi="Calibri" w:cs="Calibri"/>
                <w:b/>
                <w:bCs/>
                <w:color w:val="000000"/>
                <w:sz w:val="22"/>
                <w:szCs w:val="22"/>
              </w:rPr>
            </w:pPr>
            <w:r w:rsidRPr="004C536A">
              <w:rPr>
                <w:rFonts w:ascii="Calibri" w:hAnsi="Calibri" w:cs="Calibri"/>
                <w:b/>
                <w:bCs/>
                <w:color w:val="000000"/>
                <w:sz w:val="22"/>
                <w:szCs w:val="22"/>
              </w:rPr>
              <w:t>1-30 days</w:t>
            </w:r>
          </w:p>
        </w:tc>
        <w:tc>
          <w:tcPr>
            <w:tcW w:w="2700" w:type="dxa"/>
            <w:tcBorders>
              <w:top w:val="single" w:sz="8" w:space="0" w:color="auto"/>
              <w:left w:val="nil"/>
              <w:bottom w:val="single" w:sz="8" w:space="0" w:color="auto"/>
              <w:right w:val="single" w:sz="8" w:space="0" w:color="auto"/>
            </w:tcBorders>
            <w:shd w:val="clear" w:color="auto" w:fill="auto"/>
            <w:noWrap/>
            <w:vAlign w:val="bottom"/>
            <w:hideMark/>
          </w:tcPr>
          <w:p w:rsidR="004C536A" w:rsidRPr="004C536A" w:rsidRDefault="004C536A" w:rsidP="00534292">
            <w:pPr>
              <w:jc w:val="right"/>
              <w:rPr>
                <w:rFonts w:ascii="Calibri" w:hAnsi="Calibri" w:cs="Calibri"/>
                <w:b/>
                <w:bCs/>
                <w:color w:val="000000"/>
                <w:sz w:val="22"/>
                <w:szCs w:val="22"/>
              </w:rPr>
            </w:pPr>
            <w:r w:rsidRPr="004C536A">
              <w:rPr>
                <w:rFonts w:ascii="Calibri" w:hAnsi="Calibri" w:cs="Calibri"/>
                <w:b/>
                <w:bCs/>
                <w:color w:val="000000"/>
                <w:sz w:val="22"/>
                <w:szCs w:val="22"/>
              </w:rPr>
              <w:t>31-60 days</w:t>
            </w:r>
          </w:p>
        </w:tc>
        <w:tc>
          <w:tcPr>
            <w:tcW w:w="2430" w:type="dxa"/>
            <w:tcBorders>
              <w:top w:val="single" w:sz="8" w:space="0" w:color="auto"/>
              <w:left w:val="nil"/>
              <w:bottom w:val="single" w:sz="8" w:space="0" w:color="auto"/>
              <w:right w:val="single" w:sz="8" w:space="0" w:color="auto"/>
            </w:tcBorders>
            <w:shd w:val="clear" w:color="auto" w:fill="auto"/>
            <w:noWrap/>
            <w:vAlign w:val="bottom"/>
            <w:hideMark/>
          </w:tcPr>
          <w:p w:rsidR="004C536A" w:rsidRPr="004C536A" w:rsidRDefault="004C536A" w:rsidP="00534292">
            <w:pPr>
              <w:jc w:val="right"/>
              <w:rPr>
                <w:rFonts w:ascii="Calibri" w:hAnsi="Calibri" w:cs="Calibri"/>
                <w:b/>
                <w:bCs/>
                <w:color w:val="000000"/>
                <w:sz w:val="22"/>
                <w:szCs w:val="22"/>
              </w:rPr>
            </w:pPr>
            <w:r w:rsidRPr="004C536A">
              <w:rPr>
                <w:rFonts w:ascii="Calibri" w:hAnsi="Calibri" w:cs="Calibri"/>
                <w:b/>
                <w:bCs/>
                <w:color w:val="000000"/>
                <w:sz w:val="22"/>
                <w:szCs w:val="22"/>
              </w:rPr>
              <w:t>60 + days</w:t>
            </w:r>
          </w:p>
        </w:tc>
      </w:tr>
      <w:tr w:rsidR="00391CF2" w:rsidRPr="004C536A" w:rsidTr="003C121B">
        <w:trPr>
          <w:trHeight w:val="232"/>
          <w:jc w:val="center"/>
        </w:trPr>
        <w:tc>
          <w:tcPr>
            <w:tcW w:w="1773" w:type="dxa"/>
            <w:tcBorders>
              <w:top w:val="nil"/>
              <w:left w:val="single" w:sz="8" w:space="0" w:color="auto"/>
              <w:bottom w:val="single" w:sz="8" w:space="0" w:color="auto"/>
              <w:right w:val="single" w:sz="8" w:space="0" w:color="auto"/>
            </w:tcBorders>
            <w:shd w:val="clear" w:color="auto" w:fill="auto"/>
            <w:noWrap/>
            <w:vAlign w:val="bottom"/>
            <w:hideMark/>
          </w:tcPr>
          <w:p w:rsidR="00391CF2" w:rsidRPr="004C536A" w:rsidRDefault="00391CF2" w:rsidP="004C536A">
            <w:pPr>
              <w:rPr>
                <w:rFonts w:ascii="Calibri" w:hAnsi="Calibri" w:cs="Calibri"/>
                <w:b/>
                <w:color w:val="000000"/>
                <w:sz w:val="22"/>
                <w:szCs w:val="22"/>
              </w:rPr>
            </w:pPr>
            <w:r w:rsidRPr="004C536A">
              <w:rPr>
                <w:rFonts w:ascii="Calibri" w:hAnsi="Calibri" w:cs="Calibri"/>
                <w:b/>
                <w:color w:val="000000"/>
                <w:sz w:val="22"/>
                <w:szCs w:val="22"/>
              </w:rPr>
              <w:t>Non NHS Trade</w:t>
            </w:r>
          </w:p>
        </w:tc>
        <w:tc>
          <w:tcPr>
            <w:tcW w:w="1752" w:type="dxa"/>
            <w:tcBorders>
              <w:top w:val="nil"/>
              <w:left w:val="nil"/>
              <w:bottom w:val="single" w:sz="8" w:space="0" w:color="auto"/>
              <w:right w:val="single" w:sz="8" w:space="0" w:color="auto"/>
            </w:tcBorders>
            <w:shd w:val="clear" w:color="auto" w:fill="auto"/>
            <w:noWrap/>
            <w:vAlign w:val="bottom"/>
          </w:tcPr>
          <w:p w:rsidR="00391CF2" w:rsidRDefault="00391CF2">
            <w:pPr>
              <w:jc w:val="right"/>
              <w:rPr>
                <w:rFonts w:ascii="Calibri" w:hAnsi="Calibri" w:cs="Calibri"/>
                <w:color w:val="000000"/>
                <w:sz w:val="22"/>
                <w:szCs w:val="22"/>
              </w:rPr>
            </w:pPr>
            <w:r>
              <w:rPr>
                <w:rFonts w:ascii="Calibri" w:hAnsi="Calibri" w:cs="Calibri"/>
                <w:color w:val="000000"/>
                <w:sz w:val="22"/>
                <w:szCs w:val="22"/>
              </w:rPr>
              <w:t>109,729.48</w:t>
            </w:r>
          </w:p>
        </w:tc>
        <w:tc>
          <w:tcPr>
            <w:tcW w:w="2700" w:type="dxa"/>
            <w:tcBorders>
              <w:top w:val="nil"/>
              <w:left w:val="nil"/>
              <w:bottom w:val="single" w:sz="8" w:space="0" w:color="auto"/>
              <w:right w:val="single" w:sz="8" w:space="0" w:color="auto"/>
            </w:tcBorders>
            <w:shd w:val="clear" w:color="auto" w:fill="auto"/>
            <w:noWrap/>
            <w:vAlign w:val="bottom"/>
          </w:tcPr>
          <w:p w:rsidR="00391CF2" w:rsidRDefault="00391CF2">
            <w:pPr>
              <w:jc w:val="right"/>
              <w:rPr>
                <w:rFonts w:ascii="Calibri" w:hAnsi="Calibri" w:cs="Calibri"/>
                <w:color w:val="000000"/>
                <w:sz w:val="22"/>
                <w:szCs w:val="22"/>
              </w:rPr>
            </w:pPr>
            <w:r>
              <w:rPr>
                <w:rFonts w:ascii="Calibri" w:hAnsi="Calibri" w:cs="Calibri"/>
                <w:color w:val="000000"/>
                <w:sz w:val="22"/>
                <w:szCs w:val="22"/>
              </w:rPr>
              <w:t>726.93</w:t>
            </w:r>
          </w:p>
        </w:tc>
        <w:tc>
          <w:tcPr>
            <w:tcW w:w="2430" w:type="dxa"/>
            <w:tcBorders>
              <w:top w:val="nil"/>
              <w:left w:val="nil"/>
              <w:bottom w:val="single" w:sz="8" w:space="0" w:color="auto"/>
              <w:right w:val="single" w:sz="8" w:space="0" w:color="auto"/>
            </w:tcBorders>
            <w:shd w:val="clear" w:color="auto" w:fill="auto"/>
            <w:noWrap/>
            <w:vAlign w:val="bottom"/>
          </w:tcPr>
          <w:p w:rsidR="00391CF2" w:rsidRDefault="00391CF2">
            <w:pPr>
              <w:jc w:val="right"/>
              <w:rPr>
                <w:rFonts w:ascii="Calibri" w:hAnsi="Calibri" w:cs="Calibri"/>
                <w:color w:val="000000"/>
                <w:sz w:val="22"/>
                <w:szCs w:val="22"/>
              </w:rPr>
            </w:pPr>
            <w:r>
              <w:rPr>
                <w:rFonts w:ascii="Calibri" w:hAnsi="Calibri" w:cs="Calibri"/>
                <w:color w:val="000000"/>
                <w:sz w:val="22"/>
                <w:szCs w:val="22"/>
              </w:rPr>
              <w:t>680.98</w:t>
            </w:r>
          </w:p>
        </w:tc>
      </w:tr>
      <w:tr w:rsidR="00391CF2" w:rsidRPr="004C536A" w:rsidTr="003C121B">
        <w:trPr>
          <w:trHeight w:val="315"/>
          <w:jc w:val="center"/>
        </w:trPr>
        <w:tc>
          <w:tcPr>
            <w:tcW w:w="1773" w:type="dxa"/>
            <w:tcBorders>
              <w:top w:val="nil"/>
              <w:left w:val="single" w:sz="8" w:space="0" w:color="auto"/>
              <w:bottom w:val="single" w:sz="8" w:space="0" w:color="auto"/>
              <w:right w:val="single" w:sz="8" w:space="0" w:color="auto"/>
            </w:tcBorders>
            <w:shd w:val="clear" w:color="auto" w:fill="auto"/>
            <w:noWrap/>
            <w:vAlign w:val="bottom"/>
            <w:hideMark/>
          </w:tcPr>
          <w:p w:rsidR="00391CF2" w:rsidRPr="004C536A" w:rsidRDefault="00391CF2" w:rsidP="004C536A">
            <w:pPr>
              <w:rPr>
                <w:rFonts w:ascii="Calibri" w:hAnsi="Calibri" w:cs="Calibri"/>
                <w:b/>
                <w:color w:val="000000"/>
                <w:sz w:val="22"/>
                <w:szCs w:val="22"/>
              </w:rPr>
            </w:pPr>
            <w:r w:rsidRPr="004C536A">
              <w:rPr>
                <w:rFonts w:ascii="Calibri" w:hAnsi="Calibri" w:cs="Calibri"/>
                <w:b/>
                <w:color w:val="000000"/>
                <w:sz w:val="22"/>
                <w:szCs w:val="22"/>
              </w:rPr>
              <w:t>Non NHS Other</w:t>
            </w:r>
          </w:p>
        </w:tc>
        <w:tc>
          <w:tcPr>
            <w:tcW w:w="1752" w:type="dxa"/>
            <w:tcBorders>
              <w:top w:val="nil"/>
              <w:left w:val="nil"/>
              <w:bottom w:val="single" w:sz="8" w:space="0" w:color="auto"/>
              <w:right w:val="single" w:sz="8" w:space="0" w:color="auto"/>
            </w:tcBorders>
            <w:shd w:val="clear" w:color="auto" w:fill="auto"/>
            <w:noWrap/>
            <w:vAlign w:val="bottom"/>
          </w:tcPr>
          <w:p w:rsidR="00391CF2" w:rsidRDefault="00391CF2">
            <w:pPr>
              <w:jc w:val="right"/>
              <w:rPr>
                <w:rFonts w:ascii="Calibri" w:hAnsi="Calibri" w:cs="Calibri"/>
                <w:color w:val="000000"/>
                <w:sz w:val="22"/>
                <w:szCs w:val="22"/>
              </w:rPr>
            </w:pPr>
            <w:r>
              <w:rPr>
                <w:rFonts w:ascii="Calibri" w:hAnsi="Calibri" w:cs="Calibri"/>
                <w:color w:val="000000"/>
                <w:sz w:val="22"/>
                <w:szCs w:val="22"/>
              </w:rPr>
              <w:t>6,069.99</w:t>
            </w:r>
          </w:p>
        </w:tc>
        <w:tc>
          <w:tcPr>
            <w:tcW w:w="2700" w:type="dxa"/>
            <w:tcBorders>
              <w:top w:val="nil"/>
              <w:left w:val="nil"/>
              <w:bottom w:val="nil"/>
              <w:right w:val="single" w:sz="8" w:space="0" w:color="auto"/>
            </w:tcBorders>
            <w:shd w:val="clear" w:color="auto" w:fill="auto"/>
            <w:noWrap/>
            <w:vAlign w:val="bottom"/>
          </w:tcPr>
          <w:p w:rsidR="00391CF2" w:rsidRDefault="00391CF2">
            <w:pPr>
              <w:jc w:val="right"/>
              <w:rPr>
                <w:rFonts w:ascii="Calibri" w:hAnsi="Calibri" w:cs="Calibri"/>
                <w:color w:val="000000"/>
                <w:sz w:val="22"/>
                <w:szCs w:val="22"/>
              </w:rPr>
            </w:pPr>
            <w:r>
              <w:rPr>
                <w:rFonts w:ascii="Calibri" w:hAnsi="Calibri" w:cs="Calibri"/>
                <w:color w:val="000000"/>
                <w:sz w:val="22"/>
                <w:szCs w:val="22"/>
              </w:rPr>
              <w:t>0.00</w:t>
            </w:r>
          </w:p>
        </w:tc>
        <w:tc>
          <w:tcPr>
            <w:tcW w:w="2430" w:type="dxa"/>
            <w:tcBorders>
              <w:top w:val="nil"/>
              <w:left w:val="nil"/>
              <w:bottom w:val="single" w:sz="8" w:space="0" w:color="auto"/>
              <w:right w:val="single" w:sz="8" w:space="0" w:color="auto"/>
            </w:tcBorders>
            <w:shd w:val="clear" w:color="auto" w:fill="auto"/>
            <w:noWrap/>
            <w:vAlign w:val="bottom"/>
          </w:tcPr>
          <w:p w:rsidR="00391CF2" w:rsidRDefault="00391CF2">
            <w:pPr>
              <w:jc w:val="right"/>
              <w:rPr>
                <w:rFonts w:ascii="Calibri" w:hAnsi="Calibri" w:cs="Calibri"/>
                <w:color w:val="000000"/>
                <w:sz w:val="22"/>
                <w:szCs w:val="22"/>
              </w:rPr>
            </w:pPr>
            <w:r>
              <w:rPr>
                <w:rFonts w:ascii="Calibri" w:hAnsi="Calibri" w:cs="Calibri"/>
                <w:color w:val="000000"/>
                <w:sz w:val="22"/>
                <w:szCs w:val="22"/>
              </w:rPr>
              <w:t>254.10</w:t>
            </w:r>
          </w:p>
        </w:tc>
      </w:tr>
      <w:tr w:rsidR="00391CF2" w:rsidRPr="004C536A" w:rsidTr="003C121B">
        <w:trPr>
          <w:trHeight w:val="315"/>
          <w:jc w:val="center"/>
        </w:trPr>
        <w:tc>
          <w:tcPr>
            <w:tcW w:w="1773" w:type="dxa"/>
            <w:tcBorders>
              <w:top w:val="nil"/>
              <w:left w:val="single" w:sz="8" w:space="0" w:color="auto"/>
              <w:bottom w:val="single" w:sz="8" w:space="0" w:color="auto"/>
              <w:right w:val="single" w:sz="8" w:space="0" w:color="auto"/>
            </w:tcBorders>
            <w:shd w:val="clear" w:color="auto" w:fill="auto"/>
            <w:noWrap/>
            <w:vAlign w:val="bottom"/>
            <w:hideMark/>
          </w:tcPr>
          <w:p w:rsidR="00391CF2" w:rsidRPr="004C536A" w:rsidRDefault="00391CF2" w:rsidP="004C536A">
            <w:pPr>
              <w:rPr>
                <w:rFonts w:ascii="Calibri" w:hAnsi="Calibri" w:cs="Calibri"/>
                <w:b/>
                <w:color w:val="000000"/>
                <w:sz w:val="22"/>
                <w:szCs w:val="22"/>
              </w:rPr>
            </w:pPr>
            <w:r w:rsidRPr="004C536A">
              <w:rPr>
                <w:rFonts w:ascii="Calibri" w:hAnsi="Calibri" w:cs="Calibri"/>
                <w:b/>
                <w:color w:val="000000"/>
                <w:sz w:val="22"/>
                <w:szCs w:val="22"/>
              </w:rPr>
              <w:t>NHS</w:t>
            </w:r>
          </w:p>
        </w:tc>
        <w:tc>
          <w:tcPr>
            <w:tcW w:w="1752" w:type="dxa"/>
            <w:tcBorders>
              <w:top w:val="nil"/>
              <w:left w:val="nil"/>
              <w:bottom w:val="single" w:sz="8" w:space="0" w:color="auto"/>
              <w:right w:val="single" w:sz="8" w:space="0" w:color="auto"/>
            </w:tcBorders>
            <w:shd w:val="clear" w:color="auto" w:fill="auto"/>
            <w:noWrap/>
            <w:vAlign w:val="bottom"/>
          </w:tcPr>
          <w:p w:rsidR="00391CF2" w:rsidRDefault="00391CF2">
            <w:pPr>
              <w:jc w:val="right"/>
              <w:rPr>
                <w:rFonts w:ascii="Calibri" w:hAnsi="Calibri" w:cs="Calibri"/>
                <w:color w:val="000000"/>
                <w:sz w:val="22"/>
                <w:szCs w:val="22"/>
              </w:rPr>
            </w:pPr>
            <w:r>
              <w:rPr>
                <w:rFonts w:ascii="Calibri" w:hAnsi="Calibri" w:cs="Calibri"/>
                <w:color w:val="000000"/>
                <w:sz w:val="22"/>
                <w:szCs w:val="22"/>
              </w:rPr>
              <w:t>100,645.38</w:t>
            </w:r>
          </w:p>
        </w:tc>
        <w:tc>
          <w:tcPr>
            <w:tcW w:w="2700" w:type="dxa"/>
            <w:tcBorders>
              <w:top w:val="single" w:sz="8" w:space="0" w:color="auto"/>
              <w:left w:val="nil"/>
              <w:bottom w:val="single" w:sz="8" w:space="0" w:color="auto"/>
              <w:right w:val="single" w:sz="8" w:space="0" w:color="auto"/>
            </w:tcBorders>
            <w:shd w:val="clear" w:color="auto" w:fill="auto"/>
            <w:noWrap/>
            <w:vAlign w:val="bottom"/>
          </w:tcPr>
          <w:p w:rsidR="00391CF2" w:rsidRDefault="00391CF2">
            <w:pPr>
              <w:jc w:val="right"/>
              <w:rPr>
                <w:rFonts w:ascii="Calibri" w:hAnsi="Calibri" w:cs="Calibri"/>
                <w:color w:val="000000"/>
                <w:sz w:val="22"/>
                <w:szCs w:val="22"/>
              </w:rPr>
            </w:pPr>
            <w:r>
              <w:rPr>
                <w:rFonts w:ascii="Calibri" w:hAnsi="Calibri" w:cs="Calibri"/>
                <w:color w:val="000000"/>
                <w:sz w:val="22"/>
                <w:szCs w:val="22"/>
              </w:rPr>
              <w:t>0.00</w:t>
            </w:r>
          </w:p>
        </w:tc>
        <w:tc>
          <w:tcPr>
            <w:tcW w:w="2430" w:type="dxa"/>
            <w:tcBorders>
              <w:top w:val="nil"/>
              <w:left w:val="nil"/>
              <w:bottom w:val="single" w:sz="8" w:space="0" w:color="auto"/>
              <w:right w:val="single" w:sz="8" w:space="0" w:color="auto"/>
            </w:tcBorders>
            <w:shd w:val="clear" w:color="auto" w:fill="auto"/>
            <w:noWrap/>
            <w:vAlign w:val="bottom"/>
          </w:tcPr>
          <w:p w:rsidR="00391CF2" w:rsidRDefault="00391CF2">
            <w:pPr>
              <w:jc w:val="right"/>
              <w:rPr>
                <w:rFonts w:ascii="Calibri" w:hAnsi="Calibri" w:cs="Calibri"/>
                <w:color w:val="000000"/>
                <w:sz w:val="22"/>
                <w:szCs w:val="22"/>
              </w:rPr>
            </w:pPr>
            <w:r>
              <w:rPr>
                <w:rFonts w:ascii="Calibri" w:hAnsi="Calibri" w:cs="Calibri"/>
                <w:color w:val="000000"/>
                <w:sz w:val="22"/>
                <w:szCs w:val="22"/>
              </w:rPr>
              <w:t>0.00</w:t>
            </w:r>
          </w:p>
        </w:tc>
      </w:tr>
      <w:tr w:rsidR="00391CF2" w:rsidRPr="004C536A" w:rsidTr="003C121B">
        <w:trPr>
          <w:trHeight w:val="315"/>
          <w:jc w:val="center"/>
        </w:trPr>
        <w:tc>
          <w:tcPr>
            <w:tcW w:w="1773" w:type="dxa"/>
            <w:tcBorders>
              <w:top w:val="nil"/>
              <w:left w:val="nil"/>
              <w:bottom w:val="nil"/>
              <w:right w:val="nil"/>
            </w:tcBorders>
            <w:shd w:val="clear" w:color="auto" w:fill="auto"/>
            <w:noWrap/>
            <w:vAlign w:val="bottom"/>
            <w:hideMark/>
          </w:tcPr>
          <w:p w:rsidR="00391CF2" w:rsidRPr="004C536A" w:rsidRDefault="00391CF2" w:rsidP="004C536A">
            <w:pPr>
              <w:rPr>
                <w:rFonts w:ascii="Calibri" w:hAnsi="Calibri" w:cs="Calibri"/>
                <w:b/>
                <w:color w:val="000000"/>
                <w:sz w:val="22"/>
                <w:szCs w:val="22"/>
              </w:rPr>
            </w:pPr>
          </w:p>
        </w:tc>
        <w:tc>
          <w:tcPr>
            <w:tcW w:w="1752" w:type="dxa"/>
            <w:tcBorders>
              <w:top w:val="nil"/>
              <w:left w:val="nil"/>
              <w:bottom w:val="nil"/>
              <w:right w:val="nil"/>
            </w:tcBorders>
            <w:shd w:val="clear" w:color="auto" w:fill="auto"/>
            <w:noWrap/>
            <w:vAlign w:val="bottom"/>
            <w:hideMark/>
          </w:tcPr>
          <w:p w:rsidR="00391CF2" w:rsidRDefault="00391CF2">
            <w:pPr>
              <w:rPr>
                <w:rFonts w:ascii="Calibri" w:hAnsi="Calibri" w:cs="Calibri"/>
                <w:color w:val="000000"/>
                <w:sz w:val="22"/>
                <w:szCs w:val="22"/>
              </w:rPr>
            </w:pPr>
            <w:r>
              <w:rPr>
                <w:rFonts w:ascii="Calibri" w:hAnsi="Calibri" w:cs="Calibri"/>
                <w:color w:val="000000"/>
                <w:sz w:val="22"/>
                <w:szCs w:val="22"/>
              </w:rPr>
              <w:t> </w:t>
            </w:r>
          </w:p>
        </w:tc>
        <w:tc>
          <w:tcPr>
            <w:tcW w:w="2700" w:type="dxa"/>
            <w:tcBorders>
              <w:top w:val="nil"/>
              <w:left w:val="nil"/>
              <w:bottom w:val="nil"/>
              <w:right w:val="nil"/>
            </w:tcBorders>
            <w:shd w:val="clear" w:color="auto" w:fill="auto"/>
            <w:noWrap/>
            <w:vAlign w:val="bottom"/>
            <w:hideMark/>
          </w:tcPr>
          <w:p w:rsidR="00391CF2" w:rsidRDefault="00391CF2">
            <w:pPr>
              <w:rPr>
                <w:rFonts w:ascii="Calibri" w:hAnsi="Calibri" w:cs="Calibri"/>
                <w:color w:val="000000"/>
                <w:sz w:val="22"/>
                <w:szCs w:val="22"/>
              </w:rPr>
            </w:pPr>
            <w:r>
              <w:rPr>
                <w:rFonts w:ascii="Calibri" w:hAnsi="Calibri" w:cs="Calibri"/>
                <w:color w:val="000000"/>
                <w:sz w:val="22"/>
                <w:szCs w:val="22"/>
              </w:rPr>
              <w:t> </w:t>
            </w:r>
          </w:p>
        </w:tc>
        <w:tc>
          <w:tcPr>
            <w:tcW w:w="2430" w:type="dxa"/>
            <w:tcBorders>
              <w:top w:val="nil"/>
              <w:left w:val="nil"/>
              <w:bottom w:val="nil"/>
              <w:right w:val="nil"/>
            </w:tcBorders>
            <w:shd w:val="clear" w:color="auto" w:fill="auto"/>
            <w:noWrap/>
            <w:vAlign w:val="bottom"/>
            <w:hideMark/>
          </w:tcPr>
          <w:p w:rsidR="00391CF2" w:rsidRDefault="00391CF2">
            <w:pPr>
              <w:rPr>
                <w:rFonts w:ascii="Calibri" w:hAnsi="Calibri" w:cs="Calibri"/>
                <w:color w:val="000000"/>
                <w:sz w:val="22"/>
                <w:szCs w:val="22"/>
              </w:rPr>
            </w:pPr>
            <w:r>
              <w:rPr>
                <w:rFonts w:ascii="Calibri" w:hAnsi="Calibri" w:cs="Calibri"/>
                <w:color w:val="000000"/>
                <w:sz w:val="22"/>
                <w:szCs w:val="22"/>
              </w:rPr>
              <w:t> </w:t>
            </w:r>
          </w:p>
        </w:tc>
      </w:tr>
      <w:tr w:rsidR="00391CF2" w:rsidRPr="004C536A" w:rsidTr="003C121B">
        <w:trPr>
          <w:trHeight w:val="315"/>
          <w:jc w:val="center"/>
        </w:trPr>
        <w:tc>
          <w:tcPr>
            <w:tcW w:w="17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91CF2" w:rsidRPr="004C536A" w:rsidRDefault="00391CF2" w:rsidP="004C536A">
            <w:pPr>
              <w:rPr>
                <w:rFonts w:ascii="Calibri" w:hAnsi="Calibri" w:cs="Calibri"/>
                <w:b/>
                <w:color w:val="000000"/>
                <w:sz w:val="22"/>
                <w:szCs w:val="22"/>
              </w:rPr>
            </w:pPr>
            <w:r w:rsidRPr="004C536A">
              <w:rPr>
                <w:rFonts w:ascii="Calibri" w:hAnsi="Calibri" w:cs="Calibri"/>
                <w:b/>
                <w:color w:val="000000"/>
                <w:sz w:val="22"/>
                <w:szCs w:val="22"/>
              </w:rPr>
              <w:t>Total</w:t>
            </w:r>
          </w:p>
        </w:tc>
        <w:tc>
          <w:tcPr>
            <w:tcW w:w="1752" w:type="dxa"/>
            <w:tcBorders>
              <w:top w:val="single" w:sz="8" w:space="0" w:color="auto"/>
              <w:left w:val="nil"/>
              <w:bottom w:val="single" w:sz="8" w:space="0" w:color="auto"/>
              <w:right w:val="single" w:sz="8" w:space="0" w:color="auto"/>
            </w:tcBorders>
            <w:shd w:val="clear" w:color="auto" w:fill="auto"/>
            <w:noWrap/>
            <w:vAlign w:val="bottom"/>
          </w:tcPr>
          <w:p w:rsidR="00391CF2" w:rsidRDefault="00391CF2">
            <w:pPr>
              <w:jc w:val="right"/>
              <w:rPr>
                <w:rFonts w:ascii="Calibri" w:hAnsi="Calibri" w:cs="Calibri"/>
                <w:color w:val="000000"/>
                <w:sz w:val="22"/>
                <w:szCs w:val="22"/>
              </w:rPr>
            </w:pPr>
            <w:r>
              <w:rPr>
                <w:rFonts w:ascii="Calibri" w:hAnsi="Calibri" w:cs="Calibri"/>
                <w:color w:val="000000"/>
                <w:sz w:val="22"/>
                <w:szCs w:val="22"/>
              </w:rPr>
              <w:t>216,444.85</w:t>
            </w:r>
          </w:p>
        </w:tc>
        <w:tc>
          <w:tcPr>
            <w:tcW w:w="2700" w:type="dxa"/>
            <w:tcBorders>
              <w:top w:val="single" w:sz="8" w:space="0" w:color="auto"/>
              <w:left w:val="nil"/>
              <w:bottom w:val="single" w:sz="8" w:space="0" w:color="auto"/>
              <w:right w:val="single" w:sz="8" w:space="0" w:color="auto"/>
            </w:tcBorders>
            <w:shd w:val="clear" w:color="auto" w:fill="auto"/>
            <w:noWrap/>
            <w:vAlign w:val="bottom"/>
          </w:tcPr>
          <w:p w:rsidR="00391CF2" w:rsidRDefault="00391CF2">
            <w:pPr>
              <w:jc w:val="right"/>
              <w:rPr>
                <w:rFonts w:ascii="Calibri" w:hAnsi="Calibri" w:cs="Calibri"/>
                <w:color w:val="000000"/>
                <w:sz w:val="22"/>
                <w:szCs w:val="22"/>
              </w:rPr>
            </w:pPr>
            <w:r>
              <w:rPr>
                <w:rFonts w:ascii="Calibri" w:hAnsi="Calibri" w:cs="Calibri"/>
                <w:color w:val="000000"/>
                <w:sz w:val="22"/>
                <w:szCs w:val="22"/>
              </w:rPr>
              <w:t>726.93</w:t>
            </w:r>
          </w:p>
        </w:tc>
        <w:tc>
          <w:tcPr>
            <w:tcW w:w="2430" w:type="dxa"/>
            <w:tcBorders>
              <w:top w:val="single" w:sz="8" w:space="0" w:color="auto"/>
              <w:left w:val="nil"/>
              <w:bottom w:val="single" w:sz="8" w:space="0" w:color="auto"/>
              <w:right w:val="single" w:sz="8" w:space="0" w:color="auto"/>
            </w:tcBorders>
            <w:shd w:val="clear" w:color="auto" w:fill="auto"/>
            <w:noWrap/>
            <w:vAlign w:val="bottom"/>
          </w:tcPr>
          <w:p w:rsidR="00391CF2" w:rsidRDefault="00391CF2">
            <w:pPr>
              <w:jc w:val="right"/>
              <w:rPr>
                <w:rFonts w:ascii="Calibri" w:hAnsi="Calibri" w:cs="Calibri"/>
                <w:color w:val="000000"/>
                <w:sz w:val="22"/>
                <w:szCs w:val="22"/>
              </w:rPr>
            </w:pPr>
            <w:r>
              <w:rPr>
                <w:rFonts w:ascii="Calibri" w:hAnsi="Calibri" w:cs="Calibri"/>
                <w:color w:val="000000"/>
                <w:sz w:val="22"/>
                <w:szCs w:val="22"/>
              </w:rPr>
              <w:t>935.08</w:t>
            </w:r>
          </w:p>
        </w:tc>
      </w:tr>
      <w:bookmarkEnd w:id="1"/>
    </w:tbl>
    <w:p w:rsidR="00CA3C40" w:rsidRDefault="00CA3C40" w:rsidP="00015D1D">
      <w:pPr>
        <w:spacing w:after="200" w:line="276" w:lineRule="auto"/>
        <w:rPr>
          <w:rFonts w:ascii="Arial" w:eastAsia="Calibri" w:hAnsi="Arial"/>
          <w:b/>
          <w:bCs/>
          <w:color w:val="56008C"/>
          <w:szCs w:val="26"/>
          <w:lang w:eastAsia="en-US"/>
        </w:rPr>
      </w:pPr>
    </w:p>
    <w:p w:rsidR="00C52506" w:rsidRDefault="00015D1D" w:rsidP="00015D1D">
      <w:pPr>
        <w:spacing w:after="200" w:line="276" w:lineRule="auto"/>
        <w:rPr>
          <w:rFonts w:ascii="Arial" w:eastAsia="Calibri" w:hAnsi="Arial"/>
          <w:b/>
          <w:bCs/>
          <w:color w:val="56008C"/>
          <w:szCs w:val="26"/>
          <w:lang w:eastAsia="en-US"/>
        </w:rPr>
      </w:pPr>
      <w:r w:rsidRPr="00A422D8">
        <w:rPr>
          <w:rFonts w:ascii="Arial" w:eastAsia="Calibri" w:hAnsi="Arial"/>
          <w:b/>
          <w:bCs/>
          <w:color w:val="56008C"/>
          <w:szCs w:val="26"/>
          <w:lang w:eastAsia="en-US"/>
        </w:rPr>
        <w:lastRenderedPageBreak/>
        <w:t>H</w:t>
      </w:r>
      <w:r w:rsidR="00597AF4" w:rsidRPr="00A422D8">
        <w:rPr>
          <w:rFonts w:ascii="Arial" w:eastAsia="Calibri" w:hAnsi="Arial"/>
          <w:b/>
          <w:bCs/>
          <w:color w:val="56008C"/>
          <w:szCs w:val="26"/>
          <w:lang w:eastAsia="en-US"/>
        </w:rPr>
        <w:t xml:space="preserve">RA Revenue position for the period ended </w:t>
      </w:r>
      <w:r w:rsidR="00964464">
        <w:rPr>
          <w:rFonts w:ascii="Arial" w:eastAsia="Calibri" w:hAnsi="Arial"/>
          <w:b/>
          <w:bCs/>
          <w:color w:val="56008C"/>
          <w:szCs w:val="26"/>
          <w:lang w:eastAsia="en-US"/>
        </w:rPr>
        <w:t>31 July</w:t>
      </w:r>
      <w:r w:rsidR="00301D79">
        <w:rPr>
          <w:rFonts w:ascii="Arial" w:eastAsia="Calibri" w:hAnsi="Arial"/>
          <w:b/>
          <w:bCs/>
          <w:color w:val="56008C"/>
          <w:szCs w:val="26"/>
          <w:lang w:eastAsia="en-US"/>
        </w:rPr>
        <w:t xml:space="preserve"> 2016  </w:t>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964464">
        <w:rPr>
          <w:rFonts w:ascii="Arial" w:eastAsia="Calibri" w:hAnsi="Arial"/>
          <w:b/>
          <w:bCs/>
          <w:color w:val="56008C"/>
          <w:szCs w:val="26"/>
          <w:lang w:eastAsia="en-US"/>
        </w:rPr>
        <w:t xml:space="preserve">                        </w:t>
      </w:r>
      <w:r w:rsidR="00A46CA2">
        <w:rPr>
          <w:rFonts w:ascii="Arial" w:eastAsia="Calibri" w:hAnsi="Arial"/>
          <w:b/>
          <w:bCs/>
          <w:color w:val="56008C"/>
          <w:szCs w:val="26"/>
          <w:lang w:eastAsia="en-US"/>
        </w:rPr>
        <w:t>Appendix D</w:t>
      </w:r>
    </w:p>
    <w:tbl>
      <w:tblPr>
        <w:tblW w:w="15420" w:type="dxa"/>
        <w:tblInd w:w="98" w:type="dxa"/>
        <w:tblLook w:val="04A0" w:firstRow="1" w:lastRow="0" w:firstColumn="1" w:lastColumn="0" w:noHBand="0" w:noVBand="1"/>
      </w:tblPr>
      <w:tblGrid>
        <w:gridCol w:w="959"/>
        <w:gridCol w:w="959"/>
        <w:gridCol w:w="1139"/>
        <w:gridCol w:w="320"/>
        <w:gridCol w:w="3377"/>
        <w:gridCol w:w="320"/>
        <w:gridCol w:w="1139"/>
        <w:gridCol w:w="1599"/>
        <w:gridCol w:w="1160"/>
        <w:gridCol w:w="328"/>
        <w:gridCol w:w="960"/>
        <w:gridCol w:w="960"/>
        <w:gridCol w:w="960"/>
        <w:gridCol w:w="1240"/>
      </w:tblGrid>
      <w:tr w:rsidR="00D7554B" w:rsidRPr="00D7554B" w:rsidTr="00D7554B">
        <w:trPr>
          <w:trHeight w:val="300"/>
        </w:trPr>
        <w:tc>
          <w:tcPr>
            <w:tcW w:w="3057" w:type="dxa"/>
            <w:gridSpan w:val="3"/>
            <w:tcBorders>
              <w:top w:val="single" w:sz="8" w:space="0" w:color="FFFFFF"/>
              <w:left w:val="single" w:sz="8" w:space="0" w:color="FFFFFF"/>
              <w:bottom w:val="nil"/>
              <w:right w:val="nil"/>
            </w:tcBorders>
            <w:shd w:val="clear" w:color="000000" w:fill="E28C05"/>
            <w:vAlign w:val="center"/>
            <w:hideMark/>
          </w:tcPr>
          <w:p w:rsidR="00D7554B" w:rsidRPr="00D7554B" w:rsidRDefault="00D7554B" w:rsidP="00D7554B">
            <w:pPr>
              <w:jc w:val="center"/>
              <w:rPr>
                <w:rFonts w:ascii="Arial" w:hAnsi="Arial" w:cs="Arial"/>
                <w:b/>
                <w:bCs/>
                <w:color w:val="56008C"/>
                <w:sz w:val="20"/>
                <w:szCs w:val="20"/>
              </w:rPr>
            </w:pPr>
            <w:r w:rsidRPr="00D7554B">
              <w:rPr>
                <w:rFonts w:ascii="Arial" w:hAnsi="Arial" w:cs="Arial"/>
                <w:b/>
                <w:bCs/>
                <w:color w:val="56008C"/>
                <w:sz w:val="20"/>
                <w:szCs w:val="20"/>
              </w:rPr>
              <w:t>Period (£'000)</w:t>
            </w:r>
          </w:p>
        </w:tc>
        <w:tc>
          <w:tcPr>
            <w:tcW w:w="320" w:type="dxa"/>
            <w:tcBorders>
              <w:top w:val="nil"/>
              <w:left w:val="nil"/>
              <w:bottom w:val="nil"/>
              <w:right w:val="nil"/>
            </w:tcBorders>
            <w:shd w:val="clear" w:color="auto" w:fill="auto"/>
            <w:vAlign w:val="center"/>
            <w:hideMark/>
          </w:tcPr>
          <w:p w:rsidR="00D7554B" w:rsidRPr="00D7554B" w:rsidRDefault="00D7554B" w:rsidP="00D7554B">
            <w:pPr>
              <w:jc w:val="center"/>
              <w:rPr>
                <w:rFonts w:ascii="Arial" w:hAnsi="Arial" w:cs="Arial"/>
                <w:b/>
                <w:bCs/>
                <w:color w:val="FFFFFF"/>
                <w:sz w:val="20"/>
                <w:szCs w:val="20"/>
              </w:rPr>
            </w:pPr>
          </w:p>
        </w:tc>
        <w:tc>
          <w:tcPr>
            <w:tcW w:w="3377" w:type="dxa"/>
            <w:tcBorders>
              <w:top w:val="single" w:sz="4" w:space="0" w:color="666666"/>
              <w:left w:val="nil"/>
              <w:bottom w:val="single" w:sz="4" w:space="0" w:color="666666"/>
              <w:right w:val="single" w:sz="4" w:space="0" w:color="666666"/>
            </w:tcBorders>
            <w:shd w:val="clear" w:color="000000" w:fill="56008C"/>
            <w:vAlign w:val="center"/>
            <w:hideMark/>
          </w:tcPr>
          <w:p w:rsidR="00D7554B" w:rsidRPr="00D7554B" w:rsidRDefault="00D7554B" w:rsidP="00D7554B">
            <w:pPr>
              <w:jc w:val="center"/>
              <w:rPr>
                <w:rFonts w:ascii="Arial" w:hAnsi="Arial" w:cs="Arial"/>
                <w:b/>
                <w:bCs/>
                <w:color w:val="FFFFFF"/>
                <w:sz w:val="20"/>
                <w:szCs w:val="20"/>
              </w:rPr>
            </w:pPr>
            <w:r w:rsidRPr="00D7554B">
              <w:rPr>
                <w:rFonts w:ascii="Arial" w:hAnsi="Arial" w:cs="Arial"/>
                <w:b/>
                <w:bCs/>
                <w:color w:val="FFFFFF"/>
                <w:sz w:val="20"/>
                <w:szCs w:val="20"/>
              </w:rPr>
              <w:t>Department</w:t>
            </w:r>
          </w:p>
        </w:tc>
        <w:tc>
          <w:tcPr>
            <w:tcW w:w="320" w:type="dxa"/>
            <w:tcBorders>
              <w:top w:val="nil"/>
              <w:left w:val="nil"/>
              <w:bottom w:val="nil"/>
              <w:right w:val="nil"/>
            </w:tcBorders>
            <w:shd w:val="clear" w:color="auto" w:fill="auto"/>
            <w:vAlign w:val="center"/>
            <w:hideMark/>
          </w:tcPr>
          <w:p w:rsidR="00D7554B" w:rsidRPr="00D7554B" w:rsidRDefault="00D7554B" w:rsidP="00D7554B">
            <w:pPr>
              <w:jc w:val="center"/>
              <w:rPr>
                <w:rFonts w:ascii="Arial" w:hAnsi="Arial" w:cs="Arial"/>
                <w:b/>
                <w:bCs/>
                <w:color w:val="FFFFFF"/>
                <w:sz w:val="20"/>
                <w:szCs w:val="20"/>
              </w:rPr>
            </w:pPr>
          </w:p>
        </w:tc>
        <w:tc>
          <w:tcPr>
            <w:tcW w:w="3898" w:type="dxa"/>
            <w:gridSpan w:val="3"/>
            <w:tcBorders>
              <w:top w:val="single" w:sz="8" w:space="0" w:color="FFFFFF"/>
              <w:left w:val="single" w:sz="8" w:space="0" w:color="FFFFFF"/>
              <w:bottom w:val="nil"/>
              <w:right w:val="single" w:sz="8" w:space="0" w:color="FFFFFF"/>
            </w:tcBorders>
            <w:shd w:val="clear" w:color="000000" w:fill="E28C05"/>
            <w:vAlign w:val="center"/>
            <w:hideMark/>
          </w:tcPr>
          <w:p w:rsidR="00D7554B" w:rsidRPr="00D7554B" w:rsidRDefault="00D7554B" w:rsidP="00D7554B">
            <w:pPr>
              <w:jc w:val="center"/>
              <w:rPr>
                <w:rFonts w:ascii="Arial" w:hAnsi="Arial" w:cs="Arial"/>
                <w:b/>
                <w:bCs/>
                <w:color w:val="56008C"/>
                <w:sz w:val="20"/>
                <w:szCs w:val="20"/>
              </w:rPr>
            </w:pPr>
            <w:r w:rsidRPr="00D7554B">
              <w:rPr>
                <w:rFonts w:ascii="Arial" w:hAnsi="Arial" w:cs="Arial"/>
                <w:b/>
                <w:bCs/>
                <w:color w:val="56008C"/>
                <w:sz w:val="20"/>
                <w:szCs w:val="20"/>
              </w:rPr>
              <w:t>Year to date (£'000)</w:t>
            </w:r>
          </w:p>
        </w:tc>
        <w:tc>
          <w:tcPr>
            <w:tcW w:w="328"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0"/>
                <w:szCs w:val="20"/>
              </w:rPr>
            </w:pPr>
          </w:p>
        </w:tc>
        <w:tc>
          <w:tcPr>
            <w:tcW w:w="4120" w:type="dxa"/>
            <w:gridSpan w:val="4"/>
            <w:tcBorders>
              <w:top w:val="single" w:sz="8" w:space="0" w:color="FFFFFF"/>
              <w:left w:val="single" w:sz="8" w:space="0" w:color="FFFFFF"/>
              <w:bottom w:val="nil"/>
              <w:right w:val="single" w:sz="8" w:space="0" w:color="FFFFFF"/>
            </w:tcBorders>
            <w:shd w:val="clear" w:color="000000" w:fill="56008C"/>
            <w:vAlign w:val="center"/>
            <w:hideMark/>
          </w:tcPr>
          <w:p w:rsidR="00D7554B" w:rsidRPr="00D7554B" w:rsidRDefault="00D7554B" w:rsidP="00D7554B">
            <w:pPr>
              <w:jc w:val="center"/>
              <w:rPr>
                <w:rFonts w:ascii="Arial" w:hAnsi="Arial" w:cs="Arial"/>
                <w:b/>
                <w:bCs/>
                <w:color w:val="FFFFFF"/>
                <w:sz w:val="20"/>
                <w:szCs w:val="20"/>
              </w:rPr>
            </w:pPr>
            <w:r w:rsidRPr="00D7554B">
              <w:rPr>
                <w:rFonts w:ascii="Arial" w:hAnsi="Arial" w:cs="Arial"/>
                <w:b/>
                <w:bCs/>
                <w:color w:val="FFFFFF"/>
                <w:sz w:val="20"/>
                <w:szCs w:val="20"/>
              </w:rPr>
              <w:t>Full year (£'000)</w:t>
            </w:r>
          </w:p>
        </w:tc>
      </w:tr>
      <w:tr w:rsidR="00D7554B" w:rsidRPr="00D7554B" w:rsidTr="00D7554B">
        <w:trPr>
          <w:trHeight w:val="300"/>
        </w:trPr>
        <w:tc>
          <w:tcPr>
            <w:tcW w:w="959" w:type="dxa"/>
            <w:tcBorders>
              <w:top w:val="nil"/>
              <w:left w:val="nil"/>
              <w:bottom w:val="nil"/>
              <w:right w:val="nil"/>
            </w:tcBorders>
            <w:shd w:val="clear" w:color="000000" w:fill="E28C05"/>
            <w:vAlign w:val="center"/>
            <w:hideMark/>
          </w:tcPr>
          <w:p w:rsidR="00D7554B" w:rsidRPr="00D7554B" w:rsidRDefault="00D7554B" w:rsidP="00D7554B">
            <w:pPr>
              <w:jc w:val="center"/>
              <w:rPr>
                <w:rFonts w:ascii="Arial" w:hAnsi="Arial" w:cs="Arial"/>
                <w:b/>
                <w:bCs/>
                <w:color w:val="56008C"/>
                <w:sz w:val="20"/>
                <w:szCs w:val="20"/>
              </w:rPr>
            </w:pPr>
            <w:r w:rsidRPr="00D7554B">
              <w:rPr>
                <w:rFonts w:ascii="Arial" w:hAnsi="Arial" w:cs="Arial"/>
                <w:b/>
                <w:bCs/>
                <w:color w:val="56008C"/>
                <w:sz w:val="20"/>
                <w:szCs w:val="20"/>
              </w:rPr>
              <w:t> </w:t>
            </w:r>
          </w:p>
        </w:tc>
        <w:tc>
          <w:tcPr>
            <w:tcW w:w="959" w:type="dxa"/>
            <w:tcBorders>
              <w:top w:val="nil"/>
              <w:left w:val="nil"/>
              <w:bottom w:val="nil"/>
              <w:right w:val="nil"/>
            </w:tcBorders>
            <w:shd w:val="clear" w:color="000000" w:fill="E28C05"/>
            <w:vAlign w:val="center"/>
            <w:hideMark/>
          </w:tcPr>
          <w:p w:rsidR="00D7554B" w:rsidRPr="00D7554B" w:rsidRDefault="00D7554B" w:rsidP="00D7554B">
            <w:pPr>
              <w:jc w:val="center"/>
              <w:rPr>
                <w:rFonts w:ascii="Arial" w:hAnsi="Arial" w:cs="Arial"/>
                <w:b/>
                <w:bCs/>
                <w:color w:val="56008C"/>
                <w:sz w:val="20"/>
                <w:szCs w:val="20"/>
              </w:rPr>
            </w:pPr>
            <w:r w:rsidRPr="00D7554B">
              <w:rPr>
                <w:rFonts w:ascii="Arial" w:hAnsi="Arial" w:cs="Arial"/>
                <w:b/>
                <w:bCs/>
                <w:color w:val="56008C"/>
                <w:sz w:val="20"/>
                <w:szCs w:val="20"/>
              </w:rPr>
              <w:t> </w:t>
            </w:r>
          </w:p>
        </w:tc>
        <w:tc>
          <w:tcPr>
            <w:tcW w:w="1139" w:type="dxa"/>
            <w:tcBorders>
              <w:top w:val="nil"/>
              <w:left w:val="nil"/>
              <w:bottom w:val="nil"/>
              <w:right w:val="nil"/>
            </w:tcBorders>
            <w:shd w:val="clear" w:color="000000" w:fill="E28C05"/>
            <w:vAlign w:val="center"/>
            <w:hideMark/>
          </w:tcPr>
          <w:p w:rsidR="00D7554B" w:rsidRPr="00D7554B" w:rsidRDefault="00D7554B" w:rsidP="00D7554B">
            <w:pPr>
              <w:jc w:val="center"/>
              <w:rPr>
                <w:rFonts w:ascii="Arial" w:hAnsi="Arial" w:cs="Arial"/>
                <w:b/>
                <w:bCs/>
                <w:color w:val="56008C"/>
                <w:sz w:val="20"/>
                <w:szCs w:val="20"/>
              </w:rPr>
            </w:pPr>
            <w:r w:rsidRPr="00D7554B">
              <w:rPr>
                <w:rFonts w:ascii="Arial" w:hAnsi="Arial" w:cs="Arial"/>
                <w:b/>
                <w:bCs/>
                <w:color w:val="56008C"/>
                <w:sz w:val="20"/>
                <w:szCs w:val="20"/>
              </w:rPr>
              <w:t> </w:t>
            </w:r>
          </w:p>
        </w:tc>
        <w:tc>
          <w:tcPr>
            <w:tcW w:w="320" w:type="dxa"/>
            <w:tcBorders>
              <w:top w:val="nil"/>
              <w:left w:val="nil"/>
              <w:bottom w:val="nil"/>
              <w:right w:val="nil"/>
            </w:tcBorders>
            <w:shd w:val="clear" w:color="auto" w:fill="auto"/>
            <w:vAlign w:val="center"/>
            <w:hideMark/>
          </w:tcPr>
          <w:p w:rsidR="00D7554B" w:rsidRPr="00D7554B" w:rsidRDefault="00D7554B" w:rsidP="00D7554B">
            <w:pPr>
              <w:jc w:val="center"/>
              <w:rPr>
                <w:rFonts w:ascii="Arial" w:hAnsi="Arial" w:cs="Arial"/>
                <w:b/>
                <w:bCs/>
                <w:color w:val="FFFFFF"/>
                <w:sz w:val="20"/>
                <w:szCs w:val="20"/>
              </w:rPr>
            </w:pPr>
          </w:p>
        </w:tc>
        <w:tc>
          <w:tcPr>
            <w:tcW w:w="3377" w:type="dxa"/>
            <w:tcBorders>
              <w:top w:val="nil"/>
              <w:left w:val="nil"/>
              <w:bottom w:val="nil"/>
              <w:right w:val="nil"/>
            </w:tcBorders>
            <w:shd w:val="clear" w:color="000000" w:fill="56008C"/>
            <w:vAlign w:val="center"/>
            <w:hideMark/>
          </w:tcPr>
          <w:p w:rsidR="00D7554B" w:rsidRPr="00D7554B" w:rsidRDefault="00D7554B" w:rsidP="00D7554B">
            <w:pPr>
              <w:jc w:val="center"/>
              <w:rPr>
                <w:rFonts w:ascii="Arial" w:hAnsi="Arial" w:cs="Arial"/>
                <w:b/>
                <w:bCs/>
                <w:color w:val="FFFFFF"/>
                <w:sz w:val="20"/>
                <w:szCs w:val="20"/>
              </w:rPr>
            </w:pPr>
            <w:r w:rsidRPr="00D7554B">
              <w:rPr>
                <w:rFonts w:ascii="Arial" w:hAnsi="Arial" w:cs="Arial"/>
                <w:b/>
                <w:bCs/>
                <w:color w:val="FFFFFF"/>
                <w:sz w:val="20"/>
                <w:szCs w:val="20"/>
              </w:rPr>
              <w:t> </w:t>
            </w:r>
          </w:p>
        </w:tc>
        <w:tc>
          <w:tcPr>
            <w:tcW w:w="320" w:type="dxa"/>
            <w:tcBorders>
              <w:top w:val="nil"/>
              <w:left w:val="nil"/>
              <w:bottom w:val="nil"/>
              <w:right w:val="nil"/>
            </w:tcBorders>
            <w:shd w:val="clear" w:color="auto" w:fill="auto"/>
            <w:vAlign w:val="center"/>
            <w:hideMark/>
          </w:tcPr>
          <w:p w:rsidR="00D7554B" w:rsidRPr="00D7554B" w:rsidRDefault="00D7554B" w:rsidP="00D7554B">
            <w:pPr>
              <w:jc w:val="center"/>
              <w:rPr>
                <w:rFonts w:ascii="Arial" w:hAnsi="Arial" w:cs="Arial"/>
                <w:b/>
                <w:bCs/>
                <w:color w:val="FFFFFF"/>
                <w:sz w:val="20"/>
                <w:szCs w:val="20"/>
              </w:rPr>
            </w:pPr>
          </w:p>
        </w:tc>
        <w:tc>
          <w:tcPr>
            <w:tcW w:w="1139" w:type="dxa"/>
            <w:tcBorders>
              <w:top w:val="nil"/>
              <w:left w:val="nil"/>
              <w:bottom w:val="nil"/>
              <w:right w:val="nil"/>
            </w:tcBorders>
            <w:shd w:val="clear" w:color="000000" w:fill="E28C05"/>
            <w:vAlign w:val="center"/>
            <w:hideMark/>
          </w:tcPr>
          <w:p w:rsidR="00D7554B" w:rsidRPr="00D7554B" w:rsidRDefault="00D7554B" w:rsidP="00D7554B">
            <w:pPr>
              <w:jc w:val="center"/>
              <w:rPr>
                <w:rFonts w:ascii="Arial" w:hAnsi="Arial" w:cs="Arial"/>
                <w:b/>
                <w:bCs/>
                <w:color w:val="56008C"/>
                <w:sz w:val="20"/>
                <w:szCs w:val="20"/>
              </w:rPr>
            </w:pPr>
            <w:r w:rsidRPr="00D7554B">
              <w:rPr>
                <w:rFonts w:ascii="Arial" w:hAnsi="Arial" w:cs="Arial"/>
                <w:b/>
                <w:bCs/>
                <w:color w:val="56008C"/>
                <w:sz w:val="20"/>
                <w:szCs w:val="20"/>
              </w:rPr>
              <w:t> </w:t>
            </w:r>
          </w:p>
        </w:tc>
        <w:tc>
          <w:tcPr>
            <w:tcW w:w="1599" w:type="dxa"/>
            <w:tcBorders>
              <w:top w:val="nil"/>
              <w:left w:val="nil"/>
              <w:bottom w:val="nil"/>
              <w:right w:val="nil"/>
            </w:tcBorders>
            <w:shd w:val="clear" w:color="000000" w:fill="E28C05"/>
            <w:vAlign w:val="center"/>
            <w:hideMark/>
          </w:tcPr>
          <w:p w:rsidR="00D7554B" w:rsidRPr="00D7554B" w:rsidRDefault="00D7554B" w:rsidP="00D7554B">
            <w:pPr>
              <w:jc w:val="center"/>
              <w:rPr>
                <w:rFonts w:ascii="Arial" w:hAnsi="Arial" w:cs="Arial"/>
                <w:b/>
                <w:bCs/>
                <w:color w:val="56008C"/>
                <w:sz w:val="20"/>
                <w:szCs w:val="20"/>
              </w:rPr>
            </w:pPr>
            <w:r w:rsidRPr="00D7554B">
              <w:rPr>
                <w:rFonts w:ascii="Arial" w:hAnsi="Arial" w:cs="Arial"/>
                <w:b/>
                <w:bCs/>
                <w:color w:val="56008C"/>
                <w:sz w:val="20"/>
                <w:szCs w:val="20"/>
              </w:rPr>
              <w:t> </w:t>
            </w:r>
          </w:p>
        </w:tc>
        <w:tc>
          <w:tcPr>
            <w:tcW w:w="1160" w:type="dxa"/>
            <w:tcBorders>
              <w:top w:val="nil"/>
              <w:left w:val="nil"/>
              <w:bottom w:val="nil"/>
              <w:right w:val="nil"/>
            </w:tcBorders>
            <w:shd w:val="clear" w:color="000000" w:fill="E28C05"/>
            <w:vAlign w:val="center"/>
            <w:hideMark/>
          </w:tcPr>
          <w:p w:rsidR="00D7554B" w:rsidRPr="00D7554B" w:rsidRDefault="00D7554B" w:rsidP="00D7554B">
            <w:pPr>
              <w:jc w:val="center"/>
              <w:rPr>
                <w:rFonts w:ascii="Arial" w:hAnsi="Arial" w:cs="Arial"/>
                <w:b/>
                <w:bCs/>
                <w:color w:val="56008C"/>
                <w:sz w:val="20"/>
                <w:szCs w:val="20"/>
              </w:rPr>
            </w:pPr>
            <w:r w:rsidRPr="00D7554B">
              <w:rPr>
                <w:rFonts w:ascii="Arial" w:hAnsi="Arial" w:cs="Arial"/>
                <w:b/>
                <w:bCs/>
                <w:color w:val="56008C"/>
                <w:sz w:val="20"/>
                <w:szCs w:val="20"/>
              </w:rPr>
              <w:t> </w:t>
            </w:r>
          </w:p>
        </w:tc>
        <w:tc>
          <w:tcPr>
            <w:tcW w:w="328"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0"/>
                <w:szCs w:val="20"/>
              </w:rPr>
            </w:pPr>
          </w:p>
        </w:tc>
        <w:tc>
          <w:tcPr>
            <w:tcW w:w="960" w:type="dxa"/>
            <w:tcBorders>
              <w:top w:val="nil"/>
              <w:left w:val="nil"/>
              <w:bottom w:val="nil"/>
              <w:right w:val="nil"/>
            </w:tcBorders>
            <w:shd w:val="clear" w:color="000000" w:fill="56008C"/>
            <w:vAlign w:val="center"/>
            <w:hideMark/>
          </w:tcPr>
          <w:p w:rsidR="00D7554B" w:rsidRPr="00D7554B" w:rsidRDefault="00D7554B" w:rsidP="00D7554B">
            <w:pPr>
              <w:jc w:val="center"/>
              <w:rPr>
                <w:rFonts w:ascii="Arial" w:hAnsi="Arial" w:cs="Arial"/>
                <w:b/>
                <w:bCs/>
                <w:color w:val="FFFFFF"/>
                <w:sz w:val="20"/>
                <w:szCs w:val="20"/>
              </w:rPr>
            </w:pPr>
            <w:r w:rsidRPr="00D7554B">
              <w:rPr>
                <w:rFonts w:ascii="Arial" w:hAnsi="Arial" w:cs="Arial"/>
                <w:b/>
                <w:bCs/>
                <w:color w:val="FFFFFF"/>
                <w:sz w:val="20"/>
                <w:szCs w:val="20"/>
              </w:rPr>
              <w:t> </w:t>
            </w:r>
          </w:p>
        </w:tc>
        <w:tc>
          <w:tcPr>
            <w:tcW w:w="3160" w:type="dxa"/>
            <w:gridSpan w:val="3"/>
            <w:tcBorders>
              <w:top w:val="nil"/>
              <w:left w:val="single" w:sz="8" w:space="0" w:color="538DD5"/>
              <w:bottom w:val="nil"/>
              <w:right w:val="nil"/>
            </w:tcBorders>
            <w:shd w:val="clear" w:color="000000" w:fill="56008C"/>
            <w:vAlign w:val="center"/>
            <w:hideMark/>
          </w:tcPr>
          <w:p w:rsidR="00D7554B" w:rsidRPr="00D7554B" w:rsidRDefault="00D7554B" w:rsidP="00D7554B">
            <w:pPr>
              <w:jc w:val="center"/>
              <w:rPr>
                <w:rFonts w:ascii="Arial" w:hAnsi="Arial" w:cs="Arial"/>
                <w:b/>
                <w:bCs/>
                <w:color w:val="FFFFFF"/>
                <w:sz w:val="20"/>
                <w:szCs w:val="20"/>
              </w:rPr>
            </w:pPr>
            <w:r w:rsidRPr="00D7554B">
              <w:rPr>
                <w:rFonts w:ascii="Arial" w:hAnsi="Arial" w:cs="Arial"/>
                <w:b/>
                <w:bCs/>
                <w:color w:val="FFFFFF"/>
                <w:sz w:val="20"/>
                <w:szCs w:val="20"/>
              </w:rPr>
              <w:t>2016/17</w:t>
            </w:r>
          </w:p>
        </w:tc>
      </w:tr>
      <w:tr w:rsidR="00D7554B" w:rsidRPr="00D7554B" w:rsidTr="00D7554B">
        <w:trPr>
          <w:trHeight w:val="525"/>
        </w:trPr>
        <w:tc>
          <w:tcPr>
            <w:tcW w:w="959" w:type="dxa"/>
            <w:tcBorders>
              <w:top w:val="nil"/>
              <w:left w:val="nil"/>
              <w:bottom w:val="nil"/>
              <w:right w:val="single" w:sz="8" w:space="0" w:color="816EA6"/>
            </w:tcBorders>
            <w:shd w:val="clear" w:color="000000" w:fill="E28C05"/>
            <w:vAlign w:val="center"/>
            <w:hideMark/>
          </w:tcPr>
          <w:p w:rsidR="00D7554B" w:rsidRPr="00D7554B" w:rsidRDefault="00D7554B" w:rsidP="00D7554B">
            <w:pPr>
              <w:jc w:val="center"/>
              <w:rPr>
                <w:rFonts w:ascii="Arial" w:hAnsi="Arial" w:cs="Arial"/>
                <w:b/>
                <w:bCs/>
                <w:color w:val="56008C"/>
                <w:sz w:val="20"/>
                <w:szCs w:val="20"/>
              </w:rPr>
            </w:pPr>
            <w:r w:rsidRPr="00D7554B">
              <w:rPr>
                <w:rFonts w:ascii="Arial" w:hAnsi="Arial" w:cs="Arial"/>
                <w:b/>
                <w:bCs/>
                <w:color w:val="56008C"/>
                <w:sz w:val="20"/>
                <w:szCs w:val="20"/>
              </w:rPr>
              <w:t>Budget</w:t>
            </w:r>
          </w:p>
        </w:tc>
        <w:tc>
          <w:tcPr>
            <w:tcW w:w="959" w:type="dxa"/>
            <w:tcBorders>
              <w:top w:val="nil"/>
              <w:left w:val="nil"/>
              <w:bottom w:val="nil"/>
              <w:right w:val="single" w:sz="8" w:space="0" w:color="816EA6"/>
            </w:tcBorders>
            <w:shd w:val="clear" w:color="000000" w:fill="E28C05"/>
            <w:vAlign w:val="center"/>
            <w:hideMark/>
          </w:tcPr>
          <w:p w:rsidR="00D7554B" w:rsidRPr="00D7554B" w:rsidRDefault="00D7554B" w:rsidP="00D7554B">
            <w:pPr>
              <w:jc w:val="center"/>
              <w:rPr>
                <w:rFonts w:ascii="Arial" w:hAnsi="Arial" w:cs="Arial"/>
                <w:b/>
                <w:bCs/>
                <w:color w:val="56008C"/>
                <w:sz w:val="20"/>
                <w:szCs w:val="20"/>
              </w:rPr>
            </w:pPr>
            <w:r w:rsidRPr="00D7554B">
              <w:rPr>
                <w:rFonts w:ascii="Arial" w:hAnsi="Arial" w:cs="Arial"/>
                <w:b/>
                <w:bCs/>
                <w:color w:val="56008C"/>
                <w:sz w:val="20"/>
                <w:szCs w:val="20"/>
              </w:rPr>
              <w:t>Actual</w:t>
            </w:r>
          </w:p>
        </w:tc>
        <w:tc>
          <w:tcPr>
            <w:tcW w:w="1139" w:type="dxa"/>
            <w:tcBorders>
              <w:top w:val="nil"/>
              <w:left w:val="nil"/>
              <w:bottom w:val="nil"/>
              <w:right w:val="nil"/>
            </w:tcBorders>
            <w:shd w:val="clear" w:color="000000" w:fill="E28C05"/>
            <w:vAlign w:val="center"/>
            <w:hideMark/>
          </w:tcPr>
          <w:p w:rsidR="00D7554B" w:rsidRPr="00D7554B" w:rsidRDefault="00D7554B" w:rsidP="00D7554B">
            <w:pPr>
              <w:jc w:val="center"/>
              <w:rPr>
                <w:rFonts w:ascii="Arial" w:hAnsi="Arial" w:cs="Arial"/>
                <w:b/>
                <w:bCs/>
                <w:color w:val="56008C"/>
                <w:sz w:val="20"/>
                <w:szCs w:val="20"/>
              </w:rPr>
            </w:pPr>
            <w:r w:rsidRPr="00D7554B">
              <w:rPr>
                <w:rFonts w:ascii="Arial" w:hAnsi="Arial" w:cs="Arial"/>
                <w:b/>
                <w:bCs/>
                <w:color w:val="56008C"/>
                <w:sz w:val="20"/>
                <w:szCs w:val="20"/>
              </w:rPr>
              <w:t>Variance</w:t>
            </w:r>
          </w:p>
        </w:tc>
        <w:tc>
          <w:tcPr>
            <w:tcW w:w="320" w:type="dxa"/>
            <w:tcBorders>
              <w:top w:val="nil"/>
              <w:left w:val="nil"/>
              <w:bottom w:val="nil"/>
              <w:right w:val="nil"/>
            </w:tcBorders>
            <w:shd w:val="clear" w:color="auto" w:fill="auto"/>
            <w:vAlign w:val="center"/>
            <w:hideMark/>
          </w:tcPr>
          <w:p w:rsidR="00D7554B" w:rsidRPr="00D7554B" w:rsidRDefault="00D7554B" w:rsidP="00D7554B">
            <w:pPr>
              <w:jc w:val="center"/>
              <w:rPr>
                <w:rFonts w:ascii="Arial" w:hAnsi="Arial" w:cs="Arial"/>
                <w:b/>
                <w:bCs/>
                <w:color w:val="000000"/>
                <w:sz w:val="20"/>
                <w:szCs w:val="20"/>
              </w:rPr>
            </w:pPr>
          </w:p>
        </w:tc>
        <w:tc>
          <w:tcPr>
            <w:tcW w:w="3377" w:type="dxa"/>
            <w:tcBorders>
              <w:top w:val="nil"/>
              <w:left w:val="nil"/>
              <w:bottom w:val="single" w:sz="8" w:space="0" w:color="CCCCCC"/>
              <w:right w:val="single" w:sz="8" w:space="0" w:color="CCCCCC"/>
            </w:tcBorders>
            <w:shd w:val="clear" w:color="000000" w:fill="56008C"/>
            <w:vAlign w:val="center"/>
            <w:hideMark/>
          </w:tcPr>
          <w:p w:rsidR="00D7554B" w:rsidRPr="00D7554B" w:rsidRDefault="00D7554B" w:rsidP="00D7554B">
            <w:pPr>
              <w:jc w:val="center"/>
              <w:rPr>
                <w:rFonts w:ascii="Arial" w:hAnsi="Arial" w:cs="Arial"/>
                <w:b/>
                <w:bCs/>
                <w:color w:val="FFFFFF"/>
                <w:sz w:val="20"/>
                <w:szCs w:val="20"/>
              </w:rPr>
            </w:pPr>
            <w:r w:rsidRPr="00D7554B">
              <w:rPr>
                <w:rFonts w:ascii="Arial" w:hAnsi="Arial" w:cs="Arial"/>
                <w:b/>
                <w:bCs/>
                <w:color w:val="FFFFFF"/>
                <w:sz w:val="20"/>
                <w:szCs w:val="20"/>
              </w:rPr>
              <w:t>Income</w:t>
            </w:r>
          </w:p>
        </w:tc>
        <w:tc>
          <w:tcPr>
            <w:tcW w:w="320" w:type="dxa"/>
            <w:tcBorders>
              <w:top w:val="nil"/>
              <w:left w:val="nil"/>
              <w:bottom w:val="nil"/>
              <w:right w:val="nil"/>
            </w:tcBorders>
            <w:shd w:val="clear" w:color="auto" w:fill="auto"/>
            <w:vAlign w:val="center"/>
            <w:hideMark/>
          </w:tcPr>
          <w:p w:rsidR="00D7554B" w:rsidRPr="00D7554B" w:rsidRDefault="00D7554B" w:rsidP="00D7554B">
            <w:pPr>
              <w:jc w:val="center"/>
              <w:rPr>
                <w:rFonts w:ascii="Arial" w:hAnsi="Arial" w:cs="Arial"/>
                <w:b/>
                <w:bCs/>
                <w:color w:val="000000"/>
                <w:sz w:val="20"/>
                <w:szCs w:val="20"/>
              </w:rPr>
            </w:pPr>
          </w:p>
        </w:tc>
        <w:tc>
          <w:tcPr>
            <w:tcW w:w="1139" w:type="dxa"/>
            <w:tcBorders>
              <w:top w:val="nil"/>
              <w:left w:val="nil"/>
              <w:bottom w:val="nil"/>
              <w:right w:val="single" w:sz="8" w:space="0" w:color="55ACD3"/>
            </w:tcBorders>
            <w:shd w:val="clear" w:color="000000" w:fill="E28C05"/>
            <w:vAlign w:val="center"/>
            <w:hideMark/>
          </w:tcPr>
          <w:p w:rsidR="00D7554B" w:rsidRPr="00D7554B" w:rsidRDefault="00D7554B" w:rsidP="00D7554B">
            <w:pPr>
              <w:rPr>
                <w:rFonts w:ascii="Arial" w:hAnsi="Arial" w:cs="Arial"/>
                <w:b/>
                <w:bCs/>
                <w:color w:val="56008C"/>
                <w:sz w:val="20"/>
                <w:szCs w:val="20"/>
              </w:rPr>
            </w:pPr>
            <w:r w:rsidRPr="00D7554B">
              <w:rPr>
                <w:rFonts w:ascii="Arial" w:hAnsi="Arial" w:cs="Arial"/>
                <w:b/>
                <w:bCs/>
                <w:color w:val="56008C"/>
                <w:sz w:val="20"/>
                <w:szCs w:val="20"/>
              </w:rPr>
              <w:t>Budget</w:t>
            </w:r>
          </w:p>
        </w:tc>
        <w:tc>
          <w:tcPr>
            <w:tcW w:w="1599" w:type="dxa"/>
            <w:tcBorders>
              <w:top w:val="nil"/>
              <w:left w:val="nil"/>
              <w:bottom w:val="nil"/>
              <w:right w:val="single" w:sz="8" w:space="0" w:color="55ACD3"/>
            </w:tcBorders>
            <w:shd w:val="clear" w:color="000000" w:fill="E28C05"/>
            <w:vAlign w:val="center"/>
            <w:hideMark/>
          </w:tcPr>
          <w:p w:rsidR="00D7554B" w:rsidRPr="00D7554B" w:rsidRDefault="00D7554B" w:rsidP="00D7554B">
            <w:pPr>
              <w:rPr>
                <w:rFonts w:ascii="Arial" w:hAnsi="Arial" w:cs="Arial"/>
                <w:b/>
                <w:bCs/>
                <w:color w:val="56008C"/>
                <w:sz w:val="20"/>
                <w:szCs w:val="20"/>
              </w:rPr>
            </w:pPr>
            <w:r w:rsidRPr="00D7554B">
              <w:rPr>
                <w:rFonts w:ascii="Arial" w:hAnsi="Arial" w:cs="Arial"/>
                <w:b/>
                <w:bCs/>
                <w:color w:val="56008C"/>
                <w:sz w:val="20"/>
                <w:szCs w:val="20"/>
              </w:rPr>
              <w:t>Actual</w:t>
            </w:r>
          </w:p>
        </w:tc>
        <w:tc>
          <w:tcPr>
            <w:tcW w:w="1160" w:type="dxa"/>
            <w:tcBorders>
              <w:top w:val="nil"/>
              <w:left w:val="nil"/>
              <w:bottom w:val="nil"/>
              <w:right w:val="nil"/>
            </w:tcBorders>
            <w:shd w:val="clear" w:color="000000" w:fill="E28C05"/>
            <w:vAlign w:val="center"/>
            <w:hideMark/>
          </w:tcPr>
          <w:p w:rsidR="00D7554B" w:rsidRPr="00D7554B" w:rsidRDefault="00D7554B" w:rsidP="00D7554B">
            <w:pPr>
              <w:rPr>
                <w:rFonts w:ascii="Arial" w:hAnsi="Arial" w:cs="Arial"/>
                <w:b/>
                <w:bCs/>
                <w:color w:val="56008C"/>
                <w:sz w:val="20"/>
                <w:szCs w:val="20"/>
              </w:rPr>
            </w:pPr>
            <w:r w:rsidRPr="00D7554B">
              <w:rPr>
                <w:rFonts w:ascii="Arial" w:hAnsi="Arial" w:cs="Arial"/>
                <w:b/>
                <w:bCs/>
                <w:color w:val="56008C"/>
                <w:sz w:val="20"/>
                <w:szCs w:val="20"/>
              </w:rPr>
              <w:t>Variance</w:t>
            </w:r>
          </w:p>
        </w:tc>
        <w:tc>
          <w:tcPr>
            <w:tcW w:w="328"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0"/>
                <w:szCs w:val="20"/>
              </w:rPr>
            </w:pPr>
          </w:p>
        </w:tc>
        <w:tc>
          <w:tcPr>
            <w:tcW w:w="960" w:type="dxa"/>
            <w:tcBorders>
              <w:top w:val="nil"/>
              <w:left w:val="nil"/>
              <w:bottom w:val="nil"/>
              <w:right w:val="single" w:sz="8" w:space="0" w:color="55ACD3"/>
            </w:tcBorders>
            <w:shd w:val="clear" w:color="000000" w:fill="56008C"/>
            <w:vAlign w:val="center"/>
            <w:hideMark/>
          </w:tcPr>
          <w:p w:rsidR="00D7554B" w:rsidRPr="00D7554B" w:rsidRDefault="00D7554B" w:rsidP="00D7554B">
            <w:pPr>
              <w:jc w:val="center"/>
              <w:rPr>
                <w:rFonts w:ascii="Arial" w:hAnsi="Arial" w:cs="Arial"/>
                <w:b/>
                <w:bCs/>
                <w:color w:val="FFFFFF"/>
                <w:sz w:val="20"/>
                <w:szCs w:val="20"/>
              </w:rPr>
            </w:pPr>
            <w:r w:rsidRPr="00D7554B">
              <w:rPr>
                <w:rFonts w:ascii="Arial" w:hAnsi="Arial" w:cs="Arial"/>
                <w:b/>
                <w:bCs/>
                <w:color w:val="FFFFFF"/>
                <w:sz w:val="20"/>
                <w:szCs w:val="20"/>
              </w:rPr>
              <w:t>2015/16 actual</w:t>
            </w:r>
          </w:p>
        </w:tc>
        <w:tc>
          <w:tcPr>
            <w:tcW w:w="960" w:type="dxa"/>
            <w:tcBorders>
              <w:top w:val="nil"/>
              <w:left w:val="nil"/>
              <w:bottom w:val="nil"/>
              <w:right w:val="single" w:sz="8" w:space="0" w:color="55ACD3"/>
            </w:tcBorders>
            <w:shd w:val="clear" w:color="000000" w:fill="56008C"/>
            <w:vAlign w:val="center"/>
            <w:hideMark/>
          </w:tcPr>
          <w:p w:rsidR="00D7554B" w:rsidRPr="00D7554B" w:rsidRDefault="00D7554B" w:rsidP="00D7554B">
            <w:pPr>
              <w:rPr>
                <w:rFonts w:ascii="Arial" w:hAnsi="Arial" w:cs="Arial"/>
                <w:b/>
                <w:bCs/>
                <w:color w:val="FFFFFF"/>
                <w:sz w:val="20"/>
                <w:szCs w:val="20"/>
              </w:rPr>
            </w:pPr>
            <w:r w:rsidRPr="00D7554B">
              <w:rPr>
                <w:rFonts w:ascii="Arial" w:hAnsi="Arial" w:cs="Arial"/>
                <w:b/>
                <w:bCs/>
                <w:color w:val="FFFFFF"/>
                <w:sz w:val="20"/>
                <w:szCs w:val="20"/>
              </w:rPr>
              <w:t xml:space="preserve"> Initial budget</w:t>
            </w:r>
          </w:p>
        </w:tc>
        <w:tc>
          <w:tcPr>
            <w:tcW w:w="960" w:type="dxa"/>
            <w:tcBorders>
              <w:top w:val="nil"/>
              <w:left w:val="nil"/>
              <w:bottom w:val="nil"/>
              <w:right w:val="single" w:sz="8" w:space="0" w:color="55ACD3"/>
            </w:tcBorders>
            <w:shd w:val="clear" w:color="000000" w:fill="56008C"/>
            <w:vAlign w:val="center"/>
            <w:hideMark/>
          </w:tcPr>
          <w:p w:rsidR="00D7554B" w:rsidRPr="00D7554B" w:rsidRDefault="00D7554B" w:rsidP="00D7554B">
            <w:pPr>
              <w:rPr>
                <w:rFonts w:ascii="Arial" w:hAnsi="Arial" w:cs="Arial"/>
                <w:b/>
                <w:bCs/>
                <w:color w:val="FFFFFF"/>
                <w:sz w:val="20"/>
                <w:szCs w:val="20"/>
              </w:rPr>
            </w:pPr>
            <w:r w:rsidRPr="00D7554B">
              <w:rPr>
                <w:rFonts w:ascii="Arial" w:hAnsi="Arial" w:cs="Arial"/>
                <w:b/>
                <w:bCs/>
                <w:color w:val="FFFFFF"/>
                <w:sz w:val="20"/>
                <w:szCs w:val="20"/>
              </w:rPr>
              <w:t>Latest Budget</w:t>
            </w:r>
          </w:p>
        </w:tc>
        <w:tc>
          <w:tcPr>
            <w:tcW w:w="1240" w:type="dxa"/>
            <w:tcBorders>
              <w:top w:val="nil"/>
              <w:left w:val="nil"/>
              <w:bottom w:val="nil"/>
              <w:right w:val="nil"/>
            </w:tcBorders>
            <w:shd w:val="clear" w:color="000000" w:fill="56008C"/>
            <w:vAlign w:val="center"/>
            <w:hideMark/>
          </w:tcPr>
          <w:p w:rsidR="00D7554B" w:rsidRPr="00D7554B" w:rsidRDefault="00D7554B" w:rsidP="00D7554B">
            <w:pPr>
              <w:rPr>
                <w:rFonts w:ascii="Arial" w:hAnsi="Arial" w:cs="Arial"/>
                <w:b/>
                <w:bCs/>
                <w:color w:val="FFFFFF"/>
                <w:sz w:val="20"/>
                <w:szCs w:val="20"/>
              </w:rPr>
            </w:pPr>
            <w:r w:rsidRPr="00D7554B">
              <w:rPr>
                <w:rFonts w:ascii="Arial" w:hAnsi="Arial" w:cs="Arial"/>
                <w:b/>
                <w:bCs/>
                <w:color w:val="FFFFFF"/>
                <w:sz w:val="20"/>
                <w:szCs w:val="20"/>
              </w:rPr>
              <w:t>Forecast</w:t>
            </w:r>
          </w:p>
        </w:tc>
      </w:tr>
      <w:tr w:rsidR="00D7554B" w:rsidRPr="00D7554B" w:rsidTr="00D7554B">
        <w:trPr>
          <w:trHeight w:val="315"/>
        </w:trPr>
        <w:tc>
          <w:tcPr>
            <w:tcW w:w="959"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0</w:t>
            </w:r>
          </w:p>
        </w:tc>
        <w:tc>
          <w:tcPr>
            <w:tcW w:w="959"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0</w:t>
            </w:r>
          </w:p>
        </w:tc>
        <w:tc>
          <w:tcPr>
            <w:tcW w:w="1139"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0</w:t>
            </w:r>
          </w:p>
        </w:tc>
        <w:tc>
          <w:tcPr>
            <w:tcW w:w="320"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3377" w:type="dxa"/>
            <w:tcBorders>
              <w:top w:val="nil"/>
              <w:left w:val="single" w:sz="8" w:space="0" w:color="FFFFFF"/>
              <w:bottom w:val="single" w:sz="8" w:space="0" w:color="FFFFFF"/>
              <w:right w:val="single" w:sz="8" w:space="0" w:color="FFFFFF"/>
            </w:tcBorders>
            <w:shd w:val="clear" w:color="auto" w:fill="auto"/>
            <w:vAlign w:val="bottom"/>
            <w:hideMark/>
          </w:tcPr>
          <w:p w:rsidR="00D7554B" w:rsidRPr="00D7554B" w:rsidRDefault="00D7554B" w:rsidP="00D7554B">
            <w:pPr>
              <w:rPr>
                <w:rFonts w:ascii="Arial" w:hAnsi="Arial" w:cs="Arial"/>
                <w:color w:val="000000"/>
                <w:sz w:val="18"/>
                <w:szCs w:val="18"/>
              </w:rPr>
            </w:pPr>
            <w:r w:rsidRPr="00D7554B">
              <w:rPr>
                <w:rFonts w:ascii="Arial" w:hAnsi="Arial" w:cs="Arial"/>
                <w:color w:val="000000"/>
                <w:sz w:val="18"/>
                <w:szCs w:val="18"/>
              </w:rPr>
              <w:t>HRA income</w:t>
            </w:r>
          </w:p>
        </w:tc>
        <w:tc>
          <w:tcPr>
            <w:tcW w:w="320"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1139"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0</w:t>
            </w:r>
          </w:p>
        </w:tc>
        <w:tc>
          <w:tcPr>
            <w:tcW w:w="1599"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0</w:t>
            </w:r>
          </w:p>
        </w:tc>
        <w:tc>
          <w:tcPr>
            <w:tcW w:w="1160"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0</w:t>
            </w:r>
          </w:p>
        </w:tc>
        <w:tc>
          <w:tcPr>
            <w:tcW w:w="328"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198</w:t>
            </w:r>
          </w:p>
        </w:tc>
        <w:tc>
          <w:tcPr>
            <w:tcW w:w="960"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200</w:t>
            </w:r>
          </w:p>
        </w:tc>
        <w:tc>
          <w:tcPr>
            <w:tcW w:w="960"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200</w:t>
            </w:r>
          </w:p>
        </w:tc>
        <w:tc>
          <w:tcPr>
            <w:tcW w:w="1240"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200</w:t>
            </w:r>
          </w:p>
        </w:tc>
      </w:tr>
      <w:tr w:rsidR="00D7554B" w:rsidRPr="00D7554B" w:rsidTr="00D7554B">
        <w:trPr>
          <w:trHeight w:val="315"/>
        </w:trPr>
        <w:tc>
          <w:tcPr>
            <w:tcW w:w="959"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1,009</w:t>
            </w:r>
          </w:p>
        </w:tc>
        <w:tc>
          <w:tcPr>
            <w:tcW w:w="959"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970</w:t>
            </w:r>
          </w:p>
        </w:tc>
        <w:tc>
          <w:tcPr>
            <w:tcW w:w="1139"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-39</w:t>
            </w:r>
          </w:p>
        </w:tc>
        <w:tc>
          <w:tcPr>
            <w:tcW w:w="320"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3377" w:type="dxa"/>
            <w:tcBorders>
              <w:top w:val="nil"/>
              <w:left w:val="single" w:sz="8" w:space="0" w:color="FFFFFF"/>
              <w:bottom w:val="single" w:sz="8" w:space="0" w:color="FFFFFF"/>
              <w:right w:val="single" w:sz="8" w:space="0" w:color="FFFFFF"/>
            </w:tcBorders>
            <w:shd w:val="clear" w:color="auto" w:fill="auto"/>
            <w:vAlign w:val="bottom"/>
            <w:hideMark/>
          </w:tcPr>
          <w:p w:rsidR="00D7554B" w:rsidRPr="00D7554B" w:rsidRDefault="00D7554B" w:rsidP="00D7554B">
            <w:pPr>
              <w:rPr>
                <w:rFonts w:ascii="Arial" w:hAnsi="Arial" w:cs="Arial"/>
                <w:color w:val="000000"/>
                <w:sz w:val="18"/>
                <w:szCs w:val="18"/>
              </w:rPr>
            </w:pPr>
            <w:r w:rsidRPr="00D7554B">
              <w:rPr>
                <w:rFonts w:ascii="Arial" w:hAnsi="Arial" w:cs="Arial"/>
                <w:color w:val="000000"/>
                <w:sz w:val="18"/>
                <w:szCs w:val="18"/>
              </w:rPr>
              <w:t>Grant in Aid confirmed</w:t>
            </w:r>
          </w:p>
        </w:tc>
        <w:tc>
          <w:tcPr>
            <w:tcW w:w="320"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1139"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4,070</w:t>
            </w:r>
          </w:p>
        </w:tc>
        <w:tc>
          <w:tcPr>
            <w:tcW w:w="1599"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4,035</w:t>
            </w:r>
          </w:p>
        </w:tc>
        <w:tc>
          <w:tcPr>
            <w:tcW w:w="1160"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-35</w:t>
            </w:r>
          </w:p>
        </w:tc>
        <w:tc>
          <w:tcPr>
            <w:tcW w:w="328"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12,509</w:t>
            </w:r>
          </w:p>
        </w:tc>
        <w:tc>
          <w:tcPr>
            <w:tcW w:w="960"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12,630</w:t>
            </w:r>
          </w:p>
        </w:tc>
        <w:tc>
          <w:tcPr>
            <w:tcW w:w="960"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12,630</w:t>
            </w:r>
          </w:p>
        </w:tc>
        <w:tc>
          <w:tcPr>
            <w:tcW w:w="1240"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12,630</w:t>
            </w:r>
          </w:p>
        </w:tc>
      </w:tr>
      <w:tr w:rsidR="00D7554B" w:rsidRPr="00D7554B" w:rsidTr="00D7554B">
        <w:trPr>
          <w:trHeight w:val="300"/>
        </w:trPr>
        <w:tc>
          <w:tcPr>
            <w:tcW w:w="959"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0</w:t>
            </w:r>
          </w:p>
        </w:tc>
        <w:tc>
          <w:tcPr>
            <w:tcW w:w="959"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0</w:t>
            </w:r>
          </w:p>
        </w:tc>
        <w:tc>
          <w:tcPr>
            <w:tcW w:w="1139"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0</w:t>
            </w:r>
          </w:p>
        </w:tc>
        <w:tc>
          <w:tcPr>
            <w:tcW w:w="320"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3377" w:type="dxa"/>
            <w:tcBorders>
              <w:top w:val="nil"/>
              <w:left w:val="single" w:sz="8" w:space="0" w:color="FFFFFF"/>
              <w:bottom w:val="nil"/>
              <w:right w:val="single" w:sz="8" w:space="0" w:color="FFFFFF"/>
            </w:tcBorders>
            <w:shd w:val="clear" w:color="auto" w:fill="auto"/>
            <w:vAlign w:val="bottom"/>
            <w:hideMark/>
          </w:tcPr>
          <w:p w:rsidR="00D7554B" w:rsidRPr="00D7554B" w:rsidRDefault="00D7554B" w:rsidP="00D7554B">
            <w:pPr>
              <w:rPr>
                <w:rFonts w:ascii="Arial" w:hAnsi="Arial" w:cs="Arial"/>
                <w:color w:val="000000"/>
                <w:sz w:val="18"/>
                <w:szCs w:val="18"/>
              </w:rPr>
            </w:pPr>
            <w:r w:rsidRPr="00D7554B">
              <w:rPr>
                <w:rFonts w:ascii="Arial" w:hAnsi="Arial" w:cs="Arial"/>
                <w:color w:val="000000"/>
                <w:sz w:val="18"/>
                <w:szCs w:val="18"/>
              </w:rPr>
              <w:t>Non cash revenue resource limit</w:t>
            </w:r>
          </w:p>
        </w:tc>
        <w:tc>
          <w:tcPr>
            <w:tcW w:w="320"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1139"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88</w:t>
            </w:r>
          </w:p>
        </w:tc>
        <w:tc>
          <w:tcPr>
            <w:tcW w:w="1599"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88</w:t>
            </w:r>
          </w:p>
        </w:tc>
        <w:tc>
          <w:tcPr>
            <w:tcW w:w="1160"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0</w:t>
            </w:r>
          </w:p>
        </w:tc>
        <w:tc>
          <w:tcPr>
            <w:tcW w:w="328"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253</w:t>
            </w:r>
          </w:p>
        </w:tc>
        <w:tc>
          <w:tcPr>
            <w:tcW w:w="960"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450</w:t>
            </w:r>
          </w:p>
        </w:tc>
        <w:tc>
          <w:tcPr>
            <w:tcW w:w="960"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450</w:t>
            </w:r>
          </w:p>
        </w:tc>
        <w:tc>
          <w:tcPr>
            <w:tcW w:w="1240"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450</w:t>
            </w:r>
          </w:p>
        </w:tc>
      </w:tr>
      <w:tr w:rsidR="00D7554B" w:rsidRPr="00D7554B" w:rsidTr="00D7554B">
        <w:trPr>
          <w:trHeight w:val="300"/>
        </w:trPr>
        <w:tc>
          <w:tcPr>
            <w:tcW w:w="959" w:type="dxa"/>
            <w:tcBorders>
              <w:top w:val="nil"/>
              <w:left w:val="single" w:sz="8" w:space="0" w:color="FFFFFF"/>
              <w:bottom w:val="nil"/>
              <w:right w:val="single" w:sz="8" w:space="0" w:color="FFFFFF"/>
            </w:tcBorders>
            <w:shd w:val="clear" w:color="000000" w:fill="C0C0C0"/>
            <w:vAlign w:val="bottom"/>
            <w:hideMark/>
          </w:tcPr>
          <w:p w:rsidR="00D7554B" w:rsidRPr="00D7554B" w:rsidRDefault="00D7554B" w:rsidP="00D7554B">
            <w:pPr>
              <w:jc w:val="right"/>
              <w:rPr>
                <w:rFonts w:ascii="Arial" w:hAnsi="Arial" w:cs="Arial"/>
                <w:b/>
                <w:bCs/>
                <w:color w:val="000000"/>
                <w:sz w:val="18"/>
                <w:szCs w:val="18"/>
              </w:rPr>
            </w:pPr>
            <w:r w:rsidRPr="00D7554B">
              <w:rPr>
                <w:rFonts w:ascii="Arial" w:hAnsi="Arial" w:cs="Arial"/>
                <w:b/>
                <w:bCs/>
                <w:color w:val="000000"/>
                <w:sz w:val="18"/>
                <w:szCs w:val="18"/>
              </w:rPr>
              <w:t>1,009</w:t>
            </w:r>
          </w:p>
        </w:tc>
        <w:tc>
          <w:tcPr>
            <w:tcW w:w="959" w:type="dxa"/>
            <w:tcBorders>
              <w:top w:val="nil"/>
              <w:left w:val="nil"/>
              <w:bottom w:val="nil"/>
              <w:right w:val="single" w:sz="8" w:space="0" w:color="FFFFFF"/>
            </w:tcBorders>
            <w:shd w:val="clear" w:color="000000" w:fill="C0C0C0"/>
            <w:vAlign w:val="bottom"/>
            <w:hideMark/>
          </w:tcPr>
          <w:p w:rsidR="00D7554B" w:rsidRPr="00D7554B" w:rsidRDefault="00D7554B" w:rsidP="00D7554B">
            <w:pPr>
              <w:jc w:val="right"/>
              <w:rPr>
                <w:rFonts w:ascii="Arial" w:hAnsi="Arial" w:cs="Arial"/>
                <w:b/>
                <w:bCs/>
                <w:color w:val="000000"/>
                <w:sz w:val="18"/>
                <w:szCs w:val="18"/>
              </w:rPr>
            </w:pPr>
            <w:r w:rsidRPr="00D7554B">
              <w:rPr>
                <w:rFonts w:ascii="Arial" w:hAnsi="Arial" w:cs="Arial"/>
                <w:b/>
                <w:bCs/>
                <w:color w:val="000000"/>
                <w:sz w:val="18"/>
                <w:szCs w:val="18"/>
              </w:rPr>
              <w:t>970</w:t>
            </w:r>
          </w:p>
        </w:tc>
        <w:tc>
          <w:tcPr>
            <w:tcW w:w="1139" w:type="dxa"/>
            <w:tcBorders>
              <w:top w:val="nil"/>
              <w:left w:val="nil"/>
              <w:bottom w:val="nil"/>
              <w:right w:val="single" w:sz="8" w:space="0" w:color="FFFFFF"/>
            </w:tcBorders>
            <w:shd w:val="clear" w:color="000000" w:fill="C0C0C0"/>
            <w:vAlign w:val="bottom"/>
            <w:hideMark/>
          </w:tcPr>
          <w:p w:rsidR="00D7554B" w:rsidRPr="00D7554B" w:rsidRDefault="00D7554B" w:rsidP="00D7554B">
            <w:pPr>
              <w:jc w:val="right"/>
              <w:rPr>
                <w:rFonts w:ascii="Arial" w:hAnsi="Arial" w:cs="Arial"/>
                <w:b/>
                <w:bCs/>
                <w:color w:val="000000"/>
                <w:sz w:val="18"/>
                <w:szCs w:val="18"/>
              </w:rPr>
            </w:pPr>
            <w:r w:rsidRPr="00D7554B">
              <w:rPr>
                <w:rFonts w:ascii="Arial" w:hAnsi="Arial" w:cs="Arial"/>
                <w:b/>
                <w:bCs/>
                <w:color w:val="000000"/>
                <w:sz w:val="18"/>
                <w:szCs w:val="18"/>
              </w:rPr>
              <w:t>-39</w:t>
            </w:r>
          </w:p>
        </w:tc>
        <w:tc>
          <w:tcPr>
            <w:tcW w:w="320"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3377" w:type="dxa"/>
            <w:tcBorders>
              <w:top w:val="nil"/>
              <w:left w:val="single" w:sz="8" w:space="0" w:color="FFFFFF"/>
              <w:bottom w:val="nil"/>
              <w:right w:val="single" w:sz="8" w:space="0" w:color="FFFFFF"/>
            </w:tcBorders>
            <w:shd w:val="clear" w:color="000000" w:fill="C0C0C0"/>
            <w:vAlign w:val="bottom"/>
            <w:hideMark/>
          </w:tcPr>
          <w:p w:rsidR="00D7554B" w:rsidRPr="00D7554B" w:rsidRDefault="00D7554B" w:rsidP="00D7554B">
            <w:pPr>
              <w:rPr>
                <w:rFonts w:ascii="Arial" w:hAnsi="Arial" w:cs="Arial"/>
                <w:b/>
                <w:bCs/>
                <w:color w:val="000000"/>
                <w:sz w:val="18"/>
                <w:szCs w:val="18"/>
              </w:rPr>
            </w:pPr>
            <w:r w:rsidRPr="00D7554B">
              <w:rPr>
                <w:rFonts w:ascii="Arial" w:hAnsi="Arial" w:cs="Arial"/>
                <w:b/>
                <w:bCs/>
                <w:color w:val="000000"/>
                <w:sz w:val="18"/>
                <w:szCs w:val="18"/>
              </w:rPr>
              <w:t xml:space="preserve"> Total Income</w:t>
            </w:r>
          </w:p>
        </w:tc>
        <w:tc>
          <w:tcPr>
            <w:tcW w:w="320" w:type="dxa"/>
            <w:tcBorders>
              <w:top w:val="nil"/>
              <w:left w:val="nil"/>
              <w:bottom w:val="nil"/>
              <w:right w:val="single" w:sz="8" w:space="0" w:color="FFFFFF"/>
            </w:tcBorders>
            <w:shd w:val="clear" w:color="auto" w:fill="auto"/>
            <w:vAlign w:val="bottom"/>
            <w:hideMark/>
          </w:tcPr>
          <w:p w:rsidR="00D7554B" w:rsidRPr="00D7554B" w:rsidRDefault="00D7554B" w:rsidP="00D7554B">
            <w:pPr>
              <w:jc w:val="right"/>
              <w:rPr>
                <w:rFonts w:ascii="Arial" w:hAnsi="Arial" w:cs="Arial"/>
                <w:b/>
                <w:bCs/>
                <w:color w:val="000000"/>
                <w:sz w:val="18"/>
                <w:szCs w:val="18"/>
              </w:rPr>
            </w:pPr>
            <w:r w:rsidRPr="00D7554B">
              <w:rPr>
                <w:rFonts w:ascii="Arial" w:hAnsi="Arial" w:cs="Arial"/>
                <w:b/>
                <w:bCs/>
                <w:color w:val="000000"/>
                <w:sz w:val="18"/>
                <w:szCs w:val="18"/>
              </w:rPr>
              <w:t> </w:t>
            </w:r>
          </w:p>
        </w:tc>
        <w:tc>
          <w:tcPr>
            <w:tcW w:w="1139" w:type="dxa"/>
            <w:tcBorders>
              <w:top w:val="nil"/>
              <w:left w:val="nil"/>
              <w:bottom w:val="nil"/>
              <w:right w:val="single" w:sz="8" w:space="0" w:color="FFFFFF"/>
            </w:tcBorders>
            <w:shd w:val="clear" w:color="000000" w:fill="C0C0C0"/>
            <w:vAlign w:val="bottom"/>
            <w:hideMark/>
          </w:tcPr>
          <w:p w:rsidR="00D7554B" w:rsidRPr="00D7554B" w:rsidRDefault="00D7554B" w:rsidP="00D7554B">
            <w:pPr>
              <w:jc w:val="right"/>
              <w:rPr>
                <w:rFonts w:ascii="Arial" w:hAnsi="Arial" w:cs="Arial"/>
                <w:b/>
                <w:bCs/>
                <w:color w:val="000000"/>
                <w:sz w:val="18"/>
                <w:szCs w:val="18"/>
              </w:rPr>
            </w:pPr>
            <w:r w:rsidRPr="00D7554B">
              <w:rPr>
                <w:rFonts w:ascii="Arial" w:hAnsi="Arial" w:cs="Arial"/>
                <w:b/>
                <w:bCs/>
                <w:color w:val="000000"/>
                <w:sz w:val="18"/>
                <w:szCs w:val="18"/>
              </w:rPr>
              <w:t>4,158</w:t>
            </w:r>
          </w:p>
        </w:tc>
        <w:tc>
          <w:tcPr>
            <w:tcW w:w="1599" w:type="dxa"/>
            <w:tcBorders>
              <w:top w:val="nil"/>
              <w:left w:val="nil"/>
              <w:bottom w:val="nil"/>
              <w:right w:val="single" w:sz="8" w:space="0" w:color="FFFFFF"/>
            </w:tcBorders>
            <w:shd w:val="clear" w:color="000000" w:fill="C0C0C0"/>
            <w:vAlign w:val="bottom"/>
            <w:hideMark/>
          </w:tcPr>
          <w:p w:rsidR="00D7554B" w:rsidRPr="00D7554B" w:rsidRDefault="00D7554B" w:rsidP="00D7554B">
            <w:pPr>
              <w:jc w:val="right"/>
              <w:rPr>
                <w:rFonts w:ascii="Arial" w:hAnsi="Arial" w:cs="Arial"/>
                <w:b/>
                <w:bCs/>
                <w:color w:val="000000"/>
                <w:sz w:val="18"/>
                <w:szCs w:val="18"/>
              </w:rPr>
            </w:pPr>
            <w:r w:rsidRPr="00D7554B">
              <w:rPr>
                <w:rFonts w:ascii="Arial" w:hAnsi="Arial" w:cs="Arial"/>
                <w:b/>
                <w:bCs/>
                <w:color w:val="000000"/>
                <w:sz w:val="18"/>
                <w:szCs w:val="18"/>
              </w:rPr>
              <w:t>4,123</w:t>
            </w:r>
          </w:p>
        </w:tc>
        <w:tc>
          <w:tcPr>
            <w:tcW w:w="1160" w:type="dxa"/>
            <w:tcBorders>
              <w:top w:val="nil"/>
              <w:left w:val="nil"/>
              <w:bottom w:val="nil"/>
              <w:right w:val="single" w:sz="8" w:space="0" w:color="FFFFFF"/>
            </w:tcBorders>
            <w:shd w:val="clear" w:color="000000" w:fill="C0C0C0"/>
            <w:vAlign w:val="bottom"/>
            <w:hideMark/>
          </w:tcPr>
          <w:p w:rsidR="00D7554B" w:rsidRPr="00D7554B" w:rsidRDefault="00D7554B" w:rsidP="00D7554B">
            <w:pPr>
              <w:jc w:val="right"/>
              <w:rPr>
                <w:rFonts w:ascii="Arial" w:hAnsi="Arial" w:cs="Arial"/>
                <w:b/>
                <w:bCs/>
                <w:color w:val="000000"/>
                <w:sz w:val="18"/>
                <w:szCs w:val="18"/>
              </w:rPr>
            </w:pPr>
            <w:r w:rsidRPr="00D7554B">
              <w:rPr>
                <w:rFonts w:ascii="Arial" w:hAnsi="Arial" w:cs="Arial"/>
                <w:b/>
                <w:bCs/>
                <w:color w:val="000000"/>
                <w:sz w:val="18"/>
                <w:szCs w:val="18"/>
              </w:rPr>
              <w:t>-35</w:t>
            </w:r>
          </w:p>
        </w:tc>
        <w:tc>
          <w:tcPr>
            <w:tcW w:w="328"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960" w:type="dxa"/>
            <w:tcBorders>
              <w:top w:val="nil"/>
              <w:left w:val="single" w:sz="8" w:space="0" w:color="FFFFFF"/>
              <w:bottom w:val="nil"/>
              <w:right w:val="single" w:sz="8" w:space="0" w:color="FFFFFF"/>
            </w:tcBorders>
            <w:shd w:val="clear" w:color="000000" w:fill="C0C0C0"/>
            <w:vAlign w:val="bottom"/>
            <w:hideMark/>
          </w:tcPr>
          <w:p w:rsidR="00D7554B" w:rsidRPr="00D7554B" w:rsidRDefault="00D7554B" w:rsidP="00D7554B">
            <w:pPr>
              <w:jc w:val="right"/>
              <w:rPr>
                <w:rFonts w:ascii="Arial" w:hAnsi="Arial" w:cs="Arial"/>
                <w:b/>
                <w:bCs/>
                <w:color w:val="000000"/>
                <w:sz w:val="18"/>
                <w:szCs w:val="18"/>
              </w:rPr>
            </w:pPr>
            <w:r w:rsidRPr="00D7554B">
              <w:rPr>
                <w:rFonts w:ascii="Arial" w:hAnsi="Arial" w:cs="Arial"/>
                <w:b/>
                <w:bCs/>
                <w:color w:val="000000"/>
                <w:sz w:val="18"/>
                <w:szCs w:val="18"/>
              </w:rPr>
              <w:t>12,960</w:t>
            </w:r>
          </w:p>
        </w:tc>
        <w:tc>
          <w:tcPr>
            <w:tcW w:w="960" w:type="dxa"/>
            <w:tcBorders>
              <w:top w:val="nil"/>
              <w:left w:val="nil"/>
              <w:bottom w:val="nil"/>
              <w:right w:val="single" w:sz="8" w:space="0" w:color="FFFFFF"/>
            </w:tcBorders>
            <w:shd w:val="clear" w:color="000000" w:fill="C0C0C0"/>
            <w:vAlign w:val="bottom"/>
            <w:hideMark/>
          </w:tcPr>
          <w:p w:rsidR="00D7554B" w:rsidRPr="00D7554B" w:rsidRDefault="00D7554B" w:rsidP="00D7554B">
            <w:pPr>
              <w:jc w:val="right"/>
              <w:rPr>
                <w:rFonts w:ascii="Arial" w:hAnsi="Arial" w:cs="Arial"/>
                <w:b/>
                <w:bCs/>
                <w:color w:val="000000"/>
                <w:sz w:val="18"/>
                <w:szCs w:val="18"/>
              </w:rPr>
            </w:pPr>
            <w:r w:rsidRPr="00D7554B">
              <w:rPr>
                <w:rFonts w:ascii="Arial" w:hAnsi="Arial" w:cs="Arial"/>
                <w:b/>
                <w:bCs/>
                <w:color w:val="000000"/>
                <w:sz w:val="18"/>
                <w:szCs w:val="18"/>
              </w:rPr>
              <w:t>13,280</w:t>
            </w:r>
          </w:p>
        </w:tc>
        <w:tc>
          <w:tcPr>
            <w:tcW w:w="960" w:type="dxa"/>
            <w:tcBorders>
              <w:top w:val="nil"/>
              <w:left w:val="nil"/>
              <w:bottom w:val="nil"/>
              <w:right w:val="single" w:sz="8" w:space="0" w:color="FFFFFF"/>
            </w:tcBorders>
            <w:shd w:val="clear" w:color="000000" w:fill="C0C0C0"/>
            <w:vAlign w:val="bottom"/>
            <w:hideMark/>
          </w:tcPr>
          <w:p w:rsidR="00D7554B" w:rsidRPr="00D7554B" w:rsidRDefault="00D7554B" w:rsidP="00D7554B">
            <w:pPr>
              <w:jc w:val="right"/>
              <w:rPr>
                <w:rFonts w:ascii="Arial" w:hAnsi="Arial" w:cs="Arial"/>
                <w:b/>
                <w:bCs/>
                <w:color w:val="000000"/>
                <w:sz w:val="18"/>
                <w:szCs w:val="18"/>
              </w:rPr>
            </w:pPr>
            <w:r w:rsidRPr="00D7554B">
              <w:rPr>
                <w:rFonts w:ascii="Arial" w:hAnsi="Arial" w:cs="Arial"/>
                <w:b/>
                <w:bCs/>
                <w:color w:val="000000"/>
                <w:sz w:val="18"/>
                <w:szCs w:val="18"/>
              </w:rPr>
              <w:t>13,280</w:t>
            </w:r>
          </w:p>
        </w:tc>
        <w:tc>
          <w:tcPr>
            <w:tcW w:w="1240" w:type="dxa"/>
            <w:tcBorders>
              <w:top w:val="nil"/>
              <w:left w:val="nil"/>
              <w:bottom w:val="nil"/>
              <w:right w:val="single" w:sz="8" w:space="0" w:color="FFFFFF"/>
            </w:tcBorders>
            <w:shd w:val="clear" w:color="000000" w:fill="C0C0C0"/>
            <w:vAlign w:val="bottom"/>
            <w:hideMark/>
          </w:tcPr>
          <w:p w:rsidR="00D7554B" w:rsidRPr="00D7554B" w:rsidRDefault="00D7554B" w:rsidP="00D7554B">
            <w:pPr>
              <w:jc w:val="right"/>
              <w:rPr>
                <w:rFonts w:ascii="Arial" w:hAnsi="Arial" w:cs="Arial"/>
                <w:b/>
                <w:bCs/>
                <w:color w:val="000000"/>
                <w:sz w:val="18"/>
                <w:szCs w:val="18"/>
              </w:rPr>
            </w:pPr>
            <w:r w:rsidRPr="00D7554B">
              <w:rPr>
                <w:rFonts w:ascii="Arial" w:hAnsi="Arial" w:cs="Arial"/>
                <w:b/>
                <w:bCs/>
                <w:color w:val="000000"/>
                <w:sz w:val="18"/>
                <w:szCs w:val="18"/>
              </w:rPr>
              <w:t>13,280</w:t>
            </w:r>
          </w:p>
        </w:tc>
      </w:tr>
      <w:tr w:rsidR="00D7554B" w:rsidRPr="00D7554B" w:rsidTr="00D7554B">
        <w:trPr>
          <w:trHeight w:val="288"/>
        </w:trPr>
        <w:tc>
          <w:tcPr>
            <w:tcW w:w="959" w:type="dxa"/>
            <w:tcBorders>
              <w:top w:val="nil"/>
              <w:left w:val="nil"/>
              <w:bottom w:val="nil"/>
              <w:right w:val="nil"/>
            </w:tcBorders>
            <w:shd w:val="clear" w:color="auto" w:fill="auto"/>
            <w:vAlign w:val="bottom"/>
            <w:hideMark/>
          </w:tcPr>
          <w:p w:rsidR="00D7554B" w:rsidRPr="00D7554B" w:rsidRDefault="00D7554B" w:rsidP="00D7554B">
            <w:pPr>
              <w:jc w:val="right"/>
              <w:rPr>
                <w:rFonts w:ascii="Arial" w:hAnsi="Arial" w:cs="Arial"/>
                <w:b/>
                <w:bCs/>
                <w:color w:val="000000"/>
                <w:sz w:val="18"/>
                <w:szCs w:val="18"/>
              </w:rPr>
            </w:pPr>
          </w:p>
        </w:tc>
        <w:tc>
          <w:tcPr>
            <w:tcW w:w="959" w:type="dxa"/>
            <w:tcBorders>
              <w:top w:val="nil"/>
              <w:left w:val="nil"/>
              <w:bottom w:val="nil"/>
              <w:right w:val="nil"/>
            </w:tcBorders>
            <w:shd w:val="clear" w:color="auto" w:fill="auto"/>
            <w:vAlign w:val="bottom"/>
            <w:hideMark/>
          </w:tcPr>
          <w:p w:rsidR="00D7554B" w:rsidRPr="00D7554B" w:rsidRDefault="00D7554B" w:rsidP="00D7554B">
            <w:pPr>
              <w:jc w:val="right"/>
              <w:rPr>
                <w:rFonts w:ascii="Arial" w:hAnsi="Arial" w:cs="Arial"/>
                <w:b/>
                <w:bCs/>
                <w:color w:val="000000"/>
                <w:sz w:val="18"/>
                <w:szCs w:val="18"/>
              </w:rPr>
            </w:pPr>
          </w:p>
        </w:tc>
        <w:tc>
          <w:tcPr>
            <w:tcW w:w="1139" w:type="dxa"/>
            <w:tcBorders>
              <w:top w:val="nil"/>
              <w:left w:val="nil"/>
              <w:bottom w:val="nil"/>
              <w:right w:val="nil"/>
            </w:tcBorders>
            <w:shd w:val="clear" w:color="auto" w:fill="auto"/>
            <w:vAlign w:val="bottom"/>
            <w:hideMark/>
          </w:tcPr>
          <w:p w:rsidR="00D7554B" w:rsidRPr="00D7554B" w:rsidRDefault="00D7554B" w:rsidP="00D7554B">
            <w:pPr>
              <w:jc w:val="right"/>
              <w:rPr>
                <w:rFonts w:ascii="Arial" w:hAnsi="Arial" w:cs="Arial"/>
                <w:b/>
                <w:bCs/>
                <w:color w:val="000000"/>
                <w:sz w:val="18"/>
                <w:szCs w:val="18"/>
              </w:rPr>
            </w:pPr>
          </w:p>
        </w:tc>
        <w:tc>
          <w:tcPr>
            <w:tcW w:w="320"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3377" w:type="dxa"/>
            <w:tcBorders>
              <w:top w:val="nil"/>
              <w:left w:val="nil"/>
              <w:bottom w:val="nil"/>
              <w:right w:val="nil"/>
            </w:tcBorders>
            <w:shd w:val="clear" w:color="auto" w:fill="auto"/>
            <w:vAlign w:val="bottom"/>
            <w:hideMark/>
          </w:tcPr>
          <w:p w:rsidR="00D7554B" w:rsidRPr="00D7554B" w:rsidRDefault="00D7554B" w:rsidP="00D7554B">
            <w:pPr>
              <w:rPr>
                <w:rFonts w:ascii="Arial" w:hAnsi="Arial" w:cs="Arial"/>
                <w:b/>
                <w:bCs/>
                <w:color w:val="000000"/>
                <w:sz w:val="18"/>
                <w:szCs w:val="18"/>
              </w:rPr>
            </w:pPr>
          </w:p>
        </w:tc>
        <w:tc>
          <w:tcPr>
            <w:tcW w:w="320" w:type="dxa"/>
            <w:tcBorders>
              <w:top w:val="nil"/>
              <w:left w:val="nil"/>
              <w:bottom w:val="nil"/>
              <w:right w:val="nil"/>
            </w:tcBorders>
            <w:shd w:val="clear" w:color="auto" w:fill="auto"/>
            <w:vAlign w:val="bottom"/>
            <w:hideMark/>
          </w:tcPr>
          <w:p w:rsidR="00D7554B" w:rsidRPr="00D7554B" w:rsidRDefault="00D7554B" w:rsidP="00D7554B">
            <w:pPr>
              <w:jc w:val="right"/>
              <w:rPr>
                <w:rFonts w:ascii="Arial" w:hAnsi="Arial" w:cs="Arial"/>
                <w:b/>
                <w:bCs/>
                <w:color w:val="000000"/>
                <w:sz w:val="18"/>
                <w:szCs w:val="18"/>
              </w:rPr>
            </w:pPr>
          </w:p>
        </w:tc>
        <w:tc>
          <w:tcPr>
            <w:tcW w:w="1139" w:type="dxa"/>
            <w:tcBorders>
              <w:top w:val="nil"/>
              <w:left w:val="nil"/>
              <w:bottom w:val="nil"/>
              <w:right w:val="nil"/>
            </w:tcBorders>
            <w:shd w:val="clear" w:color="auto" w:fill="auto"/>
            <w:vAlign w:val="bottom"/>
            <w:hideMark/>
          </w:tcPr>
          <w:p w:rsidR="00D7554B" w:rsidRPr="00D7554B" w:rsidRDefault="00D7554B" w:rsidP="00D7554B">
            <w:pPr>
              <w:jc w:val="right"/>
              <w:rPr>
                <w:rFonts w:ascii="Arial" w:hAnsi="Arial" w:cs="Arial"/>
                <w:b/>
                <w:bCs/>
                <w:color w:val="000000"/>
                <w:sz w:val="18"/>
                <w:szCs w:val="18"/>
              </w:rPr>
            </w:pPr>
          </w:p>
        </w:tc>
        <w:tc>
          <w:tcPr>
            <w:tcW w:w="1599" w:type="dxa"/>
            <w:tcBorders>
              <w:top w:val="nil"/>
              <w:left w:val="nil"/>
              <w:bottom w:val="nil"/>
              <w:right w:val="nil"/>
            </w:tcBorders>
            <w:shd w:val="clear" w:color="auto" w:fill="auto"/>
            <w:vAlign w:val="bottom"/>
            <w:hideMark/>
          </w:tcPr>
          <w:p w:rsidR="00D7554B" w:rsidRPr="00D7554B" w:rsidRDefault="00D7554B" w:rsidP="00D7554B">
            <w:pPr>
              <w:rPr>
                <w:rFonts w:ascii="Arial" w:hAnsi="Arial" w:cs="Arial"/>
                <w:b/>
                <w:bCs/>
                <w:color w:val="000000"/>
                <w:sz w:val="18"/>
                <w:szCs w:val="18"/>
              </w:rPr>
            </w:pPr>
          </w:p>
        </w:tc>
        <w:tc>
          <w:tcPr>
            <w:tcW w:w="1160" w:type="dxa"/>
            <w:tcBorders>
              <w:top w:val="nil"/>
              <w:left w:val="nil"/>
              <w:bottom w:val="nil"/>
              <w:right w:val="nil"/>
            </w:tcBorders>
            <w:shd w:val="clear" w:color="auto" w:fill="auto"/>
            <w:vAlign w:val="bottom"/>
            <w:hideMark/>
          </w:tcPr>
          <w:p w:rsidR="00D7554B" w:rsidRPr="00D7554B" w:rsidRDefault="00D7554B" w:rsidP="00D7554B">
            <w:pPr>
              <w:rPr>
                <w:rFonts w:ascii="Arial" w:hAnsi="Arial" w:cs="Arial"/>
                <w:b/>
                <w:bCs/>
                <w:color w:val="000000"/>
                <w:sz w:val="18"/>
                <w:szCs w:val="18"/>
              </w:rPr>
            </w:pPr>
          </w:p>
        </w:tc>
        <w:tc>
          <w:tcPr>
            <w:tcW w:w="328"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960" w:type="dxa"/>
            <w:tcBorders>
              <w:top w:val="nil"/>
              <w:left w:val="nil"/>
              <w:bottom w:val="nil"/>
              <w:right w:val="nil"/>
            </w:tcBorders>
            <w:shd w:val="clear" w:color="auto" w:fill="auto"/>
            <w:vAlign w:val="bottom"/>
            <w:hideMark/>
          </w:tcPr>
          <w:p w:rsidR="00D7554B" w:rsidRPr="00D7554B" w:rsidRDefault="00D7554B" w:rsidP="00D7554B">
            <w:pPr>
              <w:jc w:val="right"/>
              <w:rPr>
                <w:rFonts w:ascii="Arial" w:hAnsi="Arial" w:cs="Arial"/>
                <w:b/>
                <w:bCs/>
                <w:color w:val="000000"/>
                <w:sz w:val="18"/>
                <w:szCs w:val="18"/>
              </w:rPr>
            </w:pPr>
          </w:p>
        </w:tc>
        <w:tc>
          <w:tcPr>
            <w:tcW w:w="960" w:type="dxa"/>
            <w:tcBorders>
              <w:top w:val="nil"/>
              <w:left w:val="nil"/>
              <w:bottom w:val="nil"/>
              <w:right w:val="nil"/>
            </w:tcBorders>
            <w:shd w:val="clear" w:color="auto" w:fill="auto"/>
            <w:vAlign w:val="bottom"/>
            <w:hideMark/>
          </w:tcPr>
          <w:p w:rsidR="00D7554B" w:rsidRPr="00D7554B" w:rsidRDefault="00D7554B" w:rsidP="00D7554B">
            <w:pPr>
              <w:rPr>
                <w:rFonts w:ascii="Arial" w:hAnsi="Arial" w:cs="Arial"/>
                <w:b/>
                <w:bCs/>
                <w:color w:val="000000"/>
                <w:sz w:val="18"/>
                <w:szCs w:val="18"/>
              </w:rPr>
            </w:pPr>
          </w:p>
        </w:tc>
        <w:tc>
          <w:tcPr>
            <w:tcW w:w="960" w:type="dxa"/>
            <w:tcBorders>
              <w:top w:val="nil"/>
              <w:left w:val="nil"/>
              <w:bottom w:val="nil"/>
              <w:right w:val="nil"/>
            </w:tcBorders>
            <w:shd w:val="clear" w:color="auto" w:fill="auto"/>
            <w:vAlign w:val="bottom"/>
            <w:hideMark/>
          </w:tcPr>
          <w:p w:rsidR="00D7554B" w:rsidRPr="00D7554B" w:rsidRDefault="00D7554B" w:rsidP="00D7554B">
            <w:pPr>
              <w:rPr>
                <w:rFonts w:ascii="Arial" w:hAnsi="Arial" w:cs="Arial"/>
                <w:b/>
                <w:bCs/>
                <w:color w:val="000000"/>
                <w:sz w:val="18"/>
                <w:szCs w:val="18"/>
              </w:rPr>
            </w:pPr>
          </w:p>
        </w:tc>
        <w:tc>
          <w:tcPr>
            <w:tcW w:w="1240" w:type="dxa"/>
            <w:tcBorders>
              <w:top w:val="nil"/>
              <w:left w:val="nil"/>
              <w:bottom w:val="nil"/>
              <w:right w:val="nil"/>
            </w:tcBorders>
            <w:shd w:val="clear" w:color="auto" w:fill="auto"/>
            <w:vAlign w:val="bottom"/>
            <w:hideMark/>
          </w:tcPr>
          <w:p w:rsidR="00D7554B" w:rsidRPr="00D7554B" w:rsidRDefault="00D7554B" w:rsidP="00D7554B">
            <w:pPr>
              <w:rPr>
                <w:rFonts w:ascii="Arial" w:hAnsi="Arial" w:cs="Arial"/>
                <w:b/>
                <w:bCs/>
                <w:color w:val="000000"/>
                <w:sz w:val="18"/>
                <w:szCs w:val="18"/>
              </w:rPr>
            </w:pPr>
          </w:p>
        </w:tc>
      </w:tr>
      <w:tr w:rsidR="00D7554B" w:rsidRPr="00D7554B" w:rsidTr="00D7554B">
        <w:trPr>
          <w:trHeight w:val="540"/>
        </w:trPr>
        <w:tc>
          <w:tcPr>
            <w:tcW w:w="959" w:type="dxa"/>
            <w:tcBorders>
              <w:top w:val="nil"/>
              <w:left w:val="nil"/>
              <w:bottom w:val="nil"/>
              <w:right w:val="single" w:sz="8" w:space="0" w:color="816EA6"/>
            </w:tcBorders>
            <w:shd w:val="clear" w:color="000000" w:fill="E28C05"/>
            <w:vAlign w:val="center"/>
            <w:hideMark/>
          </w:tcPr>
          <w:p w:rsidR="00D7554B" w:rsidRPr="00D7554B" w:rsidRDefault="00D7554B" w:rsidP="00D7554B">
            <w:pPr>
              <w:jc w:val="center"/>
              <w:rPr>
                <w:rFonts w:ascii="Arial" w:hAnsi="Arial" w:cs="Arial"/>
                <w:b/>
                <w:bCs/>
                <w:color w:val="56008C"/>
                <w:sz w:val="20"/>
                <w:szCs w:val="20"/>
              </w:rPr>
            </w:pPr>
            <w:r w:rsidRPr="00D7554B">
              <w:rPr>
                <w:rFonts w:ascii="Arial" w:hAnsi="Arial" w:cs="Arial"/>
                <w:b/>
                <w:bCs/>
                <w:color w:val="56008C"/>
                <w:sz w:val="20"/>
                <w:szCs w:val="20"/>
              </w:rPr>
              <w:t>Budget</w:t>
            </w:r>
          </w:p>
        </w:tc>
        <w:tc>
          <w:tcPr>
            <w:tcW w:w="959" w:type="dxa"/>
            <w:tcBorders>
              <w:top w:val="nil"/>
              <w:left w:val="nil"/>
              <w:bottom w:val="nil"/>
              <w:right w:val="single" w:sz="8" w:space="0" w:color="816EA6"/>
            </w:tcBorders>
            <w:shd w:val="clear" w:color="000000" w:fill="E28C05"/>
            <w:vAlign w:val="center"/>
            <w:hideMark/>
          </w:tcPr>
          <w:p w:rsidR="00D7554B" w:rsidRPr="00D7554B" w:rsidRDefault="00D7554B" w:rsidP="00D7554B">
            <w:pPr>
              <w:jc w:val="center"/>
              <w:rPr>
                <w:rFonts w:ascii="Arial" w:hAnsi="Arial" w:cs="Arial"/>
                <w:b/>
                <w:bCs/>
                <w:color w:val="56008C"/>
                <w:sz w:val="20"/>
                <w:szCs w:val="20"/>
              </w:rPr>
            </w:pPr>
            <w:r w:rsidRPr="00D7554B">
              <w:rPr>
                <w:rFonts w:ascii="Arial" w:hAnsi="Arial" w:cs="Arial"/>
                <w:b/>
                <w:bCs/>
                <w:color w:val="56008C"/>
                <w:sz w:val="20"/>
                <w:szCs w:val="20"/>
              </w:rPr>
              <w:t>Actual</w:t>
            </w:r>
          </w:p>
        </w:tc>
        <w:tc>
          <w:tcPr>
            <w:tcW w:w="1139" w:type="dxa"/>
            <w:tcBorders>
              <w:top w:val="nil"/>
              <w:left w:val="nil"/>
              <w:bottom w:val="nil"/>
              <w:right w:val="nil"/>
            </w:tcBorders>
            <w:shd w:val="clear" w:color="000000" w:fill="E28C05"/>
            <w:vAlign w:val="center"/>
            <w:hideMark/>
          </w:tcPr>
          <w:p w:rsidR="00D7554B" w:rsidRPr="00D7554B" w:rsidRDefault="00D7554B" w:rsidP="00D7554B">
            <w:pPr>
              <w:jc w:val="center"/>
              <w:rPr>
                <w:rFonts w:ascii="Arial" w:hAnsi="Arial" w:cs="Arial"/>
                <w:b/>
                <w:bCs/>
                <w:color w:val="56008C"/>
                <w:sz w:val="20"/>
                <w:szCs w:val="20"/>
              </w:rPr>
            </w:pPr>
            <w:r w:rsidRPr="00D7554B">
              <w:rPr>
                <w:rFonts w:ascii="Arial" w:hAnsi="Arial" w:cs="Arial"/>
                <w:b/>
                <w:bCs/>
                <w:color w:val="56008C"/>
                <w:sz w:val="20"/>
                <w:szCs w:val="20"/>
              </w:rPr>
              <w:t>Variance</w:t>
            </w:r>
          </w:p>
        </w:tc>
        <w:tc>
          <w:tcPr>
            <w:tcW w:w="320" w:type="dxa"/>
            <w:tcBorders>
              <w:top w:val="nil"/>
              <w:left w:val="nil"/>
              <w:bottom w:val="nil"/>
              <w:right w:val="nil"/>
            </w:tcBorders>
            <w:shd w:val="clear" w:color="auto" w:fill="auto"/>
            <w:vAlign w:val="center"/>
            <w:hideMark/>
          </w:tcPr>
          <w:p w:rsidR="00D7554B" w:rsidRPr="00D7554B" w:rsidRDefault="00D7554B" w:rsidP="00D7554B">
            <w:pPr>
              <w:jc w:val="center"/>
              <w:rPr>
                <w:rFonts w:ascii="Arial" w:hAnsi="Arial" w:cs="Arial"/>
                <w:b/>
                <w:bCs/>
                <w:color w:val="000000"/>
                <w:sz w:val="20"/>
                <w:szCs w:val="20"/>
              </w:rPr>
            </w:pPr>
          </w:p>
        </w:tc>
        <w:tc>
          <w:tcPr>
            <w:tcW w:w="3377" w:type="dxa"/>
            <w:tcBorders>
              <w:top w:val="nil"/>
              <w:left w:val="nil"/>
              <w:bottom w:val="single" w:sz="8" w:space="0" w:color="CCCCCC"/>
              <w:right w:val="single" w:sz="8" w:space="0" w:color="CCCCCC"/>
            </w:tcBorders>
            <w:shd w:val="clear" w:color="000000" w:fill="56008C"/>
            <w:vAlign w:val="center"/>
            <w:hideMark/>
          </w:tcPr>
          <w:p w:rsidR="00D7554B" w:rsidRPr="00D7554B" w:rsidRDefault="00D7554B" w:rsidP="00D7554B">
            <w:pPr>
              <w:jc w:val="center"/>
              <w:rPr>
                <w:rFonts w:ascii="Arial" w:hAnsi="Arial" w:cs="Arial"/>
                <w:b/>
                <w:bCs/>
                <w:color w:val="FFFFFF"/>
                <w:sz w:val="20"/>
                <w:szCs w:val="20"/>
              </w:rPr>
            </w:pPr>
            <w:r w:rsidRPr="00D7554B">
              <w:rPr>
                <w:rFonts w:ascii="Arial" w:hAnsi="Arial" w:cs="Arial"/>
                <w:b/>
                <w:bCs/>
                <w:color w:val="FFFFFF"/>
                <w:sz w:val="20"/>
                <w:szCs w:val="20"/>
              </w:rPr>
              <w:t>Expenditure</w:t>
            </w:r>
          </w:p>
        </w:tc>
        <w:tc>
          <w:tcPr>
            <w:tcW w:w="320" w:type="dxa"/>
            <w:tcBorders>
              <w:top w:val="nil"/>
              <w:left w:val="nil"/>
              <w:bottom w:val="nil"/>
              <w:right w:val="nil"/>
            </w:tcBorders>
            <w:shd w:val="clear" w:color="auto" w:fill="auto"/>
            <w:vAlign w:val="center"/>
            <w:hideMark/>
          </w:tcPr>
          <w:p w:rsidR="00D7554B" w:rsidRPr="00D7554B" w:rsidRDefault="00D7554B" w:rsidP="00D7554B">
            <w:pPr>
              <w:jc w:val="center"/>
              <w:rPr>
                <w:rFonts w:ascii="Arial" w:hAnsi="Arial" w:cs="Arial"/>
                <w:b/>
                <w:bCs/>
                <w:color w:val="000000"/>
                <w:sz w:val="20"/>
                <w:szCs w:val="20"/>
              </w:rPr>
            </w:pPr>
          </w:p>
        </w:tc>
        <w:tc>
          <w:tcPr>
            <w:tcW w:w="1139" w:type="dxa"/>
            <w:tcBorders>
              <w:top w:val="nil"/>
              <w:left w:val="nil"/>
              <w:bottom w:val="nil"/>
              <w:right w:val="single" w:sz="8" w:space="0" w:color="55ACD3"/>
            </w:tcBorders>
            <w:shd w:val="clear" w:color="000000" w:fill="E28C05"/>
            <w:vAlign w:val="center"/>
            <w:hideMark/>
          </w:tcPr>
          <w:p w:rsidR="00D7554B" w:rsidRPr="00D7554B" w:rsidRDefault="00D7554B" w:rsidP="00D7554B">
            <w:pPr>
              <w:rPr>
                <w:rFonts w:ascii="Arial" w:hAnsi="Arial" w:cs="Arial"/>
                <w:b/>
                <w:bCs/>
                <w:color w:val="56008C"/>
                <w:sz w:val="20"/>
                <w:szCs w:val="20"/>
              </w:rPr>
            </w:pPr>
            <w:r w:rsidRPr="00D7554B">
              <w:rPr>
                <w:rFonts w:ascii="Arial" w:hAnsi="Arial" w:cs="Arial"/>
                <w:b/>
                <w:bCs/>
                <w:color w:val="56008C"/>
                <w:sz w:val="20"/>
                <w:szCs w:val="20"/>
              </w:rPr>
              <w:t>Budget</w:t>
            </w:r>
          </w:p>
        </w:tc>
        <w:tc>
          <w:tcPr>
            <w:tcW w:w="1599" w:type="dxa"/>
            <w:tcBorders>
              <w:top w:val="nil"/>
              <w:left w:val="nil"/>
              <w:bottom w:val="nil"/>
              <w:right w:val="single" w:sz="8" w:space="0" w:color="55ACD3"/>
            </w:tcBorders>
            <w:shd w:val="clear" w:color="000000" w:fill="E28C05"/>
            <w:vAlign w:val="center"/>
            <w:hideMark/>
          </w:tcPr>
          <w:p w:rsidR="00D7554B" w:rsidRPr="00D7554B" w:rsidRDefault="00D7554B" w:rsidP="00D7554B">
            <w:pPr>
              <w:rPr>
                <w:rFonts w:ascii="Arial" w:hAnsi="Arial" w:cs="Arial"/>
                <w:b/>
                <w:bCs/>
                <w:color w:val="56008C"/>
                <w:sz w:val="20"/>
                <w:szCs w:val="20"/>
              </w:rPr>
            </w:pPr>
            <w:r w:rsidRPr="00D7554B">
              <w:rPr>
                <w:rFonts w:ascii="Arial" w:hAnsi="Arial" w:cs="Arial"/>
                <w:b/>
                <w:bCs/>
                <w:color w:val="56008C"/>
                <w:sz w:val="20"/>
                <w:szCs w:val="20"/>
              </w:rPr>
              <w:t>Actual</w:t>
            </w:r>
          </w:p>
        </w:tc>
        <w:tc>
          <w:tcPr>
            <w:tcW w:w="1160" w:type="dxa"/>
            <w:tcBorders>
              <w:top w:val="nil"/>
              <w:left w:val="nil"/>
              <w:bottom w:val="nil"/>
              <w:right w:val="nil"/>
            </w:tcBorders>
            <w:shd w:val="clear" w:color="000000" w:fill="E28C05"/>
            <w:vAlign w:val="center"/>
            <w:hideMark/>
          </w:tcPr>
          <w:p w:rsidR="00D7554B" w:rsidRPr="00D7554B" w:rsidRDefault="00D7554B" w:rsidP="00D7554B">
            <w:pPr>
              <w:rPr>
                <w:rFonts w:ascii="Arial" w:hAnsi="Arial" w:cs="Arial"/>
                <w:b/>
                <w:bCs/>
                <w:color w:val="56008C"/>
                <w:sz w:val="20"/>
                <w:szCs w:val="20"/>
              </w:rPr>
            </w:pPr>
            <w:r w:rsidRPr="00D7554B">
              <w:rPr>
                <w:rFonts w:ascii="Arial" w:hAnsi="Arial" w:cs="Arial"/>
                <w:b/>
                <w:bCs/>
                <w:color w:val="56008C"/>
                <w:sz w:val="20"/>
                <w:szCs w:val="20"/>
              </w:rPr>
              <w:t>Variance</w:t>
            </w:r>
          </w:p>
        </w:tc>
        <w:tc>
          <w:tcPr>
            <w:tcW w:w="328"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0"/>
                <w:szCs w:val="20"/>
              </w:rPr>
            </w:pPr>
          </w:p>
        </w:tc>
        <w:tc>
          <w:tcPr>
            <w:tcW w:w="960" w:type="dxa"/>
            <w:tcBorders>
              <w:top w:val="nil"/>
              <w:left w:val="nil"/>
              <w:bottom w:val="nil"/>
              <w:right w:val="single" w:sz="8" w:space="0" w:color="55ACD3"/>
            </w:tcBorders>
            <w:shd w:val="clear" w:color="000000" w:fill="56008C"/>
            <w:vAlign w:val="center"/>
            <w:hideMark/>
          </w:tcPr>
          <w:p w:rsidR="00D7554B" w:rsidRPr="00D7554B" w:rsidRDefault="00D7554B" w:rsidP="00D7554B">
            <w:pPr>
              <w:jc w:val="center"/>
              <w:rPr>
                <w:rFonts w:ascii="Arial" w:hAnsi="Arial" w:cs="Arial"/>
                <w:b/>
                <w:bCs/>
                <w:color w:val="FFFFFF"/>
                <w:sz w:val="20"/>
                <w:szCs w:val="20"/>
              </w:rPr>
            </w:pPr>
            <w:r w:rsidRPr="00D7554B">
              <w:rPr>
                <w:rFonts w:ascii="Arial" w:hAnsi="Arial" w:cs="Arial"/>
                <w:b/>
                <w:bCs/>
                <w:color w:val="FFFFFF"/>
                <w:sz w:val="20"/>
                <w:szCs w:val="20"/>
              </w:rPr>
              <w:t>2015/16 actual</w:t>
            </w:r>
          </w:p>
        </w:tc>
        <w:tc>
          <w:tcPr>
            <w:tcW w:w="960" w:type="dxa"/>
            <w:tcBorders>
              <w:top w:val="nil"/>
              <w:left w:val="nil"/>
              <w:bottom w:val="nil"/>
              <w:right w:val="single" w:sz="8" w:space="0" w:color="55ACD3"/>
            </w:tcBorders>
            <w:shd w:val="clear" w:color="000000" w:fill="56008C"/>
            <w:vAlign w:val="center"/>
            <w:hideMark/>
          </w:tcPr>
          <w:p w:rsidR="00D7554B" w:rsidRPr="00D7554B" w:rsidRDefault="00D7554B" w:rsidP="00D7554B">
            <w:pPr>
              <w:rPr>
                <w:rFonts w:ascii="Arial" w:hAnsi="Arial" w:cs="Arial"/>
                <w:b/>
                <w:bCs/>
                <w:color w:val="FFFFFF"/>
                <w:sz w:val="20"/>
                <w:szCs w:val="20"/>
              </w:rPr>
            </w:pPr>
            <w:r w:rsidRPr="00D7554B">
              <w:rPr>
                <w:rFonts w:ascii="Arial" w:hAnsi="Arial" w:cs="Arial"/>
                <w:b/>
                <w:bCs/>
                <w:color w:val="FFFFFF"/>
                <w:sz w:val="20"/>
                <w:szCs w:val="20"/>
              </w:rPr>
              <w:t>Initial budget</w:t>
            </w:r>
          </w:p>
        </w:tc>
        <w:tc>
          <w:tcPr>
            <w:tcW w:w="960" w:type="dxa"/>
            <w:tcBorders>
              <w:top w:val="nil"/>
              <w:left w:val="nil"/>
              <w:bottom w:val="nil"/>
              <w:right w:val="single" w:sz="8" w:space="0" w:color="55ACD3"/>
            </w:tcBorders>
            <w:shd w:val="clear" w:color="000000" w:fill="56008C"/>
            <w:vAlign w:val="center"/>
            <w:hideMark/>
          </w:tcPr>
          <w:p w:rsidR="00D7554B" w:rsidRPr="00D7554B" w:rsidRDefault="00D7554B" w:rsidP="00D7554B">
            <w:pPr>
              <w:rPr>
                <w:rFonts w:ascii="Arial" w:hAnsi="Arial" w:cs="Arial"/>
                <w:b/>
                <w:bCs/>
                <w:color w:val="FFFFFF"/>
                <w:sz w:val="20"/>
                <w:szCs w:val="20"/>
              </w:rPr>
            </w:pPr>
            <w:r w:rsidRPr="00D7554B">
              <w:rPr>
                <w:rFonts w:ascii="Arial" w:hAnsi="Arial" w:cs="Arial"/>
                <w:b/>
                <w:bCs/>
                <w:color w:val="FFFFFF"/>
                <w:sz w:val="20"/>
                <w:szCs w:val="20"/>
              </w:rPr>
              <w:t>Latest Budget</w:t>
            </w:r>
          </w:p>
        </w:tc>
        <w:tc>
          <w:tcPr>
            <w:tcW w:w="1240" w:type="dxa"/>
            <w:tcBorders>
              <w:top w:val="nil"/>
              <w:left w:val="nil"/>
              <w:bottom w:val="nil"/>
              <w:right w:val="nil"/>
            </w:tcBorders>
            <w:shd w:val="clear" w:color="000000" w:fill="56008C"/>
            <w:vAlign w:val="center"/>
            <w:hideMark/>
          </w:tcPr>
          <w:p w:rsidR="00D7554B" w:rsidRPr="00D7554B" w:rsidRDefault="00D7554B" w:rsidP="00D7554B">
            <w:pPr>
              <w:rPr>
                <w:rFonts w:ascii="Arial" w:hAnsi="Arial" w:cs="Arial"/>
                <w:b/>
                <w:bCs/>
                <w:color w:val="FFFFFF"/>
                <w:sz w:val="20"/>
                <w:szCs w:val="20"/>
              </w:rPr>
            </w:pPr>
            <w:r w:rsidRPr="00D7554B">
              <w:rPr>
                <w:rFonts w:ascii="Arial" w:hAnsi="Arial" w:cs="Arial"/>
                <w:b/>
                <w:bCs/>
                <w:color w:val="FFFFFF"/>
                <w:sz w:val="20"/>
                <w:szCs w:val="20"/>
              </w:rPr>
              <w:t>Forecast</w:t>
            </w:r>
          </w:p>
        </w:tc>
      </w:tr>
      <w:tr w:rsidR="00D7554B" w:rsidRPr="00D7554B" w:rsidTr="00D7554B">
        <w:trPr>
          <w:trHeight w:val="300"/>
        </w:trPr>
        <w:tc>
          <w:tcPr>
            <w:tcW w:w="959"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334</w:t>
            </w:r>
          </w:p>
        </w:tc>
        <w:tc>
          <w:tcPr>
            <w:tcW w:w="959"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317</w:t>
            </w:r>
          </w:p>
        </w:tc>
        <w:tc>
          <w:tcPr>
            <w:tcW w:w="1139"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-17</w:t>
            </w:r>
          </w:p>
        </w:tc>
        <w:tc>
          <w:tcPr>
            <w:tcW w:w="320"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3377" w:type="dxa"/>
            <w:tcBorders>
              <w:top w:val="nil"/>
              <w:left w:val="single" w:sz="8" w:space="0" w:color="FFFFFF"/>
              <w:bottom w:val="single" w:sz="8" w:space="0" w:color="FFFFFF"/>
              <w:right w:val="single" w:sz="8" w:space="0" w:color="FFFFFF"/>
            </w:tcBorders>
            <w:shd w:val="clear" w:color="auto" w:fill="auto"/>
            <w:vAlign w:val="bottom"/>
            <w:hideMark/>
          </w:tcPr>
          <w:p w:rsidR="00D7554B" w:rsidRPr="00D7554B" w:rsidRDefault="00D7554B" w:rsidP="00D7554B">
            <w:pPr>
              <w:rPr>
                <w:rFonts w:ascii="Arial" w:hAnsi="Arial" w:cs="Arial"/>
                <w:color w:val="000000"/>
                <w:sz w:val="18"/>
                <w:szCs w:val="18"/>
              </w:rPr>
            </w:pPr>
            <w:r w:rsidRPr="00D7554B">
              <w:rPr>
                <w:rFonts w:ascii="Arial" w:hAnsi="Arial" w:cs="Arial"/>
                <w:color w:val="000000"/>
                <w:sz w:val="18"/>
                <w:szCs w:val="18"/>
              </w:rPr>
              <w:t>Operations</w:t>
            </w:r>
          </w:p>
        </w:tc>
        <w:tc>
          <w:tcPr>
            <w:tcW w:w="320"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1139"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1,341</w:t>
            </w:r>
          </w:p>
        </w:tc>
        <w:tc>
          <w:tcPr>
            <w:tcW w:w="1599"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1,351</w:t>
            </w:r>
          </w:p>
        </w:tc>
        <w:tc>
          <w:tcPr>
            <w:tcW w:w="1160"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10</w:t>
            </w:r>
          </w:p>
        </w:tc>
        <w:tc>
          <w:tcPr>
            <w:tcW w:w="328"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4,573</w:t>
            </w:r>
          </w:p>
        </w:tc>
        <w:tc>
          <w:tcPr>
            <w:tcW w:w="960"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4,021</w:t>
            </w:r>
          </w:p>
        </w:tc>
        <w:tc>
          <w:tcPr>
            <w:tcW w:w="960"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4,021</w:t>
            </w:r>
          </w:p>
        </w:tc>
        <w:tc>
          <w:tcPr>
            <w:tcW w:w="1240"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4,021</w:t>
            </w:r>
          </w:p>
        </w:tc>
      </w:tr>
      <w:tr w:rsidR="00D7554B" w:rsidRPr="00D7554B" w:rsidTr="00D7554B">
        <w:trPr>
          <w:trHeight w:val="300"/>
        </w:trPr>
        <w:tc>
          <w:tcPr>
            <w:tcW w:w="959"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129</w:t>
            </w:r>
          </w:p>
        </w:tc>
        <w:tc>
          <w:tcPr>
            <w:tcW w:w="959"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122</w:t>
            </w:r>
          </w:p>
        </w:tc>
        <w:tc>
          <w:tcPr>
            <w:tcW w:w="1139"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-7</w:t>
            </w:r>
          </w:p>
        </w:tc>
        <w:tc>
          <w:tcPr>
            <w:tcW w:w="320"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3377" w:type="dxa"/>
            <w:tcBorders>
              <w:top w:val="nil"/>
              <w:left w:val="single" w:sz="8" w:space="0" w:color="FFFFFF"/>
              <w:bottom w:val="single" w:sz="8" w:space="0" w:color="FFFFFF"/>
              <w:right w:val="single" w:sz="8" w:space="0" w:color="FFFFFF"/>
            </w:tcBorders>
            <w:shd w:val="clear" w:color="auto" w:fill="auto"/>
            <w:vAlign w:val="bottom"/>
            <w:hideMark/>
          </w:tcPr>
          <w:p w:rsidR="00D7554B" w:rsidRPr="00D7554B" w:rsidRDefault="00D7554B" w:rsidP="00D7554B">
            <w:pPr>
              <w:rPr>
                <w:rFonts w:ascii="Arial" w:hAnsi="Arial" w:cs="Arial"/>
                <w:color w:val="000000"/>
                <w:sz w:val="18"/>
                <w:szCs w:val="18"/>
              </w:rPr>
            </w:pPr>
            <w:r w:rsidRPr="00D7554B">
              <w:rPr>
                <w:rFonts w:ascii="Arial" w:hAnsi="Arial" w:cs="Arial"/>
                <w:color w:val="000000"/>
                <w:sz w:val="18"/>
                <w:szCs w:val="18"/>
              </w:rPr>
              <w:t xml:space="preserve">Chief Executive </w:t>
            </w:r>
            <w:proofErr w:type="spellStart"/>
            <w:r w:rsidRPr="00D7554B">
              <w:rPr>
                <w:rFonts w:ascii="Arial" w:hAnsi="Arial" w:cs="Arial"/>
                <w:color w:val="000000"/>
                <w:sz w:val="18"/>
                <w:szCs w:val="18"/>
              </w:rPr>
              <w:t>inc.</w:t>
            </w:r>
            <w:proofErr w:type="spellEnd"/>
            <w:r w:rsidRPr="00D7554B">
              <w:rPr>
                <w:rFonts w:ascii="Arial" w:hAnsi="Arial" w:cs="Arial"/>
                <w:color w:val="000000"/>
                <w:sz w:val="18"/>
                <w:szCs w:val="18"/>
              </w:rPr>
              <w:t xml:space="preserve"> Corp Sec</w:t>
            </w:r>
          </w:p>
        </w:tc>
        <w:tc>
          <w:tcPr>
            <w:tcW w:w="320"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1139"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571</w:t>
            </w:r>
          </w:p>
        </w:tc>
        <w:tc>
          <w:tcPr>
            <w:tcW w:w="1599"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579</w:t>
            </w:r>
          </w:p>
        </w:tc>
        <w:tc>
          <w:tcPr>
            <w:tcW w:w="1160"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8</w:t>
            </w:r>
          </w:p>
        </w:tc>
        <w:tc>
          <w:tcPr>
            <w:tcW w:w="328"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1,821</w:t>
            </w:r>
          </w:p>
        </w:tc>
        <w:tc>
          <w:tcPr>
            <w:tcW w:w="960"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1,986</w:t>
            </w:r>
          </w:p>
        </w:tc>
        <w:tc>
          <w:tcPr>
            <w:tcW w:w="960"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1,998</w:t>
            </w:r>
          </w:p>
        </w:tc>
        <w:tc>
          <w:tcPr>
            <w:tcW w:w="1240"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1,998</w:t>
            </w:r>
          </w:p>
        </w:tc>
      </w:tr>
      <w:tr w:rsidR="00D7554B" w:rsidRPr="00D7554B" w:rsidTr="00D7554B">
        <w:trPr>
          <w:trHeight w:val="300"/>
        </w:trPr>
        <w:tc>
          <w:tcPr>
            <w:tcW w:w="959"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149</w:t>
            </w:r>
          </w:p>
        </w:tc>
        <w:tc>
          <w:tcPr>
            <w:tcW w:w="959"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159</w:t>
            </w:r>
          </w:p>
        </w:tc>
        <w:tc>
          <w:tcPr>
            <w:tcW w:w="1139"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10</w:t>
            </w:r>
          </w:p>
        </w:tc>
        <w:tc>
          <w:tcPr>
            <w:tcW w:w="320"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3377" w:type="dxa"/>
            <w:tcBorders>
              <w:top w:val="nil"/>
              <w:left w:val="single" w:sz="8" w:space="0" w:color="FFFFFF"/>
              <w:bottom w:val="single" w:sz="8" w:space="0" w:color="FFFFFF"/>
              <w:right w:val="single" w:sz="8" w:space="0" w:color="FFFFFF"/>
            </w:tcBorders>
            <w:shd w:val="clear" w:color="auto" w:fill="auto"/>
            <w:vAlign w:val="bottom"/>
            <w:hideMark/>
          </w:tcPr>
          <w:p w:rsidR="00D7554B" w:rsidRPr="00D7554B" w:rsidRDefault="00D7554B" w:rsidP="00D7554B">
            <w:pPr>
              <w:rPr>
                <w:rFonts w:ascii="Arial" w:hAnsi="Arial" w:cs="Arial"/>
                <w:color w:val="000000"/>
                <w:sz w:val="18"/>
                <w:szCs w:val="18"/>
              </w:rPr>
            </w:pPr>
            <w:r w:rsidRPr="00D7554B">
              <w:rPr>
                <w:rFonts w:ascii="Arial" w:hAnsi="Arial" w:cs="Arial"/>
                <w:color w:val="000000"/>
                <w:sz w:val="18"/>
                <w:szCs w:val="18"/>
              </w:rPr>
              <w:t>Corporate Services</w:t>
            </w:r>
          </w:p>
        </w:tc>
        <w:tc>
          <w:tcPr>
            <w:tcW w:w="320"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1139"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602</w:t>
            </w:r>
          </w:p>
        </w:tc>
        <w:tc>
          <w:tcPr>
            <w:tcW w:w="1599"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606</w:t>
            </w:r>
          </w:p>
        </w:tc>
        <w:tc>
          <w:tcPr>
            <w:tcW w:w="1160"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4</w:t>
            </w:r>
          </w:p>
        </w:tc>
        <w:tc>
          <w:tcPr>
            <w:tcW w:w="328"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1,828</w:t>
            </w:r>
          </w:p>
        </w:tc>
        <w:tc>
          <w:tcPr>
            <w:tcW w:w="960"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1,812</w:t>
            </w:r>
          </w:p>
        </w:tc>
        <w:tc>
          <w:tcPr>
            <w:tcW w:w="960"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1,812</w:t>
            </w:r>
          </w:p>
        </w:tc>
        <w:tc>
          <w:tcPr>
            <w:tcW w:w="1240"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1,812</w:t>
            </w:r>
          </w:p>
        </w:tc>
      </w:tr>
      <w:tr w:rsidR="00D7554B" w:rsidRPr="00D7554B" w:rsidTr="00D7554B">
        <w:trPr>
          <w:trHeight w:val="300"/>
        </w:trPr>
        <w:tc>
          <w:tcPr>
            <w:tcW w:w="959"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51</w:t>
            </w:r>
          </w:p>
        </w:tc>
        <w:tc>
          <w:tcPr>
            <w:tcW w:w="959"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43</w:t>
            </w:r>
          </w:p>
        </w:tc>
        <w:tc>
          <w:tcPr>
            <w:tcW w:w="1139"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-8</w:t>
            </w:r>
          </w:p>
        </w:tc>
        <w:tc>
          <w:tcPr>
            <w:tcW w:w="320"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3377" w:type="dxa"/>
            <w:tcBorders>
              <w:top w:val="nil"/>
              <w:left w:val="single" w:sz="8" w:space="0" w:color="FFFFFF"/>
              <w:bottom w:val="single" w:sz="8" w:space="0" w:color="FFFFFF"/>
              <w:right w:val="single" w:sz="8" w:space="0" w:color="FFFFFF"/>
            </w:tcBorders>
            <w:shd w:val="clear" w:color="auto" w:fill="auto"/>
            <w:vAlign w:val="bottom"/>
            <w:hideMark/>
          </w:tcPr>
          <w:p w:rsidR="00D7554B" w:rsidRPr="00D7554B" w:rsidRDefault="00D7554B" w:rsidP="00D7554B">
            <w:pPr>
              <w:rPr>
                <w:rFonts w:ascii="Arial" w:hAnsi="Arial" w:cs="Arial"/>
                <w:color w:val="000000"/>
                <w:sz w:val="18"/>
                <w:szCs w:val="18"/>
              </w:rPr>
            </w:pPr>
            <w:r w:rsidRPr="00D7554B">
              <w:rPr>
                <w:rFonts w:ascii="Arial" w:hAnsi="Arial" w:cs="Arial"/>
                <w:color w:val="000000"/>
                <w:sz w:val="18"/>
                <w:szCs w:val="18"/>
              </w:rPr>
              <w:t>Finance, Procurement and Estates</w:t>
            </w:r>
          </w:p>
        </w:tc>
        <w:tc>
          <w:tcPr>
            <w:tcW w:w="320"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1139"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240</w:t>
            </w:r>
          </w:p>
        </w:tc>
        <w:tc>
          <w:tcPr>
            <w:tcW w:w="1599"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232</w:t>
            </w:r>
          </w:p>
        </w:tc>
        <w:tc>
          <w:tcPr>
            <w:tcW w:w="1160"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-8</w:t>
            </w:r>
          </w:p>
        </w:tc>
        <w:tc>
          <w:tcPr>
            <w:tcW w:w="328"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1,256</w:t>
            </w:r>
          </w:p>
        </w:tc>
        <w:tc>
          <w:tcPr>
            <w:tcW w:w="960"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1,315</w:t>
            </w:r>
          </w:p>
        </w:tc>
        <w:tc>
          <w:tcPr>
            <w:tcW w:w="960"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1,275</w:t>
            </w:r>
          </w:p>
        </w:tc>
        <w:tc>
          <w:tcPr>
            <w:tcW w:w="1240"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1,275</w:t>
            </w:r>
          </w:p>
        </w:tc>
      </w:tr>
      <w:tr w:rsidR="00D7554B" w:rsidRPr="00D7554B" w:rsidTr="00D7554B">
        <w:trPr>
          <w:trHeight w:val="492"/>
        </w:trPr>
        <w:tc>
          <w:tcPr>
            <w:tcW w:w="959"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346</w:t>
            </w:r>
          </w:p>
        </w:tc>
        <w:tc>
          <w:tcPr>
            <w:tcW w:w="959"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329</w:t>
            </w:r>
          </w:p>
        </w:tc>
        <w:tc>
          <w:tcPr>
            <w:tcW w:w="1139"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-17</w:t>
            </w:r>
          </w:p>
        </w:tc>
        <w:tc>
          <w:tcPr>
            <w:tcW w:w="320"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3377" w:type="dxa"/>
            <w:tcBorders>
              <w:top w:val="nil"/>
              <w:left w:val="single" w:sz="8" w:space="0" w:color="FFFFFF"/>
              <w:bottom w:val="single" w:sz="8" w:space="0" w:color="FFFFFF"/>
              <w:right w:val="single" w:sz="8" w:space="0" w:color="FFFFFF"/>
            </w:tcBorders>
            <w:shd w:val="clear" w:color="auto" w:fill="auto"/>
            <w:vAlign w:val="bottom"/>
            <w:hideMark/>
          </w:tcPr>
          <w:p w:rsidR="00D7554B" w:rsidRPr="00D7554B" w:rsidRDefault="00D7554B" w:rsidP="00D7554B">
            <w:pPr>
              <w:rPr>
                <w:rFonts w:ascii="Arial" w:hAnsi="Arial" w:cs="Arial"/>
                <w:color w:val="000000"/>
                <w:sz w:val="18"/>
                <w:szCs w:val="18"/>
              </w:rPr>
            </w:pPr>
            <w:r w:rsidRPr="00D7554B">
              <w:rPr>
                <w:rFonts w:ascii="Arial" w:hAnsi="Arial" w:cs="Arial"/>
                <w:color w:val="000000"/>
                <w:sz w:val="18"/>
                <w:szCs w:val="18"/>
              </w:rPr>
              <w:t xml:space="preserve">Research Systems, Standards and HRA Approval </w:t>
            </w:r>
            <w:proofErr w:type="spellStart"/>
            <w:r w:rsidRPr="00D7554B">
              <w:rPr>
                <w:rFonts w:ascii="Arial" w:hAnsi="Arial" w:cs="Arial"/>
                <w:color w:val="000000"/>
                <w:sz w:val="18"/>
                <w:szCs w:val="18"/>
              </w:rPr>
              <w:t>Prog</w:t>
            </w:r>
            <w:proofErr w:type="spellEnd"/>
          </w:p>
        </w:tc>
        <w:tc>
          <w:tcPr>
            <w:tcW w:w="320"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1139"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1,404</w:t>
            </w:r>
          </w:p>
        </w:tc>
        <w:tc>
          <w:tcPr>
            <w:tcW w:w="1599"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1,355</w:t>
            </w:r>
          </w:p>
        </w:tc>
        <w:tc>
          <w:tcPr>
            <w:tcW w:w="1160"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-49</w:t>
            </w:r>
          </w:p>
        </w:tc>
        <w:tc>
          <w:tcPr>
            <w:tcW w:w="328"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3,482</w:t>
            </w:r>
          </w:p>
        </w:tc>
        <w:tc>
          <w:tcPr>
            <w:tcW w:w="960"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4,146</w:t>
            </w:r>
          </w:p>
        </w:tc>
        <w:tc>
          <w:tcPr>
            <w:tcW w:w="960"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4,174</w:t>
            </w:r>
          </w:p>
        </w:tc>
        <w:tc>
          <w:tcPr>
            <w:tcW w:w="1240" w:type="dxa"/>
            <w:tcBorders>
              <w:top w:val="nil"/>
              <w:left w:val="nil"/>
              <w:bottom w:val="nil"/>
              <w:right w:val="nil"/>
            </w:tcBorders>
            <w:shd w:val="clear" w:color="auto" w:fill="auto"/>
            <w:noWrap/>
            <w:vAlign w:val="bottom"/>
            <w:hideMark/>
          </w:tcPr>
          <w:p w:rsidR="00D7554B" w:rsidRPr="00D7554B" w:rsidRDefault="00D7554B" w:rsidP="00D7554B">
            <w:pPr>
              <w:jc w:val="right"/>
              <w:rPr>
                <w:rFonts w:ascii="Calibri" w:hAnsi="Calibri" w:cs="Calibri"/>
                <w:color w:val="000000"/>
                <w:sz w:val="22"/>
                <w:szCs w:val="22"/>
              </w:rPr>
            </w:pPr>
            <w:r w:rsidRPr="00D7554B">
              <w:rPr>
                <w:rFonts w:ascii="Calibri" w:hAnsi="Calibri" w:cs="Calibri"/>
                <w:color w:val="000000"/>
                <w:sz w:val="22"/>
                <w:szCs w:val="22"/>
              </w:rPr>
              <w:t>4,174</w:t>
            </w:r>
          </w:p>
        </w:tc>
      </w:tr>
      <w:tr w:rsidR="00D7554B" w:rsidRPr="00D7554B" w:rsidTr="00D7554B">
        <w:trPr>
          <w:trHeight w:val="288"/>
        </w:trPr>
        <w:tc>
          <w:tcPr>
            <w:tcW w:w="959" w:type="dxa"/>
            <w:tcBorders>
              <w:top w:val="nil"/>
              <w:left w:val="single" w:sz="8" w:space="0" w:color="FFFFFF"/>
              <w:bottom w:val="nil"/>
              <w:right w:val="single" w:sz="8" w:space="0" w:color="FFFFFF"/>
            </w:tcBorders>
            <w:shd w:val="clear" w:color="000000" w:fill="C0C0C0"/>
            <w:vAlign w:val="bottom"/>
            <w:hideMark/>
          </w:tcPr>
          <w:p w:rsidR="00D7554B" w:rsidRPr="00D7554B" w:rsidRDefault="00D7554B" w:rsidP="00D7554B">
            <w:pPr>
              <w:jc w:val="right"/>
              <w:rPr>
                <w:rFonts w:ascii="Arial" w:hAnsi="Arial" w:cs="Arial"/>
                <w:b/>
                <w:bCs/>
                <w:color w:val="000000"/>
                <w:sz w:val="18"/>
                <w:szCs w:val="18"/>
              </w:rPr>
            </w:pPr>
            <w:r w:rsidRPr="00D7554B">
              <w:rPr>
                <w:rFonts w:ascii="Arial" w:hAnsi="Arial" w:cs="Arial"/>
                <w:b/>
                <w:bCs/>
                <w:color w:val="000000"/>
                <w:sz w:val="18"/>
                <w:szCs w:val="18"/>
              </w:rPr>
              <w:t>1,009</w:t>
            </w:r>
          </w:p>
        </w:tc>
        <w:tc>
          <w:tcPr>
            <w:tcW w:w="959" w:type="dxa"/>
            <w:tcBorders>
              <w:top w:val="nil"/>
              <w:left w:val="nil"/>
              <w:bottom w:val="nil"/>
              <w:right w:val="single" w:sz="8" w:space="0" w:color="FFFFFF"/>
            </w:tcBorders>
            <w:shd w:val="clear" w:color="000000" w:fill="C0C0C0"/>
            <w:vAlign w:val="bottom"/>
            <w:hideMark/>
          </w:tcPr>
          <w:p w:rsidR="00D7554B" w:rsidRPr="00D7554B" w:rsidRDefault="00D7554B" w:rsidP="00D7554B">
            <w:pPr>
              <w:jc w:val="right"/>
              <w:rPr>
                <w:rFonts w:ascii="Arial" w:hAnsi="Arial" w:cs="Arial"/>
                <w:b/>
                <w:bCs/>
                <w:color w:val="000000"/>
                <w:sz w:val="18"/>
                <w:szCs w:val="18"/>
              </w:rPr>
            </w:pPr>
            <w:r w:rsidRPr="00D7554B">
              <w:rPr>
                <w:rFonts w:ascii="Arial" w:hAnsi="Arial" w:cs="Arial"/>
                <w:b/>
                <w:bCs/>
                <w:color w:val="000000"/>
                <w:sz w:val="18"/>
                <w:szCs w:val="18"/>
              </w:rPr>
              <w:t>970</w:t>
            </w:r>
          </w:p>
        </w:tc>
        <w:tc>
          <w:tcPr>
            <w:tcW w:w="1139" w:type="dxa"/>
            <w:tcBorders>
              <w:top w:val="nil"/>
              <w:left w:val="nil"/>
              <w:bottom w:val="nil"/>
              <w:right w:val="single" w:sz="8" w:space="0" w:color="FFFFFF"/>
            </w:tcBorders>
            <w:shd w:val="clear" w:color="000000" w:fill="C0C0C0"/>
            <w:vAlign w:val="bottom"/>
            <w:hideMark/>
          </w:tcPr>
          <w:p w:rsidR="00D7554B" w:rsidRPr="00D7554B" w:rsidRDefault="00D7554B" w:rsidP="00D7554B">
            <w:pPr>
              <w:jc w:val="right"/>
              <w:rPr>
                <w:rFonts w:ascii="Arial" w:hAnsi="Arial" w:cs="Arial"/>
                <w:b/>
                <w:bCs/>
                <w:color w:val="000000"/>
                <w:sz w:val="18"/>
                <w:szCs w:val="18"/>
              </w:rPr>
            </w:pPr>
            <w:r w:rsidRPr="00D7554B">
              <w:rPr>
                <w:rFonts w:ascii="Arial" w:hAnsi="Arial" w:cs="Arial"/>
                <w:b/>
                <w:bCs/>
                <w:color w:val="000000"/>
                <w:sz w:val="18"/>
                <w:szCs w:val="18"/>
              </w:rPr>
              <w:t>-39</w:t>
            </w:r>
          </w:p>
        </w:tc>
        <w:tc>
          <w:tcPr>
            <w:tcW w:w="320"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3377" w:type="dxa"/>
            <w:tcBorders>
              <w:top w:val="nil"/>
              <w:left w:val="single" w:sz="8" w:space="0" w:color="FFFFFF"/>
              <w:bottom w:val="nil"/>
              <w:right w:val="single" w:sz="8" w:space="0" w:color="FFFFFF"/>
            </w:tcBorders>
            <w:shd w:val="clear" w:color="000000" w:fill="C0C0C0"/>
            <w:vAlign w:val="bottom"/>
            <w:hideMark/>
          </w:tcPr>
          <w:p w:rsidR="00D7554B" w:rsidRPr="00D7554B" w:rsidRDefault="00D7554B" w:rsidP="00D7554B">
            <w:pPr>
              <w:rPr>
                <w:rFonts w:ascii="Arial" w:hAnsi="Arial" w:cs="Arial"/>
                <w:b/>
                <w:bCs/>
                <w:color w:val="000000"/>
                <w:sz w:val="18"/>
                <w:szCs w:val="18"/>
              </w:rPr>
            </w:pPr>
            <w:r w:rsidRPr="00D7554B">
              <w:rPr>
                <w:rFonts w:ascii="Arial" w:hAnsi="Arial" w:cs="Arial"/>
                <w:b/>
                <w:bCs/>
                <w:color w:val="000000"/>
                <w:sz w:val="18"/>
                <w:szCs w:val="18"/>
              </w:rPr>
              <w:t xml:space="preserve"> Total Expenditure</w:t>
            </w:r>
          </w:p>
        </w:tc>
        <w:tc>
          <w:tcPr>
            <w:tcW w:w="320" w:type="dxa"/>
            <w:tcBorders>
              <w:top w:val="nil"/>
              <w:left w:val="nil"/>
              <w:bottom w:val="nil"/>
              <w:right w:val="single" w:sz="8" w:space="0" w:color="FFFFFF"/>
            </w:tcBorders>
            <w:shd w:val="clear" w:color="auto" w:fill="auto"/>
            <w:vAlign w:val="bottom"/>
            <w:hideMark/>
          </w:tcPr>
          <w:p w:rsidR="00D7554B" w:rsidRPr="00D7554B" w:rsidRDefault="00D7554B" w:rsidP="00D7554B">
            <w:pPr>
              <w:jc w:val="right"/>
              <w:rPr>
                <w:rFonts w:ascii="Arial" w:hAnsi="Arial" w:cs="Arial"/>
                <w:b/>
                <w:bCs/>
                <w:color w:val="000000"/>
                <w:sz w:val="18"/>
                <w:szCs w:val="18"/>
              </w:rPr>
            </w:pPr>
            <w:r w:rsidRPr="00D7554B">
              <w:rPr>
                <w:rFonts w:ascii="Arial" w:hAnsi="Arial" w:cs="Arial"/>
                <w:b/>
                <w:bCs/>
                <w:color w:val="000000"/>
                <w:sz w:val="18"/>
                <w:szCs w:val="18"/>
              </w:rPr>
              <w:t> </w:t>
            </w:r>
          </w:p>
        </w:tc>
        <w:tc>
          <w:tcPr>
            <w:tcW w:w="1139" w:type="dxa"/>
            <w:tcBorders>
              <w:top w:val="nil"/>
              <w:left w:val="nil"/>
              <w:bottom w:val="nil"/>
              <w:right w:val="single" w:sz="8" w:space="0" w:color="FFFFFF"/>
            </w:tcBorders>
            <w:shd w:val="clear" w:color="000000" w:fill="C0C0C0"/>
            <w:vAlign w:val="bottom"/>
            <w:hideMark/>
          </w:tcPr>
          <w:p w:rsidR="00D7554B" w:rsidRPr="00D7554B" w:rsidRDefault="00D7554B" w:rsidP="00D7554B">
            <w:pPr>
              <w:jc w:val="right"/>
              <w:rPr>
                <w:rFonts w:ascii="Arial" w:hAnsi="Arial" w:cs="Arial"/>
                <w:b/>
                <w:bCs/>
                <w:color w:val="000000"/>
                <w:sz w:val="18"/>
                <w:szCs w:val="18"/>
              </w:rPr>
            </w:pPr>
            <w:r w:rsidRPr="00D7554B">
              <w:rPr>
                <w:rFonts w:ascii="Arial" w:hAnsi="Arial" w:cs="Arial"/>
                <w:b/>
                <w:bCs/>
                <w:color w:val="000000"/>
                <w:sz w:val="18"/>
                <w:szCs w:val="18"/>
              </w:rPr>
              <w:t>4,158</w:t>
            </w:r>
          </w:p>
        </w:tc>
        <w:tc>
          <w:tcPr>
            <w:tcW w:w="1599" w:type="dxa"/>
            <w:tcBorders>
              <w:top w:val="nil"/>
              <w:left w:val="nil"/>
              <w:bottom w:val="nil"/>
              <w:right w:val="single" w:sz="8" w:space="0" w:color="FFFFFF"/>
            </w:tcBorders>
            <w:shd w:val="clear" w:color="000000" w:fill="C0C0C0"/>
            <w:vAlign w:val="bottom"/>
            <w:hideMark/>
          </w:tcPr>
          <w:p w:rsidR="00D7554B" w:rsidRPr="00D7554B" w:rsidRDefault="00D7554B" w:rsidP="00D7554B">
            <w:pPr>
              <w:jc w:val="right"/>
              <w:rPr>
                <w:rFonts w:ascii="Arial" w:hAnsi="Arial" w:cs="Arial"/>
                <w:b/>
                <w:bCs/>
                <w:color w:val="000000"/>
                <w:sz w:val="18"/>
                <w:szCs w:val="18"/>
              </w:rPr>
            </w:pPr>
            <w:r w:rsidRPr="00D7554B">
              <w:rPr>
                <w:rFonts w:ascii="Arial" w:hAnsi="Arial" w:cs="Arial"/>
                <w:b/>
                <w:bCs/>
                <w:color w:val="000000"/>
                <w:sz w:val="18"/>
                <w:szCs w:val="18"/>
              </w:rPr>
              <w:t>4,123</w:t>
            </w:r>
          </w:p>
        </w:tc>
        <w:tc>
          <w:tcPr>
            <w:tcW w:w="1160" w:type="dxa"/>
            <w:tcBorders>
              <w:top w:val="nil"/>
              <w:left w:val="nil"/>
              <w:bottom w:val="nil"/>
              <w:right w:val="single" w:sz="8" w:space="0" w:color="FFFFFF"/>
            </w:tcBorders>
            <w:shd w:val="clear" w:color="000000" w:fill="C0C0C0"/>
            <w:vAlign w:val="bottom"/>
            <w:hideMark/>
          </w:tcPr>
          <w:p w:rsidR="00D7554B" w:rsidRPr="00D7554B" w:rsidRDefault="00D7554B" w:rsidP="00D7554B">
            <w:pPr>
              <w:jc w:val="right"/>
              <w:rPr>
                <w:rFonts w:ascii="Arial" w:hAnsi="Arial" w:cs="Arial"/>
                <w:b/>
                <w:bCs/>
                <w:color w:val="000000"/>
                <w:sz w:val="18"/>
                <w:szCs w:val="18"/>
              </w:rPr>
            </w:pPr>
            <w:r w:rsidRPr="00D7554B">
              <w:rPr>
                <w:rFonts w:ascii="Arial" w:hAnsi="Arial" w:cs="Arial"/>
                <w:b/>
                <w:bCs/>
                <w:color w:val="000000"/>
                <w:sz w:val="18"/>
                <w:szCs w:val="18"/>
              </w:rPr>
              <w:t>-35</w:t>
            </w:r>
          </w:p>
        </w:tc>
        <w:tc>
          <w:tcPr>
            <w:tcW w:w="328"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960" w:type="dxa"/>
            <w:tcBorders>
              <w:top w:val="nil"/>
              <w:left w:val="single" w:sz="8" w:space="0" w:color="FFFFFF"/>
              <w:bottom w:val="nil"/>
              <w:right w:val="single" w:sz="8" w:space="0" w:color="FFFFFF"/>
            </w:tcBorders>
            <w:shd w:val="clear" w:color="000000" w:fill="C0C0C0"/>
            <w:vAlign w:val="bottom"/>
            <w:hideMark/>
          </w:tcPr>
          <w:p w:rsidR="00D7554B" w:rsidRPr="00D7554B" w:rsidRDefault="00D7554B" w:rsidP="00D7554B">
            <w:pPr>
              <w:jc w:val="right"/>
              <w:rPr>
                <w:rFonts w:ascii="Arial" w:hAnsi="Arial" w:cs="Arial"/>
                <w:b/>
                <w:bCs/>
                <w:color w:val="000000"/>
                <w:sz w:val="18"/>
                <w:szCs w:val="18"/>
              </w:rPr>
            </w:pPr>
            <w:r w:rsidRPr="00D7554B">
              <w:rPr>
                <w:rFonts w:ascii="Arial" w:hAnsi="Arial" w:cs="Arial"/>
                <w:b/>
                <w:bCs/>
                <w:color w:val="000000"/>
                <w:sz w:val="18"/>
                <w:szCs w:val="18"/>
              </w:rPr>
              <w:t>12,960</w:t>
            </w:r>
          </w:p>
        </w:tc>
        <w:tc>
          <w:tcPr>
            <w:tcW w:w="960" w:type="dxa"/>
            <w:tcBorders>
              <w:top w:val="nil"/>
              <w:left w:val="nil"/>
              <w:bottom w:val="nil"/>
              <w:right w:val="single" w:sz="8" w:space="0" w:color="FFFFFF"/>
            </w:tcBorders>
            <w:shd w:val="clear" w:color="000000" w:fill="C0C0C0"/>
            <w:vAlign w:val="bottom"/>
            <w:hideMark/>
          </w:tcPr>
          <w:p w:rsidR="00D7554B" w:rsidRPr="00D7554B" w:rsidRDefault="00D7554B" w:rsidP="00D7554B">
            <w:pPr>
              <w:jc w:val="right"/>
              <w:rPr>
                <w:rFonts w:ascii="Arial" w:hAnsi="Arial" w:cs="Arial"/>
                <w:b/>
                <w:bCs/>
                <w:color w:val="000000"/>
                <w:sz w:val="18"/>
                <w:szCs w:val="18"/>
              </w:rPr>
            </w:pPr>
            <w:r w:rsidRPr="00D7554B">
              <w:rPr>
                <w:rFonts w:ascii="Arial" w:hAnsi="Arial" w:cs="Arial"/>
                <w:b/>
                <w:bCs/>
                <w:color w:val="000000"/>
                <w:sz w:val="18"/>
                <w:szCs w:val="18"/>
              </w:rPr>
              <w:t>13,280</w:t>
            </w:r>
          </w:p>
        </w:tc>
        <w:tc>
          <w:tcPr>
            <w:tcW w:w="960" w:type="dxa"/>
            <w:tcBorders>
              <w:top w:val="nil"/>
              <w:left w:val="nil"/>
              <w:bottom w:val="nil"/>
              <w:right w:val="single" w:sz="8" w:space="0" w:color="FFFFFF"/>
            </w:tcBorders>
            <w:shd w:val="clear" w:color="000000" w:fill="C0C0C0"/>
            <w:vAlign w:val="bottom"/>
            <w:hideMark/>
          </w:tcPr>
          <w:p w:rsidR="00D7554B" w:rsidRPr="00D7554B" w:rsidRDefault="00D7554B" w:rsidP="00D7554B">
            <w:pPr>
              <w:jc w:val="right"/>
              <w:rPr>
                <w:rFonts w:ascii="Arial" w:hAnsi="Arial" w:cs="Arial"/>
                <w:b/>
                <w:bCs/>
                <w:color w:val="000000"/>
                <w:sz w:val="18"/>
                <w:szCs w:val="18"/>
              </w:rPr>
            </w:pPr>
            <w:r w:rsidRPr="00D7554B">
              <w:rPr>
                <w:rFonts w:ascii="Arial" w:hAnsi="Arial" w:cs="Arial"/>
                <w:b/>
                <w:bCs/>
                <w:color w:val="000000"/>
                <w:sz w:val="18"/>
                <w:szCs w:val="18"/>
              </w:rPr>
              <w:t>13,280</w:t>
            </w:r>
          </w:p>
        </w:tc>
        <w:tc>
          <w:tcPr>
            <w:tcW w:w="1240" w:type="dxa"/>
            <w:tcBorders>
              <w:top w:val="nil"/>
              <w:left w:val="nil"/>
              <w:bottom w:val="nil"/>
              <w:right w:val="single" w:sz="8" w:space="0" w:color="FFFFFF"/>
            </w:tcBorders>
            <w:shd w:val="clear" w:color="000000" w:fill="C0C0C0"/>
            <w:vAlign w:val="bottom"/>
            <w:hideMark/>
          </w:tcPr>
          <w:p w:rsidR="00D7554B" w:rsidRPr="00D7554B" w:rsidRDefault="00D7554B" w:rsidP="00D7554B">
            <w:pPr>
              <w:jc w:val="right"/>
              <w:rPr>
                <w:rFonts w:ascii="Arial" w:hAnsi="Arial" w:cs="Arial"/>
                <w:b/>
                <w:bCs/>
                <w:color w:val="000000"/>
                <w:sz w:val="18"/>
                <w:szCs w:val="18"/>
              </w:rPr>
            </w:pPr>
            <w:r w:rsidRPr="00D7554B">
              <w:rPr>
                <w:rFonts w:ascii="Arial" w:hAnsi="Arial" w:cs="Arial"/>
                <w:b/>
                <w:bCs/>
                <w:color w:val="000000"/>
                <w:sz w:val="18"/>
                <w:szCs w:val="18"/>
              </w:rPr>
              <w:t>13,280</w:t>
            </w:r>
          </w:p>
        </w:tc>
      </w:tr>
      <w:tr w:rsidR="00D7554B" w:rsidRPr="00D7554B" w:rsidTr="00D7554B">
        <w:trPr>
          <w:trHeight w:val="288"/>
        </w:trPr>
        <w:tc>
          <w:tcPr>
            <w:tcW w:w="959"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1139"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320"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3377"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320"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1139"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1599"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328"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r>
      <w:tr w:rsidR="00D7554B" w:rsidRPr="00D7554B" w:rsidTr="00D7554B">
        <w:trPr>
          <w:trHeight w:val="288"/>
        </w:trPr>
        <w:tc>
          <w:tcPr>
            <w:tcW w:w="959" w:type="dxa"/>
            <w:tcBorders>
              <w:top w:val="nil"/>
              <w:left w:val="single" w:sz="8" w:space="0" w:color="FFFFFF"/>
              <w:bottom w:val="nil"/>
              <w:right w:val="single" w:sz="8" w:space="0" w:color="FFFFFF"/>
            </w:tcBorders>
            <w:shd w:val="clear" w:color="000000" w:fill="C0C0C0"/>
            <w:vAlign w:val="bottom"/>
            <w:hideMark/>
          </w:tcPr>
          <w:p w:rsidR="00D7554B" w:rsidRPr="00D7554B" w:rsidRDefault="00D7554B" w:rsidP="00D7554B">
            <w:pPr>
              <w:jc w:val="right"/>
              <w:rPr>
                <w:rFonts w:ascii="Arial" w:hAnsi="Arial" w:cs="Arial"/>
                <w:b/>
                <w:bCs/>
                <w:color w:val="000000"/>
                <w:sz w:val="18"/>
                <w:szCs w:val="18"/>
              </w:rPr>
            </w:pPr>
            <w:r w:rsidRPr="00D7554B">
              <w:rPr>
                <w:rFonts w:ascii="Arial" w:hAnsi="Arial" w:cs="Arial"/>
                <w:b/>
                <w:bCs/>
                <w:color w:val="000000"/>
                <w:sz w:val="18"/>
                <w:szCs w:val="18"/>
              </w:rPr>
              <w:t>0</w:t>
            </w:r>
          </w:p>
        </w:tc>
        <w:tc>
          <w:tcPr>
            <w:tcW w:w="959" w:type="dxa"/>
            <w:tcBorders>
              <w:top w:val="nil"/>
              <w:left w:val="nil"/>
              <w:bottom w:val="nil"/>
              <w:right w:val="single" w:sz="8" w:space="0" w:color="FFFFFF"/>
            </w:tcBorders>
            <w:shd w:val="clear" w:color="000000" w:fill="C0C0C0"/>
            <w:vAlign w:val="bottom"/>
            <w:hideMark/>
          </w:tcPr>
          <w:p w:rsidR="00D7554B" w:rsidRPr="00D7554B" w:rsidRDefault="00D7554B" w:rsidP="00D7554B">
            <w:pPr>
              <w:jc w:val="right"/>
              <w:rPr>
                <w:rFonts w:ascii="Arial" w:hAnsi="Arial" w:cs="Arial"/>
                <w:b/>
                <w:bCs/>
                <w:color w:val="000000"/>
                <w:sz w:val="18"/>
                <w:szCs w:val="18"/>
              </w:rPr>
            </w:pPr>
            <w:r w:rsidRPr="00D7554B">
              <w:rPr>
                <w:rFonts w:ascii="Arial" w:hAnsi="Arial" w:cs="Arial"/>
                <w:b/>
                <w:bCs/>
                <w:color w:val="000000"/>
                <w:sz w:val="18"/>
                <w:szCs w:val="18"/>
              </w:rPr>
              <w:t>0</w:t>
            </w:r>
          </w:p>
        </w:tc>
        <w:tc>
          <w:tcPr>
            <w:tcW w:w="1139" w:type="dxa"/>
            <w:tcBorders>
              <w:top w:val="nil"/>
              <w:left w:val="nil"/>
              <w:bottom w:val="nil"/>
              <w:right w:val="single" w:sz="8" w:space="0" w:color="FFFFFF"/>
            </w:tcBorders>
            <w:shd w:val="clear" w:color="000000" w:fill="C0C0C0"/>
            <w:vAlign w:val="bottom"/>
            <w:hideMark/>
          </w:tcPr>
          <w:p w:rsidR="00D7554B" w:rsidRPr="00D7554B" w:rsidRDefault="00D7554B" w:rsidP="00D7554B">
            <w:pPr>
              <w:jc w:val="right"/>
              <w:rPr>
                <w:rFonts w:ascii="Arial" w:hAnsi="Arial" w:cs="Arial"/>
                <w:b/>
                <w:bCs/>
                <w:color w:val="000000"/>
                <w:sz w:val="18"/>
                <w:szCs w:val="18"/>
              </w:rPr>
            </w:pPr>
            <w:r w:rsidRPr="00D7554B">
              <w:rPr>
                <w:rFonts w:ascii="Arial" w:hAnsi="Arial" w:cs="Arial"/>
                <w:b/>
                <w:bCs/>
                <w:color w:val="000000"/>
                <w:sz w:val="18"/>
                <w:szCs w:val="18"/>
              </w:rPr>
              <w:t>0</w:t>
            </w:r>
          </w:p>
        </w:tc>
        <w:tc>
          <w:tcPr>
            <w:tcW w:w="320"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3377" w:type="dxa"/>
            <w:tcBorders>
              <w:top w:val="nil"/>
              <w:left w:val="single" w:sz="8" w:space="0" w:color="FFFFFF"/>
              <w:bottom w:val="nil"/>
              <w:right w:val="single" w:sz="8" w:space="0" w:color="FFFFFF"/>
            </w:tcBorders>
            <w:shd w:val="clear" w:color="000000" w:fill="C0C0C0"/>
            <w:vAlign w:val="bottom"/>
            <w:hideMark/>
          </w:tcPr>
          <w:p w:rsidR="00D7554B" w:rsidRPr="00D7554B" w:rsidRDefault="00D7554B" w:rsidP="00D7554B">
            <w:pPr>
              <w:rPr>
                <w:rFonts w:ascii="Arial" w:hAnsi="Arial" w:cs="Arial"/>
                <w:b/>
                <w:bCs/>
                <w:color w:val="000000"/>
                <w:sz w:val="18"/>
                <w:szCs w:val="18"/>
              </w:rPr>
            </w:pPr>
            <w:r w:rsidRPr="00D7554B">
              <w:rPr>
                <w:rFonts w:ascii="Arial" w:hAnsi="Arial" w:cs="Arial"/>
                <w:b/>
                <w:bCs/>
                <w:color w:val="000000"/>
                <w:sz w:val="18"/>
                <w:szCs w:val="18"/>
              </w:rPr>
              <w:t>Surplus /Deficit</w:t>
            </w:r>
          </w:p>
        </w:tc>
        <w:tc>
          <w:tcPr>
            <w:tcW w:w="320" w:type="dxa"/>
            <w:tcBorders>
              <w:top w:val="nil"/>
              <w:left w:val="nil"/>
              <w:bottom w:val="nil"/>
              <w:right w:val="single" w:sz="8" w:space="0" w:color="FFFFFF"/>
            </w:tcBorders>
            <w:shd w:val="clear" w:color="auto" w:fill="auto"/>
            <w:vAlign w:val="bottom"/>
            <w:hideMark/>
          </w:tcPr>
          <w:p w:rsidR="00D7554B" w:rsidRPr="00D7554B" w:rsidRDefault="00D7554B" w:rsidP="00D7554B">
            <w:pPr>
              <w:jc w:val="right"/>
              <w:rPr>
                <w:rFonts w:ascii="Arial" w:hAnsi="Arial" w:cs="Arial"/>
                <w:b/>
                <w:bCs/>
                <w:color w:val="000000"/>
                <w:sz w:val="18"/>
                <w:szCs w:val="18"/>
              </w:rPr>
            </w:pPr>
            <w:r w:rsidRPr="00D7554B">
              <w:rPr>
                <w:rFonts w:ascii="Arial" w:hAnsi="Arial" w:cs="Arial"/>
                <w:b/>
                <w:bCs/>
                <w:color w:val="000000"/>
                <w:sz w:val="18"/>
                <w:szCs w:val="18"/>
              </w:rPr>
              <w:t> </w:t>
            </w:r>
          </w:p>
        </w:tc>
        <w:tc>
          <w:tcPr>
            <w:tcW w:w="1139" w:type="dxa"/>
            <w:tcBorders>
              <w:top w:val="nil"/>
              <w:left w:val="nil"/>
              <w:bottom w:val="nil"/>
              <w:right w:val="single" w:sz="8" w:space="0" w:color="FFFFFF"/>
            </w:tcBorders>
            <w:shd w:val="clear" w:color="000000" w:fill="C0C0C0"/>
            <w:vAlign w:val="bottom"/>
            <w:hideMark/>
          </w:tcPr>
          <w:p w:rsidR="00D7554B" w:rsidRPr="00D7554B" w:rsidRDefault="00D7554B" w:rsidP="00D7554B">
            <w:pPr>
              <w:jc w:val="right"/>
              <w:rPr>
                <w:rFonts w:ascii="Arial" w:hAnsi="Arial" w:cs="Arial"/>
                <w:b/>
                <w:bCs/>
                <w:color w:val="000000"/>
                <w:sz w:val="18"/>
                <w:szCs w:val="18"/>
              </w:rPr>
            </w:pPr>
            <w:r w:rsidRPr="00D7554B">
              <w:rPr>
                <w:rFonts w:ascii="Arial" w:hAnsi="Arial" w:cs="Arial"/>
                <w:b/>
                <w:bCs/>
                <w:color w:val="000000"/>
                <w:sz w:val="18"/>
                <w:szCs w:val="18"/>
              </w:rPr>
              <w:t>0</w:t>
            </w:r>
          </w:p>
        </w:tc>
        <w:tc>
          <w:tcPr>
            <w:tcW w:w="1599" w:type="dxa"/>
            <w:tcBorders>
              <w:top w:val="nil"/>
              <w:left w:val="nil"/>
              <w:bottom w:val="nil"/>
              <w:right w:val="single" w:sz="8" w:space="0" w:color="FFFFFF"/>
            </w:tcBorders>
            <w:shd w:val="clear" w:color="000000" w:fill="C0C0C0"/>
            <w:vAlign w:val="bottom"/>
            <w:hideMark/>
          </w:tcPr>
          <w:p w:rsidR="00D7554B" w:rsidRPr="00D7554B" w:rsidRDefault="00D7554B" w:rsidP="00D7554B">
            <w:pPr>
              <w:jc w:val="right"/>
              <w:rPr>
                <w:rFonts w:ascii="Arial" w:hAnsi="Arial" w:cs="Arial"/>
                <w:b/>
                <w:bCs/>
                <w:color w:val="000000"/>
                <w:sz w:val="18"/>
                <w:szCs w:val="18"/>
              </w:rPr>
            </w:pPr>
            <w:r w:rsidRPr="00D7554B">
              <w:rPr>
                <w:rFonts w:ascii="Arial" w:hAnsi="Arial" w:cs="Arial"/>
                <w:b/>
                <w:bCs/>
                <w:color w:val="000000"/>
                <w:sz w:val="18"/>
                <w:szCs w:val="18"/>
              </w:rPr>
              <w:t>0</w:t>
            </w:r>
          </w:p>
        </w:tc>
        <w:tc>
          <w:tcPr>
            <w:tcW w:w="1160" w:type="dxa"/>
            <w:tcBorders>
              <w:top w:val="nil"/>
              <w:left w:val="nil"/>
              <w:bottom w:val="nil"/>
              <w:right w:val="single" w:sz="8" w:space="0" w:color="FFFFFF"/>
            </w:tcBorders>
            <w:shd w:val="clear" w:color="000000" w:fill="C0C0C0"/>
            <w:vAlign w:val="bottom"/>
            <w:hideMark/>
          </w:tcPr>
          <w:p w:rsidR="00D7554B" w:rsidRPr="00D7554B" w:rsidRDefault="00D7554B" w:rsidP="00D7554B">
            <w:pPr>
              <w:jc w:val="right"/>
              <w:rPr>
                <w:rFonts w:ascii="Arial" w:hAnsi="Arial" w:cs="Arial"/>
                <w:b/>
                <w:bCs/>
                <w:color w:val="000000"/>
                <w:sz w:val="18"/>
                <w:szCs w:val="18"/>
              </w:rPr>
            </w:pPr>
            <w:r w:rsidRPr="00D7554B">
              <w:rPr>
                <w:rFonts w:ascii="Arial" w:hAnsi="Arial" w:cs="Arial"/>
                <w:b/>
                <w:bCs/>
                <w:color w:val="000000"/>
                <w:sz w:val="18"/>
                <w:szCs w:val="18"/>
              </w:rPr>
              <w:t>0</w:t>
            </w:r>
          </w:p>
        </w:tc>
        <w:tc>
          <w:tcPr>
            <w:tcW w:w="328" w:type="dxa"/>
            <w:tcBorders>
              <w:top w:val="nil"/>
              <w:left w:val="nil"/>
              <w:bottom w:val="nil"/>
              <w:right w:val="nil"/>
            </w:tcBorders>
            <w:shd w:val="clear" w:color="auto" w:fill="auto"/>
            <w:noWrap/>
            <w:vAlign w:val="bottom"/>
            <w:hideMark/>
          </w:tcPr>
          <w:p w:rsidR="00D7554B" w:rsidRPr="00D7554B" w:rsidRDefault="00D7554B" w:rsidP="00D7554B">
            <w:pPr>
              <w:rPr>
                <w:rFonts w:ascii="Calibri" w:hAnsi="Calibri" w:cs="Calibri"/>
                <w:color w:val="000000"/>
                <w:sz w:val="22"/>
                <w:szCs w:val="22"/>
              </w:rPr>
            </w:pPr>
          </w:p>
        </w:tc>
        <w:tc>
          <w:tcPr>
            <w:tcW w:w="960" w:type="dxa"/>
            <w:tcBorders>
              <w:top w:val="nil"/>
              <w:left w:val="single" w:sz="8" w:space="0" w:color="FFFFFF"/>
              <w:bottom w:val="nil"/>
              <w:right w:val="single" w:sz="8" w:space="0" w:color="FFFFFF"/>
            </w:tcBorders>
            <w:shd w:val="clear" w:color="000000" w:fill="C0C0C0"/>
            <w:vAlign w:val="bottom"/>
            <w:hideMark/>
          </w:tcPr>
          <w:p w:rsidR="00D7554B" w:rsidRPr="00D7554B" w:rsidRDefault="00D7554B" w:rsidP="00D7554B">
            <w:pPr>
              <w:jc w:val="right"/>
              <w:rPr>
                <w:rFonts w:ascii="Arial" w:hAnsi="Arial" w:cs="Arial"/>
                <w:b/>
                <w:bCs/>
                <w:color w:val="000000"/>
                <w:sz w:val="18"/>
                <w:szCs w:val="18"/>
              </w:rPr>
            </w:pPr>
            <w:r w:rsidRPr="00D7554B">
              <w:rPr>
                <w:rFonts w:ascii="Arial" w:hAnsi="Arial" w:cs="Arial"/>
                <w:b/>
                <w:bCs/>
                <w:color w:val="000000"/>
                <w:sz w:val="18"/>
                <w:szCs w:val="18"/>
              </w:rPr>
              <w:t>0</w:t>
            </w:r>
          </w:p>
        </w:tc>
        <w:tc>
          <w:tcPr>
            <w:tcW w:w="960" w:type="dxa"/>
            <w:tcBorders>
              <w:top w:val="nil"/>
              <w:left w:val="nil"/>
              <w:bottom w:val="nil"/>
              <w:right w:val="single" w:sz="8" w:space="0" w:color="FFFFFF"/>
            </w:tcBorders>
            <w:shd w:val="clear" w:color="000000" w:fill="C0C0C0"/>
            <w:vAlign w:val="bottom"/>
            <w:hideMark/>
          </w:tcPr>
          <w:p w:rsidR="00D7554B" w:rsidRPr="00D7554B" w:rsidRDefault="00D7554B" w:rsidP="00D7554B">
            <w:pPr>
              <w:jc w:val="right"/>
              <w:rPr>
                <w:rFonts w:ascii="Arial" w:hAnsi="Arial" w:cs="Arial"/>
                <w:b/>
                <w:bCs/>
                <w:color w:val="000000"/>
                <w:sz w:val="18"/>
                <w:szCs w:val="18"/>
              </w:rPr>
            </w:pPr>
            <w:r w:rsidRPr="00D7554B">
              <w:rPr>
                <w:rFonts w:ascii="Arial" w:hAnsi="Arial" w:cs="Arial"/>
                <w:b/>
                <w:bCs/>
                <w:color w:val="000000"/>
                <w:sz w:val="18"/>
                <w:szCs w:val="18"/>
              </w:rPr>
              <w:t>0</w:t>
            </w:r>
          </w:p>
        </w:tc>
        <w:tc>
          <w:tcPr>
            <w:tcW w:w="960" w:type="dxa"/>
            <w:tcBorders>
              <w:top w:val="nil"/>
              <w:left w:val="nil"/>
              <w:bottom w:val="nil"/>
              <w:right w:val="single" w:sz="8" w:space="0" w:color="FFFFFF"/>
            </w:tcBorders>
            <w:shd w:val="clear" w:color="000000" w:fill="C0C0C0"/>
            <w:vAlign w:val="bottom"/>
            <w:hideMark/>
          </w:tcPr>
          <w:p w:rsidR="00D7554B" w:rsidRPr="00D7554B" w:rsidRDefault="00D7554B" w:rsidP="00D7554B">
            <w:pPr>
              <w:jc w:val="right"/>
              <w:rPr>
                <w:rFonts w:ascii="Arial" w:hAnsi="Arial" w:cs="Arial"/>
                <w:b/>
                <w:bCs/>
                <w:color w:val="000000"/>
                <w:sz w:val="18"/>
                <w:szCs w:val="18"/>
              </w:rPr>
            </w:pPr>
            <w:r w:rsidRPr="00D7554B">
              <w:rPr>
                <w:rFonts w:ascii="Arial" w:hAnsi="Arial" w:cs="Arial"/>
                <w:b/>
                <w:bCs/>
                <w:color w:val="000000"/>
                <w:sz w:val="18"/>
                <w:szCs w:val="18"/>
              </w:rPr>
              <w:t>0</w:t>
            </w:r>
          </w:p>
        </w:tc>
        <w:tc>
          <w:tcPr>
            <w:tcW w:w="1240" w:type="dxa"/>
            <w:tcBorders>
              <w:top w:val="nil"/>
              <w:left w:val="nil"/>
              <w:bottom w:val="nil"/>
              <w:right w:val="single" w:sz="8" w:space="0" w:color="FFFFFF"/>
            </w:tcBorders>
            <w:shd w:val="clear" w:color="000000" w:fill="C0C0C0"/>
            <w:vAlign w:val="bottom"/>
            <w:hideMark/>
          </w:tcPr>
          <w:p w:rsidR="00D7554B" w:rsidRPr="00D7554B" w:rsidRDefault="00D7554B" w:rsidP="00D7554B">
            <w:pPr>
              <w:jc w:val="right"/>
              <w:rPr>
                <w:rFonts w:ascii="Arial" w:hAnsi="Arial" w:cs="Arial"/>
                <w:b/>
                <w:bCs/>
                <w:color w:val="000000"/>
                <w:sz w:val="18"/>
                <w:szCs w:val="18"/>
              </w:rPr>
            </w:pPr>
            <w:r w:rsidRPr="00D7554B">
              <w:rPr>
                <w:rFonts w:ascii="Arial" w:hAnsi="Arial" w:cs="Arial"/>
                <w:b/>
                <w:bCs/>
                <w:color w:val="000000"/>
                <w:sz w:val="18"/>
                <w:szCs w:val="18"/>
              </w:rPr>
              <w:t>0</w:t>
            </w:r>
          </w:p>
        </w:tc>
      </w:tr>
    </w:tbl>
    <w:p w:rsidR="006935C1" w:rsidRDefault="006935C1" w:rsidP="00015D1D">
      <w:pPr>
        <w:spacing w:after="200" w:line="276" w:lineRule="auto"/>
        <w:rPr>
          <w:rFonts w:ascii="Arial" w:eastAsia="Calibri" w:hAnsi="Arial"/>
          <w:b/>
          <w:bCs/>
          <w:color w:val="56008C"/>
          <w:szCs w:val="26"/>
          <w:lang w:eastAsia="en-US"/>
        </w:rPr>
      </w:pPr>
    </w:p>
    <w:p w:rsidR="00634D6C" w:rsidRDefault="00634D6C" w:rsidP="00015D1D">
      <w:pPr>
        <w:spacing w:after="200" w:line="276" w:lineRule="auto"/>
        <w:rPr>
          <w:rFonts w:ascii="Arial" w:eastAsia="Calibri" w:hAnsi="Arial"/>
          <w:b/>
          <w:bCs/>
          <w:color w:val="56008C"/>
          <w:szCs w:val="26"/>
          <w:lang w:eastAsia="en-US"/>
        </w:rPr>
      </w:pPr>
    </w:p>
    <w:p w:rsidR="00634D6C" w:rsidRDefault="00634D6C" w:rsidP="00015D1D">
      <w:pPr>
        <w:spacing w:after="200" w:line="276" w:lineRule="auto"/>
        <w:rPr>
          <w:rFonts w:ascii="Arial" w:eastAsia="Calibri" w:hAnsi="Arial"/>
          <w:b/>
          <w:bCs/>
          <w:color w:val="56008C"/>
          <w:szCs w:val="26"/>
          <w:lang w:eastAsia="en-US"/>
        </w:rPr>
      </w:pPr>
    </w:p>
    <w:p w:rsidR="00634D6C" w:rsidRDefault="00634D6C" w:rsidP="00015D1D">
      <w:pPr>
        <w:spacing w:after="200" w:line="276" w:lineRule="auto"/>
        <w:rPr>
          <w:rFonts w:ascii="Arial" w:eastAsia="Calibri" w:hAnsi="Arial"/>
          <w:b/>
          <w:bCs/>
          <w:color w:val="56008C"/>
          <w:szCs w:val="26"/>
          <w:lang w:eastAsia="en-US"/>
        </w:rPr>
      </w:pPr>
    </w:p>
    <w:p w:rsidR="00086661" w:rsidRDefault="00086661" w:rsidP="00015D1D">
      <w:pPr>
        <w:spacing w:after="200" w:line="276" w:lineRule="auto"/>
        <w:rPr>
          <w:rFonts w:ascii="Arial" w:eastAsia="Calibri" w:hAnsi="Arial"/>
          <w:b/>
          <w:bCs/>
          <w:color w:val="56008C"/>
          <w:szCs w:val="26"/>
          <w:lang w:eastAsia="en-US"/>
        </w:rPr>
      </w:pPr>
    </w:p>
    <w:tbl>
      <w:tblPr>
        <w:tblW w:w="15003" w:type="dxa"/>
        <w:tblInd w:w="108" w:type="dxa"/>
        <w:tblLook w:val="04A0" w:firstRow="1" w:lastRow="0" w:firstColumn="1" w:lastColumn="0" w:noHBand="0" w:noVBand="1"/>
      </w:tblPr>
      <w:tblGrid>
        <w:gridCol w:w="15003"/>
      </w:tblGrid>
      <w:tr w:rsidR="00FC6782" w:rsidRPr="00FC6782" w:rsidTr="00FC6782">
        <w:trPr>
          <w:trHeight w:val="293"/>
        </w:trPr>
        <w:tc>
          <w:tcPr>
            <w:tcW w:w="15003" w:type="dxa"/>
            <w:tcBorders>
              <w:top w:val="nil"/>
              <w:left w:val="nil"/>
              <w:bottom w:val="nil"/>
              <w:right w:val="nil"/>
            </w:tcBorders>
            <w:shd w:val="clear" w:color="auto" w:fill="auto"/>
            <w:noWrap/>
            <w:vAlign w:val="bottom"/>
            <w:hideMark/>
          </w:tcPr>
          <w:p w:rsidR="00FC6782" w:rsidRPr="00FC6782" w:rsidRDefault="00FC6782" w:rsidP="0060431A">
            <w:pPr>
              <w:spacing w:after="200" w:line="276" w:lineRule="auto"/>
              <w:rPr>
                <w:rFonts w:ascii="Calibri" w:hAnsi="Calibri" w:cs="Calibri"/>
                <w:color w:val="000000"/>
                <w:sz w:val="22"/>
                <w:szCs w:val="22"/>
              </w:rPr>
            </w:pPr>
          </w:p>
        </w:tc>
      </w:tr>
    </w:tbl>
    <w:p w:rsidR="00FC6782" w:rsidRPr="00273C65" w:rsidRDefault="00FC6782" w:rsidP="007F458D">
      <w:pPr>
        <w:rPr>
          <w:rFonts w:cs="Arial"/>
          <w:sz w:val="18"/>
          <w:szCs w:val="18"/>
        </w:rPr>
      </w:pPr>
    </w:p>
    <w:sectPr w:rsidR="00FC6782" w:rsidRPr="00273C65" w:rsidSect="00BB4161">
      <w:pgSz w:w="16838" w:h="11906" w:orient="landscape"/>
      <w:pgMar w:top="900" w:right="706" w:bottom="99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309" w:rsidRDefault="00796309" w:rsidP="00412C00">
      <w:r>
        <w:separator/>
      </w:r>
    </w:p>
  </w:endnote>
  <w:endnote w:type="continuationSeparator" w:id="0">
    <w:p w:rsidR="00796309" w:rsidRDefault="00796309" w:rsidP="0041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309" w:rsidRDefault="00796309" w:rsidP="00412C00">
      <w:r>
        <w:separator/>
      </w:r>
    </w:p>
  </w:footnote>
  <w:footnote w:type="continuationSeparator" w:id="0">
    <w:p w:rsidR="00796309" w:rsidRDefault="00796309" w:rsidP="00412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991350"/>
      <w:docPartObj>
        <w:docPartGallery w:val="Watermarks"/>
        <w:docPartUnique/>
      </w:docPartObj>
    </w:sdtPr>
    <w:sdtEndPr/>
    <w:sdtContent>
      <w:p w:rsidR="00796309" w:rsidRDefault="00420BDD">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938"/>
    <w:multiLevelType w:val="hybridMultilevel"/>
    <w:tmpl w:val="061E21A0"/>
    <w:lvl w:ilvl="0" w:tplc="08090003">
      <w:start w:val="1"/>
      <w:numFmt w:val="bullet"/>
      <w:lvlText w:val="o"/>
      <w:lvlJc w:val="left"/>
      <w:pPr>
        <w:ind w:left="3262" w:hanging="360"/>
      </w:pPr>
      <w:rPr>
        <w:rFonts w:ascii="Courier New" w:hAnsi="Courier New" w:cs="Courier New" w:hint="default"/>
      </w:rPr>
    </w:lvl>
    <w:lvl w:ilvl="1" w:tplc="08090003" w:tentative="1">
      <w:start w:val="1"/>
      <w:numFmt w:val="bullet"/>
      <w:lvlText w:val="o"/>
      <w:lvlJc w:val="left"/>
      <w:pPr>
        <w:ind w:left="3982" w:hanging="360"/>
      </w:pPr>
      <w:rPr>
        <w:rFonts w:ascii="Courier New" w:hAnsi="Courier New" w:cs="Courier New" w:hint="default"/>
      </w:rPr>
    </w:lvl>
    <w:lvl w:ilvl="2" w:tplc="08090005" w:tentative="1">
      <w:start w:val="1"/>
      <w:numFmt w:val="bullet"/>
      <w:lvlText w:val=""/>
      <w:lvlJc w:val="left"/>
      <w:pPr>
        <w:ind w:left="4702" w:hanging="360"/>
      </w:pPr>
      <w:rPr>
        <w:rFonts w:ascii="Wingdings" w:hAnsi="Wingdings" w:hint="default"/>
      </w:rPr>
    </w:lvl>
    <w:lvl w:ilvl="3" w:tplc="08090001" w:tentative="1">
      <w:start w:val="1"/>
      <w:numFmt w:val="bullet"/>
      <w:lvlText w:val=""/>
      <w:lvlJc w:val="left"/>
      <w:pPr>
        <w:ind w:left="5422" w:hanging="360"/>
      </w:pPr>
      <w:rPr>
        <w:rFonts w:ascii="Symbol" w:hAnsi="Symbol" w:hint="default"/>
      </w:rPr>
    </w:lvl>
    <w:lvl w:ilvl="4" w:tplc="08090003" w:tentative="1">
      <w:start w:val="1"/>
      <w:numFmt w:val="bullet"/>
      <w:lvlText w:val="o"/>
      <w:lvlJc w:val="left"/>
      <w:pPr>
        <w:ind w:left="6142" w:hanging="360"/>
      </w:pPr>
      <w:rPr>
        <w:rFonts w:ascii="Courier New" w:hAnsi="Courier New" w:cs="Courier New" w:hint="default"/>
      </w:rPr>
    </w:lvl>
    <w:lvl w:ilvl="5" w:tplc="08090005" w:tentative="1">
      <w:start w:val="1"/>
      <w:numFmt w:val="bullet"/>
      <w:lvlText w:val=""/>
      <w:lvlJc w:val="left"/>
      <w:pPr>
        <w:ind w:left="6862" w:hanging="360"/>
      </w:pPr>
      <w:rPr>
        <w:rFonts w:ascii="Wingdings" w:hAnsi="Wingdings" w:hint="default"/>
      </w:rPr>
    </w:lvl>
    <w:lvl w:ilvl="6" w:tplc="08090001" w:tentative="1">
      <w:start w:val="1"/>
      <w:numFmt w:val="bullet"/>
      <w:lvlText w:val=""/>
      <w:lvlJc w:val="left"/>
      <w:pPr>
        <w:ind w:left="7582" w:hanging="360"/>
      </w:pPr>
      <w:rPr>
        <w:rFonts w:ascii="Symbol" w:hAnsi="Symbol" w:hint="default"/>
      </w:rPr>
    </w:lvl>
    <w:lvl w:ilvl="7" w:tplc="08090003" w:tentative="1">
      <w:start w:val="1"/>
      <w:numFmt w:val="bullet"/>
      <w:lvlText w:val="o"/>
      <w:lvlJc w:val="left"/>
      <w:pPr>
        <w:ind w:left="8302" w:hanging="360"/>
      </w:pPr>
      <w:rPr>
        <w:rFonts w:ascii="Courier New" w:hAnsi="Courier New" w:cs="Courier New" w:hint="default"/>
      </w:rPr>
    </w:lvl>
    <w:lvl w:ilvl="8" w:tplc="08090005" w:tentative="1">
      <w:start w:val="1"/>
      <w:numFmt w:val="bullet"/>
      <w:lvlText w:val=""/>
      <w:lvlJc w:val="left"/>
      <w:pPr>
        <w:ind w:left="9022" w:hanging="360"/>
      </w:pPr>
      <w:rPr>
        <w:rFonts w:ascii="Wingdings" w:hAnsi="Wingdings" w:hint="default"/>
      </w:rPr>
    </w:lvl>
  </w:abstractNum>
  <w:abstractNum w:abstractNumId="1">
    <w:nsid w:val="0D291220"/>
    <w:multiLevelType w:val="hybridMultilevel"/>
    <w:tmpl w:val="97F2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D1860"/>
    <w:multiLevelType w:val="hybridMultilevel"/>
    <w:tmpl w:val="F0384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7575CF"/>
    <w:multiLevelType w:val="hybridMultilevel"/>
    <w:tmpl w:val="099E7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587536"/>
    <w:multiLevelType w:val="hybridMultilevel"/>
    <w:tmpl w:val="3D44CB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5AA1FB2"/>
    <w:multiLevelType w:val="hybridMultilevel"/>
    <w:tmpl w:val="457641A2"/>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nsid w:val="340A123E"/>
    <w:multiLevelType w:val="hybridMultilevel"/>
    <w:tmpl w:val="B3520682"/>
    <w:lvl w:ilvl="0" w:tplc="7FDA39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4A48B0"/>
    <w:multiLevelType w:val="hybridMultilevel"/>
    <w:tmpl w:val="AE3260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34B2432F"/>
    <w:multiLevelType w:val="hybridMultilevel"/>
    <w:tmpl w:val="F0208A20"/>
    <w:lvl w:ilvl="0" w:tplc="934E7ACE">
      <w:start w:val="1"/>
      <w:numFmt w:val="decimal"/>
      <w:lvlText w:val="%1."/>
      <w:lvlJc w:val="left"/>
      <w:pPr>
        <w:tabs>
          <w:tab w:val="num" w:pos="360"/>
        </w:tabs>
        <w:ind w:left="360" w:hanging="360"/>
      </w:pPr>
    </w:lvl>
    <w:lvl w:ilvl="1" w:tplc="AE100DFC">
      <w:numFmt w:val="none"/>
      <w:lvlText w:val=""/>
      <w:lvlJc w:val="left"/>
      <w:pPr>
        <w:tabs>
          <w:tab w:val="num" w:pos="360"/>
        </w:tabs>
      </w:pPr>
    </w:lvl>
    <w:lvl w:ilvl="2" w:tplc="DCD80F4E">
      <w:numFmt w:val="none"/>
      <w:lvlText w:val=""/>
      <w:lvlJc w:val="left"/>
      <w:pPr>
        <w:tabs>
          <w:tab w:val="num" w:pos="360"/>
        </w:tabs>
      </w:pPr>
    </w:lvl>
    <w:lvl w:ilvl="3" w:tplc="96E698B2">
      <w:numFmt w:val="none"/>
      <w:lvlText w:val=""/>
      <w:lvlJc w:val="left"/>
      <w:pPr>
        <w:tabs>
          <w:tab w:val="num" w:pos="360"/>
        </w:tabs>
      </w:pPr>
    </w:lvl>
    <w:lvl w:ilvl="4" w:tplc="54AA915A">
      <w:numFmt w:val="none"/>
      <w:lvlText w:val=""/>
      <w:lvlJc w:val="left"/>
      <w:pPr>
        <w:tabs>
          <w:tab w:val="num" w:pos="360"/>
        </w:tabs>
      </w:pPr>
    </w:lvl>
    <w:lvl w:ilvl="5" w:tplc="A57ADD74">
      <w:numFmt w:val="none"/>
      <w:lvlText w:val=""/>
      <w:lvlJc w:val="left"/>
      <w:pPr>
        <w:tabs>
          <w:tab w:val="num" w:pos="360"/>
        </w:tabs>
      </w:pPr>
    </w:lvl>
    <w:lvl w:ilvl="6" w:tplc="5330EEEE">
      <w:numFmt w:val="none"/>
      <w:lvlText w:val=""/>
      <w:lvlJc w:val="left"/>
      <w:pPr>
        <w:tabs>
          <w:tab w:val="num" w:pos="360"/>
        </w:tabs>
      </w:pPr>
    </w:lvl>
    <w:lvl w:ilvl="7" w:tplc="A7586E4E">
      <w:numFmt w:val="none"/>
      <w:lvlText w:val=""/>
      <w:lvlJc w:val="left"/>
      <w:pPr>
        <w:tabs>
          <w:tab w:val="num" w:pos="360"/>
        </w:tabs>
      </w:pPr>
    </w:lvl>
    <w:lvl w:ilvl="8" w:tplc="30BC2D92">
      <w:numFmt w:val="none"/>
      <w:lvlText w:val=""/>
      <w:lvlJc w:val="left"/>
      <w:pPr>
        <w:tabs>
          <w:tab w:val="num" w:pos="360"/>
        </w:tabs>
      </w:pPr>
    </w:lvl>
  </w:abstractNum>
  <w:abstractNum w:abstractNumId="9">
    <w:nsid w:val="3B171A2E"/>
    <w:multiLevelType w:val="hybridMultilevel"/>
    <w:tmpl w:val="2C50852A"/>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CF31E4"/>
    <w:multiLevelType w:val="hybridMultilevel"/>
    <w:tmpl w:val="826CD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FF6A05"/>
    <w:multiLevelType w:val="hybridMultilevel"/>
    <w:tmpl w:val="39887D2C"/>
    <w:lvl w:ilvl="0" w:tplc="08090003">
      <w:start w:val="1"/>
      <w:numFmt w:val="bullet"/>
      <w:lvlText w:val="o"/>
      <w:lvlJc w:val="left"/>
      <w:pPr>
        <w:ind w:left="2509" w:hanging="360"/>
      </w:pPr>
      <w:rPr>
        <w:rFonts w:ascii="Courier New" w:hAnsi="Courier New" w:cs="Courier New" w:hint="default"/>
      </w:rPr>
    </w:lvl>
    <w:lvl w:ilvl="1" w:tplc="08090003" w:tentative="1">
      <w:start w:val="1"/>
      <w:numFmt w:val="bullet"/>
      <w:lvlText w:val="o"/>
      <w:lvlJc w:val="left"/>
      <w:pPr>
        <w:ind w:left="3229" w:hanging="360"/>
      </w:pPr>
      <w:rPr>
        <w:rFonts w:ascii="Courier New" w:hAnsi="Courier New" w:cs="Courier New"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Courier New"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Courier New" w:hint="default"/>
      </w:rPr>
    </w:lvl>
    <w:lvl w:ilvl="8" w:tplc="08090005" w:tentative="1">
      <w:start w:val="1"/>
      <w:numFmt w:val="bullet"/>
      <w:lvlText w:val=""/>
      <w:lvlJc w:val="left"/>
      <w:pPr>
        <w:ind w:left="8269" w:hanging="360"/>
      </w:pPr>
      <w:rPr>
        <w:rFonts w:ascii="Wingdings" w:hAnsi="Wingdings" w:hint="default"/>
      </w:rPr>
    </w:lvl>
  </w:abstractNum>
  <w:abstractNum w:abstractNumId="12">
    <w:nsid w:val="431F332B"/>
    <w:multiLevelType w:val="hybridMultilevel"/>
    <w:tmpl w:val="AA46A9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402ABC"/>
    <w:multiLevelType w:val="hybridMultilevel"/>
    <w:tmpl w:val="B00C5BE0"/>
    <w:lvl w:ilvl="0" w:tplc="45041F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194781"/>
    <w:multiLevelType w:val="hybridMultilevel"/>
    <w:tmpl w:val="A77000F0"/>
    <w:lvl w:ilvl="0" w:tplc="A950D33E">
      <w:start w:val="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66605D"/>
    <w:multiLevelType w:val="hybridMultilevel"/>
    <w:tmpl w:val="388E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5938FD"/>
    <w:multiLevelType w:val="hybridMultilevel"/>
    <w:tmpl w:val="F37A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074674"/>
    <w:multiLevelType w:val="hybridMultilevel"/>
    <w:tmpl w:val="1804CAD8"/>
    <w:lvl w:ilvl="0" w:tplc="926A76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8D2685"/>
    <w:multiLevelType w:val="hybridMultilevel"/>
    <w:tmpl w:val="7AD6D538"/>
    <w:lvl w:ilvl="0" w:tplc="0CFA2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4476AF"/>
    <w:multiLevelType w:val="hybridMultilevel"/>
    <w:tmpl w:val="F9469464"/>
    <w:lvl w:ilvl="0" w:tplc="52DA0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764615"/>
    <w:multiLevelType w:val="hybridMultilevel"/>
    <w:tmpl w:val="C3B47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293675D"/>
    <w:multiLevelType w:val="hybridMultilevel"/>
    <w:tmpl w:val="3EAA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760BED"/>
    <w:multiLevelType w:val="hybridMultilevel"/>
    <w:tmpl w:val="47B20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CD74158"/>
    <w:multiLevelType w:val="hybridMultilevel"/>
    <w:tmpl w:val="23D4F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7D6FD7"/>
    <w:multiLevelType w:val="hybridMultilevel"/>
    <w:tmpl w:val="BBB8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112D61"/>
    <w:multiLevelType w:val="hybridMultilevel"/>
    <w:tmpl w:val="9DA8E69E"/>
    <w:lvl w:ilvl="0" w:tplc="BE7C1C0E">
      <w:start w:val="1"/>
      <w:numFmt w:val="lowerLetter"/>
      <w:lvlText w:val="%1."/>
      <w:lvlJc w:val="left"/>
      <w:pPr>
        <w:ind w:left="1080" w:hanging="720"/>
      </w:pPr>
      <w:rPr>
        <w:rFonts w:ascii="Arial" w:eastAsia="Times New Roman" w:hAnsi="Arial" w:cs="Arial"/>
        <w:b w:val="0"/>
      </w:rPr>
    </w:lvl>
    <w:lvl w:ilvl="1" w:tplc="F4A61D06">
      <w:start w:val="1"/>
      <w:numFmt w:val="lowerRoman"/>
      <w:lvlText w:val="%2."/>
      <w:lvlJc w:val="left"/>
      <w:pPr>
        <w:ind w:left="1440" w:hanging="360"/>
      </w:pPr>
      <w:rPr>
        <w:rFonts w:ascii="Arial" w:eastAsia="Times New Roman"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B471EE1"/>
    <w:multiLevelType w:val="hybridMultilevel"/>
    <w:tmpl w:val="8E6A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FF064A"/>
    <w:multiLevelType w:val="hybridMultilevel"/>
    <w:tmpl w:val="A49205EC"/>
    <w:lvl w:ilvl="0" w:tplc="19BE03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
  </w:num>
  <w:num w:numId="3">
    <w:abstractNumId w:val="8"/>
  </w:num>
  <w:num w:numId="4">
    <w:abstractNumId w:val="26"/>
  </w:num>
  <w:num w:numId="5">
    <w:abstractNumId w:val="15"/>
  </w:num>
  <w:num w:numId="6">
    <w:abstractNumId w:val="3"/>
  </w:num>
  <w:num w:numId="7">
    <w:abstractNumId w:val="4"/>
  </w:num>
  <w:num w:numId="8">
    <w:abstractNumId w:val="20"/>
  </w:num>
  <w:num w:numId="9">
    <w:abstractNumId w:val="12"/>
  </w:num>
  <w:num w:numId="10">
    <w:abstractNumId w:val="9"/>
  </w:num>
  <w:num w:numId="11">
    <w:abstractNumId w:val="7"/>
  </w:num>
  <w:num w:numId="12">
    <w:abstractNumId w:val="0"/>
  </w:num>
  <w:num w:numId="13">
    <w:abstractNumId w:val="5"/>
  </w:num>
  <w:num w:numId="14">
    <w:abstractNumId w:val="11"/>
  </w:num>
  <w:num w:numId="15">
    <w:abstractNumId w:val="2"/>
  </w:num>
  <w:num w:numId="16">
    <w:abstractNumId w:val="21"/>
  </w:num>
  <w:num w:numId="17">
    <w:abstractNumId w:val="25"/>
  </w:num>
  <w:num w:numId="18">
    <w:abstractNumId w:val="17"/>
  </w:num>
  <w:num w:numId="19">
    <w:abstractNumId w:val="13"/>
  </w:num>
  <w:num w:numId="20">
    <w:abstractNumId w:val="19"/>
  </w:num>
  <w:num w:numId="21">
    <w:abstractNumId w:val="18"/>
  </w:num>
  <w:num w:numId="22">
    <w:abstractNumId w:val="6"/>
  </w:num>
  <w:num w:numId="23">
    <w:abstractNumId w:val="14"/>
  </w:num>
  <w:num w:numId="24">
    <w:abstractNumId w:val="24"/>
  </w:num>
  <w:num w:numId="25">
    <w:abstractNumId w:val="22"/>
  </w:num>
  <w:num w:numId="26">
    <w:abstractNumId w:val="10"/>
  </w:num>
  <w:num w:numId="27">
    <w:abstractNumId w:val="1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21"/>
    <w:rsid w:val="00002E5F"/>
    <w:rsid w:val="00004C4F"/>
    <w:rsid w:val="0000631A"/>
    <w:rsid w:val="00006A45"/>
    <w:rsid w:val="00011FDF"/>
    <w:rsid w:val="000140FE"/>
    <w:rsid w:val="00015D1D"/>
    <w:rsid w:val="00016856"/>
    <w:rsid w:val="00017760"/>
    <w:rsid w:val="000200FA"/>
    <w:rsid w:val="00020E2E"/>
    <w:rsid w:val="000217E9"/>
    <w:rsid w:val="00021ABB"/>
    <w:rsid w:val="00022301"/>
    <w:rsid w:val="0002376C"/>
    <w:rsid w:val="000239F7"/>
    <w:rsid w:val="0002461E"/>
    <w:rsid w:val="00024BC8"/>
    <w:rsid w:val="000271F4"/>
    <w:rsid w:val="00030167"/>
    <w:rsid w:val="0003250E"/>
    <w:rsid w:val="00033BC9"/>
    <w:rsid w:val="00033FF1"/>
    <w:rsid w:val="00034A25"/>
    <w:rsid w:val="00034D0F"/>
    <w:rsid w:val="00035367"/>
    <w:rsid w:val="0003758C"/>
    <w:rsid w:val="00037838"/>
    <w:rsid w:val="00040F35"/>
    <w:rsid w:val="00042A65"/>
    <w:rsid w:val="0004366E"/>
    <w:rsid w:val="0004442F"/>
    <w:rsid w:val="00044467"/>
    <w:rsid w:val="0004446C"/>
    <w:rsid w:val="00044D07"/>
    <w:rsid w:val="00047960"/>
    <w:rsid w:val="00053090"/>
    <w:rsid w:val="00054430"/>
    <w:rsid w:val="000550DF"/>
    <w:rsid w:val="00055303"/>
    <w:rsid w:val="00055506"/>
    <w:rsid w:val="00056576"/>
    <w:rsid w:val="0006158F"/>
    <w:rsid w:val="0006430C"/>
    <w:rsid w:val="000658EF"/>
    <w:rsid w:val="0006597A"/>
    <w:rsid w:val="00066196"/>
    <w:rsid w:val="0006732B"/>
    <w:rsid w:val="00070A74"/>
    <w:rsid w:val="000719DD"/>
    <w:rsid w:val="00072739"/>
    <w:rsid w:val="00075A82"/>
    <w:rsid w:val="000776EB"/>
    <w:rsid w:val="0008641C"/>
    <w:rsid w:val="0008642A"/>
    <w:rsid w:val="00086661"/>
    <w:rsid w:val="00086665"/>
    <w:rsid w:val="000868B4"/>
    <w:rsid w:val="00087B0A"/>
    <w:rsid w:val="00090AC3"/>
    <w:rsid w:val="00091F54"/>
    <w:rsid w:val="000949D1"/>
    <w:rsid w:val="000958EB"/>
    <w:rsid w:val="0009591A"/>
    <w:rsid w:val="00096422"/>
    <w:rsid w:val="0009793E"/>
    <w:rsid w:val="000A0F37"/>
    <w:rsid w:val="000A469D"/>
    <w:rsid w:val="000A5374"/>
    <w:rsid w:val="000B1B00"/>
    <w:rsid w:val="000B79E8"/>
    <w:rsid w:val="000C0ACC"/>
    <w:rsid w:val="000C1D47"/>
    <w:rsid w:val="000C1DF1"/>
    <w:rsid w:val="000C29D5"/>
    <w:rsid w:val="000C5914"/>
    <w:rsid w:val="000C6150"/>
    <w:rsid w:val="000C6D92"/>
    <w:rsid w:val="000D0C92"/>
    <w:rsid w:val="000D1E92"/>
    <w:rsid w:val="000D2212"/>
    <w:rsid w:val="000D2990"/>
    <w:rsid w:val="000D2D89"/>
    <w:rsid w:val="000D3D3A"/>
    <w:rsid w:val="000D3DBD"/>
    <w:rsid w:val="000D4339"/>
    <w:rsid w:val="000D4449"/>
    <w:rsid w:val="000D471E"/>
    <w:rsid w:val="000D47A6"/>
    <w:rsid w:val="000D5B3D"/>
    <w:rsid w:val="000D6B10"/>
    <w:rsid w:val="000D6E69"/>
    <w:rsid w:val="000D711F"/>
    <w:rsid w:val="000D7316"/>
    <w:rsid w:val="000E0B72"/>
    <w:rsid w:val="000E2B98"/>
    <w:rsid w:val="000E66A4"/>
    <w:rsid w:val="000E694D"/>
    <w:rsid w:val="000E7FD2"/>
    <w:rsid w:val="000F0C7B"/>
    <w:rsid w:val="000F15BA"/>
    <w:rsid w:val="000F27AB"/>
    <w:rsid w:val="000F2E5B"/>
    <w:rsid w:val="000F4DF3"/>
    <w:rsid w:val="000F612E"/>
    <w:rsid w:val="000F71C0"/>
    <w:rsid w:val="0010188D"/>
    <w:rsid w:val="00105649"/>
    <w:rsid w:val="00105927"/>
    <w:rsid w:val="001059BA"/>
    <w:rsid w:val="00106106"/>
    <w:rsid w:val="00111951"/>
    <w:rsid w:val="0011341B"/>
    <w:rsid w:val="001138E6"/>
    <w:rsid w:val="0011557E"/>
    <w:rsid w:val="00115E84"/>
    <w:rsid w:val="00116098"/>
    <w:rsid w:val="001166D1"/>
    <w:rsid w:val="00122DA1"/>
    <w:rsid w:val="00123FF0"/>
    <w:rsid w:val="00124893"/>
    <w:rsid w:val="00124AA3"/>
    <w:rsid w:val="00124E28"/>
    <w:rsid w:val="00127B75"/>
    <w:rsid w:val="00127C34"/>
    <w:rsid w:val="00130783"/>
    <w:rsid w:val="00132DB0"/>
    <w:rsid w:val="001339A4"/>
    <w:rsid w:val="00135C17"/>
    <w:rsid w:val="00136DAB"/>
    <w:rsid w:val="0013718B"/>
    <w:rsid w:val="001415A5"/>
    <w:rsid w:val="00143415"/>
    <w:rsid w:val="00143E29"/>
    <w:rsid w:val="001504B0"/>
    <w:rsid w:val="00150CE4"/>
    <w:rsid w:val="001516FA"/>
    <w:rsid w:val="001528FE"/>
    <w:rsid w:val="0015351D"/>
    <w:rsid w:val="00153A62"/>
    <w:rsid w:val="00153E82"/>
    <w:rsid w:val="001540D4"/>
    <w:rsid w:val="00154E36"/>
    <w:rsid w:val="00156315"/>
    <w:rsid w:val="0016044C"/>
    <w:rsid w:val="001609ED"/>
    <w:rsid w:val="00160F9B"/>
    <w:rsid w:val="00161C29"/>
    <w:rsid w:val="00162CB2"/>
    <w:rsid w:val="00163364"/>
    <w:rsid w:val="00163A5A"/>
    <w:rsid w:val="00165567"/>
    <w:rsid w:val="001679C3"/>
    <w:rsid w:val="00167A33"/>
    <w:rsid w:val="00167B08"/>
    <w:rsid w:val="00171C23"/>
    <w:rsid w:val="001721FC"/>
    <w:rsid w:val="00172DD0"/>
    <w:rsid w:val="00181BB8"/>
    <w:rsid w:val="00182577"/>
    <w:rsid w:val="00182D5E"/>
    <w:rsid w:val="001839DD"/>
    <w:rsid w:val="00185C18"/>
    <w:rsid w:val="0018609F"/>
    <w:rsid w:val="00187F7B"/>
    <w:rsid w:val="0019002F"/>
    <w:rsid w:val="001924BC"/>
    <w:rsid w:val="00194497"/>
    <w:rsid w:val="00194AB0"/>
    <w:rsid w:val="00194FFE"/>
    <w:rsid w:val="001965A9"/>
    <w:rsid w:val="001A01D0"/>
    <w:rsid w:val="001A1F7B"/>
    <w:rsid w:val="001A2303"/>
    <w:rsid w:val="001A387F"/>
    <w:rsid w:val="001A6027"/>
    <w:rsid w:val="001A7ECD"/>
    <w:rsid w:val="001B085C"/>
    <w:rsid w:val="001B0CA4"/>
    <w:rsid w:val="001B12BA"/>
    <w:rsid w:val="001B1E04"/>
    <w:rsid w:val="001B3CD0"/>
    <w:rsid w:val="001B4F9E"/>
    <w:rsid w:val="001B52B4"/>
    <w:rsid w:val="001B686D"/>
    <w:rsid w:val="001C2AB3"/>
    <w:rsid w:val="001C4432"/>
    <w:rsid w:val="001C63CB"/>
    <w:rsid w:val="001C6861"/>
    <w:rsid w:val="001C6A8A"/>
    <w:rsid w:val="001C6C26"/>
    <w:rsid w:val="001D039E"/>
    <w:rsid w:val="001D083E"/>
    <w:rsid w:val="001D1C69"/>
    <w:rsid w:val="001D5F0F"/>
    <w:rsid w:val="001D76BF"/>
    <w:rsid w:val="001E1F42"/>
    <w:rsid w:val="001E2FDD"/>
    <w:rsid w:val="001E4B23"/>
    <w:rsid w:val="001E5CAA"/>
    <w:rsid w:val="001E5DDC"/>
    <w:rsid w:val="001E7EB7"/>
    <w:rsid w:val="001F0FB2"/>
    <w:rsid w:val="001F316E"/>
    <w:rsid w:val="001F321D"/>
    <w:rsid w:val="001F7421"/>
    <w:rsid w:val="00201909"/>
    <w:rsid w:val="00204E97"/>
    <w:rsid w:val="002071FA"/>
    <w:rsid w:val="0020721C"/>
    <w:rsid w:val="00210D21"/>
    <w:rsid w:val="00210E3A"/>
    <w:rsid w:val="002132A1"/>
    <w:rsid w:val="002132BF"/>
    <w:rsid w:val="00215D81"/>
    <w:rsid w:val="00217F4F"/>
    <w:rsid w:val="002220C8"/>
    <w:rsid w:val="002228B6"/>
    <w:rsid w:val="00222CFA"/>
    <w:rsid w:val="00222E1A"/>
    <w:rsid w:val="0022372A"/>
    <w:rsid w:val="00225904"/>
    <w:rsid w:val="002260C0"/>
    <w:rsid w:val="002279D6"/>
    <w:rsid w:val="002303C6"/>
    <w:rsid w:val="00232B6B"/>
    <w:rsid w:val="0023394B"/>
    <w:rsid w:val="00234F1A"/>
    <w:rsid w:val="00236B2E"/>
    <w:rsid w:val="00237BF3"/>
    <w:rsid w:val="00237F3F"/>
    <w:rsid w:val="00240999"/>
    <w:rsid w:val="00241A21"/>
    <w:rsid w:val="002436F9"/>
    <w:rsid w:val="002441AD"/>
    <w:rsid w:val="00244AB6"/>
    <w:rsid w:val="002450FB"/>
    <w:rsid w:val="0024691C"/>
    <w:rsid w:val="0024697B"/>
    <w:rsid w:val="002472C7"/>
    <w:rsid w:val="0025092F"/>
    <w:rsid w:val="002510CE"/>
    <w:rsid w:val="00252EDF"/>
    <w:rsid w:val="0025337B"/>
    <w:rsid w:val="00254D93"/>
    <w:rsid w:val="0025538B"/>
    <w:rsid w:val="002570C1"/>
    <w:rsid w:val="002574E5"/>
    <w:rsid w:val="00257A11"/>
    <w:rsid w:val="00262B57"/>
    <w:rsid w:val="00262D70"/>
    <w:rsid w:val="00265C5D"/>
    <w:rsid w:val="002672C3"/>
    <w:rsid w:val="002675C3"/>
    <w:rsid w:val="00271399"/>
    <w:rsid w:val="0027173D"/>
    <w:rsid w:val="00271847"/>
    <w:rsid w:val="00272143"/>
    <w:rsid w:val="00272AA5"/>
    <w:rsid w:val="00272C4C"/>
    <w:rsid w:val="00273148"/>
    <w:rsid w:val="00273479"/>
    <w:rsid w:val="00273C65"/>
    <w:rsid w:val="00274232"/>
    <w:rsid w:val="00275BC6"/>
    <w:rsid w:val="00277DB0"/>
    <w:rsid w:val="0028079F"/>
    <w:rsid w:val="00285E21"/>
    <w:rsid w:val="00286591"/>
    <w:rsid w:val="00286A07"/>
    <w:rsid w:val="00286A74"/>
    <w:rsid w:val="00286BA4"/>
    <w:rsid w:val="002905D6"/>
    <w:rsid w:val="002914D3"/>
    <w:rsid w:val="0029266C"/>
    <w:rsid w:val="00292E08"/>
    <w:rsid w:val="00297100"/>
    <w:rsid w:val="002974DC"/>
    <w:rsid w:val="002A13D0"/>
    <w:rsid w:val="002A6EF8"/>
    <w:rsid w:val="002A77E4"/>
    <w:rsid w:val="002B0554"/>
    <w:rsid w:val="002B1ABB"/>
    <w:rsid w:val="002B2061"/>
    <w:rsid w:val="002B2EAA"/>
    <w:rsid w:val="002B3AF7"/>
    <w:rsid w:val="002B3BD5"/>
    <w:rsid w:val="002B41F8"/>
    <w:rsid w:val="002B587B"/>
    <w:rsid w:val="002B67AD"/>
    <w:rsid w:val="002B6BA1"/>
    <w:rsid w:val="002B72F1"/>
    <w:rsid w:val="002B7A58"/>
    <w:rsid w:val="002C0638"/>
    <w:rsid w:val="002C274E"/>
    <w:rsid w:val="002C31D0"/>
    <w:rsid w:val="002C390E"/>
    <w:rsid w:val="002C5578"/>
    <w:rsid w:val="002D1079"/>
    <w:rsid w:val="002D19A0"/>
    <w:rsid w:val="002D2375"/>
    <w:rsid w:val="002D25C2"/>
    <w:rsid w:val="002D34F7"/>
    <w:rsid w:val="002D3762"/>
    <w:rsid w:val="002D4299"/>
    <w:rsid w:val="002E0613"/>
    <w:rsid w:val="002E2D66"/>
    <w:rsid w:val="002E3A3E"/>
    <w:rsid w:val="002E488E"/>
    <w:rsid w:val="002E5EDF"/>
    <w:rsid w:val="002E7A27"/>
    <w:rsid w:val="002E7DBF"/>
    <w:rsid w:val="002F0239"/>
    <w:rsid w:val="002F0DFF"/>
    <w:rsid w:val="002F2264"/>
    <w:rsid w:val="002F4277"/>
    <w:rsid w:val="002F5E6A"/>
    <w:rsid w:val="002F75F6"/>
    <w:rsid w:val="003001BE"/>
    <w:rsid w:val="00301714"/>
    <w:rsid w:val="00301D79"/>
    <w:rsid w:val="003047AB"/>
    <w:rsid w:val="00305DE9"/>
    <w:rsid w:val="00306328"/>
    <w:rsid w:val="00306F9F"/>
    <w:rsid w:val="0030786C"/>
    <w:rsid w:val="003078FC"/>
    <w:rsid w:val="00307E54"/>
    <w:rsid w:val="00307FB7"/>
    <w:rsid w:val="00310095"/>
    <w:rsid w:val="00310852"/>
    <w:rsid w:val="00311080"/>
    <w:rsid w:val="00312045"/>
    <w:rsid w:val="00313F03"/>
    <w:rsid w:val="0031644E"/>
    <w:rsid w:val="00316BE4"/>
    <w:rsid w:val="003179D5"/>
    <w:rsid w:val="00320F7E"/>
    <w:rsid w:val="00322070"/>
    <w:rsid w:val="00323ABE"/>
    <w:rsid w:val="003310E3"/>
    <w:rsid w:val="00333010"/>
    <w:rsid w:val="0033373F"/>
    <w:rsid w:val="003339C3"/>
    <w:rsid w:val="003342CA"/>
    <w:rsid w:val="003373AF"/>
    <w:rsid w:val="003374E1"/>
    <w:rsid w:val="003440AC"/>
    <w:rsid w:val="00344274"/>
    <w:rsid w:val="00344985"/>
    <w:rsid w:val="003449ED"/>
    <w:rsid w:val="003450BD"/>
    <w:rsid w:val="00354EC4"/>
    <w:rsid w:val="003562A2"/>
    <w:rsid w:val="00357BF3"/>
    <w:rsid w:val="00360238"/>
    <w:rsid w:val="00361367"/>
    <w:rsid w:val="00361479"/>
    <w:rsid w:val="00362981"/>
    <w:rsid w:val="00364482"/>
    <w:rsid w:val="00366C8F"/>
    <w:rsid w:val="00375EE1"/>
    <w:rsid w:val="003764E7"/>
    <w:rsid w:val="003771DA"/>
    <w:rsid w:val="003837D4"/>
    <w:rsid w:val="00386586"/>
    <w:rsid w:val="00386AD1"/>
    <w:rsid w:val="0039070C"/>
    <w:rsid w:val="003914C4"/>
    <w:rsid w:val="0039154E"/>
    <w:rsid w:val="00391CF2"/>
    <w:rsid w:val="00392A4F"/>
    <w:rsid w:val="00392D76"/>
    <w:rsid w:val="003930D4"/>
    <w:rsid w:val="00393BEC"/>
    <w:rsid w:val="00395FF4"/>
    <w:rsid w:val="0039756E"/>
    <w:rsid w:val="003A1D2D"/>
    <w:rsid w:val="003A3805"/>
    <w:rsid w:val="003A41AE"/>
    <w:rsid w:val="003A42A7"/>
    <w:rsid w:val="003A4D87"/>
    <w:rsid w:val="003B135C"/>
    <w:rsid w:val="003B2F87"/>
    <w:rsid w:val="003B711A"/>
    <w:rsid w:val="003C0EA6"/>
    <w:rsid w:val="003C121B"/>
    <w:rsid w:val="003C1D2F"/>
    <w:rsid w:val="003C2211"/>
    <w:rsid w:val="003C483B"/>
    <w:rsid w:val="003C64BE"/>
    <w:rsid w:val="003C6EBD"/>
    <w:rsid w:val="003D17A0"/>
    <w:rsid w:val="003D211B"/>
    <w:rsid w:val="003D2D79"/>
    <w:rsid w:val="003D449D"/>
    <w:rsid w:val="003D4747"/>
    <w:rsid w:val="003D54A5"/>
    <w:rsid w:val="003D5874"/>
    <w:rsid w:val="003D76E0"/>
    <w:rsid w:val="003E2F76"/>
    <w:rsid w:val="003E3D23"/>
    <w:rsid w:val="003E70FC"/>
    <w:rsid w:val="003F3BB4"/>
    <w:rsid w:val="003F57C1"/>
    <w:rsid w:val="00401265"/>
    <w:rsid w:val="00405763"/>
    <w:rsid w:val="00406C23"/>
    <w:rsid w:val="0040751E"/>
    <w:rsid w:val="00411FE9"/>
    <w:rsid w:val="00412C00"/>
    <w:rsid w:val="00412F67"/>
    <w:rsid w:val="00413148"/>
    <w:rsid w:val="00413357"/>
    <w:rsid w:val="00416EA8"/>
    <w:rsid w:val="0042029E"/>
    <w:rsid w:val="00420BDD"/>
    <w:rsid w:val="00421288"/>
    <w:rsid w:val="0042146B"/>
    <w:rsid w:val="00422BCD"/>
    <w:rsid w:val="00425DFA"/>
    <w:rsid w:val="00430D14"/>
    <w:rsid w:val="00431F96"/>
    <w:rsid w:val="00435640"/>
    <w:rsid w:val="004365C6"/>
    <w:rsid w:val="0043662D"/>
    <w:rsid w:val="00440BCB"/>
    <w:rsid w:val="00442D4D"/>
    <w:rsid w:val="004458A7"/>
    <w:rsid w:val="00445C3C"/>
    <w:rsid w:val="00447C0C"/>
    <w:rsid w:val="00447D56"/>
    <w:rsid w:val="004516BD"/>
    <w:rsid w:val="00453EFB"/>
    <w:rsid w:val="00454254"/>
    <w:rsid w:val="00461A11"/>
    <w:rsid w:val="00461E1B"/>
    <w:rsid w:val="00467605"/>
    <w:rsid w:val="00467624"/>
    <w:rsid w:val="00467649"/>
    <w:rsid w:val="0047014D"/>
    <w:rsid w:val="004704FD"/>
    <w:rsid w:val="00470CB0"/>
    <w:rsid w:val="0047125F"/>
    <w:rsid w:val="004717CC"/>
    <w:rsid w:val="0047213E"/>
    <w:rsid w:val="00474415"/>
    <w:rsid w:val="004802BC"/>
    <w:rsid w:val="004805B0"/>
    <w:rsid w:val="00480953"/>
    <w:rsid w:val="004818C1"/>
    <w:rsid w:val="00482DF3"/>
    <w:rsid w:val="004835A1"/>
    <w:rsid w:val="0048441C"/>
    <w:rsid w:val="00484837"/>
    <w:rsid w:val="0048525C"/>
    <w:rsid w:val="00485908"/>
    <w:rsid w:val="00486466"/>
    <w:rsid w:val="0048687E"/>
    <w:rsid w:val="00486E8F"/>
    <w:rsid w:val="004912DB"/>
    <w:rsid w:val="004916BD"/>
    <w:rsid w:val="004959F4"/>
    <w:rsid w:val="00497F63"/>
    <w:rsid w:val="004A0539"/>
    <w:rsid w:val="004A1994"/>
    <w:rsid w:val="004A250F"/>
    <w:rsid w:val="004A26E0"/>
    <w:rsid w:val="004B1C3A"/>
    <w:rsid w:val="004B249E"/>
    <w:rsid w:val="004B455E"/>
    <w:rsid w:val="004B5487"/>
    <w:rsid w:val="004B57FB"/>
    <w:rsid w:val="004B5BD8"/>
    <w:rsid w:val="004B5C87"/>
    <w:rsid w:val="004B6C9A"/>
    <w:rsid w:val="004C3A2F"/>
    <w:rsid w:val="004C536A"/>
    <w:rsid w:val="004C5CF8"/>
    <w:rsid w:val="004C68B2"/>
    <w:rsid w:val="004C6AF2"/>
    <w:rsid w:val="004C7812"/>
    <w:rsid w:val="004D1652"/>
    <w:rsid w:val="004D2387"/>
    <w:rsid w:val="004D3744"/>
    <w:rsid w:val="004D4716"/>
    <w:rsid w:val="004D5ABD"/>
    <w:rsid w:val="004D61B7"/>
    <w:rsid w:val="004D66B0"/>
    <w:rsid w:val="004E0021"/>
    <w:rsid w:val="004E06FA"/>
    <w:rsid w:val="004E25D4"/>
    <w:rsid w:val="004E2AEC"/>
    <w:rsid w:val="004E3AAD"/>
    <w:rsid w:val="004E73A6"/>
    <w:rsid w:val="004F1024"/>
    <w:rsid w:val="004F1E1A"/>
    <w:rsid w:val="004F3A45"/>
    <w:rsid w:val="004F4030"/>
    <w:rsid w:val="004F646F"/>
    <w:rsid w:val="005009CA"/>
    <w:rsid w:val="00500E52"/>
    <w:rsid w:val="00503AB9"/>
    <w:rsid w:val="005064E8"/>
    <w:rsid w:val="00506D7B"/>
    <w:rsid w:val="005113A0"/>
    <w:rsid w:val="00513000"/>
    <w:rsid w:val="00513557"/>
    <w:rsid w:val="005137D7"/>
    <w:rsid w:val="005147D8"/>
    <w:rsid w:val="00516D7F"/>
    <w:rsid w:val="005200F4"/>
    <w:rsid w:val="0052112F"/>
    <w:rsid w:val="00527EDD"/>
    <w:rsid w:val="00527EE9"/>
    <w:rsid w:val="0053026B"/>
    <w:rsid w:val="00530ADB"/>
    <w:rsid w:val="00534292"/>
    <w:rsid w:val="0053517D"/>
    <w:rsid w:val="005373EA"/>
    <w:rsid w:val="00537B13"/>
    <w:rsid w:val="00537CC2"/>
    <w:rsid w:val="00540FAA"/>
    <w:rsid w:val="00542880"/>
    <w:rsid w:val="00542A77"/>
    <w:rsid w:val="005431F7"/>
    <w:rsid w:val="0054372F"/>
    <w:rsid w:val="00543FAF"/>
    <w:rsid w:val="00544EF0"/>
    <w:rsid w:val="005477F2"/>
    <w:rsid w:val="00552D9B"/>
    <w:rsid w:val="005536F5"/>
    <w:rsid w:val="00553DC5"/>
    <w:rsid w:val="00553F42"/>
    <w:rsid w:val="0055512B"/>
    <w:rsid w:val="00560E95"/>
    <w:rsid w:val="00560F8E"/>
    <w:rsid w:val="00561B03"/>
    <w:rsid w:val="00562279"/>
    <w:rsid w:val="00563BB5"/>
    <w:rsid w:val="0056428E"/>
    <w:rsid w:val="005642DD"/>
    <w:rsid w:val="0057009C"/>
    <w:rsid w:val="00574331"/>
    <w:rsid w:val="005743EE"/>
    <w:rsid w:val="00575DD6"/>
    <w:rsid w:val="00577406"/>
    <w:rsid w:val="00577CC7"/>
    <w:rsid w:val="005810CF"/>
    <w:rsid w:val="005836C1"/>
    <w:rsid w:val="0058476E"/>
    <w:rsid w:val="00584F18"/>
    <w:rsid w:val="00585FFC"/>
    <w:rsid w:val="00590197"/>
    <w:rsid w:val="0059044A"/>
    <w:rsid w:val="00590D64"/>
    <w:rsid w:val="00592E36"/>
    <w:rsid w:val="00594040"/>
    <w:rsid w:val="00597AF4"/>
    <w:rsid w:val="005A096F"/>
    <w:rsid w:val="005A2A17"/>
    <w:rsid w:val="005A3E19"/>
    <w:rsid w:val="005B0FDB"/>
    <w:rsid w:val="005B2CF0"/>
    <w:rsid w:val="005B2ED3"/>
    <w:rsid w:val="005B3EAA"/>
    <w:rsid w:val="005B60D5"/>
    <w:rsid w:val="005B62D4"/>
    <w:rsid w:val="005B664E"/>
    <w:rsid w:val="005C0C86"/>
    <w:rsid w:val="005C0DAE"/>
    <w:rsid w:val="005C11A4"/>
    <w:rsid w:val="005C22E6"/>
    <w:rsid w:val="005C269A"/>
    <w:rsid w:val="005C3262"/>
    <w:rsid w:val="005C34A2"/>
    <w:rsid w:val="005C4B0A"/>
    <w:rsid w:val="005C652A"/>
    <w:rsid w:val="005C6E51"/>
    <w:rsid w:val="005C76AA"/>
    <w:rsid w:val="005D3876"/>
    <w:rsid w:val="005D3904"/>
    <w:rsid w:val="005E103E"/>
    <w:rsid w:val="005E10A2"/>
    <w:rsid w:val="005E4465"/>
    <w:rsid w:val="005E5369"/>
    <w:rsid w:val="005E6B5C"/>
    <w:rsid w:val="005E6E81"/>
    <w:rsid w:val="005E715B"/>
    <w:rsid w:val="005F05D0"/>
    <w:rsid w:val="005F2504"/>
    <w:rsid w:val="005F5FBB"/>
    <w:rsid w:val="005F6484"/>
    <w:rsid w:val="006006D4"/>
    <w:rsid w:val="0060330C"/>
    <w:rsid w:val="0060431A"/>
    <w:rsid w:val="006054C2"/>
    <w:rsid w:val="00605553"/>
    <w:rsid w:val="006059DC"/>
    <w:rsid w:val="00605A97"/>
    <w:rsid w:val="00606CBA"/>
    <w:rsid w:val="006120D4"/>
    <w:rsid w:val="0061231A"/>
    <w:rsid w:val="00612681"/>
    <w:rsid w:val="00613941"/>
    <w:rsid w:val="00615A53"/>
    <w:rsid w:val="00616C9F"/>
    <w:rsid w:val="00622610"/>
    <w:rsid w:val="00623DCB"/>
    <w:rsid w:val="0062568C"/>
    <w:rsid w:val="006256EB"/>
    <w:rsid w:val="006273CF"/>
    <w:rsid w:val="00627FC3"/>
    <w:rsid w:val="0063161D"/>
    <w:rsid w:val="00631A38"/>
    <w:rsid w:val="00633529"/>
    <w:rsid w:val="00633BB4"/>
    <w:rsid w:val="00634D6C"/>
    <w:rsid w:val="00634E33"/>
    <w:rsid w:val="00635141"/>
    <w:rsid w:val="00635B3F"/>
    <w:rsid w:val="00637E98"/>
    <w:rsid w:val="00641123"/>
    <w:rsid w:val="00642455"/>
    <w:rsid w:val="00643128"/>
    <w:rsid w:val="00643927"/>
    <w:rsid w:val="00643FCA"/>
    <w:rsid w:val="00645669"/>
    <w:rsid w:val="00646BC4"/>
    <w:rsid w:val="0064750A"/>
    <w:rsid w:val="00647D7D"/>
    <w:rsid w:val="00651D47"/>
    <w:rsid w:val="00652DA7"/>
    <w:rsid w:val="00653687"/>
    <w:rsid w:val="006562DE"/>
    <w:rsid w:val="00661E0A"/>
    <w:rsid w:val="00665A34"/>
    <w:rsid w:val="00667AA6"/>
    <w:rsid w:val="0067132A"/>
    <w:rsid w:val="00673ADE"/>
    <w:rsid w:val="006843BB"/>
    <w:rsid w:val="006846BA"/>
    <w:rsid w:val="00684B3B"/>
    <w:rsid w:val="006856A4"/>
    <w:rsid w:val="006874A4"/>
    <w:rsid w:val="0068754E"/>
    <w:rsid w:val="006908F4"/>
    <w:rsid w:val="006935C1"/>
    <w:rsid w:val="006941E3"/>
    <w:rsid w:val="00694679"/>
    <w:rsid w:val="00696B24"/>
    <w:rsid w:val="00696F60"/>
    <w:rsid w:val="00697117"/>
    <w:rsid w:val="0069728E"/>
    <w:rsid w:val="006976EC"/>
    <w:rsid w:val="006A08E2"/>
    <w:rsid w:val="006A19BA"/>
    <w:rsid w:val="006A2367"/>
    <w:rsid w:val="006A2789"/>
    <w:rsid w:val="006A2923"/>
    <w:rsid w:val="006A29F0"/>
    <w:rsid w:val="006A2EF1"/>
    <w:rsid w:val="006A4B31"/>
    <w:rsid w:val="006A67BA"/>
    <w:rsid w:val="006B165D"/>
    <w:rsid w:val="006B3D92"/>
    <w:rsid w:val="006B421B"/>
    <w:rsid w:val="006B44B5"/>
    <w:rsid w:val="006B5109"/>
    <w:rsid w:val="006B6BFC"/>
    <w:rsid w:val="006B7149"/>
    <w:rsid w:val="006B7621"/>
    <w:rsid w:val="006B78E4"/>
    <w:rsid w:val="006B7A85"/>
    <w:rsid w:val="006C20DB"/>
    <w:rsid w:val="006C26D7"/>
    <w:rsid w:val="006C31A4"/>
    <w:rsid w:val="006C4EA9"/>
    <w:rsid w:val="006C5107"/>
    <w:rsid w:val="006C6D07"/>
    <w:rsid w:val="006C7344"/>
    <w:rsid w:val="006D14D3"/>
    <w:rsid w:val="006D3824"/>
    <w:rsid w:val="006E24B3"/>
    <w:rsid w:val="006E46EB"/>
    <w:rsid w:val="006E5CB4"/>
    <w:rsid w:val="006E7D8D"/>
    <w:rsid w:val="006F15BD"/>
    <w:rsid w:val="006F24A4"/>
    <w:rsid w:val="006F2974"/>
    <w:rsid w:val="006F2E59"/>
    <w:rsid w:val="006F3E2E"/>
    <w:rsid w:val="006F53B9"/>
    <w:rsid w:val="007024E6"/>
    <w:rsid w:val="00703BA7"/>
    <w:rsid w:val="00704323"/>
    <w:rsid w:val="007053F1"/>
    <w:rsid w:val="00706F89"/>
    <w:rsid w:val="007136E5"/>
    <w:rsid w:val="00714DBE"/>
    <w:rsid w:val="00714E4B"/>
    <w:rsid w:val="007162EA"/>
    <w:rsid w:val="00716AC4"/>
    <w:rsid w:val="007228B1"/>
    <w:rsid w:val="0072331F"/>
    <w:rsid w:val="00725C43"/>
    <w:rsid w:val="00727F62"/>
    <w:rsid w:val="007326AA"/>
    <w:rsid w:val="00732803"/>
    <w:rsid w:val="0073688F"/>
    <w:rsid w:val="00740CAA"/>
    <w:rsid w:val="007414C0"/>
    <w:rsid w:val="00743670"/>
    <w:rsid w:val="0074522C"/>
    <w:rsid w:val="00745FAD"/>
    <w:rsid w:val="00747756"/>
    <w:rsid w:val="00750654"/>
    <w:rsid w:val="0075125F"/>
    <w:rsid w:val="007517B3"/>
    <w:rsid w:val="007521C3"/>
    <w:rsid w:val="00752B9D"/>
    <w:rsid w:val="00754060"/>
    <w:rsid w:val="00754ACE"/>
    <w:rsid w:val="00755465"/>
    <w:rsid w:val="00755468"/>
    <w:rsid w:val="007561D4"/>
    <w:rsid w:val="00757DC4"/>
    <w:rsid w:val="00761B9E"/>
    <w:rsid w:val="0076244F"/>
    <w:rsid w:val="00762DFB"/>
    <w:rsid w:val="0076311E"/>
    <w:rsid w:val="00765609"/>
    <w:rsid w:val="00766455"/>
    <w:rsid w:val="007719C1"/>
    <w:rsid w:val="00771ADD"/>
    <w:rsid w:val="0077211A"/>
    <w:rsid w:val="00772701"/>
    <w:rsid w:val="00773FB5"/>
    <w:rsid w:val="00774CB5"/>
    <w:rsid w:val="007750D1"/>
    <w:rsid w:val="00781179"/>
    <w:rsid w:val="007813E1"/>
    <w:rsid w:val="007817C4"/>
    <w:rsid w:val="00781D5C"/>
    <w:rsid w:val="0078207C"/>
    <w:rsid w:val="00784B55"/>
    <w:rsid w:val="00785D39"/>
    <w:rsid w:val="007913AA"/>
    <w:rsid w:val="00792336"/>
    <w:rsid w:val="00794745"/>
    <w:rsid w:val="007948D4"/>
    <w:rsid w:val="00796309"/>
    <w:rsid w:val="007A03AB"/>
    <w:rsid w:val="007A3B4E"/>
    <w:rsid w:val="007A585B"/>
    <w:rsid w:val="007A5B29"/>
    <w:rsid w:val="007A7AB7"/>
    <w:rsid w:val="007B0DBE"/>
    <w:rsid w:val="007B0F30"/>
    <w:rsid w:val="007B31F5"/>
    <w:rsid w:val="007B5BC7"/>
    <w:rsid w:val="007B7FEB"/>
    <w:rsid w:val="007C1E31"/>
    <w:rsid w:val="007C3356"/>
    <w:rsid w:val="007C4EA5"/>
    <w:rsid w:val="007C542A"/>
    <w:rsid w:val="007C55A4"/>
    <w:rsid w:val="007C5F95"/>
    <w:rsid w:val="007C66A5"/>
    <w:rsid w:val="007C7418"/>
    <w:rsid w:val="007D0BF0"/>
    <w:rsid w:val="007D0D17"/>
    <w:rsid w:val="007D138D"/>
    <w:rsid w:val="007D5E35"/>
    <w:rsid w:val="007D6292"/>
    <w:rsid w:val="007E017B"/>
    <w:rsid w:val="007E40A4"/>
    <w:rsid w:val="007F4552"/>
    <w:rsid w:val="007F458D"/>
    <w:rsid w:val="0080199A"/>
    <w:rsid w:val="008034CE"/>
    <w:rsid w:val="00803D4B"/>
    <w:rsid w:val="008042F3"/>
    <w:rsid w:val="008053CB"/>
    <w:rsid w:val="00806DA2"/>
    <w:rsid w:val="00807387"/>
    <w:rsid w:val="00807CE9"/>
    <w:rsid w:val="00811F22"/>
    <w:rsid w:val="00812EC2"/>
    <w:rsid w:val="00814606"/>
    <w:rsid w:val="00814DFD"/>
    <w:rsid w:val="00820091"/>
    <w:rsid w:val="00820C02"/>
    <w:rsid w:val="008232B7"/>
    <w:rsid w:val="008235F9"/>
    <w:rsid w:val="00826265"/>
    <w:rsid w:val="00826F20"/>
    <w:rsid w:val="00831566"/>
    <w:rsid w:val="00831A14"/>
    <w:rsid w:val="00832373"/>
    <w:rsid w:val="00832B7D"/>
    <w:rsid w:val="00833D9C"/>
    <w:rsid w:val="00834604"/>
    <w:rsid w:val="00834D31"/>
    <w:rsid w:val="00834DF7"/>
    <w:rsid w:val="00835AD1"/>
    <w:rsid w:val="00841354"/>
    <w:rsid w:val="00841ADE"/>
    <w:rsid w:val="00844B51"/>
    <w:rsid w:val="008506B4"/>
    <w:rsid w:val="00850AB1"/>
    <w:rsid w:val="00853914"/>
    <w:rsid w:val="00857E94"/>
    <w:rsid w:val="00861399"/>
    <w:rsid w:val="008618C5"/>
    <w:rsid w:val="00861C72"/>
    <w:rsid w:val="00863125"/>
    <w:rsid w:val="0086656B"/>
    <w:rsid w:val="0086694E"/>
    <w:rsid w:val="008704C8"/>
    <w:rsid w:val="00871912"/>
    <w:rsid w:val="00872522"/>
    <w:rsid w:val="00872F97"/>
    <w:rsid w:val="0087383E"/>
    <w:rsid w:val="00877858"/>
    <w:rsid w:val="00881798"/>
    <w:rsid w:val="00881A60"/>
    <w:rsid w:val="00882591"/>
    <w:rsid w:val="0088350C"/>
    <w:rsid w:val="00885376"/>
    <w:rsid w:val="00885A96"/>
    <w:rsid w:val="0088730C"/>
    <w:rsid w:val="008876BF"/>
    <w:rsid w:val="00890D27"/>
    <w:rsid w:val="008960CE"/>
    <w:rsid w:val="0089642A"/>
    <w:rsid w:val="008A0B50"/>
    <w:rsid w:val="008A2D27"/>
    <w:rsid w:val="008A31A7"/>
    <w:rsid w:val="008A730E"/>
    <w:rsid w:val="008A7910"/>
    <w:rsid w:val="008A7B94"/>
    <w:rsid w:val="008B07C2"/>
    <w:rsid w:val="008B46D1"/>
    <w:rsid w:val="008B5028"/>
    <w:rsid w:val="008B70B1"/>
    <w:rsid w:val="008B77EA"/>
    <w:rsid w:val="008C0981"/>
    <w:rsid w:val="008C1699"/>
    <w:rsid w:val="008C3DB3"/>
    <w:rsid w:val="008C4753"/>
    <w:rsid w:val="008C50D7"/>
    <w:rsid w:val="008C6ADC"/>
    <w:rsid w:val="008D1162"/>
    <w:rsid w:val="008D1704"/>
    <w:rsid w:val="008D2A86"/>
    <w:rsid w:val="008D435D"/>
    <w:rsid w:val="008D5822"/>
    <w:rsid w:val="008E3207"/>
    <w:rsid w:val="008E34B5"/>
    <w:rsid w:val="008E3EC7"/>
    <w:rsid w:val="008E4FF4"/>
    <w:rsid w:val="008E5A03"/>
    <w:rsid w:val="008E77EB"/>
    <w:rsid w:val="008E7A72"/>
    <w:rsid w:val="008F04FA"/>
    <w:rsid w:val="008F0929"/>
    <w:rsid w:val="008F0991"/>
    <w:rsid w:val="008F0A10"/>
    <w:rsid w:val="008F0FD5"/>
    <w:rsid w:val="008F1582"/>
    <w:rsid w:val="008F54E1"/>
    <w:rsid w:val="008F55FE"/>
    <w:rsid w:val="008F7981"/>
    <w:rsid w:val="0090472C"/>
    <w:rsid w:val="00905E9B"/>
    <w:rsid w:val="00907BC3"/>
    <w:rsid w:val="00910362"/>
    <w:rsid w:val="009115E5"/>
    <w:rsid w:val="00911928"/>
    <w:rsid w:val="0091291C"/>
    <w:rsid w:val="00920A51"/>
    <w:rsid w:val="00920BAC"/>
    <w:rsid w:val="00921CE5"/>
    <w:rsid w:val="00923A03"/>
    <w:rsid w:val="00923BAA"/>
    <w:rsid w:val="00926CE5"/>
    <w:rsid w:val="00927590"/>
    <w:rsid w:val="00930CA5"/>
    <w:rsid w:val="009312AC"/>
    <w:rsid w:val="00931495"/>
    <w:rsid w:val="00933A84"/>
    <w:rsid w:val="00933B61"/>
    <w:rsid w:val="00934001"/>
    <w:rsid w:val="00935E33"/>
    <w:rsid w:val="00936A58"/>
    <w:rsid w:val="0093732D"/>
    <w:rsid w:val="009413A8"/>
    <w:rsid w:val="00941C34"/>
    <w:rsid w:val="00942D3B"/>
    <w:rsid w:val="009440A7"/>
    <w:rsid w:val="00945882"/>
    <w:rsid w:val="009509FD"/>
    <w:rsid w:val="00951DD0"/>
    <w:rsid w:val="00953F8E"/>
    <w:rsid w:val="00954A12"/>
    <w:rsid w:val="0095771A"/>
    <w:rsid w:val="00960BE2"/>
    <w:rsid w:val="00960E89"/>
    <w:rsid w:val="00964464"/>
    <w:rsid w:val="00964491"/>
    <w:rsid w:val="009704EF"/>
    <w:rsid w:val="009748F9"/>
    <w:rsid w:val="0097609F"/>
    <w:rsid w:val="00976999"/>
    <w:rsid w:val="00976B43"/>
    <w:rsid w:val="00976C78"/>
    <w:rsid w:val="009804CC"/>
    <w:rsid w:val="00981DAC"/>
    <w:rsid w:val="00981E48"/>
    <w:rsid w:val="00983569"/>
    <w:rsid w:val="00984611"/>
    <w:rsid w:val="00985214"/>
    <w:rsid w:val="00986583"/>
    <w:rsid w:val="00987F84"/>
    <w:rsid w:val="009911D1"/>
    <w:rsid w:val="00991AF4"/>
    <w:rsid w:val="0099281F"/>
    <w:rsid w:val="00992ACA"/>
    <w:rsid w:val="00994215"/>
    <w:rsid w:val="0099485D"/>
    <w:rsid w:val="00994B77"/>
    <w:rsid w:val="00996AC5"/>
    <w:rsid w:val="00996BCF"/>
    <w:rsid w:val="00996C5F"/>
    <w:rsid w:val="00996DD6"/>
    <w:rsid w:val="009972EE"/>
    <w:rsid w:val="009A0D3D"/>
    <w:rsid w:val="009A24E9"/>
    <w:rsid w:val="009A430F"/>
    <w:rsid w:val="009A5782"/>
    <w:rsid w:val="009A5789"/>
    <w:rsid w:val="009A6EA9"/>
    <w:rsid w:val="009A7B0C"/>
    <w:rsid w:val="009B0129"/>
    <w:rsid w:val="009B0708"/>
    <w:rsid w:val="009B097E"/>
    <w:rsid w:val="009B1C6A"/>
    <w:rsid w:val="009B2F1B"/>
    <w:rsid w:val="009B3468"/>
    <w:rsid w:val="009B4C8D"/>
    <w:rsid w:val="009B5B5B"/>
    <w:rsid w:val="009B5D7F"/>
    <w:rsid w:val="009B64AA"/>
    <w:rsid w:val="009B73F7"/>
    <w:rsid w:val="009C0D17"/>
    <w:rsid w:val="009C19DA"/>
    <w:rsid w:val="009C23E7"/>
    <w:rsid w:val="009C2F88"/>
    <w:rsid w:val="009C423A"/>
    <w:rsid w:val="009C594C"/>
    <w:rsid w:val="009C5E6B"/>
    <w:rsid w:val="009C6E35"/>
    <w:rsid w:val="009C7573"/>
    <w:rsid w:val="009D1B59"/>
    <w:rsid w:val="009D2B26"/>
    <w:rsid w:val="009D48D2"/>
    <w:rsid w:val="009D60C8"/>
    <w:rsid w:val="009D724D"/>
    <w:rsid w:val="009E0E2F"/>
    <w:rsid w:val="009E101F"/>
    <w:rsid w:val="009E110B"/>
    <w:rsid w:val="009E14D7"/>
    <w:rsid w:val="009E1B54"/>
    <w:rsid w:val="009E247C"/>
    <w:rsid w:val="009E2CCC"/>
    <w:rsid w:val="009E3915"/>
    <w:rsid w:val="009E5B29"/>
    <w:rsid w:val="009E6647"/>
    <w:rsid w:val="009E6D54"/>
    <w:rsid w:val="009F0FA3"/>
    <w:rsid w:val="009F3FB3"/>
    <w:rsid w:val="009F5BD4"/>
    <w:rsid w:val="00A0085E"/>
    <w:rsid w:val="00A00A5D"/>
    <w:rsid w:val="00A015C8"/>
    <w:rsid w:val="00A028DA"/>
    <w:rsid w:val="00A0358D"/>
    <w:rsid w:val="00A04714"/>
    <w:rsid w:val="00A05E1F"/>
    <w:rsid w:val="00A070BC"/>
    <w:rsid w:val="00A07739"/>
    <w:rsid w:val="00A112B2"/>
    <w:rsid w:val="00A1300C"/>
    <w:rsid w:val="00A149D1"/>
    <w:rsid w:val="00A14A2E"/>
    <w:rsid w:val="00A17BBC"/>
    <w:rsid w:val="00A17F6D"/>
    <w:rsid w:val="00A214E8"/>
    <w:rsid w:val="00A215F7"/>
    <w:rsid w:val="00A21BF0"/>
    <w:rsid w:val="00A22A03"/>
    <w:rsid w:val="00A22F4D"/>
    <w:rsid w:val="00A24A1B"/>
    <w:rsid w:val="00A270E8"/>
    <w:rsid w:val="00A27959"/>
    <w:rsid w:val="00A30B13"/>
    <w:rsid w:val="00A30E2F"/>
    <w:rsid w:val="00A310F0"/>
    <w:rsid w:val="00A314BE"/>
    <w:rsid w:val="00A422D8"/>
    <w:rsid w:val="00A454CF"/>
    <w:rsid w:val="00A46CA2"/>
    <w:rsid w:val="00A505A6"/>
    <w:rsid w:val="00A514BB"/>
    <w:rsid w:val="00A51B6C"/>
    <w:rsid w:val="00A52ADF"/>
    <w:rsid w:val="00A53CE8"/>
    <w:rsid w:val="00A54C50"/>
    <w:rsid w:val="00A56559"/>
    <w:rsid w:val="00A566EC"/>
    <w:rsid w:val="00A56AA7"/>
    <w:rsid w:val="00A5757C"/>
    <w:rsid w:val="00A57A74"/>
    <w:rsid w:val="00A6115B"/>
    <w:rsid w:val="00A6201C"/>
    <w:rsid w:val="00A64613"/>
    <w:rsid w:val="00A65E0D"/>
    <w:rsid w:val="00A6685A"/>
    <w:rsid w:val="00A70357"/>
    <w:rsid w:val="00A71600"/>
    <w:rsid w:val="00A7163B"/>
    <w:rsid w:val="00A72531"/>
    <w:rsid w:val="00A74E5F"/>
    <w:rsid w:val="00A75048"/>
    <w:rsid w:val="00A7506A"/>
    <w:rsid w:val="00A86A0C"/>
    <w:rsid w:val="00A86E7C"/>
    <w:rsid w:val="00A86F0C"/>
    <w:rsid w:val="00A87591"/>
    <w:rsid w:val="00A91714"/>
    <w:rsid w:val="00AA06F0"/>
    <w:rsid w:val="00AA2997"/>
    <w:rsid w:val="00AA4127"/>
    <w:rsid w:val="00AA57D2"/>
    <w:rsid w:val="00AA636C"/>
    <w:rsid w:val="00AA70A4"/>
    <w:rsid w:val="00AB1230"/>
    <w:rsid w:val="00AB474C"/>
    <w:rsid w:val="00AB5E74"/>
    <w:rsid w:val="00AB60D0"/>
    <w:rsid w:val="00AB76F7"/>
    <w:rsid w:val="00AC163C"/>
    <w:rsid w:val="00AC26DF"/>
    <w:rsid w:val="00AC3A67"/>
    <w:rsid w:val="00AC3DE8"/>
    <w:rsid w:val="00AC4AAD"/>
    <w:rsid w:val="00AC4D15"/>
    <w:rsid w:val="00AC7ABB"/>
    <w:rsid w:val="00AD0886"/>
    <w:rsid w:val="00AD22E4"/>
    <w:rsid w:val="00AD27CB"/>
    <w:rsid w:val="00AD400C"/>
    <w:rsid w:val="00AD43D2"/>
    <w:rsid w:val="00AD69BC"/>
    <w:rsid w:val="00AD76CF"/>
    <w:rsid w:val="00AD7838"/>
    <w:rsid w:val="00AE0798"/>
    <w:rsid w:val="00AE1B24"/>
    <w:rsid w:val="00AE298D"/>
    <w:rsid w:val="00AE42CA"/>
    <w:rsid w:val="00AE46AD"/>
    <w:rsid w:val="00AE471C"/>
    <w:rsid w:val="00AE63A6"/>
    <w:rsid w:val="00AE78EA"/>
    <w:rsid w:val="00AF00BB"/>
    <w:rsid w:val="00AF0718"/>
    <w:rsid w:val="00AF07FE"/>
    <w:rsid w:val="00AF2EE1"/>
    <w:rsid w:val="00AF30AD"/>
    <w:rsid w:val="00AF37DF"/>
    <w:rsid w:val="00AF6932"/>
    <w:rsid w:val="00B01C8A"/>
    <w:rsid w:val="00B01D16"/>
    <w:rsid w:val="00B01FC4"/>
    <w:rsid w:val="00B02375"/>
    <w:rsid w:val="00B0474A"/>
    <w:rsid w:val="00B04A89"/>
    <w:rsid w:val="00B04C6C"/>
    <w:rsid w:val="00B0504F"/>
    <w:rsid w:val="00B06515"/>
    <w:rsid w:val="00B06977"/>
    <w:rsid w:val="00B06AFA"/>
    <w:rsid w:val="00B06BAE"/>
    <w:rsid w:val="00B076D7"/>
    <w:rsid w:val="00B07E4C"/>
    <w:rsid w:val="00B1174F"/>
    <w:rsid w:val="00B12846"/>
    <w:rsid w:val="00B134B9"/>
    <w:rsid w:val="00B14BF6"/>
    <w:rsid w:val="00B1511E"/>
    <w:rsid w:val="00B17169"/>
    <w:rsid w:val="00B2011F"/>
    <w:rsid w:val="00B21BB6"/>
    <w:rsid w:val="00B25826"/>
    <w:rsid w:val="00B26EFB"/>
    <w:rsid w:val="00B27E7E"/>
    <w:rsid w:val="00B30A18"/>
    <w:rsid w:val="00B3182C"/>
    <w:rsid w:val="00B3402D"/>
    <w:rsid w:val="00B40A76"/>
    <w:rsid w:val="00B40EA9"/>
    <w:rsid w:val="00B41C51"/>
    <w:rsid w:val="00B43093"/>
    <w:rsid w:val="00B430A1"/>
    <w:rsid w:val="00B43880"/>
    <w:rsid w:val="00B440D7"/>
    <w:rsid w:val="00B445AE"/>
    <w:rsid w:val="00B4473B"/>
    <w:rsid w:val="00B44CC0"/>
    <w:rsid w:val="00B45965"/>
    <w:rsid w:val="00B465A2"/>
    <w:rsid w:val="00B51F80"/>
    <w:rsid w:val="00B5494A"/>
    <w:rsid w:val="00B55417"/>
    <w:rsid w:val="00B5541D"/>
    <w:rsid w:val="00B55ECA"/>
    <w:rsid w:val="00B603BD"/>
    <w:rsid w:val="00B61983"/>
    <w:rsid w:val="00B63E39"/>
    <w:rsid w:val="00B65461"/>
    <w:rsid w:val="00B654E3"/>
    <w:rsid w:val="00B7000D"/>
    <w:rsid w:val="00B7154A"/>
    <w:rsid w:val="00B72C94"/>
    <w:rsid w:val="00B734B9"/>
    <w:rsid w:val="00B7584B"/>
    <w:rsid w:val="00B75EB4"/>
    <w:rsid w:val="00B803BF"/>
    <w:rsid w:val="00B80995"/>
    <w:rsid w:val="00B80F37"/>
    <w:rsid w:val="00B81659"/>
    <w:rsid w:val="00B85394"/>
    <w:rsid w:val="00B85A40"/>
    <w:rsid w:val="00B90EA0"/>
    <w:rsid w:val="00B91162"/>
    <w:rsid w:val="00B91545"/>
    <w:rsid w:val="00B91D33"/>
    <w:rsid w:val="00B9257E"/>
    <w:rsid w:val="00B93553"/>
    <w:rsid w:val="00B9445F"/>
    <w:rsid w:val="00BA0253"/>
    <w:rsid w:val="00BA2A8B"/>
    <w:rsid w:val="00BA3A5A"/>
    <w:rsid w:val="00BA4988"/>
    <w:rsid w:val="00BA60A6"/>
    <w:rsid w:val="00BA72BF"/>
    <w:rsid w:val="00BB25EF"/>
    <w:rsid w:val="00BB2B8A"/>
    <w:rsid w:val="00BB2F36"/>
    <w:rsid w:val="00BB4161"/>
    <w:rsid w:val="00BB55C4"/>
    <w:rsid w:val="00BB6714"/>
    <w:rsid w:val="00BB6BFD"/>
    <w:rsid w:val="00BB7F83"/>
    <w:rsid w:val="00BC027A"/>
    <w:rsid w:val="00BC0710"/>
    <w:rsid w:val="00BC0D6A"/>
    <w:rsid w:val="00BC4C58"/>
    <w:rsid w:val="00BC7822"/>
    <w:rsid w:val="00BD2534"/>
    <w:rsid w:val="00BD6CA6"/>
    <w:rsid w:val="00BD6E9A"/>
    <w:rsid w:val="00BD7646"/>
    <w:rsid w:val="00BE0E5C"/>
    <w:rsid w:val="00BE123E"/>
    <w:rsid w:val="00BE168E"/>
    <w:rsid w:val="00BE55C5"/>
    <w:rsid w:val="00BE7BB7"/>
    <w:rsid w:val="00BF0ED2"/>
    <w:rsid w:val="00BF1DC1"/>
    <w:rsid w:val="00BF2643"/>
    <w:rsid w:val="00BF52A4"/>
    <w:rsid w:val="00BF58DB"/>
    <w:rsid w:val="00BF70C0"/>
    <w:rsid w:val="00BF73B6"/>
    <w:rsid w:val="00BF7AC1"/>
    <w:rsid w:val="00C041A3"/>
    <w:rsid w:val="00C04A23"/>
    <w:rsid w:val="00C055A9"/>
    <w:rsid w:val="00C07718"/>
    <w:rsid w:val="00C101BA"/>
    <w:rsid w:val="00C1038A"/>
    <w:rsid w:val="00C1071F"/>
    <w:rsid w:val="00C11CD4"/>
    <w:rsid w:val="00C11D27"/>
    <w:rsid w:val="00C123FF"/>
    <w:rsid w:val="00C129B5"/>
    <w:rsid w:val="00C13499"/>
    <w:rsid w:val="00C147AD"/>
    <w:rsid w:val="00C15155"/>
    <w:rsid w:val="00C20315"/>
    <w:rsid w:val="00C2170D"/>
    <w:rsid w:val="00C21991"/>
    <w:rsid w:val="00C2265B"/>
    <w:rsid w:val="00C24725"/>
    <w:rsid w:val="00C247A6"/>
    <w:rsid w:val="00C2538D"/>
    <w:rsid w:val="00C25B34"/>
    <w:rsid w:val="00C25D57"/>
    <w:rsid w:val="00C3142C"/>
    <w:rsid w:val="00C31944"/>
    <w:rsid w:val="00C369E4"/>
    <w:rsid w:val="00C409A5"/>
    <w:rsid w:val="00C40EA7"/>
    <w:rsid w:val="00C40FC4"/>
    <w:rsid w:val="00C42136"/>
    <w:rsid w:val="00C42404"/>
    <w:rsid w:val="00C45ED2"/>
    <w:rsid w:val="00C4745A"/>
    <w:rsid w:val="00C4787B"/>
    <w:rsid w:val="00C51E87"/>
    <w:rsid w:val="00C52506"/>
    <w:rsid w:val="00C53CE3"/>
    <w:rsid w:val="00C550A2"/>
    <w:rsid w:val="00C56469"/>
    <w:rsid w:val="00C60C6D"/>
    <w:rsid w:val="00C62877"/>
    <w:rsid w:val="00C62D4B"/>
    <w:rsid w:val="00C62E72"/>
    <w:rsid w:val="00C64C09"/>
    <w:rsid w:val="00C67B11"/>
    <w:rsid w:val="00C70F53"/>
    <w:rsid w:val="00C71064"/>
    <w:rsid w:val="00C722B6"/>
    <w:rsid w:val="00C75C3C"/>
    <w:rsid w:val="00C76FF6"/>
    <w:rsid w:val="00C8038E"/>
    <w:rsid w:val="00C82BA9"/>
    <w:rsid w:val="00C91DE9"/>
    <w:rsid w:val="00C9206F"/>
    <w:rsid w:val="00C92EC3"/>
    <w:rsid w:val="00C931C3"/>
    <w:rsid w:val="00C95A63"/>
    <w:rsid w:val="00CA11B0"/>
    <w:rsid w:val="00CA15E0"/>
    <w:rsid w:val="00CA31C0"/>
    <w:rsid w:val="00CA3C40"/>
    <w:rsid w:val="00CA4004"/>
    <w:rsid w:val="00CA50D9"/>
    <w:rsid w:val="00CA57A5"/>
    <w:rsid w:val="00CB024E"/>
    <w:rsid w:val="00CB08D8"/>
    <w:rsid w:val="00CB16E6"/>
    <w:rsid w:val="00CB2751"/>
    <w:rsid w:val="00CB29C4"/>
    <w:rsid w:val="00CB3CF6"/>
    <w:rsid w:val="00CB3D94"/>
    <w:rsid w:val="00CB464D"/>
    <w:rsid w:val="00CB49D6"/>
    <w:rsid w:val="00CB4D31"/>
    <w:rsid w:val="00CB5121"/>
    <w:rsid w:val="00CB5436"/>
    <w:rsid w:val="00CB67F3"/>
    <w:rsid w:val="00CB79FE"/>
    <w:rsid w:val="00CC0121"/>
    <w:rsid w:val="00CC740F"/>
    <w:rsid w:val="00CC757F"/>
    <w:rsid w:val="00CC7BEE"/>
    <w:rsid w:val="00CD439E"/>
    <w:rsid w:val="00CD540D"/>
    <w:rsid w:val="00CD5D5C"/>
    <w:rsid w:val="00CE1147"/>
    <w:rsid w:val="00CE2BA7"/>
    <w:rsid w:val="00CE4D6A"/>
    <w:rsid w:val="00CE6394"/>
    <w:rsid w:val="00CE7343"/>
    <w:rsid w:val="00CF2087"/>
    <w:rsid w:val="00CF3EC2"/>
    <w:rsid w:val="00D0058C"/>
    <w:rsid w:val="00D01165"/>
    <w:rsid w:val="00D070F4"/>
    <w:rsid w:val="00D076C3"/>
    <w:rsid w:val="00D11734"/>
    <w:rsid w:val="00D1288F"/>
    <w:rsid w:val="00D144B8"/>
    <w:rsid w:val="00D15B33"/>
    <w:rsid w:val="00D15B88"/>
    <w:rsid w:val="00D15F0D"/>
    <w:rsid w:val="00D17E9C"/>
    <w:rsid w:val="00D2020A"/>
    <w:rsid w:val="00D211BF"/>
    <w:rsid w:val="00D23AF7"/>
    <w:rsid w:val="00D30586"/>
    <w:rsid w:val="00D31211"/>
    <w:rsid w:val="00D33070"/>
    <w:rsid w:val="00D33CFD"/>
    <w:rsid w:val="00D36331"/>
    <w:rsid w:val="00D363C2"/>
    <w:rsid w:val="00D363E9"/>
    <w:rsid w:val="00D37596"/>
    <w:rsid w:val="00D37753"/>
    <w:rsid w:val="00D427CB"/>
    <w:rsid w:val="00D428E3"/>
    <w:rsid w:val="00D429DF"/>
    <w:rsid w:val="00D46677"/>
    <w:rsid w:val="00D4764A"/>
    <w:rsid w:val="00D50BFA"/>
    <w:rsid w:val="00D51DEC"/>
    <w:rsid w:val="00D52847"/>
    <w:rsid w:val="00D552C4"/>
    <w:rsid w:val="00D55330"/>
    <w:rsid w:val="00D55E1F"/>
    <w:rsid w:val="00D55F0C"/>
    <w:rsid w:val="00D62F91"/>
    <w:rsid w:val="00D6518F"/>
    <w:rsid w:val="00D65E0A"/>
    <w:rsid w:val="00D66419"/>
    <w:rsid w:val="00D71CFA"/>
    <w:rsid w:val="00D750FE"/>
    <w:rsid w:val="00D7554B"/>
    <w:rsid w:val="00D75573"/>
    <w:rsid w:val="00D76367"/>
    <w:rsid w:val="00D773F0"/>
    <w:rsid w:val="00D809B7"/>
    <w:rsid w:val="00D814C2"/>
    <w:rsid w:val="00D81504"/>
    <w:rsid w:val="00D831E5"/>
    <w:rsid w:val="00D84685"/>
    <w:rsid w:val="00D84750"/>
    <w:rsid w:val="00D87321"/>
    <w:rsid w:val="00D9051B"/>
    <w:rsid w:val="00D925D5"/>
    <w:rsid w:val="00D95040"/>
    <w:rsid w:val="00D954B1"/>
    <w:rsid w:val="00D972E5"/>
    <w:rsid w:val="00D9761D"/>
    <w:rsid w:val="00DA595A"/>
    <w:rsid w:val="00DA70FE"/>
    <w:rsid w:val="00DA7186"/>
    <w:rsid w:val="00DA7558"/>
    <w:rsid w:val="00DA758A"/>
    <w:rsid w:val="00DB1038"/>
    <w:rsid w:val="00DB1BB3"/>
    <w:rsid w:val="00DB1FC5"/>
    <w:rsid w:val="00DB275A"/>
    <w:rsid w:val="00DB3CAC"/>
    <w:rsid w:val="00DB4864"/>
    <w:rsid w:val="00DB51E0"/>
    <w:rsid w:val="00DB5E04"/>
    <w:rsid w:val="00DB6762"/>
    <w:rsid w:val="00DC096C"/>
    <w:rsid w:val="00DC0E07"/>
    <w:rsid w:val="00DC397D"/>
    <w:rsid w:val="00DC4E09"/>
    <w:rsid w:val="00DC50A1"/>
    <w:rsid w:val="00DD0225"/>
    <w:rsid w:val="00DD07C9"/>
    <w:rsid w:val="00DD2D40"/>
    <w:rsid w:val="00DD302A"/>
    <w:rsid w:val="00DD34C9"/>
    <w:rsid w:val="00DD4FE0"/>
    <w:rsid w:val="00DD64AD"/>
    <w:rsid w:val="00DD6897"/>
    <w:rsid w:val="00DD6AFF"/>
    <w:rsid w:val="00DD6D45"/>
    <w:rsid w:val="00DE0EEE"/>
    <w:rsid w:val="00DE33D0"/>
    <w:rsid w:val="00DE38D6"/>
    <w:rsid w:val="00DE3B1C"/>
    <w:rsid w:val="00DE659B"/>
    <w:rsid w:val="00DE6E33"/>
    <w:rsid w:val="00DE7664"/>
    <w:rsid w:val="00DF00CA"/>
    <w:rsid w:val="00DF0843"/>
    <w:rsid w:val="00DF0A25"/>
    <w:rsid w:val="00DF1AD3"/>
    <w:rsid w:val="00DF3EE3"/>
    <w:rsid w:val="00DF4039"/>
    <w:rsid w:val="00DF44EE"/>
    <w:rsid w:val="00DF46BD"/>
    <w:rsid w:val="00DF4C69"/>
    <w:rsid w:val="00DF4D40"/>
    <w:rsid w:val="00E011DA"/>
    <w:rsid w:val="00E0146C"/>
    <w:rsid w:val="00E01D6B"/>
    <w:rsid w:val="00E02E6F"/>
    <w:rsid w:val="00E02F42"/>
    <w:rsid w:val="00E0364F"/>
    <w:rsid w:val="00E0502E"/>
    <w:rsid w:val="00E05C45"/>
    <w:rsid w:val="00E070F4"/>
    <w:rsid w:val="00E07A37"/>
    <w:rsid w:val="00E10273"/>
    <w:rsid w:val="00E13AF5"/>
    <w:rsid w:val="00E13E6E"/>
    <w:rsid w:val="00E14583"/>
    <w:rsid w:val="00E16DE6"/>
    <w:rsid w:val="00E16EDD"/>
    <w:rsid w:val="00E173B7"/>
    <w:rsid w:val="00E17F22"/>
    <w:rsid w:val="00E20831"/>
    <w:rsid w:val="00E21205"/>
    <w:rsid w:val="00E214E9"/>
    <w:rsid w:val="00E23DA3"/>
    <w:rsid w:val="00E31839"/>
    <w:rsid w:val="00E31CA4"/>
    <w:rsid w:val="00E32CA3"/>
    <w:rsid w:val="00E32EB6"/>
    <w:rsid w:val="00E34821"/>
    <w:rsid w:val="00E350FE"/>
    <w:rsid w:val="00E44973"/>
    <w:rsid w:val="00E4531A"/>
    <w:rsid w:val="00E475D3"/>
    <w:rsid w:val="00E47B5B"/>
    <w:rsid w:val="00E50E55"/>
    <w:rsid w:val="00E51F68"/>
    <w:rsid w:val="00E5214C"/>
    <w:rsid w:val="00E5355C"/>
    <w:rsid w:val="00E53B49"/>
    <w:rsid w:val="00E53DE1"/>
    <w:rsid w:val="00E54475"/>
    <w:rsid w:val="00E550F2"/>
    <w:rsid w:val="00E575FA"/>
    <w:rsid w:val="00E601B0"/>
    <w:rsid w:val="00E61AA4"/>
    <w:rsid w:val="00E62B58"/>
    <w:rsid w:val="00E6328C"/>
    <w:rsid w:val="00E63F79"/>
    <w:rsid w:val="00E6420E"/>
    <w:rsid w:val="00E64294"/>
    <w:rsid w:val="00E655FF"/>
    <w:rsid w:val="00E67747"/>
    <w:rsid w:val="00E70FE6"/>
    <w:rsid w:val="00E71109"/>
    <w:rsid w:val="00E713F5"/>
    <w:rsid w:val="00E72B98"/>
    <w:rsid w:val="00E74373"/>
    <w:rsid w:val="00E75225"/>
    <w:rsid w:val="00E75517"/>
    <w:rsid w:val="00E825C5"/>
    <w:rsid w:val="00E82962"/>
    <w:rsid w:val="00E82F54"/>
    <w:rsid w:val="00E83993"/>
    <w:rsid w:val="00E8417B"/>
    <w:rsid w:val="00E85298"/>
    <w:rsid w:val="00E87571"/>
    <w:rsid w:val="00E9014E"/>
    <w:rsid w:val="00E904C3"/>
    <w:rsid w:val="00E93E08"/>
    <w:rsid w:val="00E977B4"/>
    <w:rsid w:val="00E97EB3"/>
    <w:rsid w:val="00EA0507"/>
    <w:rsid w:val="00EA10AB"/>
    <w:rsid w:val="00EA4491"/>
    <w:rsid w:val="00EA5177"/>
    <w:rsid w:val="00EA580D"/>
    <w:rsid w:val="00EA77E1"/>
    <w:rsid w:val="00EB048A"/>
    <w:rsid w:val="00EB148B"/>
    <w:rsid w:val="00EB22E9"/>
    <w:rsid w:val="00EB3C17"/>
    <w:rsid w:val="00EC0486"/>
    <w:rsid w:val="00EC2525"/>
    <w:rsid w:val="00EC2EBA"/>
    <w:rsid w:val="00EC64D7"/>
    <w:rsid w:val="00ED1A56"/>
    <w:rsid w:val="00ED59E0"/>
    <w:rsid w:val="00ED6F79"/>
    <w:rsid w:val="00ED7806"/>
    <w:rsid w:val="00EE0578"/>
    <w:rsid w:val="00EE12A9"/>
    <w:rsid w:val="00EE5E42"/>
    <w:rsid w:val="00EE6EE0"/>
    <w:rsid w:val="00EE76E6"/>
    <w:rsid w:val="00EE7DB7"/>
    <w:rsid w:val="00EF010F"/>
    <w:rsid w:val="00EF0952"/>
    <w:rsid w:val="00EF0A73"/>
    <w:rsid w:val="00EF2180"/>
    <w:rsid w:val="00EF27D7"/>
    <w:rsid w:val="00EF4A75"/>
    <w:rsid w:val="00EF6841"/>
    <w:rsid w:val="00F004E6"/>
    <w:rsid w:val="00F00ED6"/>
    <w:rsid w:val="00F02709"/>
    <w:rsid w:val="00F03CDB"/>
    <w:rsid w:val="00F0408B"/>
    <w:rsid w:val="00F04163"/>
    <w:rsid w:val="00F053C9"/>
    <w:rsid w:val="00F06479"/>
    <w:rsid w:val="00F1414F"/>
    <w:rsid w:val="00F14D16"/>
    <w:rsid w:val="00F15412"/>
    <w:rsid w:val="00F16278"/>
    <w:rsid w:val="00F16FCE"/>
    <w:rsid w:val="00F17BDD"/>
    <w:rsid w:val="00F22918"/>
    <w:rsid w:val="00F24686"/>
    <w:rsid w:val="00F273CB"/>
    <w:rsid w:val="00F317A0"/>
    <w:rsid w:val="00F31B10"/>
    <w:rsid w:val="00F3391E"/>
    <w:rsid w:val="00F408D6"/>
    <w:rsid w:val="00F415A3"/>
    <w:rsid w:val="00F42033"/>
    <w:rsid w:val="00F433DF"/>
    <w:rsid w:val="00F44362"/>
    <w:rsid w:val="00F44579"/>
    <w:rsid w:val="00F473D7"/>
    <w:rsid w:val="00F5045F"/>
    <w:rsid w:val="00F51731"/>
    <w:rsid w:val="00F52687"/>
    <w:rsid w:val="00F55B42"/>
    <w:rsid w:val="00F56A77"/>
    <w:rsid w:val="00F5706D"/>
    <w:rsid w:val="00F576C4"/>
    <w:rsid w:val="00F62B36"/>
    <w:rsid w:val="00F63339"/>
    <w:rsid w:val="00F64C33"/>
    <w:rsid w:val="00F67D05"/>
    <w:rsid w:val="00F70CFF"/>
    <w:rsid w:val="00F70F38"/>
    <w:rsid w:val="00F73DAD"/>
    <w:rsid w:val="00F74DCE"/>
    <w:rsid w:val="00F75344"/>
    <w:rsid w:val="00F75DB2"/>
    <w:rsid w:val="00F76E6A"/>
    <w:rsid w:val="00F77351"/>
    <w:rsid w:val="00F8062D"/>
    <w:rsid w:val="00F83F39"/>
    <w:rsid w:val="00F8505C"/>
    <w:rsid w:val="00F85086"/>
    <w:rsid w:val="00F86186"/>
    <w:rsid w:val="00F868C0"/>
    <w:rsid w:val="00F90317"/>
    <w:rsid w:val="00F90A9E"/>
    <w:rsid w:val="00F90C53"/>
    <w:rsid w:val="00F921CF"/>
    <w:rsid w:val="00F95106"/>
    <w:rsid w:val="00F961F3"/>
    <w:rsid w:val="00FA0BBA"/>
    <w:rsid w:val="00FA1EAD"/>
    <w:rsid w:val="00FA1F5F"/>
    <w:rsid w:val="00FA2858"/>
    <w:rsid w:val="00FA3044"/>
    <w:rsid w:val="00FA37D5"/>
    <w:rsid w:val="00FA39CD"/>
    <w:rsid w:val="00FA507A"/>
    <w:rsid w:val="00FA74EF"/>
    <w:rsid w:val="00FA7D4D"/>
    <w:rsid w:val="00FB4480"/>
    <w:rsid w:val="00FB56CC"/>
    <w:rsid w:val="00FB71AF"/>
    <w:rsid w:val="00FC4C3F"/>
    <w:rsid w:val="00FC6782"/>
    <w:rsid w:val="00FC6EBF"/>
    <w:rsid w:val="00FD0AE5"/>
    <w:rsid w:val="00FD22AD"/>
    <w:rsid w:val="00FD451A"/>
    <w:rsid w:val="00FD47B4"/>
    <w:rsid w:val="00FE11E3"/>
    <w:rsid w:val="00FE3A8F"/>
    <w:rsid w:val="00FE71FF"/>
    <w:rsid w:val="00FE7B25"/>
    <w:rsid w:val="00FF0EB3"/>
    <w:rsid w:val="00FF25A5"/>
    <w:rsid w:val="00FF2AC6"/>
    <w:rsid w:val="00FF2BB3"/>
    <w:rsid w:val="00FF481A"/>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428">
      <w:bodyDiv w:val="1"/>
      <w:marLeft w:val="0"/>
      <w:marRight w:val="0"/>
      <w:marTop w:val="0"/>
      <w:marBottom w:val="0"/>
      <w:divBdr>
        <w:top w:val="none" w:sz="0" w:space="0" w:color="auto"/>
        <w:left w:val="none" w:sz="0" w:space="0" w:color="auto"/>
        <w:bottom w:val="none" w:sz="0" w:space="0" w:color="auto"/>
        <w:right w:val="none" w:sz="0" w:space="0" w:color="auto"/>
      </w:divBdr>
    </w:div>
    <w:div w:id="13381765">
      <w:bodyDiv w:val="1"/>
      <w:marLeft w:val="0"/>
      <w:marRight w:val="0"/>
      <w:marTop w:val="0"/>
      <w:marBottom w:val="0"/>
      <w:divBdr>
        <w:top w:val="none" w:sz="0" w:space="0" w:color="auto"/>
        <w:left w:val="none" w:sz="0" w:space="0" w:color="auto"/>
        <w:bottom w:val="none" w:sz="0" w:space="0" w:color="auto"/>
        <w:right w:val="none" w:sz="0" w:space="0" w:color="auto"/>
      </w:divBdr>
    </w:div>
    <w:div w:id="16780761">
      <w:bodyDiv w:val="1"/>
      <w:marLeft w:val="0"/>
      <w:marRight w:val="0"/>
      <w:marTop w:val="0"/>
      <w:marBottom w:val="0"/>
      <w:divBdr>
        <w:top w:val="none" w:sz="0" w:space="0" w:color="auto"/>
        <w:left w:val="none" w:sz="0" w:space="0" w:color="auto"/>
        <w:bottom w:val="none" w:sz="0" w:space="0" w:color="auto"/>
        <w:right w:val="none" w:sz="0" w:space="0" w:color="auto"/>
      </w:divBdr>
    </w:div>
    <w:div w:id="24521352">
      <w:bodyDiv w:val="1"/>
      <w:marLeft w:val="0"/>
      <w:marRight w:val="0"/>
      <w:marTop w:val="0"/>
      <w:marBottom w:val="0"/>
      <w:divBdr>
        <w:top w:val="none" w:sz="0" w:space="0" w:color="auto"/>
        <w:left w:val="none" w:sz="0" w:space="0" w:color="auto"/>
        <w:bottom w:val="none" w:sz="0" w:space="0" w:color="auto"/>
        <w:right w:val="none" w:sz="0" w:space="0" w:color="auto"/>
      </w:divBdr>
    </w:div>
    <w:div w:id="26181584">
      <w:bodyDiv w:val="1"/>
      <w:marLeft w:val="0"/>
      <w:marRight w:val="0"/>
      <w:marTop w:val="0"/>
      <w:marBottom w:val="0"/>
      <w:divBdr>
        <w:top w:val="none" w:sz="0" w:space="0" w:color="auto"/>
        <w:left w:val="none" w:sz="0" w:space="0" w:color="auto"/>
        <w:bottom w:val="none" w:sz="0" w:space="0" w:color="auto"/>
        <w:right w:val="none" w:sz="0" w:space="0" w:color="auto"/>
      </w:divBdr>
    </w:div>
    <w:div w:id="30229244">
      <w:bodyDiv w:val="1"/>
      <w:marLeft w:val="0"/>
      <w:marRight w:val="0"/>
      <w:marTop w:val="0"/>
      <w:marBottom w:val="0"/>
      <w:divBdr>
        <w:top w:val="none" w:sz="0" w:space="0" w:color="auto"/>
        <w:left w:val="none" w:sz="0" w:space="0" w:color="auto"/>
        <w:bottom w:val="none" w:sz="0" w:space="0" w:color="auto"/>
        <w:right w:val="none" w:sz="0" w:space="0" w:color="auto"/>
      </w:divBdr>
    </w:div>
    <w:div w:id="32006199">
      <w:bodyDiv w:val="1"/>
      <w:marLeft w:val="0"/>
      <w:marRight w:val="0"/>
      <w:marTop w:val="0"/>
      <w:marBottom w:val="0"/>
      <w:divBdr>
        <w:top w:val="none" w:sz="0" w:space="0" w:color="auto"/>
        <w:left w:val="none" w:sz="0" w:space="0" w:color="auto"/>
        <w:bottom w:val="none" w:sz="0" w:space="0" w:color="auto"/>
        <w:right w:val="none" w:sz="0" w:space="0" w:color="auto"/>
      </w:divBdr>
    </w:div>
    <w:div w:id="33772899">
      <w:bodyDiv w:val="1"/>
      <w:marLeft w:val="0"/>
      <w:marRight w:val="0"/>
      <w:marTop w:val="0"/>
      <w:marBottom w:val="0"/>
      <w:divBdr>
        <w:top w:val="none" w:sz="0" w:space="0" w:color="auto"/>
        <w:left w:val="none" w:sz="0" w:space="0" w:color="auto"/>
        <w:bottom w:val="none" w:sz="0" w:space="0" w:color="auto"/>
        <w:right w:val="none" w:sz="0" w:space="0" w:color="auto"/>
      </w:divBdr>
    </w:div>
    <w:div w:id="45423149">
      <w:bodyDiv w:val="1"/>
      <w:marLeft w:val="0"/>
      <w:marRight w:val="0"/>
      <w:marTop w:val="0"/>
      <w:marBottom w:val="0"/>
      <w:divBdr>
        <w:top w:val="none" w:sz="0" w:space="0" w:color="auto"/>
        <w:left w:val="none" w:sz="0" w:space="0" w:color="auto"/>
        <w:bottom w:val="none" w:sz="0" w:space="0" w:color="auto"/>
        <w:right w:val="none" w:sz="0" w:space="0" w:color="auto"/>
      </w:divBdr>
    </w:div>
    <w:div w:id="45491066">
      <w:bodyDiv w:val="1"/>
      <w:marLeft w:val="0"/>
      <w:marRight w:val="0"/>
      <w:marTop w:val="0"/>
      <w:marBottom w:val="0"/>
      <w:divBdr>
        <w:top w:val="none" w:sz="0" w:space="0" w:color="auto"/>
        <w:left w:val="none" w:sz="0" w:space="0" w:color="auto"/>
        <w:bottom w:val="none" w:sz="0" w:space="0" w:color="auto"/>
        <w:right w:val="none" w:sz="0" w:space="0" w:color="auto"/>
      </w:divBdr>
    </w:div>
    <w:div w:id="62608927">
      <w:bodyDiv w:val="1"/>
      <w:marLeft w:val="0"/>
      <w:marRight w:val="0"/>
      <w:marTop w:val="0"/>
      <w:marBottom w:val="0"/>
      <w:divBdr>
        <w:top w:val="none" w:sz="0" w:space="0" w:color="auto"/>
        <w:left w:val="none" w:sz="0" w:space="0" w:color="auto"/>
        <w:bottom w:val="none" w:sz="0" w:space="0" w:color="auto"/>
        <w:right w:val="none" w:sz="0" w:space="0" w:color="auto"/>
      </w:divBdr>
    </w:div>
    <w:div w:id="82385414">
      <w:bodyDiv w:val="1"/>
      <w:marLeft w:val="0"/>
      <w:marRight w:val="0"/>
      <w:marTop w:val="0"/>
      <w:marBottom w:val="0"/>
      <w:divBdr>
        <w:top w:val="none" w:sz="0" w:space="0" w:color="auto"/>
        <w:left w:val="none" w:sz="0" w:space="0" w:color="auto"/>
        <w:bottom w:val="none" w:sz="0" w:space="0" w:color="auto"/>
        <w:right w:val="none" w:sz="0" w:space="0" w:color="auto"/>
      </w:divBdr>
    </w:div>
    <w:div w:id="94861988">
      <w:bodyDiv w:val="1"/>
      <w:marLeft w:val="0"/>
      <w:marRight w:val="0"/>
      <w:marTop w:val="0"/>
      <w:marBottom w:val="0"/>
      <w:divBdr>
        <w:top w:val="none" w:sz="0" w:space="0" w:color="auto"/>
        <w:left w:val="none" w:sz="0" w:space="0" w:color="auto"/>
        <w:bottom w:val="none" w:sz="0" w:space="0" w:color="auto"/>
        <w:right w:val="none" w:sz="0" w:space="0" w:color="auto"/>
      </w:divBdr>
    </w:div>
    <w:div w:id="100956587">
      <w:bodyDiv w:val="1"/>
      <w:marLeft w:val="0"/>
      <w:marRight w:val="0"/>
      <w:marTop w:val="0"/>
      <w:marBottom w:val="0"/>
      <w:divBdr>
        <w:top w:val="none" w:sz="0" w:space="0" w:color="auto"/>
        <w:left w:val="none" w:sz="0" w:space="0" w:color="auto"/>
        <w:bottom w:val="none" w:sz="0" w:space="0" w:color="auto"/>
        <w:right w:val="none" w:sz="0" w:space="0" w:color="auto"/>
      </w:divBdr>
    </w:div>
    <w:div w:id="103379336">
      <w:bodyDiv w:val="1"/>
      <w:marLeft w:val="0"/>
      <w:marRight w:val="0"/>
      <w:marTop w:val="0"/>
      <w:marBottom w:val="0"/>
      <w:divBdr>
        <w:top w:val="none" w:sz="0" w:space="0" w:color="auto"/>
        <w:left w:val="none" w:sz="0" w:space="0" w:color="auto"/>
        <w:bottom w:val="none" w:sz="0" w:space="0" w:color="auto"/>
        <w:right w:val="none" w:sz="0" w:space="0" w:color="auto"/>
      </w:divBdr>
    </w:div>
    <w:div w:id="121382713">
      <w:bodyDiv w:val="1"/>
      <w:marLeft w:val="0"/>
      <w:marRight w:val="0"/>
      <w:marTop w:val="0"/>
      <w:marBottom w:val="0"/>
      <w:divBdr>
        <w:top w:val="none" w:sz="0" w:space="0" w:color="auto"/>
        <w:left w:val="none" w:sz="0" w:space="0" w:color="auto"/>
        <w:bottom w:val="none" w:sz="0" w:space="0" w:color="auto"/>
        <w:right w:val="none" w:sz="0" w:space="0" w:color="auto"/>
      </w:divBdr>
    </w:div>
    <w:div w:id="140851689">
      <w:bodyDiv w:val="1"/>
      <w:marLeft w:val="0"/>
      <w:marRight w:val="0"/>
      <w:marTop w:val="0"/>
      <w:marBottom w:val="0"/>
      <w:divBdr>
        <w:top w:val="none" w:sz="0" w:space="0" w:color="auto"/>
        <w:left w:val="none" w:sz="0" w:space="0" w:color="auto"/>
        <w:bottom w:val="none" w:sz="0" w:space="0" w:color="auto"/>
        <w:right w:val="none" w:sz="0" w:space="0" w:color="auto"/>
      </w:divBdr>
    </w:div>
    <w:div w:id="154421146">
      <w:bodyDiv w:val="1"/>
      <w:marLeft w:val="0"/>
      <w:marRight w:val="0"/>
      <w:marTop w:val="0"/>
      <w:marBottom w:val="0"/>
      <w:divBdr>
        <w:top w:val="none" w:sz="0" w:space="0" w:color="auto"/>
        <w:left w:val="none" w:sz="0" w:space="0" w:color="auto"/>
        <w:bottom w:val="none" w:sz="0" w:space="0" w:color="auto"/>
        <w:right w:val="none" w:sz="0" w:space="0" w:color="auto"/>
      </w:divBdr>
    </w:div>
    <w:div w:id="156463780">
      <w:bodyDiv w:val="1"/>
      <w:marLeft w:val="0"/>
      <w:marRight w:val="0"/>
      <w:marTop w:val="0"/>
      <w:marBottom w:val="0"/>
      <w:divBdr>
        <w:top w:val="none" w:sz="0" w:space="0" w:color="auto"/>
        <w:left w:val="none" w:sz="0" w:space="0" w:color="auto"/>
        <w:bottom w:val="none" w:sz="0" w:space="0" w:color="auto"/>
        <w:right w:val="none" w:sz="0" w:space="0" w:color="auto"/>
      </w:divBdr>
    </w:div>
    <w:div w:id="160896589">
      <w:bodyDiv w:val="1"/>
      <w:marLeft w:val="0"/>
      <w:marRight w:val="0"/>
      <w:marTop w:val="0"/>
      <w:marBottom w:val="0"/>
      <w:divBdr>
        <w:top w:val="none" w:sz="0" w:space="0" w:color="auto"/>
        <w:left w:val="none" w:sz="0" w:space="0" w:color="auto"/>
        <w:bottom w:val="none" w:sz="0" w:space="0" w:color="auto"/>
        <w:right w:val="none" w:sz="0" w:space="0" w:color="auto"/>
      </w:divBdr>
    </w:div>
    <w:div w:id="171996501">
      <w:bodyDiv w:val="1"/>
      <w:marLeft w:val="0"/>
      <w:marRight w:val="0"/>
      <w:marTop w:val="0"/>
      <w:marBottom w:val="0"/>
      <w:divBdr>
        <w:top w:val="none" w:sz="0" w:space="0" w:color="auto"/>
        <w:left w:val="none" w:sz="0" w:space="0" w:color="auto"/>
        <w:bottom w:val="none" w:sz="0" w:space="0" w:color="auto"/>
        <w:right w:val="none" w:sz="0" w:space="0" w:color="auto"/>
      </w:divBdr>
    </w:div>
    <w:div w:id="178395274">
      <w:bodyDiv w:val="1"/>
      <w:marLeft w:val="0"/>
      <w:marRight w:val="0"/>
      <w:marTop w:val="0"/>
      <w:marBottom w:val="0"/>
      <w:divBdr>
        <w:top w:val="none" w:sz="0" w:space="0" w:color="auto"/>
        <w:left w:val="none" w:sz="0" w:space="0" w:color="auto"/>
        <w:bottom w:val="none" w:sz="0" w:space="0" w:color="auto"/>
        <w:right w:val="none" w:sz="0" w:space="0" w:color="auto"/>
      </w:divBdr>
    </w:div>
    <w:div w:id="183132783">
      <w:bodyDiv w:val="1"/>
      <w:marLeft w:val="0"/>
      <w:marRight w:val="0"/>
      <w:marTop w:val="0"/>
      <w:marBottom w:val="0"/>
      <w:divBdr>
        <w:top w:val="none" w:sz="0" w:space="0" w:color="auto"/>
        <w:left w:val="none" w:sz="0" w:space="0" w:color="auto"/>
        <w:bottom w:val="none" w:sz="0" w:space="0" w:color="auto"/>
        <w:right w:val="none" w:sz="0" w:space="0" w:color="auto"/>
      </w:divBdr>
    </w:div>
    <w:div w:id="184708090">
      <w:bodyDiv w:val="1"/>
      <w:marLeft w:val="0"/>
      <w:marRight w:val="0"/>
      <w:marTop w:val="0"/>
      <w:marBottom w:val="0"/>
      <w:divBdr>
        <w:top w:val="none" w:sz="0" w:space="0" w:color="auto"/>
        <w:left w:val="none" w:sz="0" w:space="0" w:color="auto"/>
        <w:bottom w:val="none" w:sz="0" w:space="0" w:color="auto"/>
        <w:right w:val="none" w:sz="0" w:space="0" w:color="auto"/>
      </w:divBdr>
    </w:div>
    <w:div w:id="190000313">
      <w:bodyDiv w:val="1"/>
      <w:marLeft w:val="0"/>
      <w:marRight w:val="0"/>
      <w:marTop w:val="0"/>
      <w:marBottom w:val="0"/>
      <w:divBdr>
        <w:top w:val="none" w:sz="0" w:space="0" w:color="auto"/>
        <w:left w:val="none" w:sz="0" w:space="0" w:color="auto"/>
        <w:bottom w:val="none" w:sz="0" w:space="0" w:color="auto"/>
        <w:right w:val="none" w:sz="0" w:space="0" w:color="auto"/>
      </w:divBdr>
    </w:div>
    <w:div w:id="200020271">
      <w:bodyDiv w:val="1"/>
      <w:marLeft w:val="0"/>
      <w:marRight w:val="0"/>
      <w:marTop w:val="0"/>
      <w:marBottom w:val="0"/>
      <w:divBdr>
        <w:top w:val="none" w:sz="0" w:space="0" w:color="auto"/>
        <w:left w:val="none" w:sz="0" w:space="0" w:color="auto"/>
        <w:bottom w:val="none" w:sz="0" w:space="0" w:color="auto"/>
        <w:right w:val="none" w:sz="0" w:space="0" w:color="auto"/>
      </w:divBdr>
    </w:div>
    <w:div w:id="201672099">
      <w:bodyDiv w:val="1"/>
      <w:marLeft w:val="0"/>
      <w:marRight w:val="0"/>
      <w:marTop w:val="0"/>
      <w:marBottom w:val="0"/>
      <w:divBdr>
        <w:top w:val="none" w:sz="0" w:space="0" w:color="auto"/>
        <w:left w:val="none" w:sz="0" w:space="0" w:color="auto"/>
        <w:bottom w:val="none" w:sz="0" w:space="0" w:color="auto"/>
        <w:right w:val="none" w:sz="0" w:space="0" w:color="auto"/>
      </w:divBdr>
    </w:div>
    <w:div w:id="205722140">
      <w:bodyDiv w:val="1"/>
      <w:marLeft w:val="0"/>
      <w:marRight w:val="0"/>
      <w:marTop w:val="0"/>
      <w:marBottom w:val="0"/>
      <w:divBdr>
        <w:top w:val="none" w:sz="0" w:space="0" w:color="auto"/>
        <w:left w:val="none" w:sz="0" w:space="0" w:color="auto"/>
        <w:bottom w:val="none" w:sz="0" w:space="0" w:color="auto"/>
        <w:right w:val="none" w:sz="0" w:space="0" w:color="auto"/>
      </w:divBdr>
    </w:div>
    <w:div w:id="208882317">
      <w:bodyDiv w:val="1"/>
      <w:marLeft w:val="0"/>
      <w:marRight w:val="0"/>
      <w:marTop w:val="0"/>
      <w:marBottom w:val="0"/>
      <w:divBdr>
        <w:top w:val="none" w:sz="0" w:space="0" w:color="auto"/>
        <w:left w:val="none" w:sz="0" w:space="0" w:color="auto"/>
        <w:bottom w:val="none" w:sz="0" w:space="0" w:color="auto"/>
        <w:right w:val="none" w:sz="0" w:space="0" w:color="auto"/>
      </w:divBdr>
    </w:div>
    <w:div w:id="222954923">
      <w:bodyDiv w:val="1"/>
      <w:marLeft w:val="0"/>
      <w:marRight w:val="0"/>
      <w:marTop w:val="0"/>
      <w:marBottom w:val="0"/>
      <w:divBdr>
        <w:top w:val="none" w:sz="0" w:space="0" w:color="auto"/>
        <w:left w:val="none" w:sz="0" w:space="0" w:color="auto"/>
        <w:bottom w:val="none" w:sz="0" w:space="0" w:color="auto"/>
        <w:right w:val="none" w:sz="0" w:space="0" w:color="auto"/>
      </w:divBdr>
    </w:div>
    <w:div w:id="228350522">
      <w:bodyDiv w:val="1"/>
      <w:marLeft w:val="0"/>
      <w:marRight w:val="0"/>
      <w:marTop w:val="0"/>
      <w:marBottom w:val="0"/>
      <w:divBdr>
        <w:top w:val="none" w:sz="0" w:space="0" w:color="auto"/>
        <w:left w:val="none" w:sz="0" w:space="0" w:color="auto"/>
        <w:bottom w:val="none" w:sz="0" w:space="0" w:color="auto"/>
        <w:right w:val="none" w:sz="0" w:space="0" w:color="auto"/>
      </w:divBdr>
    </w:div>
    <w:div w:id="229775452">
      <w:bodyDiv w:val="1"/>
      <w:marLeft w:val="0"/>
      <w:marRight w:val="0"/>
      <w:marTop w:val="0"/>
      <w:marBottom w:val="0"/>
      <w:divBdr>
        <w:top w:val="none" w:sz="0" w:space="0" w:color="auto"/>
        <w:left w:val="none" w:sz="0" w:space="0" w:color="auto"/>
        <w:bottom w:val="none" w:sz="0" w:space="0" w:color="auto"/>
        <w:right w:val="none" w:sz="0" w:space="0" w:color="auto"/>
      </w:divBdr>
    </w:div>
    <w:div w:id="245186755">
      <w:bodyDiv w:val="1"/>
      <w:marLeft w:val="0"/>
      <w:marRight w:val="0"/>
      <w:marTop w:val="0"/>
      <w:marBottom w:val="0"/>
      <w:divBdr>
        <w:top w:val="none" w:sz="0" w:space="0" w:color="auto"/>
        <w:left w:val="none" w:sz="0" w:space="0" w:color="auto"/>
        <w:bottom w:val="none" w:sz="0" w:space="0" w:color="auto"/>
        <w:right w:val="none" w:sz="0" w:space="0" w:color="auto"/>
      </w:divBdr>
    </w:div>
    <w:div w:id="256184270">
      <w:bodyDiv w:val="1"/>
      <w:marLeft w:val="0"/>
      <w:marRight w:val="0"/>
      <w:marTop w:val="0"/>
      <w:marBottom w:val="0"/>
      <w:divBdr>
        <w:top w:val="none" w:sz="0" w:space="0" w:color="auto"/>
        <w:left w:val="none" w:sz="0" w:space="0" w:color="auto"/>
        <w:bottom w:val="none" w:sz="0" w:space="0" w:color="auto"/>
        <w:right w:val="none" w:sz="0" w:space="0" w:color="auto"/>
      </w:divBdr>
    </w:div>
    <w:div w:id="265576622">
      <w:bodyDiv w:val="1"/>
      <w:marLeft w:val="0"/>
      <w:marRight w:val="0"/>
      <w:marTop w:val="0"/>
      <w:marBottom w:val="0"/>
      <w:divBdr>
        <w:top w:val="none" w:sz="0" w:space="0" w:color="auto"/>
        <w:left w:val="none" w:sz="0" w:space="0" w:color="auto"/>
        <w:bottom w:val="none" w:sz="0" w:space="0" w:color="auto"/>
        <w:right w:val="none" w:sz="0" w:space="0" w:color="auto"/>
      </w:divBdr>
    </w:div>
    <w:div w:id="267930109">
      <w:bodyDiv w:val="1"/>
      <w:marLeft w:val="0"/>
      <w:marRight w:val="0"/>
      <w:marTop w:val="0"/>
      <w:marBottom w:val="0"/>
      <w:divBdr>
        <w:top w:val="none" w:sz="0" w:space="0" w:color="auto"/>
        <w:left w:val="none" w:sz="0" w:space="0" w:color="auto"/>
        <w:bottom w:val="none" w:sz="0" w:space="0" w:color="auto"/>
        <w:right w:val="none" w:sz="0" w:space="0" w:color="auto"/>
      </w:divBdr>
    </w:div>
    <w:div w:id="276721789">
      <w:bodyDiv w:val="1"/>
      <w:marLeft w:val="0"/>
      <w:marRight w:val="0"/>
      <w:marTop w:val="0"/>
      <w:marBottom w:val="0"/>
      <w:divBdr>
        <w:top w:val="none" w:sz="0" w:space="0" w:color="auto"/>
        <w:left w:val="none" w:sz="0" w:space="0" w:color="auto"/>
        <w:bottom w:val="none" w:sz="0" w:space="0" w:color="auto"/>
        <w:right w:val="none" w:sz="0" w:space="0" w:color="auto"/>
      </w:divBdr>
    </w:div>
    <w:div w:id="290404798">
      <w:bodyDiv w:val="1"/>
      <w:marLeft w:val="0"/>
      <w:marRight w:val="0"/>
      <w:marTop w:val="0"/>
      <w:marBottom w:val="0"/>
      <w:divBdr>
        <w:top w:val="none" w:sz="0" w:space="0" w:color="auto"/>
        <w:left w:val="none" w:sz="0" w:space="0" w:color="auto"/>
        <w:bottom w:val="none" w:sz="0" w:space="0" w:color="auto"/>
        <w:right w:val="none" w:sz="0" w:space="0" w:color="auto"/>
      </w:divBdr>
    </w:div>
    <w:div w:id="294024915">
      <w:bodyDiv w:val="1"/>
      <w:marLeft w:val="0"/>
      <w:marRight w:val="0"/>
      <w:marTop w:val="0"/>
      <w:marBottom w:val="0"/>
      <w:divBdr>
        <w:top w:val="none" w:sz="0" w:space="0" w:color="auto"/>
        <w:left w:val="none" w:sz="0" w:space="0" w:color="auto"/>
        <w:bottom w:val="none" w:sz="0" w:space="0" w:color="auto"/>
        <w:right w:val="none" w:sz="0" w:space="0" w:color="auto"/>
      </w:divBdr>
    </w:div>
    <w:div w:id="296840222">
      <w:bodyDiv w:val="1"/>
      <w:marLeft w:val="0"/>
      <w:marRight w:val="0"/>
      <w:marTop w:val="0"/>
      <w:marBottom w:val="0"/>
      <w:divBdr>
        <w:top w:val="none" w:sz="0" w:space="0" w:color="auto"/>
        <w:left w:val="none" w:sz="0" w:space="0" w:color="auto"/>
        <w:bottom w:val="none" w:sz="0" w:space="0" w:color="auto"/>
        <w:right w:val="none" w:sz="0" w:space="0" w:color="auto"/>
      </w:divBdr>
    </w:div>
    <w:div w:id="297536894">
      <w:bodyDiv w:val="1"/>
      <w:marLeft w:val="0"/>
      <w:marRight w:val="0"/>
      <w:marTop w:val="0"/>
      <w:marBottom w:val="0"/>
      <w:divBdr>
        <w:top w:val="none" w:sz="0" w:space="0" w:color="auto"/>
        <w:left w:val="none" w:sz="0" w:space="0" w:color="auto"/>
        <w:bottom w:val="none" w:sz="0" w:space="0" w:color="auto"/>
        <w:right w:val="none" w:sz="0" w:space="0" w:color="auto"/>
      </w:divBdr>
    </w:div>
    <w:div w:id="299042772">
      <w:bodyDiv w:val="1"/>
      <w:marLeft w:val="0"/>
      <w:marRight w:val="0"/>
      <w:marTop w:val="0"/>
      <w:marBottom w:val="0"/>
      <w:divBdr>
        <w:top w:val="none" w:sz="0" w:space="0" w:color="auto"/>
        <w:left w:val="none" w:sz="0" w:space="0" w:color="auto"/>
        <w:bottom w:val="none" w:sz="0" w:space="0" w:color="auto"/>
        <w:right w:val="none" w:sz="0" w:space="0" w:color="auto"/>
      </w:divBdr>
    </w:div>
    <w:div w:id="303660841">
      <w:bodyDiv w:val="1"/>
      <w:marLeft w:val="0"/>
      <w:marRight w:val="0"/>
      <w:marTop w:val="0"/>
      <w:marBottom w:val="0"/>
      <w:divBdr>
        <w:top w:val="none" w:sz="0" w:space="0" w:color="auto"/>
        <w:left w:val="none" w:sz="0" w:space="0" w:color="auto"/>
        <w:bottom w:val="none" w:sz="0" w:space="0" w:color="auto"/>
        <w:right w:val="none" w:sz="0" w:space="0" w:color="auto"/>
      </w:divBdr>
    </w:div>
    <w:div w:id="313536655">
      <w:bodyDiv w:val="1"/>
      <w:marLeft w:val="0"/>
      <w:marRight w:val="0"/>
      <w:marTop w:val="0"/>
      <w:marBottom w:val="0"/>
      <w:divBdr>
        <w:top w:val="none" w:sz="0" w:space="0" w:color="auto"/>
        <w:left w:val="none" w:sz="0" w:space="0" w:color="auto"/>
        <w:bottom w:val="none" w:sz="0" w:space="0" w:color="auto"/>
        <w:right w:val="none" w:sz="0" w:space="0" w:color="auto"/>
      </w:divBdr>
    </w:div>
    <w:div w:id="317925370">
      <w:bodyDiv w:val="1"/>
      <w:marLeft w:val="0"/>
      <w:marRight w:val="0"/>
      <w:marTop w:val="0"/>
      <w:marBottom w:val="0"/>
      <w:divBdr>
        <w:top w:val="none" w:sz="0" w:space="0" w:color="auto"/>
        <w:left w:val="none" w:sz="0" w:space="0" w:color="auto"/>
        <w:bottom w:val="none" w:sz="0" w:space="0" w:color="auto"/>
        <w:right w:val="none" w:sz="0" w:space="0" w:color="auto"/>
      </w:divBdr>
    </w:div>
    <w:div w:id="319773155">
      <w:bodyDiv w:val="1"/>
      <w:marLeft w:val="0"/>
      <w:marRight w:val="0"/>
      <w:marTop w:val="0"/>
      <w:marBottom w:val="0"/>
      <w:divBdr>
        <w:top w:val="none" w:sz="0" w:space="0" w:color="auto"/>
        <w:left w:val="none" w:sz="0" w:space="0" w:color="auto"/>
        <w:bottom w:val="none" w:sz="0" w:space="0" w:color="auto"/>
        <w:right w:val="none" w:sz="0" w:space="0" w:color="auto"/>
      </w:divBdr>
    </w:div>
    <w:div w:id="325939217">
      <w:bodyDiv w:val="1"/>
      <w:marLeft w:val="0"/>
      <w:marRight w:val="0"/>
      <w:marTop w:val="0"/>
      <w:marBottom w:val="0"/>
      <w:divBdr>
        <w:top w:val="none" w:sz="0" w:space="0" w:color="auto"/>
        <w:left w:val="none" w:sz="0" w:space="0" w:color="auto"/>
        <w:bottom w:val="none" w:sz="0" w:space="0" w:color="auto"/>
        <w:right w:val="none" w:sz="0" w:space="0" w:color="auto"/>
      </w:divBdr>
    </w:div>
    <w:div w:id="326059004">
      <w:bodyDiv w:val="1"/>
      <w:marLeft w:val="0"/>
      <w:marRight w:val="0"/>
      <w:marTop w:val="0"/>
      <w:marBottom w:val="0"/>
      <w:divBdr>
        <w:top w:val="none" w:sz="0" w:space="0" w:color="auto"/>
        <w:left w:val="none" w:sz="0" w:space="0" w:color="auto"/>
        <w:bottom w:val="none" w:sz="0" w:space="0" w:color="auto"/>
        <w:right w:val="none" w:sz="0" w:space="0" w:color="auto"/>
      </w:divBdr>
    </w:div>
    <w:div w:id="332611325">
      <w:bodyDiv w:val="1"/>
      <w:marLeft w:val="0"/>
      <w:marRight w:val="0"/>
      <w:marTop w:val="0"/>
      <w:marBottom w:val="0"/>
      <w:divBdr>
        <w:top w:val="none" w:sz="0" w:space="0" w:color="auto"/>
        <w:left w:val="none" w:sz="0" w:space="0" w:color="auto"/>
        <w:bottom w:val="none" w:sz="0" w:space="0" w:color="auto"/>
        <w:right w:val="none" w:sz="0" w:space="0" w:color="auto"/>
      </w:divBdr>
    </w:div>
    <w:div w:id="351224892">
      <w:bodyDiv w:val="1"/>
      <w:marLeft w:val="0"/>
      <w:marRight w:val="0"/>
      <w:marTop w:val="0"/>
      <w:marBottom w:val="0"/>
      <w:divBdr>
        <w:top w:val="none" w:sz="0" w:space="0" w:color="auto"/>
        <w:left w:val="none" w:sz="0" w:space="0" w:color="auto"/>
        <w:bottom w:val="none" w:sz="0" w:space="0" w:color="auto"/>
        <w:right w:val="none" w:sz="0" w:space="0" w:color="auto"/>
      </w:divBdr>
    </w:div>
    <w:div w:id="359622887">
      <w:bodyDiv w:val="1"/>
      <w:marLeft w:val="0"/>
      <w:marRight w:val="0"/>
      <w:marTop w:val="0"/>
      <w:marBottom w:val="0"/>
      <w:divBdr>
        <w:top w:val="none" w:sz="0" w:space="0" w:color="auto"/>
        <w:left w:val="none" w:sz="0" w:space="0" w:color="auto"/>
        <w:bottom w:val="none" w:sz="0" w:space="0" w:color="auto"/>
        <w:right w:val="none" w:sz="0" w:space="0" w:color="auto"/>
      </w:divBdr>
    </w:div>
    <w:div w:id="379549316">
      <w:bodyDiv w:val="1"/>
      <w:marLeft w:val="0"/>
      <w:marRight w:val="0"/>
      <w:marTop w:val="0"/>
      <w:marBottom w:val="0"/>
      <w:divBdr>
        <w:top w:val="none" w:sz="0" w:space="0" w:color="auto"/>
        <w:left w:val="none" w:sz="0" w:space="0" w:color="auto"/>
        <w:bottom w:val="none" w:sz="0" w:space="0" w:color="auto"/>
        <w:right w:val="none" w:sz="0" w:space="0" w:color="auto"/>
      </w:divBdr>
    </w:div>
    <w:div w:id="382291808">
      <w:bodyDiv w:val="1"/>
      <w:marLeft w:val="0"/>
      <w:marRight w:val="0"/>
      <w:marTop w:val="0"/>
      <w:marBottom w:val="0"/>
      <w:divBdr>
        <w:top w:val="none" w:sz="0" w:space="0" w:color="auto"/>
        <w:left w:val="none" w:sz="0" w:space="0" w:color="auto"/>
        <w:bottom w:val="none" w:sz="0" w:space="0" w:color="auto"/>
        <w:right w:val="none" w:sz="0" w:space="0" w:color="auto"/>
      </w:divBdr>
    </w:div>
    <w:div w:id="390234084">
      <w:bodyDiv w:val="1"/>
      <w:marLeft w:val="0"/>
      <w:marRight w:val="0"/>
      <w:marTop w:val="0"/>
      <w:marBottom w:val="0"/>
      <w:divBdr>
        <w:top w:val="none" w:sz="0" w:space="0" w:color="auto"/>
        <w:left w:val="none" w:sz="0" w:space="0" w:color="auto"/>
        <w:bottom w:val="none" w:sz="0" w:space="0" w:color="auto"/>
        <w:right w:val="none" w:sz="0" w:space="0" w:color="auto"/>
      </w:divBdr>
    </w:div>
    <w:div w:id="391273272">
      <w:bodyDiv w:val="1"/>
      <w:marLeft w:val="0"/>
      <w:marRight w:val="0"/>
      <w:marTop w:val="0"/>
      <w:marBottom w:val="0"/>
      <w:divBdr>
        <w:top w:val="none" w:sz="0" w:space="0" w:color="auto"/>
        <w:left w:val="none" w:sz="0" w:space="0" w:color="auto"/>
        <w:bottom w:val="none" w:sz="0" w:space="0" w:color="auto"/>
        <w:right w:val="none" w:sz="0" w:space="0" w:color="auto"/>
      </w:divBdr>
    </w:div>
    <w:div w:id="398945044">
      <w:bodyDiv w:val="1"/>
      <w:marLeft w:val="0"/>
      <w:marRight w:val="0"/>
      <w:marTop w:val="0"/>
      <w:marBottom w:val="0"/>
      <w:divBdr>
        <w:top w:val="none" w:sz="0" w:space="0" w:color="auto"/>
        <w:left w:val="none" w:sz="0" w:space="0" w:color="auto"/>
        <w:bottom w:val="none" w:sz="0" w:space="0" w:color="auto"/>
        <w:right w:val="none" w:sz="0" w:space="0" w:color="auto"/>
      </w:divBdr>
    </w:div>
    <w:div w:id="400761172">
      <w:bodyDiv w:val="1"/>
      <w:marLeft w:val="0"/>
      <w:marRight w:val="0"/>
      <w:marTop w:val="0"/>
      <w:marBottom w:val="0"/>
      <w:divBdr>
        <w:top w:val="none" w:sz="0" w:space="0" w:color="auto"/>
        <w:left w:val="none" w:sz="0" w:space="0" w:color="auto"/>
        <w:bottom w:val="none" w:sz="0" w:space="0" w:color="auto"/>
        <w:right w:val="none" w:sz="0" w:space="0" w:color="auto"/>
      </w:divBdr>
    </w:div>
    <w:div w:id="401146655">
      <w:bodyDiv w:val="1"/>
      <w:marLeft w:val="0"/>
      <w:marRight w:val="0"/>
      <w:marTop w:val="0"/>
      <w:marBottom w:val="0"/>
      <w:divBdr>
        <w:top w:val="none" w:sz="0" w:space="0" w:color="auto"/>
        <w:left w:val="none" w:sz="0" w:space="0" w:color="auto"/>
        <w:bottom w:val="none" w:sz="0" w:space="0" w:color="auto"/>
        <w:right w:val="none" w:sz="0" w:space="0" w:color="auto"/>
      </w:divBdr>
    </w:div>
    <w:div w:id="407384813">
      <w:bodyDiv w:val="1"/>
      <w:marLeft w:val="0"/>
      <w:marRight w:val="0"/>
      <w:marTop w:val="0"/>
      <w:marBottom w:val="0"/>
      <w:divBdr>
        <w:top w:val="none" w:sz="0" w:space="0" w:color="auto"/>
        <w:left w:val="none" w:sz="0" w:space="0" w:color="auto"/>
        <w:bottom w:val="none" w:sz="0" w:space="0" w:color="auto"/>
        <w:right w:val="none" w:sz="0" w:space="0" w:color="auto"/>
      </w:divBdr>
    </w:div>
    <w:div w:id="409811921">
      <w:bodyDiv w:val="1"/>
      <w:marLeft w:val="0"/>
      <w:marRight w:val="0"/>
      <w:marTop w:val="0"/>
      <w:marBottom w:val="0"/>
      <w:divBdr>
        <w:top w:val="none" w:sz="0" w:space="0" w:color="auto"/>
        <w:left w:val="none" w:sz="0" w:space="0" w:color="auto"/>
        <w:bottom w:val="none" w:sz="0" w:space="0" w:color="auto"/>
        <w:right w:val="none" w:sz="0" w:space="0" w:color="auto"/>
      </w:divBdr>
    </w:div>
    <w:div w:id="418673291">
      <w:bodyDiv w:val="1"/>
      <w:marLeft w:val="0"/>
      <w:marRight w:val="0"/>
      <w:marTop w:val="0"/>
      <w:marBottom w:val="0"/>
      <w:divBdr>
        <w:top w:val="none" w:sz="0" w:space="0" w:color="auto"/>
        <w:left w:val="none" w:sz="0" w:space="0" w:color="auto"/>
        <w:bottom w:val="none" w:sz="0" w:space="0" w:color="auto"/>
        <w:right w:val="none" w:sz="0" w:space="0" w:color="auto"/>
      </w:divBdr>
    </w:div>
    <w:div w:id="429618649">
      <w:bodyDiv w:val="1"/>
      <w:marLeft w:val="0"/>
      <w:marRight w:val="0"/>
      <w:marTop w:val="0"/>
      <w:marBottom w:val="0"/>
      <w:divBdr>
        <w:top w:val="none" w:sz="0" w:space="0" w:color="auto"/>
        <w:left w:val="none" w:sz="0" w:space="0" w:color="auto"/>
        <w:bottom w:val="none" w:sz="0" w:space="0" w:color="auto"/>
        <w:right w:val="none" w:sz="0" w:space="0" w:color="auto"/>
      </w:divBdr>
    </w:div>
    <w:div w:id="429736950">
      <w:bodyDiv w:val="1"/>
      <w:marLeft w:val="0"/>
      <w:marRight w:val="0"/>
      <w:marTop w:val="0"/>
      <w:marBottom w:val="0"/>
      <w:divBdr>
        <w:top w:val="none" w:sz="0" w:space="0" w:color="auto"/>
        <w:left w:val="none" w:sz="0" w:space="0" w:color="auto"/>
        <w:bottom w:val="none" w:sz="0" w:space="0" w:color="auto"/>
        <w:right w:val="none" w:sz="0" w:space="0" w:color="auto"/>
      </w:divBdr>
    </w:div>
    <w:div w:id="438568838">
      <w:bodyDiv w:val="1"/>
      <w:marLeft w:val="0"/>
      <w:marRight w:val="0"/>
      <w:marTop w:val="0"/>
      <w:marBottom w:val="0"/>
      <w:divBdr>
        <w:top w:val="none" w:sz="0" w:space="0" w:color="auto"/>
        <w:left w:val="none" w:sz="0" w:space="0" w:color="auto"/>
        <w:bottom w:val="none" w:sz="0" w:space="0" w:color="auto"/>
        <w:right w:val="none" w:sz="0" w:space="0" w:color="auto"/>
      </w:divBdr>
    </w:div>
    <w:div w:id="441922421">
      <w:bodyDiv w:val="1"/>
      <w:marLeft w:val="0"/>
      <w:marRight w:val="0"/>
      <w:marTop w:val="0"/>
      <w:marBottom w:val="0"/>
      <w:divBdr>
        <w:top w:val="none" w:sz="0" w:space="0" w:color="auto"/>
        <w:left w:val="none" w:sz="0" w:space="0" w:color="auto"/>
        <w:bottom w:val="none" w:sz="0" w:space="0" w:color="auto"/>
        <w:right w:val="none" w:sz="0" w:space="0" w:color="auto"/>
      </w:divBdr>
    </w:div>
    <w:div w:id="444541727">
      <w:bodyDiv w:val="1"/>
      <w:marLeft w:val="0"/>
      <w:marRight w:val="0"/>
      <w:marTop w:val="0"/>
      <w:marBottom w:val="0"/>
      <w:divBdr>
        <w:top w:val="none" w:sz="0" w:space="0" w:color="auto"/>
        <w:left w:val="none" w:sz="0" w:space="0" w:color="auto"/>
        <w:bottom w:val="none" w:sz="0" w:space="0" w:color="auto"/>
        <w:right w:val="none" w:sz="0" w:space="0" w:color="auto"/>
      </w:divBdr>
    </w:div>
    <w:div w:id="458451877">
      <w:bodyDiv w:val="1"/>
      <w:marLeft w:val="0"/>
      <w:marRight w:val="0"/>
      <w:marTop w:val="0"/>
      <w:marBottom w:val="0"/>
      <w:divBdr>
        <w:top w:val="none" w:sz="0" w:space="0" w:color="auto"/>
        <w:left w:val="none" w:sz="0" w:space="0" w:color="auto"/>
        <w:bottom w:val="none" w:sz="0" w:space="0" w:color="auto"/>
        <w:right w:val="none" w:sz="0" w:space="0" w:color="auto"/>
      </w:divBdr>
    </w:div>
    <w:div w:id="465975867">
      <w:bodyDiv w:val="1"/>
      <w:marLeft w:val="0"/>
      <w:marRight w:val="0"/>
      <w:marTop w:val="0"/>
      <w:marBottom w:val="0"/>
      <w:divBdr>
        <w:top w:val="none" w:sz="0" w:space="0" w:color="auto"/>
        <w:left w:val="none" w:sz="0" w:space="0" w:color="auto"/>
        <w:bottom w:val="none" w:sz="0" w:space="0" w:color="auto"/>
        <w:right w:val="none" w:sz="0" w:space="0" w:color="auto"/>
      </w:divBdr>
    </w:div>
    <w:div w:id="471288735">
      <w:bodyDiv w:val="1"/>
      <w:marLeft w:val="0"/>
      <w:marRight w:val="0"/>
      <w:marTop w:val="0"/>
      <w:marBottom w:val="0"/>
      <w:divBdr>
        <w:top w:val="none" w:sz="0" w:space="0" w:color="auto"/>
        <w:left w:val="none" w:sz="0" w:space="0" w:color="auto"/>
        <w:bottom w:val="none" w:sz="0" w:space="0" w:color="auto"/>
        <w:right w:val="none" w:sz="0" w:space="0" w:color="auto"/>
      </w:divBdr>
    </w:div>
    <w:div w:id="471367310">
      <w:bodyDiv w:val="1"/>
      <w:marLeft w:val="0"/>
      <w:marRight w:val="0"/>
      <w:marTop w:val="0"/>
      <w:marBottom w:val="0"/>
      <w:divBdr>
        <w:top w:val="none" w:sz="0" w:space="0" w:color="auto"/>
        <w:left w:val="none" w:sz="0" w:space="0" w:color="auto"/>
        <w:bottom w:val="none" w:sz="0" w:space="0" w:color="auto"/>
        <w:right w:val="none" w:sz="0" w:space="0" w:color="auto"/>
      </w:divBdr>
    </w:div>
    <w:div w:id="474415286">
      <w:bodyDiv w:val="1"/>
      <w:marLeft w:val="0"/>
      <w:marRight w:val="0"/>
      <w:marTop w:val="0"/>
      <w:marBottom w:val="0"/>
      <w:divBdr>
        <w:top w:val="none" w:sz="0" w:space="0" w:color="auto"/>
        <w:left w:val="none" w:sz="0" w:space="0" w:color="auto"/>
        <w:bottom w:val="none" w:sz="0" w:space="0" w:color="auto"/>
        <w:right w:val="none" w:sz="0" w:space="0" w:color="auto"/>
      </w:divBdr>
    </w:div>
    <w:div w:id="477772101">
      <w:bodyDiv w:val="1"/>
      <w:marLeft w:val="0"/>
      <w:marRight w:val="0"/>
      <w:marTop w:val="0"/>
      <w:marBottom w:val="0"/>
      <w:divBdr>
        <w:top w:val="none" w:sz="0" w:space="0" w:color="auto"/>
        <w:left w:val="none" w:sz="0" w:space="0" w:color="auto"/>
        <w:bottom w:val="none" w:sz="0" w:space="0" w:color="auto"/>
        <w:right w:val="none" w:sz="0" w:space="0" w:color="auto"/>
      </w:divBdr>
    </w:div>
    <w:div w:id="478428104">
      <w:bodyDiv w:val="1"/>
      <w:marLeft w:val="0"/>
      <w:marRight w:val="0"/>
      <w:marTop w:val="0"/>
      <w:marBottom w:val="0"/>
      <w:divBdr>
        <w:top w:val="none" w:sz="0" w:space="0" w:color="auto"/>
        <w:left w:val="none" w:sz="0" w:space="0" w:color="auto"/>
        <w:bottom w:val="none" w:sz="0" w:space="0" w:color="auto"/>
        <w:right w:val="none" w:sz="0" w:space="0" w:color="auto"/>
      </w:divBdr>
    </w:div>
    <w:div w:id="480268124">
      <w:bodyDiv w:val="1"/>
      <w:marLeft w:val="0"/>
      <w:marRight w:val="0"/>
      <w:marTop w:val="0"/>
      <w:marBottom w:val="0"/>
      <w:divBdr>
        <w:top w:val="none" w:sz="0" w:space="0" w:color="auto"/>
        <w:left w:val="none" w:sz="0" w:space="0" w:color="auto"/>
        <w:bottom w:val="none" w:sz="0" w:space="0" w:color="auto"/>
        <w:right w:val="none" w:sz="0" w:space="0" w:color="auto"/>
      </w:divBdr>
    </w:div>
    <w:div w:id="490295352">
      <w:bodyDiv w:val="1"/>
      <w:marLeft w:val="0"/>
      <w:marRight w:val="0"/>
      <w:marTop w:val="0"/>
      <w:marBottom w:val="0"/>
      <w:divBdr>
        <w:top w:val="none" w:sz="0" w:space="0" w:color="auto"/>
        <w:left w:val="none" w:sz="0" w:space="0" w:color="auto"/>
        <w:bottom w:val="none" w:sz="0" w:space="0" w:color="auto"/>
        <w:right w:val="none" w:sz="0" w:space="0" w:color="auto"/>
      </w:divBdr>
    </w:div>
    <w:div w:id="495875504">
      <w:bodyDiv w:val="1"/>
      <w:marLeft w:val="0"/>
      <w:marRight w:val="0"/>
      <w:marTop w:val="0"/>
      <w:marBottom w:val="0"/>
      <w:divBdr>
        <w:top w:val="none" w:sz="0" w:space="0" w:color="auto"/>
        <w:left w:val="none" w:sz="0" w:space="0" w:color="auto"/>
        <w:bottom w:val="none" w:sz="0" w:space="0" w:color="auto"/>
        <w:right w:val="none" w:sz="0" w:space="0" w:color="auto"/>
      </w:divBdr>
    </w:div>
    <w:div w:id="500196142">
      <w:bodyDiv w:val="1"/>
      <w:marLeft w:val="0"/>
      <w:marRight w:val="0"/>
      <w:marTop w:val="0"/>
      <w:marBottom w:val="0"/>
      <w:divBdr>
        <w:top w:val="none" w:sz="0" w:space="0" w:color="auto"/>
        <w:left w:val="none" w:sz="0" w:space="0" w:color="auto"/>
        <w:bottom w:val="none" w:sz="0" w:space="0" w:color="auto"/>
        <w:right w:val="none" w:sz="0" w:space="0" w:color="auto"/>
      </w:divBdr>
    </w:div>
    <w:div w:id="510951296">
      <w:bodyDiv w:val="1"/>
      <w:marLeft w:val="0"/>
      <w:marRight w:val="0"/>
      <w:marTop w:val="0"/>
      <w:marBottom w:val="0"/>
      <w:divBdr>
        <w:top w:val="none" w:sz="0" w:space="0" w:color="auto"/>
        <w:left w:val="none" w:sz="0" w:space="0" w:color="auto"/>
        <w:bottom w:val="none" w:sz="0" w:space="0" w:color="auto"/>
        <w:right w:val="none" w:sz="0" w:space="0" w:color="auto"/>
      </w:divBdr>
    </w:div>
    <w:div w:id="517499322">
      <w:bodyDiv w:val="1"/>
      <w:marLeft w:val="0"/>
      <w:marRight w:val="0"/>
      <w:marTop w:val="0"/>
      <w:marBottom w:val="0"/>
      <w:divBdr>
        <w:top w:val="none" w:sz="0" w:space="0" w:color="auto"/>
        <w:left w:val="none" w:sz="0" w:space="0" w:color="auto"/>
        <w:bottom w:val="none" w:sz="0" w:space="0" w:color="auto"/>
        <w:right w:val="none" w:sz="0" w:space="0" w:color="auto"/>
      </w:divBdr>
    </w:div>
    <w:div w:id="525675183">
      <w:bodyDiv w:val="1"/>
      <w:marLeft w:val="0"/>
      <w:marRight w:val="0"/>
      <w:marTop w:val="0"/>
      <w:marBottom w:val="0"/>
      <w:divBdr>
        <w:top w:val="none" w:sz="0" w:space="0" w:color="auto"/>
        <w:left w:val="none" w:sz="0" w:space="0" w:color="auto"/>
        <w:bottom w:val="none" w:sz="0" w:space="0" w:color="auto"/>
        <w:right w:val="none" w:sz="0" w:space="0" w:color="auto"/>
      </w:divBdr>
    </w:div>
    <w:div w:id="529224233">
      <w:bodyDiv w:val="1"/>
      <w:marLeft w:val="0"/>
      <w:marRight w:val="0"/>
      <w:marTop w:val="0"/>
      <w:marBottom w:val="0"/>
      <w:divBdr>
        <w:top w:val="none" w:sz="0" w:space="0" w:color="auto"/>
        <w:left w:val="none" w:sz="0" w:space="0" w:color="auto"/>
        <w:bottom w:val="none" w:sz="0" w:space="0" w:color="auto"/>
        <w:right w:val="none" w:sz="0" w:space="0" w:color="auto"/>
      </w:divBdr>
    </w:div>
    <w:div w:id="537593978">
      <w:bodyDiv w:val="1"/>
      <w:marLeft w:val="0"/>
      <w:marRight w:val="0"/>
      <w:marTop w:val="0"/>
      <w:marBottom w:val="0"/>
      <w:divBdr>
        <w:top w:val="none" w:sz="0" w:space="0" w:color="auto"/>
        <w:left w:val="none" w:sz="0" w:space="0" w:color="auto"/>
        <w:bottom w:val="none" w:sz="0" w:space="0" w:color="auto"/>
        <w:right w:val="none" w:sz="0" w:space="0" w:color="auto"/>
      </w:divBdr>
    </w:div>
    <w:div w:id="538278914">
      <w:bodyDiv w:val="1"/>
      <w:marLeft w:val="0"/>
      <w:marRight w:val="0"/>
      <w:marTop w:val="0"/>
      <w:marBottom w:val="0"/>
      <w:divBdr>
        <w:top w:val="none" w:sz="0" w:space="0" w:color="auto"/>
        <w:left w:val="none" w:sz="0" w:space="0" w:color="auto"/>
        <w:bottom w:val="none" w:sz="0" w:space="0" w:color="auto"/>
        <w:right w:val="none" w:sz="0" w:space="0" w:color="auto"/>
      </w:divBdr>
    </w:div>
    <w:div w:id="539829581">
      <w:bodyDiv w:val="1"/>
      <w:marLeft w:val="0"/>
      <w:marRight w:val="0"/>
      <w:marTop w:val="0"/>
      <w:marBottom w:val="0"/>
      <w:divBdr>
        <w:top w:val="none" w:sz="0" w:space="0" w:color="auto"/>
        <w:left w:val="none" w:sz="0" w:space="0" w:color="auto"/>
        <w:bottom w:val="none" w:sz="0" w:space="0" w:color="auto"/>
        <w:right w:val="none" w:sz="0" w:space="0" w:color="auto"/>
      </w:divBdr>
    </w:div>
    <w:div w:id="549075716">
      <w:bodyDiv w:val="1"/>
      <w:marLeft w:val="0"/>
      <w:marRight w:val="0"/>
      <w:marTop w:val="0"/>
      <w:marBottom w:val="0"/>
      <w:divBdr>
        <w:top w:val="none" w:sz="0" w:space="0" w:color="auto"/>
        <w:left w:val="none" w:sz="0" w:space="0" w:color="auto"/>
        <w:bottom w:val="none" w:sz="0" w:space="0" w:color="auto"/>
        <w:right w:val="none" w:sz="0" w:space="0" w:color="auto"/>
      </w:divBdr>
    </w:div>
    <w:div w:id="554508489">
      <w:bodyDiv w:val="1"/>
      <w:marLeft w:val="0"/>
      <w:marRight w:val="0"/>
      <w:marTop w:val="0"/>
      <w:marBottom w:val="0"/>
      <w:divBdr>
        <w:top w:val="none" w:sz="0" w:space="0" w:color="auto"/>
        <w:left w:val="none" w:sz="0" w:space="0" w:color="auto"/>
        <w:bottom w:val="none" w:sz="0" w:space="0" w:color="auto"/>
        <w:right w:val="none" w:sz="0" w:space="0" w:color="auto"/>
      </w:divBdr>
    </w:div>
    <w:div w:id="557520339">
      <w:bodyDiv w:val="1"/>
      <w:marLeft w:val="0"/>
      <w:marRight w:val="0"/>
      <w:marTop w:val="0"/>
      <w:marBottom w:val="0"/>
      <w:divBdr>
        <w:top w:val="none" w:sz="0" w:space="0" w:color="auto"/>
        <w:left w:val="none" w:sz="0" w:space="0" w:color="auto"/>
        <w:bottom w:val="none" w:sz="0" w:space="0" w:color="auto"/>
        <w:right w:val="none" w:sz="0" w:space="0" w:color="auto"/>
      </w:divBdr>
    </w:div>
    <w:div w:id="573200248">
      <w:bodyDiv w:val="1"/>
      <w:marLeft w:val="0"/>
      <w:marRight w:val="0"/>
      <w:marTop w:val="0"/>
      <w:marBottom w:val="0"/>
      <w:divBdr>
        <w:top w:val="none" w:sz="0" w:space="0" w:color="auto"/>
        <w:left w:val="none" w:sz="0" w:space="0" w:color="auto"/>
        <w:bottom w:val="none" w:sz="0" w:space="0" w:color="auto"/>
        <w:right w:val="none" w:sz="0" w:space="0" w:color="auto"/>
      </w:divBdr>
    </w:div>
    <w:div w:id="581763544">
      <w:bodyDiv w:val="1"/>
      <w:marLeft w:val="0"/>
      <w:marRight w:val="0"/>
      <w:marTop w:val="0"/>
      <w:marBottom w:val="0"/>
      <w:divBdr>
        <w:top w:val="none" w:sz="0" w:space="0" w:color="auto"/>
        <w:left w:val="none" w:sz="0" w:space="0" w:color="auto"/>
        <w:bottom w:val="none" w:sz="0" w:space="0" w:color="auto"/>
        <w:right w:val="none" w:sz="0" w:space="0" w:color="auto"/>
      </w:divBdr>
    </w:div>
    <w:div w:id="594292673">
      <w:bodyDiv w:val="1"/>
      <w:marLeft w:val="0"/>
      <w:marRight w:val="0"/>
      <w:marTop w:val="0"/>
      <w:marBottom w:val="0"/>
      <w:divBdr>
        <w:top w:val="none" w:sz="0" w:space="0" w:color="auto"/>
        <w:left w:val="none" w:sz="0" w:space="0" w:color="auto"/>
        <w:bottom w:val="none" w:sz="0" w:space="0" w:color="auto"/>
        <w:right w:val="none" w:sz="0" w:space="0" w:color="auto"/>
      </w:divBdr>
    </w:div>
    <w:div w:id="598031587">
      <w:bodyDiv w:val="1"/>
      <w:marLeft w:val="0"/>
      <w:marRight w:val="0"/>
      <w:marTop w:val="0"/>
      <w:marBottom w:val="0"/>
      <w:divBdr>
        <w:top w:val="none" w:sz="0" w:space="0" w:color="auto"/>
        <w:left w:val="none" w:sz="0" w:space="0" w:color="auto"/>
        <w:bottom w:val="none" w:sz="0" w:space="0" w:color="auto"/>
        <w:right w:val="none" w:sz="0" w:space="0" w:color="auto"/>
      </w:divBdr>
    </w:div>
    <w:div w:id="607195688">
      <w:bodyDiv w:val="1"/>
      <w:marLeft w:val="0"/>
      <w:marRight w:val="0"/>
      <w:marTop w:val="0"/>
      <w:marBottom w:val="0"/>
      <w:divBdr>
        <w:top w:val="none" w:sz="0" w:space="0" w:color="auto"/>
        <w:left w:val="none" w:sz="0" w:space="0" w:color="auto"/>
        <w:bottom w:val="none" w:sz="0" w:space="0" w:color="auto"/>
        <w:right w:val="none" w:sz="0" w:space="0" w:color="auto"/>
      </w:divBdr>
    </w:div>
    <w:div w:id="617880597">
      <w:bodyDiv w:val="1"/>
      <w:marLeft w:val="0"/>
      <w:marRight w:val="0"/>
      <w:marTop w:val="0"/>
      <w:marBottom w:val="0"/>
      <w:divBdr>
        <w:top w:val="none" w:sz="0" w:space="0" w:color="auto"/>
        <w:left w:val="none" w:sz="0" w:space="0" w:color="auto"/>
        <w:bottom w:val="none" w:sz="0" w:space="0" w:color="auto"/>
        <w:right w:val="none" w:sz="0" w:space="0" w:color="auto"/>
      </w:divBdr>
    </w:div>
    <w:div w:id="626815944">
      <w:bodyDiv w:val="1"/>
      <w:marLeft w:val="0"/>
      <w:marRight w:val="0"/>
      <w:marTop w:val="0"/>
      <w:marBottom w:val="0"/>
      <w:divBdr>
        <w:top w:val="none" w:sz="0" w:space="0" w:color="auto"/>
        <w:left w:val="none" w:sz="0" w:space="0" w:color="auto"/>
        <w:bottom w:val="none" w:sz="0" w:space="0" w:color="auto"/>
        <w:right w:val="none" w:sz="0" w:space="0" w:color="auto"/>
      </w:divBdr>
    </w:div>
    <w:div w:id="635570321">
      <w:bodyDiv w:val="1"/>
      <w:marLeft w:val="0"/>
      <w:marRight w:val="0"/>
      <w:marTop w:val="0"/>
      <w:marBottom w:val="0"/>
      <w:divBdr>
        <w:top w:val="none" w:sz="0" w:space="0" w:color="auto"/>
        <w:left w:val="none" w:sz="0" w:space="0" w:color="auto"/>
        <w:bottom w:val="none" w:sz="0" w:space="0" w:color="auto"/>
        <w:right w:val="none" w:sz="0" w:space="0" w:color="auto"/>
      </w:divBdr>
    </w:div>
    <w:div w:id="650213603">
      <w:bodyDiv w:val="1"/>
      <w:marLeft w:val="0"/>
      <w:marRight w:val="0"/>
      <w:marTop w:val="0"/>
      <w:marBottom w:val="0"/>
      <w:divBdr>
        <w:top w:val="none" w:sz="0" w:space="0" w:color="auto"/>
        <w:left w:val="none" w:sz="0" w:space="0" w:color="auto"/>
        <w:bottom w:val="none" w:sz="0" w:space="0" w:color="auto"/>
        <w:right w:val="none" w:sz="0" w:space="0" w:color="auto"/>
      </w:divBdr>
    </w:div>
    <w:div w:id="651566488">
      <w:bodyDiv w:val="1"/>
      <w:marLeft w:val="0"/>
      <w:marRight w:val="0"/>
      <w:marTop w:val="0"/>
      <w:marBottom w:val="0"/>
      <w:divBdr>
        <w:top w:val="none" w:sz="0" w:space="0" w:color="auto"/>
        <w:left w:val="none" w:sz="0" w:space="0" w:color="auto"/>
        <w:bottom w:val="none" w:sz="0" w:space="0" w:color="auto"/>
        <w:right w:val="none" w:sz="0" w:space="0" w:color="auto"/>
      </w:divBdr>
    </w:div>
    <w:div w:id="675765786">
      <w:bodyDiv w:val="1"/>
      <w:marLeft w:val="0"/>
      <w:marRight w:val="0"/>
      <w:marTop w:val="0"/>
      <w:marBottom w:val="0"/>
      <w:divBdr>
        <w:top w:val="none" w:sz="0" w:space="0" w:color="auto"/>
        <w:left w:val="none" w:sz="0" w:space="0" w:color="auto"/>
        <w:bottom w:val="none" w:sz="0" w:space="0" w:color="auto"/>
        <w:right w:val="none" w:sz="0" w:space="0" w:color="auto"/>
      </w:divBdr>
    </w:div>
    <w:div w:id="685326561">
      <w:bodyDiv w:val="1"/>
      <w:marLeft w:val="0"/>
      <w:marRight w:val="0"/>
      <w:marTop w:val="0"/>
      <w:marBottom w:val="0"/>
      <w:divBdr>
        <w:top w:val="none" w:sz="0" w:space="0" w:color="auto"/>
        <w:left w:val="none" w:sz="0" w:space="0" w:color="auto"/>
        <w:bottom w:val="none" w:sz="0" w:space="0" w:color="auto"/>
        <w:right w:val="none" w:sz="0" w:space="0" w:color="auto"/>
      </w:divBdr>
    </w:div>
    <w:div w:id="707607026">
      <w:bodyDiv w:val="1"/>
      <w:marLeft w:val="0"/>
      <w:marRight w:val="0"/>
      <w:marTop w:val="0"/>
      <w:marBottom w:val="0"/>
      <w:divBdr>
        <w:top w:val="none" w:sz="0" w:space="0" w:color="auto"/>
        <w:left w:val="none" w:sz="0" w:space="0" w:color="auto"/>
        <w:bottom w:val="none" w:sz="0" w:space="0" w:color="auto"/>
        <w:right w:val="none" w:sz="0" w:space="0" w:color="auto"/>
      </w:divBdr>
    </w:div>
    <w:div w:id="716274324">
      <w:bodyDiv w:val="1"/>
      <w:marLeft w:val="0"/>
      <w:marRight w:val="0"/>
      <w:marTop w:val="0"/>
      <w:marBottom w:val="0"/>
      <w:divBdr>
        <w:top w:val="none" w:sz="0" w:space="0" w:color="auto"/>
        <w:left w:val="none" w:sz="0" w:space="0" w:color="auto"/>
        <w:bottom w:val="none" w:sz="0" w:space="0" w:color="auto"/>
        <w:right w:val="none" w:sz="0" w:space="0" w:color="auto"/>
      </w:divBdr>
    </w:div>
    <w:div w:id="718555536">
      <w:bodyDiv w:val="1"/>
      <w:marLeft w:val="0"/>
      <w:marRight w:val="0"/>
      <w:marTop w:val="0"/>
      <w:marBottom w:val="0"/>
      <w:divBdr>
        <w:top w:val="none" w:sz="0" w:space="0" w:color="auto"/>
        <w:left w:val="none" w:sz="0" w:space="0" w:color="auto"/>
        <w:bottom w:val="none" w:sz="0" w:space="0" w:color="auto"/>
        <w:right w:val="none" w:sz="0" w:space="0" w:color="auto"/>
      </w:divBdr>
    </w:div>
    <w:div w:id="742874603">
      <w:bodyDiv w:val="1"/>
      <w:marLeft w:val="0"/>
      <w:marRight w:val="0"/>
      <w:marTop w:val="0"/>
      <w:marBottom w:val="0"/>
      <w:divBdr>
        <w:top w:val="none" w:sz="0" w:space="0" w:color="auto"/>
        <w:left w:val="none" w:sz="0" w:space="0" w:color="auto"/>
        <w:bottom w:val="none" w:sz="0" w:space="0" w:color="auto"/>
        <w:right w:val="none" w:sz="0" w:space="0" w:color="auto"/>
      </w:divBdr>
    </w:div>
    <w:div w:id="765156027">
      <w:bodyDiv w:val="1"/>
      <w:marLeft w:val="0"/>
      <w:marRight w:val="0"/>
      <w:marTop w:val="0"/>
      <w:marBottom w:val="0"/>
      <w:divBdr>
        <w:top w:val="none" w:sz="0" w:space="0" w:color="auto"/>
        <w:left w:val="none" w:sz="0" w:space="0" w:color="auto"/>
        <w:bottom w:val="none" w:sz="0" w:space="0" w:color="auto"/>
        <w:right w:val="none" w:sz="0" w:space="0" w:color="auto"/>
      </w:divBdr>
    </w:div>
    <w:div w:id="772556892">
      <w:bodyDiv w:val="1"/>
      <w:marLeft w:val="0"/>
      <w:marRight w:val="0"/>
      <w:marTop w:val="0"/>
      <w:marBottom w:val="0"/>
      <w:divBdr>
        <w:top w:val="none" w:sz="0" w:space="0" w:color="auto"/>
        <w:left w:val="none" w:sz="0" w:space="0" w:color="auto"/>
        <w:bottom w:val="none" w:sz="0" w:space="0" w:color="auto"/>
        <w:right w:val="none" w:sz="0" w:space="0" w:color="auto"/>
      </w:divBdr>
    </w:div>
    <w:div w:id="780684488">
      <w:bodyDiv w:val="1"/>
      <w:marLeft w:val="0"/>
      <w:marRight w:val="0"/>
      <w:marTop w:val="0"/>
      <w:marBottom w:val="0"/>
      <w:divBdr>
        <w:top w:val="none" w:sz="0" w:space="0" w:color="auto"/>
        <w:left w:val="none" w:sz="0" w:space="0" w:color="auto"/>
        <w:bottom w:val="none" w:sz="0" w:space="0" w:color="auto"/>
        <w:right w:val="none" w:sz="0" w:space="0" w:color="auto"/>
      </w:divBdr>
    </w:div>
    <w:div w:id="797138692">
      <w:bodyDiv w:val="1"/>
      <w:marLeft w:val="0"/>
      <w:marRight w:val="0"/>
      <w:marTop w:val="0"/>
      <w:marBottom w:val="0"/>
      <w:divBdr>
        <w:top w:val="none" w:sz="0" w:space="0" w:color="auto"/>
        <w:left w:val="none" w:sz="0" w:space="0" w:color="auto"/>
        <w:bottom w:val="none" w:sz="0" w:space="0" w:color="auto"/>
        <w:right w:val="none" w:sz="0" w:space="0" w:color="auto"/>
      </w:divBdr>
    </w:div>
    <w:div w:id="805851120">
      <w:bodyDiv w:val="1"/>
      <w:marLeft w:val="0"/>
      <w:marRight w:val="0"/>
      <w:marTop w:val="0"/>
      <w:marBottom w:val="0"/>
      <w:divBdr>
        <w:top w:val="none" w:sz="0" w:space="0" w:color="auto"/>
        <w:left w:val="none" w:sz="0" w:space="0" w:color="auto"/>
        <w:bottom w:val="none" w:sz="0" w:space="0" w:color="auto"/>
        <w:right w:val="none" w:sz="0" w:space="0" w:color="auto"/>
      </w:divBdr>
    </w:div>
    <w:div w:id="815028365">
      <w:bodyDiv w:val="1"/>
      <w:marLeft w:val="0"/>
      <w:marRight w:val="0"/>
      <w:marTop w:val="0"/>
      <w:marBottom w:val="0"/>
      <w:divBdr>
        <w:top w:val="none" w:sz="0" w:space="0" w:color="auto"/>
        <w:left w:val="none" w:sz="0" w:space="0" w:color="auto"/>
        <w:bottom w:val="none" w:sz="0" w:space="0" w:color="auto"/>
        <w:right w:val="none" w:sz="0" w:space="0" w:color="auto"/>
      </w:divBdr>
    </w:div>
    <w:div w:id="821695696">
      <w:bodyDiv w:val="1"/>
      <w:marLeft w:val="0"/>
      <w:marRight w:val="0"/>
      <w:marTop w:val="0"/>
      <w:marBottom w:val="0"/>
      <w:divBdr>
        <w:top w:val="none" w:sz="0" w:space="0" w:color="auto"/>
        <w:left w:val="none" w:sz="0" w:space="0" w:color="auto"/>
        <w:bottom w:val="none" w:sz="0" w:space="0" w:color="auto"/>
        <w:right w:val="none" w:sz="0" w:space="0" w:color="auto"/>
      </w:divBdr>
    </w:div>
    <w:div w:id="828322939">
      <w:bodyDiv w:val="1"/>
      <w:marLeft w:val="0"/>
      <w:marRight w:val="0"/>
      <w:marTop w:val="0"/>
      <w:marBottom w:val="0"/>
      <w:divBdr>
        <w:top w:val="none" w:sz="0" w:space="0" w:color="auto"/>
        <w:left w:val="none" w:sz="0" w:space="0" w:color="auto"/>
        <w:bottom w:val="none" w:sz="0" w:space="0" w:color="auto"/>
        <w:right w:val="none" w:sz="0" w:space="0" w:color="auto"/>
      </w:divBdr>
    </w:div>
    <w:div w:id="836309910">
      <w:bodyDiv w:val="1"/>
      <w:marLeft w:val="0"/>
      <w:marRight w:val="0"/>
      <w:marTop w:val="0"/>
      <w:marBottom w:val="0"/>
      <w:divBdr>
        <w:top w:val="none" w:sz="0" w:space="0" w:color="auto"/>
        <w:left w:val="none" w:sz="0" w:space="0" w:color="auto"/>
        <w:bottom w:val="none" w:sz="0" w:space="0" w:color="auto"/>
        <w:right w:val="none" w:sz="0" w:space="0" w:color="auto"/>
      </w:divBdr>
    </w:div>
    <w:div w:id="844320431">
      <w:bodyDiv w:val="1"/>
      <w:marLeft w:val="0"/>
      <w:marRight w:val="0"/>
      <w:marTop w:val="0"/>
      <w:marBottom w:val="0"/>
      <w:divBdr>
        <w:top w:val="none" w:sz="0" w:space="0" w:color="auto"/>
        <w:left w:val="none" w:sz="0" w:space="0" w:color="auto"/>
        <w:bottom w:val="none" w:sz="0" w:space="0" w:color="auto"/>
        <w:right w:val="none" w:sz="0" w:space="0" w:color="auto"/>
      </w:divBdr>
    </w:div>
    <w:div w:id="851719087">
      <w:bodyDiv w:val="1"/>
      <w:marLeft w:val="0"/>
      <w:marRight w:val="0"/>
      <w:marTop w:val="0"/>
      <w:marBottom w:val="0"/>
      <w:divBdr>
        <w:top w:val="none" w:sz="0" w:space="0" w:color="auto"/>
        <w:left w:val="none" w:sz="0" w:space="0" w:color="auto"/>
        <w:bottom w:val="none" w:sz="0" w:space="0" w:color="auto"/>
        <w:right w:val="none" w:sz="0" w:space="0" w:color="auto"/>
      </w:divBdr>
    </w:div>
    <w:div w:id="855270154">
      <w:bodyDiv w:val="1"/>
      <w:marLeft w:val="0"/>
      <w:marRight w:val="0"/>
      <w:marTop w:val="0"/>
      <w:marBottom w:val="0"/>
      <w:divBdr>
        <w:top w:val="none" w:sz="0" w:space="0" w:color="auto"/>
        <w:left w:val="none" w:sz="0" w:space="0" w:color="auto"/>
        <w:bottom w:val="none" w:sz="0" w:space="0" w:color="auto"/>
        <w:right w:val="none" w:sz="0" w:space="0" w:color="auto"/>
      </w:divBdr>
    </w:div>
    <w:div w:id="861865385">
      <w:bodyDiv w:val="1"/>
      <w:marLeft w:val="0"/>
      <w:marRight w:val="0"/>
      <w:marTop w:val="0"/>
      <w:marBottom w:val="0"/>
      <w:divBdr>
        <w:top w:val="none" w:sz="0" w:space="0" w:color="auto"/>
        <w:left w:val="none" w:sz="0" w:space="0" w:color="auto"/>
        <w:bottom w:val="none" w:sz="0" w:space="0" w:color="auto"/>
        <w:right w:val="none" w:sz="0" w:space="0" w:color="auto"/>
      </w:divBdr>
    </w:div>
    <w:div w:id="866408073">
      <w:bodyDiv w:val="1"/>
      <w:marLeft w:val="0"/>
      <w:marRight w:val="0"/>
      <w:marTop w:val="0"/>
      <w:marBottom w:val="0"/>
      <w:divBdr>
        <w:top w:val="none" w:sz="0" w:space="0" w:color="auto"/>
        <w:left w:val="none" w:sz="0" w:space="0" w:color="auto"/>
        <w:bottom w:val="none" w:sz="0" w:space="0" w:color="auto"/>
        <w:right w:val="none" w:sz="0" w:space="0" w:color="auto"/>
      </w:divBdr>
    </w:div>
    <w:div w:id="888803918">
      <w:bodyDiv w:val="1"/>
      <w:marLeft w:val="0"/>
      <w:marRight w:val="0"/>
      <w:marTop w:val="0"/>
      <w:marBottom w:val="0"/>
      <w:divBdr>
        <w:top w:val="none" w:sz="0" w:space="0" w:color="auto"/>
        <w:left w:val="none" w:sz="0" w:space="0" w:color="auto"/>
        <w:bottom w:val="none" w:sz="0" w:space="0" w:color="auto"/>
        <w:right w:val="none" w:sz="0" w:space="0" w:color="auto"/>
      </w:divBdr>
    </w:div>
    <w:div w:id="894701052">
      <w:bodyDiv w:val="1"/>
      <w:marLeft w:val="0"/>
      <w:marRight w:val="0"/>
      <w:marTop w:val="0"/>
      <w:marBottom w:val="0"/>
      <w:divBdr>
        <w:top w:val="none" w:sz="0" w:space="0" w:color="auto"/>
        <w:left w:val="none" w:sz="0" w:space="0" w:color="auto"/>
        <w:bottom w:val="none" w:sz="0" w:space="0" w:color="auto"/>
        <w:right w:val="none" w:sz="0" w:space="0" w:color="auto"/>
      </w:divBdr>
    </w:div>
    <w:div w:id="897129698">
      <w:bodyDiv w:val="1"/>
      <w:marLeft w:val="0"/>
      <w:marRight w:val="0"/>
      <w:marTop w:val="0"/>
      <w:marBottom w:val="0"/>
      <w:divBdr>
        <w:top w:val="none" w:sz="0" w:space="0" w:color="auto"/>
        <w:left w:val="none" w:sz="0" w:space="0" w:color="auto"/>
        <w:bottom w:val="none" w:sz="0" w:space="0" w:color="auto"/>
        <w:right w:val="none" w:sz="0" w:space="0" w:color="auto"/>
      </w:divBdr>
    </w:div>
    <w:div w:id="898596079">
      <w:bodyDiv w:val="1"/>
      <w:marLeft w:val="0"/>
      <w:marRight w:val="0"/>
      <w:marTop w:val="0"/>
      <w:marBottom w:val="0"/>
      <w:divBdr>
        <w:top w:val="none" w:sz="0" w:space="0" w:color="auto"/>
        <w:left w:val="none" w:sz="0" w:space="0" w:color="auto"/>
        <w:bottom w:val="none" w:sz="0" w:space="0" w:color="auto"/>
        <w:right w:val="none" w:sz="0" w:space="0" w:color="auto"/>
      </w:divBdr>
    </w:div>
    <w:div w:id="920060550">
      <w:bodyDiv w:val="1"/>
      <w:marLeft w:val="0"/>
      <w:marRight w:val="0"/>
      <w:marTop w:val="0"/>
      <w:marBottom w:val="0"/>
      <w:divBdr>
        <w:top w:val="none" w:sz="0" w:space="0" w:color="auto"/>
        <w:left w:val="none" w:sz="0" w:space="0" w:color="auto"/>
        <w:bottom w:val="none" w:sz="0" w:space="0" w:color="auto"/>
        <w:right w:val="none" w:sz="0" w:space="0" w:color="auto"/>
      </w:divBdr>
    </w:div>
    <w:div w:id="928318680">
      <w:bodyDiv w:val="1"/>
      <w:marLeft w:val="0"/>
      <w:marRight w:val="0"/>
      <w:marTop w:val="0"/>
      <w:marBottom w:val="0"/>
      <w:divBdr>
        <w:top w:val="none" w:sz="0" w:space="0" w:color="auto"/>
        <w:left w:val="none" w:sz="0" w:space="0" w:color="auto"/>
        <w:bottom w:val="none" w:sz="0" w:space="0" w:color="auto"/>
        <w:right w:val="none" w:sz="0" w:space="0" w:color="auto"/>
      </w:divBdr>
    </w:div>
    <w:div w:id="935134643">
      <w:bodyDiv w:val="1"/>
      <w:marLeft w:val="0"/>
      <w:marRight w:val="0"/>
      <w:marTop w:val="0"/>
      <w:marBottom w:val="0"/>
      <w:divBdr>
        <w:top w:val="none" w:sz="0" w:space="0" w:color="auto"/>
        <w:left w:val="none" w:sz="0" w:space="0" w:color="auto"/>
        <w:bottom w:val="none" w:sz="0" w:space="0" w:color="auto"/>
        <w:right w:val="none" w:sz="0" w:space="0" w:color="auto"/>
      </w:divBdr>
    </w:div>
    <w:div w:id="937953671">
      <w:bodyDiv w:val="1"/>
      <w:marLeft w:val="0"/>
      <w:marRight w:val="0"/>
      <w:marTop w:val="0"/>
      <w:marBottom w:val="0"/>
      <w:divBdr>
        <w:top w:val="none" w:sz="0" w:space="0" w:color="auto"/>
        <w:left w:val="none" w:sz="0" w:space="0" w:color="auto"/>
        <w:bottom w:val="none" w:sz="0" w:space="0" w:color="auto"/>
        <w:right w:val="none" w:sz="0" w:space="0" w:color="auto"/>
      </w:divBdr>
    </w:div>
    <w:div w:id="938949072">
      <w:bodyDiv w:val="1"/>
      <w:marLeft w:val="0"/>
      <w:marRight w:val="0"/>
      <w:marTop w:val="0"/>
      <w:marBottom w:val="0"/>
      <w:divBdr>
        <w:top w:val="none" w:sz="0" w:space="0" w:color="auto"/>
        <w:left w:val="none" w:sz="0" w:space="0" w:color="auto"/>
        <w:bottom w:val="none" w:sz="0" w:space="0" w:color="auto"/>
        <w:right w:val="none" w:sz="0" w:space="0" w:color="auto"/>
      </w:divBdr>
    </w:div>
    <w:div w:id="949433440">
      <w:bodyDiv w:val="1"/>
      <w:marLeft w:val="0"/>
      <w:marRight w:val="0"/>
      <w:marTop w:val="0"/>
      <w:marBottom w:val="0"/>
      <w:divBdr>
        <w:top w:val="none" w:sz="0" w:space="0" w:color="auto"/>
        <w:left w:val="none" w:sz="0" w:space="0" w:color="auto"/>
        <w:bottom w:val="none" w:sz="0" w:space="0" w:color="auto"/>
        <w:right w:val="none" w:sz="0" w:space="0" w:color="auto"/>
      </w:divBdr>
    </w:div>
    <w:div w:id="962537088">
      <w:bodyDiv w:val="1"/>
      <w:marLeft w:val="0"/>
      <w:marRight w:val="0"/>
      <w:marTop w:val="0"/>
      <w:marBottom w:val="0"/>
      <w:divBdr>
        <w:top w:val="none" w:sz="0" w:space="0" w:color="auto"/>
        <w:left w:val="none" w:sz="0" w:space="0" w:color="auto"/>
        <w:bottom w:val="none" w:sz="0" w:space="0" w:color="auto"/>
        <w:right w:val="none" w:sz="0" w:space="0" w:color="auto"/>
      </w:divBdr>
    </w:div>
    <w:div w:id="963581719">
      <w:bodyDiv w:val="1"/>
      <w:marLeft w:val="0"/>
      <w:marRight w:val="0"/>
      <w:marTop w:val="0"/>
      <w:marBottom w:val="0"/>
      <w:divBdr>
        <w:top w:val="none" w:sz="0" w:space="0" w:color="auto"/>
        <w:left w:val="none" w:sz="0" w:space="0" w:color="auto"/>
        <w:bottom w:val="none" w:sz="0" w:space="0" w:color="auto"/>
        <w:right w:val="none" w:sz="0" w:space="0" w:color="auto"/>
      </w:divBdr>
    </w:div>
    <w:div w:id="969021948">
      <w:bodyDiv w:val="1"/>
      <w:marLeft w:val="0"/>
      <w:marRight w:val="0"/>
      <w:marTop w:val="0"/>
      <w:marBottom w:val="0"/>
      <w:divBdr>
        <w:top w:val="none" w:sz="0" w:space="0" w:color="auto"/>
        <w:left w:val="none" w:sz="0" w:space="0" w:color="auto"/>
        <w:bottom w:val="none" w:sz="0" w:space="0" w:color="auto"/>
        <w:right w:val="none" w:sz="0" w:space="0" w:color="auto"/>
      </w:divBdr>
    </w:div>
    <w:div w:id="969214015">
      <w:bodyDiv w:val="1"/>
      <w:marLeft w:val="0"/>
      <w:marRight w:val="0"/>
      <w:marTop w:val="0"/>
      <w:marBottom w:val="0"/>
      <w:divBdr>
        <w:top w:val="none" w:sz="0" w:space="0" w:color="auto"/>
        <w:left w:val="none" w:sz="0" w:space="0" w:color="auto"/>
        <w:bottom w:val="none" w:sz="0" w:space="0" w:color="auto"/>
        <w:right w:val="none" w:sz="0" w:space="0" w:color="auto"/>
      </w:divBdr>
    </w:div>
    <w:div w:id="1005132510">
      <w:bodyDiv w:val="1"/>
      <w:marLeft w:val="0"/>
      <w:marRight w:val="0"/>
      <w:marTop w:val="0"/>
      <w:marBottom w:val="0"/>
      <w:divBdr>
        <w:top w:val="none" w:sz="0" w:space="0" w:color="auto"/>
        <w:left w:val="none" w:sz="0" w:space="0" w:color="auto"/>
        <w:bottom w:val="none" w:sz="0" w:space="0" w:color="auto"/>
        <w:right w:val="none" w:sz="0" w:space="0" w:color="auto"/>
      </w:divBdr>
    </w:div>
    <w:div w:id="1006982158">
      <w:bodyDiv w:val="1"/>
      <w:marLeft w:val="0"/>
      <w:marRight w:val="0"/>
      <w:marTop w:val="0"/>
      <w:marBottom w:val="0"/>
      <w:divBdr>
        <w:top w:val="none" w:sz="0" w:space="0" w:color="auto"/>
        <w:left w:val="none" w:sz="0" w:space="0" w:color="auto"/>
        <w:bottom w:val="none" w:sz="0" w:space="0" w:color="auto"/>
        <w:right w:val="none" w:sz="0" w:space="0" w:color="auto"/>
      </w:divBdr>
    </w:div>
    <w:div w:id="1012608670">
      <w:bodyDiv w:val="1"/>
      <w:marLeft w:val="0"/>
      <w:marRight w:val="0"/>
      <w:marTop w:val="0"/>
      <w:marBottom w:val="0"/>
      <w:divBdr>
        <w:top w:val="none" w:sz="0" w:space="0" w:color="auto"/>
        <w:left w:val="none" w:sz="0" w:space="0" w:color="auto"/>
        <w:bottom w:val="none" w:sz="0" w:space="0" w:color="auto"/>
        <w:right w:val="none" w:sz="0" w:space="0" w:color="auto"/>
      </w:divBdr>
    </w:div>
    <w:div w:id="1017737662">
      <w:bodyDiv w:val="1"/>
      <w:marLeft w:val="0"/>
      <w:marRight w:val="0"/>
      <w:marTop w:val="0"/>
      <w:marBottom w:val="0"/>
      <w:divBdr>
        <w:top w:val="none" w:sz="0" w:space="0" w:color="auto"/>
        <w:left w:val="none" w:sz="0" w:space="0" w:color="auto"/>
        <w:bottom w:val="none" w:sz="0" w:space="0" w:color="auto"/>
        <w:right w:val="none" w:sz="0" w:space="0" w:color="auto"/>
      </w:divBdr>
    </w:div>
    <w:div w:id="1030842488">
      <w:bodyDiv w:val="1"/>
      <w:marLeft w:val="0"/>
      <w:marRight w:val="0"/>
      <w:marTop w:val="0"/>
      <w:marBottom w:val="0"/>
      <w:divBdr>
        <w:top w:val="none" w:sz="0" w:space="0" w:color="auto"/>
        <w:left w:val="none" w:sz="0" w:space="0" w:color="auto"/>
        <w:bottom w:val="none" w:sz="0" w:space="0" w:color="auto"/>
        <w:right w:val="none" w:sz="0" w:space="0" w:color="auto"/>
      </w:divBdr>
    </w:div>
    <w:div w:id="1034231092">
      <w:bodyDiv w:val="1"/>
      <w:marLeft w:val="0"/>
      <w:marRight w:val="0"/>
      <w:marTop w:val="0"/>
      <w:marBottom w:val="0"/>
      <w:divBdr>
        <w:top w:val="none" w:sz="0" w:space="0" w:color="auto"/>
        <w:left w:val="none" w:sz="0" w:space="0" w:color="auto"/>
        <w:bottom w:val="none" w:sz="0" w:space="0" w:color="auto"/>
        <w:right w:val="none" w:sz="0" w:space="0" w:color="auto"/>
      </w:divBdr>
    </w:div>
    <w:div w:id="1036541141">
      <w:bodyDiv w:val="1"/>
      <w:marLeft w:val="0"/>
      <w:marRight w:val="0"/>
      <w:marTop w:val="0"/>
      <w:marBottom w:val="0"/>
      <w:divBdr>
        <w:top w:val="none" w:sz="0" w:space="0" w:color="auto"/>
        <w:left w:val="none" w:sz="0" w:space="0" w:color="auto"/>
        <w:bottom w:val="none" w:sz="0" w:space="0" w:color="auto"/>
        <w:right w:val="none" w:sz="0" w:space="0" w:color="auto"/>
      </w:divBdr>
    </w:div>
    <w:div w:id="1047877919">
      <w:bodyDiv w:val="1"/>
      <w:marLeft w:val="0"/>
      <w:marRight w:val="0"/>
      <w:marTop w:val="0"/>
      <w:marBottom w:val="0"/>
      <w:divBdr>
        <w:top w:val="none" w:sz="0" w:space="0" w:color="auto"/>
        <w:left w:val="none" w:sz="0" w:space="0" w:color="auto"/>
        <w:bottom w:val="none" w:sz="0" w:space="0" w:color="auto"/>
        <w:right w:val="none" w:sz="0" w:space="0" w:color="auto"/>
      </w:divBdr>
    </w:div>
    <w:div w:id="1051538713">
      <w:bodyDiv w:val="1"/>
      <w:marLeft w:val="0"/>
      <w:marRight w:val="0"/>
      <w:marTop w:val="0"/>
      <w:marBottom w:val="0"/>
      <w:divBdr>
        <w:top w:val="none" w:sz="0" w:space="0" w:color="auto"/>
        <w:left w:val="none" w:sz="0" w:space="0" w:color="auto"/>
        <w:bottom w:val="none" w:sz="0" w:space="0" w:color="auto"/>
        <w:right w:val="none" w:sz="0" w:space="0" w:color="auto"/>
      </w:divBdr>
    </w:div>
    <w:div w:id="1088117942">
      <w:bodyDiv w:val="1"/>
      <w:marLeft w:val="0"/>
      <w:marRight w:val="0"/>
      <w:marTop w:val="0"/>
      <w:marBottom w:val="0"/>
      <w:divBdr>
        <w:top w:val="none" w:sz="0" w:space="0" w:color="auto"/>
        <w:left w:val="none" w:sz="0" w:space="0" w:color="auto"/>
        <w:bottom w:val="none" w:sz="0" w:space="0" w:color="auto"/>
        <w:right w:val="none" w:sz="0" w:space="0" w:color="auto"/>
      </w:divBdr>
    </w:div>
    <w:div w:id="1101074329">
      <w:bodyDiv w:val="1"/>
      <w:marLeft w:val="0"/>
      <w:marRight w:val="0"/>
      <w:marTop w:val="0"/>
      <w:marBottom w:val="0"/>
      <w:divBdr>
        <w:top w:val="none" w:sz="0" w:space="0" w:color="auto"/>
        <w:left w:val="none" w:sz="0" w:space="0" w:color="auto"/>
        <w:bottom w:val="none" w:sz="0" w:space="0" w:color="auto"/>
        <w:right w:val="none" w:sz="0" w:space="0" w:color="auto"/>
      </w:divBdr>
    </w:div>
    <w:div w:id="1103456487">
      <w:bodyDiv w:val="1"/>
      <w:marLeft w:val="0"/>
      <w:marRight w:val="0"/>
      <w:marTop w:val="0"/>
      <w:marBottom w:val="0"/>
      <w:divBdr>
        <w:top w:val="none" w:sz="0" w:space="0" w:color="auto"/>
        <w:left w:val="none" w:sz="0" w:space="0" w:color="auto"/>
        <w:bottom w:val="none" w:sz="0" w:space="0" w:color="auto"/>
        <w:right w:val="none" w:sz="0" w:space="0" w:color="auto"/>
      </w:divBdr>
    </w:div>
    <w:div w:id="1104695436">
      <w:bodyDiv w:val="1"/>
      <w:marLeft w:val="0"/>
      <w:marRight w:val="0"/>
      <w:marTop w:val="0"/>
      <w:marBottom w:val="0"/>
      <w:divBdr>
        <w:top w:val="none" w:sz="0" w:space="0" w:color="auto"/>
        <w:left w:val="none" w:sz="0" w:space="0" w:color="auto"/>
        <w:bottom w:val="none" w:sz="0" w:space="0" w:color="auto"/>
        <w:right w:val="none" w:sz="0" w:space="0" w:color="auto"/>
      </w:divBdr>
    </w:div>
    <w:div w:id="1123765133">
      <w:bodyDiv w:val="1"/>
      <w:marLeft w:val="0"/>
      <w:marRight w:val="0"/>
      <w:marTop w:val="0"/>
      <w:marBottom w:val="0"/>
      <w:divBdr>
        <w:top w:val="none" w:sz="0" w:space="0" w:color="auto"/>
        <w:left w:val="none" w:sz="0" w:space="0" w:color="auto"/>
        <w:bottom w:val="none" w:sz="0" w:space="0" w:color="auto"/>
        <w:right w:val="none" w:sz="0" w:space="0" w:color="auto"/>
      </w:divBdr>
    </w:div>
    <w:div w:id="1139684047">
      <w:bodyDiv w:val="1"/>
      <w:marLeft w:val="0"/>
      <w:marRight w:val="0"/>
      <w:marTop w:val="0"/>
      <w:marBottom w:val="0"/>
      <w:divBdr>
        <w:top w:val="none" w:sz="0" w:space="0" w:color="auto"/>
        <w:left w:val="none" w:sz="0" w:space="0" w:color="auto"/>
        <w:bottom w:val="none" w:sz="0" w:space="0" w:color="auto"/>
        <w:right w:val="none" w:sz="0" w:space="0" w:color="auto"/>
      </w:divBdr>
    </w:div>
    <w:div w:id="1146706741">
      <w:bodyDiv w:val="1"/>
      <w:marLeft w:val="0"/>
      <w:marRight w:val="0"/>
      <w:marTop w:val="0"/>
      <w:marBottom w:val="0"/>
      <w:divBdr>
        <w:top w:val="none" w:sz="0" w:space="0" w:color="auto"/>
        <w:left w:val="none" w:sz="0" w:space="0" w:color="auto"/>
        <w:bottom w:val="none" w:sz="0" w:space="0" w:color="auto"/>
        <w:right w:val="none" w:sz="0" w:space="0" w:color="auto"/>
      </w:divBdr>
    </w:div>
    <w:div w:id="1165824365">
      <w:bodyDiv w:val="1"/>
      <w:marLeft w:val="0"/>
      <w:marRight w:val="0"/>
      <w:marTop w:val="0"/>
      <w:marBottom w:val="0"/>
      <w:divBdr>
        <w:top w:val="none" w:sz="0" w:space="0" w:color="auto"/>
        <w:left w:val="none" w:sz="0" w:space="0" w:color="auto"/>
        <w:bottom w:val="none" w:sz="0" w:space="0" w:color="auto"/>
        <w:right w:val="none" w:sz="0" w:space="0" w:color="auto"/>
      </w:divBdr>
    </w:div>
    <w:div w:id="1168861360">
      <w:bodyDiv w:val="1"/>
      <w:marLeft w:val="0"/>
      <w:marRight w:val="0"/>
      <w:marTop w:val="0"/>
      <w:marBottom w:val="0"/>
      <w:divBdr>
        <w:top w:val="none" w:sz="0" w:space="0" w:color="auto"/>
        <w:left w:val="none" w:sz="0" w:space="0" w:color="auto"/>
        <w:bottom w:val="none" w:sz="0" w:space="0" w:color="auto"/>
        <w:right w:val="none" w:sz="0" w:space="0" w:color="auto"/>
      </w:divBdr>
    </w:div>
    <w:div w:id="1177497268">
      <w:bodyDiv w:val="1"/>
      <w:marLeft w:val="0"/>
      <w:marRight w:val="0"/>
      <w:marTop w:val="0"/>
      <w:marBottom w:val="0"/>
      <w:divBdr>
        <w:top w:val="none" w:sz="0" w:space="0" w:color="auto"/>
        <w:left w:val="none" w:sz="0" w:space="0" w:color="auto"/>
        <w:bottom w:val="none" w:sz="0" w:space="0" w:color="auto"/>
        <w:right w:val="none" w:sz="0" w:space="0" w:color="auto"/>
      </w:divBdr>
    </w:div>
    <w:div w:id="1184828683">
      <w:bodyDiv w:val="1"/>
      <w:marLeft w:val="0"/>
      <w:marRight w:val="0"/>
      <w:marTop w:val="0"/>
      <w:marBottom w:val="0"/>
      <w:divBdr>
        <w:top w:val="none" w:sz="0" w:space="0" w:color="auto"/>
        <w:left w:val="none" w:sz="0" w:space="0" w:color="auto"/>
        <w:bottom w:val="none" w:sz="0" w:space="0" w:color="auto"/>
        <w:right w:val="none" w:sz="0" w:space="0" w:color="auto"/>
      </w:divBdr>
    </w:div>
    <w:div w:id="1192644363">
      <w:bodyDiv w:val="1"/>
      <w:marLeft w:val="0"/>
      <w:marRight w:val="0"/>
      <w:marTop w:val="0"/>
      <w:marBottom w:val="0"/>
      <w:divBdr>
        <w:top w:val="none" w:sz="0" w:space="0" w:color="auto"/>
        <w:left w:val="none" w:sz="0" w:space="0" w:color="auto"/>
        <w:bottom w:val="none" w:sz="0" w:space="0" w:color="auto"/>
        <w:right w:val="none" w:sz="0" w:space="0" w:color="auto"/>
      </w:divBdr>
    </w:div>
    <w:div w:id="1196847208">
      <w:bodyDiv w:val="1"/>
      <w:marLeft w:val="0"/>
      <w:marRight w:val="0"/>
      <w:marTop w:val="0"/>
      <w:marBottom w:val="0"/>
      <w:divBdr>
        <w:top w:val="none" w:sz="0" w:space="0" w:color="auto"/>
        <w:left w:val="none" w:sz="0" w:space="0" w:color="auto"/>
        <w:bottom w:val="none" w:sz="0" w:space="0" w:color="auto"/>
        <w:right w:val="none" w:sz="0" w:space="0" w:color="auto"/>
      </w:divBdr>
    </w:div>
    <w:div w:id="1208567299">
      <w:bodyDiv w:val="1"/>
      <w:marLeft w:val="0"/>
      <w:marRight w:val="0"/>
      <w:marTop w:val="0"/>
      <w:marBottom w:val="0"/>
      <w:divBdr>
        <w:top w:val="none" w:sz="0" w:space="0" w:color="auto"/>
        <w:left w:val="none" w:sz="0" w:space="0" w:color="auto"/>
        <w:bottom w:val="none" w:sz="0" w:space="0" w:color="auto"/>
        <w:right w:val="none" w:sz="0" w:space="0" w:color="auto"/>
      </w:divBdr>
    </w:div>
    <w:div w:id="1209147737">
      <w:bodyDiv w:val="1"/>
      <w:marLeft w:val="0"/>
      <w:marRight w:val="0"/>
      <w:marTop w:val="0"/>
      <w:marBottom w:val="0"/>
      <w:divBdr>
        <w:top w:val="none" w:sz="0" w:space="0" w:color="auto"/>
        <w:left w:val="none" w:sz="0" w:space="0" w:color="auto"/>
        <w:bottom w:val="none" w:sz="0" w:space="0" w:color="auto"/>
        <w:right w:val="none" w:sz="0" w:space="0" w:color="auto"/>
      </w:divBdr>
    </w:div>
    <w:div w:id="1241677450">
      <w:bodyDiv w:val="1"/>
      <w:marLeft w:val="0"/>
      <w:marRight w:val="0"/>
      <w:marTop w:val="0"/>
      <w:marBottom w:val="0"/>
      <w:divBdr>
        <w:top w:val="none" w:sz="0" w:space="0" w:color="auto"/>
        <w:left w:val="none" w:sz="0" w:space="0" w:color="auto"/>
        <w:bottom w:val="none" w:sz="0" w:space="0" w:color="auto"/>
        <w:right w:val="none" w:sz="0" w:space="0" w:color="auto"/>
      </w:divBdr>
    </w:div>
    <w:div w:id="1244728224">
      <w:bodyDiv w:val="1"/>
      <w:marLeft w:val="0"/>
      <w:marRight w:val="0"/>
      <w:marTop w:val="0"/>
      <w:marBottom w:val="0"/>
      <w:divBdr>
        <w:top w:val="none" w:sz="0" w:space="0" w:color="auto"/>
        <w:left w:val="none" w:sz="0" w:space="0" w:color="auto"/>
        <w:bottom w:val="none" w:sz="0" w:space="0" w:color="auto"/>
        <w:right w:val="none" w:sz="0" w:space="0" w:color="auto"/>
      </w:divBdr>
    </w:div>
    <w:div w:id="1250037859">
      <w:bodyDiv w:val="1"/>
      <w:marLeft w:val="0"/>
      <w:marRight w:val="0"/>
      <w:marTop w:val="0"/>
      <w:marBottom w:val="0"/>
      <w:divBdr>
        <w:top w:val="none" w:sz="0" w:space="0" w:color="auto"/>
        <w:left w:val="none" w:sz="0" w:space="0" w:color="auto"/>
        <w:bottom w:val="none" w:sz="0" w:space="0" w:color="auto"/>
        <w:right w:val="none" w:sz="0" w:space="0" w:color="auto"/>
      </w:divBdr>
    </w:div>
    <w:div w:id="1250624202">
      <w:bodyDiv w:val="1"/>
      <w:marLeft w:val="0"/>
      <w:marRight w:val="0"/>
      <w:marTop w:val="0"/>
      <w:marBottom w:val="0"/>
      <w:divBdr>
        <w:top w:val="none" w:sz="0" w:space="0" w:color="auto"/>
        <w:left w:val="none" w:sz="0" w:space="0" w:color="auto"/>
        <w:bottom w:val="none" w:sz="0" w:space="0" w:color="auto"/>
        <w:right w:val="none" w:sz="0" w:space="0" w:color="auto"/>
      </w:divBdr>
    </w:div>
    <w:div w:id="1252858466">
      <w:bodyDiv w:val="1"/>
      <w:marLeft w:val="0"/>
      <w:marRight w:val="0"/>
      <w:marTop w:val="0"/>
      <w:marBottom w:val="0"/>
      <w:divBdr>
        <w:top w:val="none" w:sz="0" w:space="0" w:color="auto"/>
        <w:left w:val="none" w:sz="0" w:space="0" w:color="auto"/>
        <w:bottom w:val="none" w:sz="0" w:space="0" w:color="auto"/>
        <w:right w:val="none" w:sz="0" w:space="0" w:color="auto"/>
      </w:divBdr>
    </w:div>
    <w:div w:id="1273905081">
      <w:bodyDiv w:val="1"/>
      <w:marLeft w:val="0"/>
      <w:marRight w:val="0"/>
      <w:marTop w:val="0"/>
      <w:marBottom w:val="0"/>
      <w:divBdr>
        <w:top w:val="none" w:sz="0" w:space="0" w:color="auto"/>
        <w:left w:val="none" w:sz="0" w:space="0" w:color="auto"/>
        <w:bottom w:val="none" w:sz="0" w:space="0" w:color="auto"/>
        <w:right w:val="none" w:sz="0" w:space="0" w:color="auto"/>
      </w:divBdr>
    </w:div>
    <w:div w:id="1274556470">
      <w:bodyDiv w:val="1"/>
      <w:marLeft w:val="0"/>
      <w:marRight w:val="0"/>
      <w:marTop w:val="0"/>
      <w:marBottom w:val="0"/>
      <w:divBdr>
        <w:top w:val="none" w:sz="0" w:space="0" w:color="auto"/>
        <w:left w:val="none" w:sz="0" w:space="0" w:color="auto"/>
        <w:bottom w:val="none" w:sz="0" w:space="0" w:color="auto"/>
        <w:right w:val="none" w:sz="0" w:space="0" w:color="auto"/>
      </w:divBdr>
    </w:div>
    <w:div w:id="1279798644">
      <w:bodyDiv w:val="1"/>
      <w:marLeft w:val="0"/>
      <w:marRight w:val="0"/>
      <w:marTop w:val="0"/>
      <w:marBottom w:val="0"/>
      <w:divBdr>
        <w:top w:val="none" w:sz="0" w:space="0" w:color="auto"/>
        <w:left w:val="none" w:sz="0" w:space="0" w:color="auto"/>
        <w:bottom w:val="none" w:sz="0" w:space="0" w:color="auto"/>
        <w:right w:val="none" w:sz="0" w:space="0" w:color="auto"/>
      </w:divBdr>
    </w:div>
    <w:div w:id="1303459159">
      <w:bodyDiv w:val="1"/>
      <w:marLeft w:val="0"/>
      <w:marRight w:val="0"/>
      <w:marTop w:val="0"/>
      <w:marBottom w:val="0"/>
      <w:divBdr>
        <w:top w:val="none" w:sz="0" w:space="0" w:color="auto"/>
        <w:left w:val="none" w:sz="0" w:space="0" w:color="auto"/>
        <w:bottom w:val="none" w:sz="0" w:space="0" w:color="auto"/>
        <w:right w:val="none" w:sz="0" w:space="0" w:color="auto"/>
      </w:divBdr>
    </w:div>
    <w:div w:id="1313951086">
      <w:bodyDiv w:val="1"/>
      <w:marLeft w:val="0"/>
      <w:marRight w:val="0"/>
      <w:marTop w:val="0"/>
      <w:marBottom w:val="0"/>
      <w:divBdr>
        <w:top w:val="none" w:sz="0" w:space="0" w:color="auto"/>
        <w:left w:val="none" w:sz="0" w:space="0" w:color="auto"/>
        <w:bottom w:val="none" w:sz="0" w:space="0" w:color="auto"/>
        <w:right w:val="none" w:sz="0" w:space="0" w:color="auto"/>
      </w:divBdr>
    </w:div>
    <w:div w:id="1317807682">
      <w:bodyDiv w:val="1"/>
      <w:marLeft w:val="0"/>
      <w:marRight w:val="0"/>
      <w:marTop w:val="0"/>
      <w:marBottom w:val="0"/>
      <w:divBdr>
        <w:top w:val="none" w:sz="0" w:space="0" w:color="auto"/>
        <w:left w:val="none" w:sz="0" w:space="0" w:color="auto"/>
        <w:bottom w:val="none" w:sz="0" w:space="0" w:color="auto"/>
        <w:right w:val="none" w:sz="0" w:space="0" w:color="auto"/>
      </w:divBdr>
    </w:div>
    <w:div w:id="1326586391">
      <w:bodyDiv w:val="1"/>
      <w:marLeft w:val="0"/>
      <w:marRight w:val="0"/>
      <w:marTop w:val="0"/>
      <w:marBottom w:val="0"/>
      <w:divBdr>
        <w:top w:val="none" w:sz="0" w:space="0" w:color="auto"/>
        <w:left w:val="none" w:sz="0" w:space="0" w:color="auto"/>
        <w:bottom w:val="none" w:sz="0" w:space="0" w:color="auto"/>
        <w:right w:val="none" w:sz="0" w:space="0" w:color="auto"/>
      </w:divBdr>
    </w:div>
    <w:div w:id="1330214385">
      <w:bodyDiv w:val="1"/>
      <w:marLeft w:val="0"/>
      <w:marRight w:val="0"/>
      <w:marTop w:val="0"/>
      <w:marBottom w:val="0"/>
      <w:divBdr>
        <w:top w:val="none" w:sz="0" w:space="0" w:color="auto"/>
        <w:left w:val="none" w:sz="0" w:space="0" w:color="auto"/>
        <w:bottom w:val="none" w:sz="0" w:space="0" w:color="auto"/>
        <w:right w:val="none" w:sz="0" w:space="0" w:color="auto"/>
      </w:divBdr>
    </w:div>
    <w:div w:id="1352150665">
      <w:bodyDiv w:val="1"/>
      <w:marLeft w:val="0"/>
      <w:marRight w:val="0"/>
      <w:marTop w:val="0"/>
      <w:marBottom w:val="0"/>
      <w:divBdr>
        <w:top w:val="none" w:sz="0" w:space="0" w:color="auto"/>
        <w:left w:val="none" w:sz="0" w:space="0" w:color="auto"/>
        <w:bottom w:val="none" w:sz="0" w:space="0" w:color="auto"/>
        <w:right w:val="none" w:sz="0" w:space="0" w:color="auto"/>
      </w:divBdr>
    </w:div>
    <w:div w:id="1352607185">
      <w:bodyDiv w:val="1"/>
      <w:marLeft w:val="0"/>
      <w:marRight w:val="0"/>
      <w:marTop w:val="0"/>
      <w:marBottom w:val="0"/>
      <w:divBdr>
        <w:top w:val="none" w:sz="0" w:space="0" w:color="auto"/>
        <w:left w:val="none" w:sz="0" w:space="0" w:color="auto"/>
        <w:bottom w:val="none" w:sz="0" w:space="0" w:color="auto"/>
        <w:right w:val="none" w:sz="0" w:space="0" w:color="auto"/>
      </w:divBdr>
    </w:div>
    <w:div w:id="1353727292">
      <w:bodyDiv w:val="1"/>
      <w:marLeft w:val="0"/>
      <w:marRight w:val="0"/>
      <w:marTop w:val="0"/>
      <w:marBottom w:val="0"/>
      <w:divBdr>
        <w:top w:val="none" w:sz="0" w:space="0" w:color="auto"/>
        <w:left w:val="none" w:sz="0" w:space="0" w:color="auto"/>
        <w:bottom w:val="none" w:sz="0" w:space="0" w:color="auto"/>
        <w:right w:val="none" w:sz="0" w:space="0" w:color="auto"/>
      </w:divBdr>
    </w:div>
    <w:div w:id="1353874612">
      <w:bodyDiv w:val="1"/>
      <w:marLeft w:val="0"/>
      <w:marRight w:val="0"/>
      <w:marTop w:val="0"/>
      <w:marBottom w:val="0"/>
      <w:divBdr>
        <w:top w:val="none" w:sz="0" w:space="0" w:color="auto"/>
        <w:left w:val="none" w:sz="0" w:space="0" w:color="auto"/>
        <w:bottom w:val="none" w:sz="0" w:space="0" w:color="auto"/>
        <w:right w:val="none" w:sz="0" w:space="0" w:color="auto"/>
      </w:divBdr>
    </w:div>
    <w:div w:id="1354920978">
      <w:bodyDiv w:val="1"/>
      <w:marLeft w:val="0"/>
      <w:marRight w:val="0"/>
      <w:marTop w:val="0"/>
      <w:marBottom w:val="0"/>
      <w:divBdr>
        <w:top w:val="none" w:sz="0" w:space="0" w:color="auto"/>
        <w:left w:val="none" w:sz="0" w:space="0" w:color="auto"/>
        <w:bottom w:val="none" w:sz="0" w:space="0" w:color="auto"/>
        <w:right w:val="none" w:sz="0" w:space="0" w:color="auto"/>
      </w:divBdr>
    </w:div>
    <w:div w:id="1357274100">
      <w:bodyDiv w:val="1"/>
      <w:marLeft w:val="0"/>
      <w:marRight w:val="0"/>
      <w:marTop w:val="0"/>
      <w:marBottom w:val="0"/>
      <w:divBdr>
        <w:top w:val="none" w:sz="0" w:space="0" w:color="auto"/>
        <w:left w:val="none" w:sz="0" w:space="0" w:color="auto"/>
        <w:bottom w:val="none" w:sz="0" w:space="0" w:color="auto"/>
        <w:right w:val="none" w:sz="0" w:space="0" w:color="auto"/>
      </w:divBdr>
    </w:div>
    <w:div w:id="1369329941">
      <w:bodyDiv w:val="1"/>
      <w:marLeft w:val="0"/>
      <w:marRight w:val="0"/>
      <w:marTop w:val="0"/>
      <w:marBottom w:val="0"/>
      <w:divBdr>
        <w:top w:val="none" w:sz="0" w:space="0" w:color="auto"/>
        <w:left w:val="none" w:sz="0" w:space="0" w:color="auto"/>
        <w:bottom w:val="none" w:sz="0" w:space="0" w:color="auto"/>
        <w:right w:val="none" w:sz="0" w:space="0" w:color="auto"/>
      </w:divBdr>
    </w:div>
    <w:div w:id="1369375998">
      <w:bodyDiv w:val="1"/>
      <w:marLeft w:val="0"/>
      <w:marRight w:val="0"/>
      <w:marTop w:val="0"/>
      <w:marBottom w:val="0"/>
      <w:divBdr>
        <w:top w:val="none" w:sz="0" w:space="0" w:color="auto"/>
        <w:left w:val="none" w:sz="0" w:space="0" w:color="auto"/>
        <w:bottom w:val="none" w:sz="0" w:space="0" w:color="auto"/>
        <w:right w:val="none" w:sz="0" w:space="0" w:color="auto"/>
      </w:divBdr>
    </w:div>
    <w:div w:id="1376081640">
      <w:bodyDiv w:val="1"/>
      <w:marLeft w:val="0"/>
      <w:marRight w:val="0"/>
      <w:marTop w:val="0"/>
      <w:marBottom w:val="0"/>
      <w:divBdr>
        <w:top w:val="none" w:sz="0" w:space="0" w:color="auto"/>
        <w:left w:val="none" w:sz="0" w:space="0" w:color="auto"/>
        <w:bottom w:val="none" w:sz="0" w:space="0" w:color="auto"/>
        <w:right w:val="none" w:sz="0" w:space="0" w:color="auto"/>
      </w:divBdr>
    </w:div>
    <w:div w:id="1385522236">
      <w:bodyDiv w:val="1"/>
      <w:marLeft w:val="0"/>
      <w:marRight w:val="0"/>
      <w:marTop w:val="0"/>
      <w:marBottom w:val="0"/>
      <w:divBdr>
        <w:top w:val="none" w:sz="0" w:space="0" w:color="auto"/>
        <w:left w:val="none" w:sz="0" w:space="0" w:color="auto"/>
        <w:bottom w:val="none" w:sz="0" w:space="0" w:color="auto"/>
        <w:right w:val="none" w:sz="0" w:space="0" w:color="auto"/>
      </w:divBdr>
    </w:div>
    <w:div w:id="1399404781">
      <w:bodyDiv w:val="1"/>
      <w:marLeft w:val="0"/>
      <w:marRight w:val="0"/>
      <w:marTop w:val="0"/>
      <w:marBottom w:val="0"/>
      <w:divBdr>
        <w:top w:val="none" w:sz="0" w:space="0" w:color="auto"/>
        <w:left w:val="none" w:sz="0" w:space="0" w:color="auto"/>
        <w:bottom w:val="none" w:sz="0" w:space="0" w:color="auto"/>
        <w:right w:val="none" w:sz="0" w:space="0" w:color="auto"/>
      </w:divBdr>
    </w:div>
    <w:div w:id="1404765293">
      <w:bodyDiv w:val="1"/>
      <w:marLeft w:val="0"/>
      <w:marRight w:val="0"/>
      <w:marTop w:val="0"/>
      <w:marBottom w:val="0"/>
      <w:divBdr>
        <w:top w:val="none" w:sz="0" w:space="0" w:color="auto"/>
        <w:left w:val="none" w:sz="0" w:space="0" w:color="auto"/>
        <w:bottom w:val="none" w:sz="0" w:space="0" w:color="auto"/>
        <w:right w:val="none" w:sz="0" w:space="0" w:color="auto"/>
      </w:divBdr>
    </w:div>
    <w:div w:id="1413088849">
      <w:bodyDiv w:val="1"/>
      <w:marLeft w:val="0"/>
      <w:marRight w:val="0"/>
      <w:marTop w:val="0"/>
      <w:marBottom w:val="0"/>
      <w:divBdr>
        <w:top w:val="none" w:sz="0" w:space="0" w:color="auto"/>
        <w:left w:val="none" w:sz="0" w:space="0" w:color="auto"/>
        <w:bottom w:val="none" w:sz="0" w:space="0" w:color="auto"/>
        <w:right w:val="none" w:sz="0" w:space="0" w:color="auto"/>
      </w:divBdr>
    </w:div>
    <w:div w:id="1414012980">
      <w:bodyDiv w:val="1"/>
      <w:marLeft w:val="0"/>
      <w:marRight w:val="0"/>
      <w:marTop w:val="0"/>
      <w:marBottom w:val="0"/>
      <w:divBdr>
        <w:top w:val="none" w:sz="0" w:space="0" w:color="auto"/>
        <w:left w:val="none" w:sz="0" w:space="0" w:color="auto"/>
        <w:bottom w:val="none" w:sz="0" w:space="0" w:color="auto"/>
        <w:right w:val="none" w:sz="0" w:space="0" w:color="auto"/>
      </w:divBdr>
    </w:div>
    <w:div w:id="1419401024">
      <w:bodyDiv w:val="1"/>
      <w:marLeft w:val="0"/>
      <w:marRight w:val="0"/>
      <w:marTop w:val="0"/>
      <w:marBottom w:val="0"/>
      <w:divBdr>
        <w:top w:val="none" w:sz="0" w:space="0" w:color="auto"/>
        <w:left w:val="none" w:sz="0" w:space="0" w:color="auto"/>
        <w:bottom w:val="none" w:sz="0" w:space="0" w:color="auto"/>
        <w:right w:val="none" w:sz="0" w:space="0" w:color="auto"/>
      </w:divBdr>
    </w:div>
    <w:div w:id="1426655635">
      <w:bodyDiv w:val="1"/>
      <w:marLeft w:val="0"/>
      <w:marRight w:val="0"/>
      <w:marTop w:val="0"/>
      <w:marBottom w:val="0"/>
      <w:divBdr>
        <w:top w:val="none" w:sz="0" w:space="0" w:color="auto"/>
        <w:left w:val="none" w:sz="0" w:space="0" w:color="auto"/>
        <w:bottom w:val="none" w:sz="0" w:space="0" w:color="auto"/>
        <w:right w:val="none" w:sz="0" w:space="0" w:color="auto"/>
      </w:divBdr>
    </w:div>
    <w:div w:id="1442148111">
      <w:bodyDiv w:val="1"/>
      <w:marLeft w:val="0"/>
      <w:marRight w:val="0"/>
      <w:marTop w:val="0"/>
      <w:marBottom w:val="0"/>
      <w:divBdr>
        <w:top w:val="none" w:sz="0" w:space="0" w:color="auto"/>
        <w:left w:val="none" w:sz="0" w:space="0" w:color="auto"/>
        <w:bottom w:val="none" w:sz="0" w:space="0" w:color="auto"/>
        <w:right w:val="none" w:sz="0" w:space="0" w:color="auto"/>
      </w:divBdr>
    </w:div>
    <w:div w:id="1451364290">
      <w:bodyDiv w:val="1"/>
      <w:marLeft w:val="0"/>
      <w:marRight w:val="0"/>
      <w:marTop w:val="0"/>
      <w:marBottom w:val="0"/>
      <w:divBdr>
        <w:top w:val="none" w:sz="0" w:space="0" w:color="auto"/>
        <w:left w:val="none" w:sz="0" w:space="0" w:color="auto"/>
        <w:bottom w:val="none" w:sz="0" w:space="0" w:color="auto"/>
        <w:right w:val="none" w:sz="0" w:space="0" w:color="auto"/>
      </w:divBdr>
    </w:div>
    <w:div w:id="1490445322">
      <w:bodyDiv w:val="1"/>
      <w:marLeft w:val="0"/>
      <w:marRight w:val="0"/>
      <w:marTop w:val="0"/>
      <w:marBottom w:val="0"/>
      <w:divBdr>
        <w:top w:val="none" w:sz="0" w:space="0" w:color="auto"/>
        <w:left w:val="none" w:sz="0" w:space="0" w:color="auto"/>
        <w:bottom w:val="none" w:sz="0" w:space="0" w:color="auto"/>
        <w:right w:val="none" w:sz="0" w:space="0" w:color="auto"/>
      </w:divBdr>
    </w:div>
    <w:div w:id="1503350078">
      <w:bodyDiv w:val="1"/>
      <w:marLeft w:val="0"/>
      <w:marRight w:val="0"/>
      <w:marTop w:val="0"/>
      <w:marBottom w:val="0"/>
      <w:divBdr>
        <w:top w:val="none" w:sz="0" w:space="0" w:color="auto"/>
        <w:left w:val="none" w:sz="0" w:space="0" w:color="auto"/>
        <w:bottom w:val="none" w:sz="0" w:space="0" w:color="auto"/>
        <w:right w:val="none" w:sz="0" w:space="0" w:color="auto"/>
      </w:divBdr>
    </w:div>
    <w:div w:id="1506703397">
      <w:bodyDiv w:val="1"/>
      <w:marLeft w:val="0"/>
      <w:marRight w:val="0"/>
      <w:marTop w:val="0"/>
      <w:marBottom w:val="0"/>
      <w:divBdr>
        <w:top w:val="none" w:sz="0" w:space="0" w:color="auto"/>
        <w:left w:val="none" w:sz="0" w:space="0" w:color="auto"/>
        <w:bottom w:val="none" w:sz="0" w:space="0" w:color="auto"/>
        <w:right w:val="none" w:sz="0" w:space="0" w:color="auto"/>
      </w:divBdr>
    </w:div>
    <w:div w:id="1511678603">
      <w:bodyDiv w:val="1"/>
      <w:marLeft w:val="0"/>
      <w:marRight w:val="0"/>
      <w:marTop w:val="0"/>
      <w:marBottom w:val="0"/>
      <w:divBdr>
        <w:top w:val="none" w:sz="0" w:space="0" w:color="auto"/>
        <w:left w:val="none" w:sz="0" w:space="0" w:color="auto"/>
        <w:bottom w:val="none" w:sz="0" w:space="0" w:color="auto"/>
        <w:right w:val="none" w:sz="0" w:space="0" w:color="auto"/>
      </w:divBdr>
    </w:div>
    <w:div w:id="1513377035">
      <w:bodyDiv w:val="1"/>
      <w:marLeft w:val="0"/>
      <w:marRight w:val="0"/>
      <w:marTop w:val="0"/>
      <w:marBottom w:val="0"/>
      <w:divBdr>
        <w:top w:val="none" w:sz="0" w:space="0" w:color="auto"/>
        <w:left w:val="none" w:sz="0" w:space="0" w:color="auto"/>
        <w:bottom w:val="none" w:sz="0" w:space="0" w:color="auto"/>
        <w:right w:val="none" w:sz="0" w:space="0" w:color="auto"/>
      </w:divBdr>
    </w:div>
    <w:div w:id="1513568933">
      <w:bodyDiv w:val="1"/>
      <w:marLeft w:val="0"/>
      <w:marRight w:val="0"/>
      <w:marTop w:val="0"/>
      <w:marBottom w:val="0"/>
      <w:divBdr>
        <w:top w:val="none" w:sz="0" w:space="0" w:color="auto"/>
        <w:left w:val="none" w:sz="0" w:space="0" w:color="auto"/>
        <w:bottom w:val="none" w:sz="0" w:space="0" w:color="auto"/>
        <w:right w:val="none" w:sz="0" w:space="0" w:color="auto"/>
      </w:divBdr>
    </w:div>
    <w:div w:id="1524200956">
      <w:bodyDiv w:val="1"/>
      <w:marLeft w:val="0"/>
      <w:marRight w:val="0"/>
      <w:marTop w:val="0"/>
      <w:marBottom w:val="0"/>
      <w:divBdr>
        <w:top w:val="none" w:sz="0" w:space="0" w:color="auto"/>
        <w:left w:val="none" w:sz="0" w:space="0" w:color="auto"/>
        <w:bottom w:val="none" w:sz="0" w:space="0" w:color="auto"/>
        <w:right w:val="none" w:sz="0" w:space="0" w:color="auto"/>
      </w:divBdr>
    </w:div>
    <w:div w:id="1524511338">
      <w:bodyDiv w:val="1"/>
      <w:marLeft w:val="0"/>
      <w:marRight w:val="0"/>
      <w:marTop w:val="0"/>
      <w:marBottom w:val="0"/>
      <w:divBdr>
        <w:top w:val="none" w:sz="0" w:space="0" w:color="auto"/>
        <w:left w:val="none" w:sz="0" w:space="0" w:color="auto"/>
        <w:bottom w:val="none" w:sz="0" w:space="0" w:color="auto"/>
        <w:right w:val="none" w:sz="0" w:space="0" w:color="auto"/>
      </w:divBdr>
    </w:div>
    <w:div w:id="1524706153">
      <w:bodyDiv w:val="1"/>
      <w:marLeft w:val="0"/>
      <w:marRight w:val="0"/>
      <w:marTop w:val="0"/>
      <w:marBottom w:val="0"/>
      <w:divBdr>
        <w:top w:val="none" w:sz="0" w:space="0" w:color="auto"/>
        <w:left w:val="none" w:sz="0" w:space="0" w:color="auto"/>
        <w:bottom w:val="none" w:sz="0" w:space="0" w:color="auto"/>
        <w:right w:val="none" w:sz="0" w:space="0" w:color="auto"/>
      </w:divBdr>
    </w:div>
    <w:div w:id="1535382867">
      <w:bodyDiv w:val="1"/>
      <w:marLeft w:val="0"/>
      <w:marRight w:val="0"/>
      <w:marTop w:val="0"/>
      <w:marBottom w:val="0"/>
      <w:divBdr>
        <w:top w:val="none" w:sz="0" w:space="0" w:color="auto"/>
        <w:left w:val="none" w:sz="0" w:space="0" w:color="auto"/>
        <w:bottom w:val="none" w:sz="0" w:space="0" w:color="auto"/>
        <w:right w:val="none" w:sz="0" w:space="0" w:color="auto"/>
      </w:divBdr>
    </w:div>
    <w:div w:id="1538737097">
      <w:bodyDiv w:val="1"/>
      <w:marLeft w:val="0"/>
      <w:marRight w:val="0"/>
      <w:marTop w:val="0"/>
      <w:marBottom w:val="0"/>
      <w:divBdr>
        <w:top w:val="none" w:sz="0" w:space="0" w:color="auto"/>
        <w:left w:val="none" w:sz="0" w:space="0" w:color="auto"/>
        <w:bottom w:val="none" w:sz="0" w:space="0" w:color="auto"/>
        <w:right w:val="none" w:sz="0" w:space="0" w:color="auto"/>
      </w:divBdr>
    </w:div>
    <w:div w:id="1539900821">
      <w:bodyDiv w:val="1"/>
      <w:marLeft w:val="0"/>
      <w:marRight w:val="0"/>
      <w:marTop w:val="0"/>
      <w:marBottom w:val="0"/>
      <w:divBdr>
        <w:top w:val="none" w:sz="0" w:space="0" w:color="auto"/>
        <w:left w:val="none" w:sz="0" w:space="0" w:color="auto"/>
        <w:bottom w:val="none" w:sz="0" w:space="0" w:color="auto"/>
        <w:right w:val="none" w:sz="0" w:space="0" w:color="auto"/>
      </w:divBdr>
    </w:div>
    <w:div w:id="1543908301">
      <w:bodyDiv w:val="1"/>
      <w:marLeft w:val="0"/>
      <w:marRight w:val="0"/>
      <w:marTop w:val="0"/>
      <w:marBottom w:val="0"/>
      <w:divBdr>
        <w:top w:val="none" w:sz="0" w:space="0" w:color="auto"/>
        <w:left w:val="none" w:sz="0" w:space="0" w:color="auto"/>
        <w:bottom w:val="none" w:sz="0" w:space="0" w:color="auto"/>
        <w:right w:val="none" w:sz="0" w:space="0" w:color="auto"/>
      </w:divBdr>
    </w:div>
    <w:div w:id="1555039918">
      <w:bodyDiv w:val="1"/>
      <w:marLeft w:val="0"/>
      <w:marRight w:val="0"/>
      <w:marTop w:val="0"/>
      <w:marBottom w:val="0"/>
      <w:divBdr>
        <w:top w:val="none" w:sz="0" w:space="0" w:color="auto"/>
        <w:left w:val="none" w:sz="0" w:space="0" w:color="auto"/>
        <w:bottom w:val="none" w:sz="0" w:space="0" w:color="auto"/>
        <w:right w:val="none" w:sz="0" w:space="0" w:color="auto"/>
      </w:divBdr>
    </w:div>
    <w:div w:id="1557008015">
      <w:bodyDiv w:val="1"/>
      <w:marLeft w:val="0"/>
      <w:marRight w:val="0"/>
      <w:marTop w:val="0"/>
      <w:marBottom w:val="0"/>
      <w:divBdr>
        <w:top w:val="none" w:sz="0" w:space="0" w:color="auto"/>
        <w:left w:val="none" w:sz="0" w:space="0" w:color="auto"/>
        <w:bottom w:val="none" w:sz="0" w:space="0" w:color="auto"/>
        <w:right w:val="none" w:sz="0" w:space="0" w:color="auto"/>
      </w:divBdr>
    </w:div>
    <w:div w:id="1565212014">
      <w:bodyDiv w:val="1"/>
      <w:marLeft w:val="0"/>
      <w:marRight w:val="0"/>
      <w:marTop w:val="0"/>
      <w:marBottom w:val="0"/>
      <w:divBdr>
        <w:top w:val="none" w:sz="0" w:space="0" w:color="auto"/>
        <w:left w:val="none" w:sz="0" w:space="0" w:color="auto"/>
        <w:bottom w:val="none" w:sz="0" w:space="0" w:color="auto"/>
        <w:right w:val="none" w:sz="0" w:space="0" w:color="auto"/>
      </w:divBdr>
    </w:div>
    <w:div w:id="1609315118">
      <w:bodyDiv w:val="1"/>
      <w:marLeft w:val="0"/>
      <w:marRight w:val="0"/>
      <w:marTop w:val="0"/>
      <w:marBottom w:val="0"/>
      <w:divBdr>
        <w:top w:val="none" w:sz="0" w:space="0" w:color="auto"/>
        <w:left w:val="none" w:sz="0" w:space="0" w:color="auto"/>
        <w:bottom w:val="none" w:sz="0" w:space="0" w:color="auto"/>
        <w:right w:val="none" w:sz="0" w:space="0" w:color="auto"/>
      </w:divBdr>
    </w:div>
    <w:div w:id="1620915777">
      <w:bodyDiv w:val="1"/>
      <w:marLeft w:val="0"/>
      <w:marRight w:val="0"/>
      <w:marTop w:val="0"/>
      <w:marBottom w:val="0"/>
      <w:divBdr>
        <w:top w:val="none" w:sz="0" w:space="0" w:color="auto"/>
        <w:left w:val="none" w:sz="0" w:space="0" w:color="auto"/>
        <w:bottom w:val="none" w:sz="0" w:space="0" w:color="auto"/>
        <w:right w:val="none" w:sz="0" w:space="0" w:color="auto"/>
      </w:divBdr>
    </w:div>
    <w:div w:id="1630434490">
      <w:bodyDiv w:val="1"/>
      <w:marLeft w:val="0"/>
      <w:marRight w:val="0"/>
      <w:marTop w:val="0"/>
      <w:marBottom w:val="0"/>
      <w:divBdr>
        <w:top w:val="none" w:sz="0" w:space="0" w:color="auto"/>
        <w:left w:val="none" w:sz="0" w:space="0" w:color="auto"/>
        <w:bottom w:val="none" w:sz="0" w:space="0" w:color="auto"/>
        <w:right w:val="none" w:sz="0" w:space="0" w:color="auto"/>
      </w:divBdr>
    </w:div>
    <w:div w:id="1643853676">
      <w:bodyDiv w:val="1"/>
      <w:marLeft w:val="0"/>
      <w:marRight w:val="0"/>
      <w:marTop w:val="0"/>
      <w:marBottom w:val="0"/>
      <w:divBdr>
        <w:top w:val="none" w:sz="0" w:space="0" w:color="auto"/>
        <w:left w:val="none" w:sz="0" w:space="0" w:color="auto"/>
        <w:bottom w:val="none" w:sz="0" w:space="0" w:color="auto"/>
        <w:right w:val="none" w:sz="0" w:space="0" w:color="auto"/>
      </w:divBdr>
    </w:div>
    <w:div w:id="1649894725">
      <w:bodyDiv w:val="1"/>
      <w:marLeft w:val="0"/>
      <w:marRight w:val="0"/>
      <w:marTop w:val="0"/>
      <w:marBottom w:val="0"/>
      <w:divBdr>
        <w:top w:val="none" w:sz="0" w:space="0" w:color="auto"/>
        <w:left w:val="none" w:sz="0" w:space="0" w:color="auto"/>
        <w:bottom w:val="none" w:sz="0" w:space="0" w:color="auto"/>
        <w:right w:val="none" w:sz="0" w:space="0" w:color="auto"/>
      </w:divBdr>
    </w:div>
    <w:div w:id="1653827613">
      <w:bodyDiv w:val="1"/>
      <w:marLeft w:val="0"/>
      <w:marRight w:val="0"/>
      <w:marTop w:val="0"/>
      <w:marBottom w:val="0"/>
      <w:divBdr>
        <w:top w:val="none" w:sz="0" w:space="0" w:color="auto"/>
        <w:left w:val="none" w:sz="0" w:space="0" w:color="auto"/>
        <w:bottom w:val="none" w:sz="0" w:space="0" w:color="auto"/>
        <w:right w:val="none" w:sz="0" w:space="0" w:color="auto"/>
      </w:divBdr>
    </w:div>
    <w:div w:id="1664164214">
      <w:bodyDiv w:val="1"/>
      <w:marLeft w:val="0"/>
      <w:marRight w:val="0"/>
      <w:marTop w:val="0"/>
      <w:marBottom w:val="0"/>
      <w:divBdr>
        <w:top w:val="none" w:sz="0" w:space="0" w:color="auto"/>
        <w:left w:val="none" w:sz="0" w:space="0" w:color="auto"/>
        <w:bottom w:val="none" w:sz="0" w:space="0" w:color="auto"/>
        <w:right w:val="none" w:sz="0" w:space="0" w:color="auto"/>
      </w:divBdr>
    </w:div>
    <w:div w:id="1664234732">
      <w:bodyDiv w:val="1"/>
      <w:marLeft w:val="0"/>
      <w:marRight w:val="0"/>
      <w:marTop w:val="0"/>
      <w:marBottom w:val="0"/>
      <w:divBdr>
        <w:top w:val="none" w:sz="0" w:space="0" w:color="auto"/>
        <w:left w:val="none" w:sz="0" w:space="0" w:color="auto"/>
        <w:bottom w:val="none" w:sz="0" w:space="0" w:color="auto"/>
        <w:right w:val="none" w:sz="0" w:space="0" w:color="auto"/>
      </w:divBdr>
    </w:div>
    <w:div w:id="1679387139">
      <w:bodyDiv w:val="1"/>
      <w:marLeft w:val="0"/>
      <w:marRight w:val="0"/>
      <w:marTop w:val="0"/>
      <w:marBottom w:val="0"/>
      <w:divBdr>
        <w:top w:val="none" w:sz="0" w:space="0" w:color="auto"/>
        <w:left w:val="none" w:sz="0" w:space="0" w:color="auto"/>
        <w:bottom w:val="none" w:sz="0" w:space="0" w:color="auto"/>
        <w:right w:val="none" w:sz="0" w:space="0" w:color="auto"/>
      </w:divBdr>
    </w:div>
    <w:div w:id="1696273257">
      <w:bodyDiv w:val="1"/>
      <w:marLeft w:val="0"/>
      <w:marRight w:val="0"/>
      <w:marTop w:val="0"/>
      <w:marBottom w:val="0"/>
      <w:divBdr>
        <w:top w:val="none" w:sz="0" w:space="0" w:color="auto"/>
        <w:left w:val="none" w:sz="0" w:space="0" w:color="auto"/>
        <w:bottom w:val="none" w:sz="0" w:space="0" w:color="auto"/>
        <w:right w:val="none" w:sz="0" w:space="0" w:color="auto"/>
      </w:divBdr>
    </w:div>
    <w:div w:id="1697150431">
      <w:bodyDiv w:val="1"/>
      <w:marLeft w:val="0"/>
      <w:marRight w:val="0"/>
      <w:marTop w:val="0"/>
      <w:marBottom w:val="0"/>
      <w:divBdr>
        <w:top w:val="none" w:sz="0" w:space="0" w:color="auto"/>
        <w:left w:val="none" w:sz="0" w:space="0" w:color="auto"/>
        <w:bottom w:val="none" w:sz="0" w:space="0" w:color="auto"/>
        <w:right w:val="none" w:sz="0" w:space="0" w:color="auto"/>
      </w:divBdr>
    </w:div>
    <w:div w:id="1699236970">
      <w:bodyDiv w:val="1"/>
      <w:marLeft w:val="0"/>
      <w:marRight w:val="0"/>
      <w:marTop w:val="0"/>
      <w:marBottom w:val="0"/>
      <w:divBdr>
        <w:top w:val="none" w:sz="0" w:space="0" w:color="auto"/>
        <w:left w:val="none" w:sz="0" w:space="0" w:color="auto"/>
        <w:bottom w:val="none" w:sz="0" w:space="0" w:color="auto"/>
        <w:right w:val="none" w:sz="0" w:space="0" w:color="auto"/>
      </w:divBdr>
    </w:div>
    <w:div w:id="1703554572">
      <w:bodyDiv w:val="1"/>
      <w:marLeft w:val="0"/>
      <w:marRight w:val="0"/>
      <w:marTop w:val="0"/>
      <w:marBottom w:val="0"/>
      <w:divBdr>
        <w:top w:val="none" w:sz="0" w:space="0" w:color="auto"/>
        <w:left w:val="none" w:sz="0" w:space="0" w:color="auto"/>
        <w:bottom w:val="none" w:sz="0" w:space="0" w:color="auto"/>
        <w:right w:val="none" w:sz="0" w:space="0" w:color="auto"/>
      </w:divBdr>
    </w:div>
    <w:div w:id="1708339044">
      <w:bodyDiv w:val="1"/>
      <w:marLeft w:val="0"/>
      <w:marRight w:val="0"/>
      <w:marTop w:val="0"/>
      <w:marBottom w:val="0"/>
      <w:divBdr>
        <w:top w:val="none" w:sz="0" w:space="0" w:color="auto"/>
        <w:left w:val="none" w:sz="0" w:space="0" w:color="auto"/>
        <w:bottom w:val="none" w:sz="0" w:space="0" w:color="auto"/>
        <w:right w:val="none" w:sz="0" w:space="0" w:color="auto"/>
      </w:divBdr>
    </w:div>
    <w:div w:id="1710643413">
      <w:bodyDiv w:val="1"/>
      <w:marLeft w:val="0"/>
      <w:marRight w:val="0"/>
      <w:marTop w:val="0"/>
      <w:marBottom w:val="0"/>
      <w:divBdr>
        <w:top w:val="none" w:sz="0" w:space="0" w:color="auto"/>
        <w:left w:val="none" w:sz="0" w:space="0" w:color="auto"/>
        <w:bottom w:val="none" w:sz="0" w:space="0" w:color="auto"/>
        <w:right w:val="none" w:sz="0" w:space="0" w:color="auto"/>
      </w:divBdr>
    </w:div>
    <w:div w:id="1711759559">
      <w:bodyDiv w:val="1"/>
      <w:marLeft w:val="0"/>
      <w:marRight w:val="0"/>
      <w:marTop w:val="0"/>
      <w:marBottom w:val="0"/>
      <w:divBdr>
        <w:top w:val="none" w:sz="0" w:space="0" w:color="auto"/>
        <w:left w:val="none" w:sz="0" w:space="0" w:color="auto"/>
        <w:bottom w:val="none" w:sz="0" w:space="0" w:color="auto"/>
        <w:right w:val="none" w:sz="0" w:space="0" w:color="auto"/>
      </w:divBdr>
    </w:div>
    <w:div w:id="1711958083">
      <w:bodyDiv w:val="1"/>
      <w:marLeft w:val="0"/>
      <w:marRight w:val="0"/>
      <w:marTop w:val="0"/>
      <w:marBottom w:val="0"/>
      <w:divBdr>
        <w:top w:val="none" w:sz="0" w:space="0" w:color="auto"/>
        <w:left w:val="none" w:sz="0" w:space="0" w:color="auto"/>
        <w:bottom w:val="none" w:sz="0" w:space="0" w:color="auto"/>
        <w:right w:val="none" w:sz="0" w:space="0" w:color="auto"/>
      </w:divBdr>
    </w:div>
    <w:div w:id="1721128157">
      <w:bodyDiv w:val="1"/>
      <w:marLeft w:val="0"/>
      <w:marRight w:val="0"/>
      <w:marTop w:val="0"/>
      <w:marBottom w:val="0"/>
      <w:divBdr>
        <w:top w:val="none" w:sz="0" w:space="0" w:color="auto"/>
        <w:left w:val="none" w:sz="0" w:space="0" w:color="auto"/>
        <w:bottom w:val="none" w:sz="0" w:space="0" w:color="auto"/>
        <w:right w:val="none" w:sz="0" w:space="0" w:color="auto"/>
      </w:divBdr>
    </w:div>
    <w:div w:id="1724400662">
      <w:bodyDiv w:val="1"/>
      <w:marLeft w:val="0"/>
      <w:marRight w:val="0"/>
      <w:marTop w:val="0"/>
      <w:marBottom w:val="0"/>
      <w:divBdr>
        <w:top w:val="none" w:sz="0" w:space="0" w:color="auto"/>
        <w:left w:val="none" w:sz="0" w:space="0" w:color="auto"/>
        <w:bottom w:val="none" w:sz="0" w:space="0" w:color="auto"/>
        <w:right w:val="none" w:sz="0" w:space="0" w:color="auto"/>
      </w:divBdr>
    </w:div>
    <w:div w:id="1734965617">
      <w:bodyDiv w:val="1"/>
      <w:marLeft w:val="0"/>
      <w:marRight w:val="0"/>
      <w:marTop w:val="0"/>
      <w:marBottom w:val="0"/>
      <w:divBdr>
        <w:top w:val="none" w:sz="0" w:space="0" w:color="auto"/>
        <w:left w:val="none" w:sz="0" w:space="0" w:color="auto"/>
        <w:bottom w:val="none" w:sz="0" w:space="0" w:color="auto"/>
        <w:right w:val="none" w:sz="0" w:space="0" w:color="auto"/>
      </w:divBdr>
    </w:div>
    <w:div w:id="1741781248">
      <w:bodyDiv w:val="1"/>
      <w:marLeft w:val="0"/>
      <w:marRight w:val="0"/>
      <w:marTop w:val="0"/>
      <w:marBottom w:val="0"/>
      <w:divBdr>
        <w:top w:val="none" w:sz="0" w:space="0" w:color="auto"/>
        <w:left w:val="none" w:sz="0" w:space="0" w:color="auto"/>
        <w:bottom w:val="none" w:sz="0" w:space="0" w:color="auto"/>
        <w:right w:val="none" w:sz="0" w:space="0" w:color="auto"/>
      </w:divBdr>
    </w:div>
    <w:div w:id="1743215664">
      <w:bodyDiv w:val="1"/>
      <w:marLeft w:val="0"/>
      <w:marRight w:val="0"/>
      <w:marTop w:val="0"/>
      <w:marBottom w:val="0"/>
      <w:divBdr>
        <w:top w:val="none" w:sz="0" w:space="0" w:color="auto"/>
        <w:left w:val="none" w:sz="0" w:space="0" w:color="auto"/>
        <w:bottom w:val="none" w:sz="0" w:space="0" w:color="auto"/>
        <w:right w:val="none" w:sz="0" w:space="0" w:color="auto"/>
      </w:divBdr>
    </w:div>
    <w:div w:id="1760253045">
      <w:bodyDiv w:val="1"/>
      <w:marLeft w:val="0"/>
      <w:marRight w:val="0"/>
      <w:marTop w:val="0"/>
      <w:marBottom w:val="0"/>
      <w:divBdr>
        <w:top w:val="none" w:sz="0" w:space="0" w:color="auto"/>
        <w:left w:val="none" w:sz="0" w:space="0" w:color="auto"/>
        <w:bottom w:val="none" w:sz="0" w:space="0" w:color="auto"/>
        <w:right w:val="none" w:sz="0" w:space="0" w:color="auto"/>
      </w:divBdr>
    </w:div>
    <w:div w:id="1768042402">
      <w:bodyDiv w:val="1"/>
      <w:marLeft w:val="0"/>
      <w:marRight w:val="0"/>
      <w:marTop w:val="0"/>
      <w:marBottom w:val="0"/>
      <w:divBdr>
        <w:top w:val="none" w:sz="0" w:space="0" w:color="auto"/>
        <w:left w:val="none" w:sz="0" w:space="0" w:color="auto"/>
        <w:bottom w:val="none" w:sz="0" w:space="0" w:color="auto"/>
        <w:right w:val="none" w:sz="0" w:space="0" w:color="auto"/>
      </w:divBdr>
    </w:div>
    <w:div w:id="1769617766">
      <w:bodyDiv w:val="1"/>
      <w:marLeft w:val="0"/>
      <w:marRight w:val="0"/>
      <w:marTop w:val="0"/>
      <w:marBottom w:val="0"/>
      <w:divBdr>
        <w:top w:val="none" w:sz="0" w:space="0" w:color="auto"/>
        <w:left w:val="none" w:sz="0" w:space="0" w:color="auto"/>
        <w:bottom w:val="none" w:sz="0" w:space="0" w:color="auto"/>
        <w:right w:val="none" w:sz="0" w:space="0" w:color="auto"/>
      </w:divBdr>
    </w:div>
    <w:div w:id="1772436034">
      <w:bodyDiv w:val="1"/>
      <w:marLeft w:val="0"/>
      <w:marRight w:val="0"/>
      <w:marTop w:val="0"/>
      <w:marBottom w:val="0"/>
      <w:divBdr>
        <w:top w:val="none" w:sz="0" w:space="0" w:color="auto"/>
        <w:left w:val="none" w:sz="0" w:space="0" w:color="auto"/>
        <w:bottom w:val="none" w:sz="0" w:space="0" w:color="auto"/>
        <w:right w:val="none" w:sz="0" w:space="0" w:color="auto"/>
      </w:divBdr>
    </w:div>
    <w:div w:id="1777552131">
      <w:bodyDiv w:val="1"/>
      <w:marLeft w:val="0"/>
      <w:marRight w:val="0"/>
      <w:marTop w:val="0"/>
      <w:marBottom w:val="0"/>
      <w:divBdr>
        <w:top w:val="none" w:sz="0" w:space="0" w:color="auto"/>
        <w:left w:val="none" w:sz="0" w:space="0" w:color="auto"/>
        <w:bottom w:val="none" w:sz="0" w:space="0" w:color="auto"/>
        <w:right w:val="none" w:sz="0" w:space="0" w:color="auto"/>
      </w:divBdr>
    </w:div>
    <w:div w:id="1778482444">
      <w:bodyDiv w:val="1"/>
      <w:marLeft w:val="0"/>
      <w:marRight w:val="0"/>
      <w:marTop w:val="0"/>
      <w:marBottom w:val="0"/>
      <w:divBdr>
        <w:top w:val="none" w:sz="0" w:space="0" w:color="auto"/>
        <w:left w:val="none" w:sz="0" w:space="0" w:color="auto"/>
        <w:bottom w:val="none" w:sz="0" w:space="0" w:color="auto"/>
        <w:right w:val="none" w:sz="0" w:space="0" w:color="auto"/>
      </w:divBdr>
    </w:div>
    <w:div w:id="1782608032">
      <w:bodyDiv w:val="1"/>
      <w:marLeft w:val="0"/>
      <w:marRight w:val="0"/>
      <w:marTop w:val="0"/>
      <w:marBottom w:val="0"/>
      <w:divBdr>
        <w:top w:val="none" w:sz="0" w:space="0" w:color="auto"/>
        <w:left w:val="none" w:sz="0" w:space="0" w:color="auto"/>
        <w:bottom w:val="none" w:sz="0" w:space="0" w:color="auto"/>
        <w:right w:val="none" w:sz="0" w:space="0" w:color="auto"/>
      </w:divBdr>
    </w:div>
    <w:div w:id="1785953001">
      <w:bodyDiv w:val="1"/>
      <w:marLeft w:val="0"/>
      <w:marRight w:val="0"/>
      <w:marTop w:val="0"/>
      <w:marBottom w:val="0"/>
      <w:divBdr>
        <w:top w:val="none" w:sz="0" w:space="0" w:color="auto"/>
        <w:left w:val="none" w:sz="0" w:space="0" w:color="auto"/>
        <w:bottom w:val="none" w:sz="0" w:space="0" w:color="auto"/>
        <w:right w:val="none" w:sz="0" w:space="0" w:color="auto"/>
      </w:divBdr>
    </w:div>
    <w:div w:id="1791243800">
      <w:bodyDiv w:val="1"/>
      <w:marLeft w:val="0"/>
      <w:marRight w:val="0"/>
      <w:marTop w:val="0"/>
      <w:marBottom w:val="0"/>
      <w:divBdr>
        <w:top w:val="none" w:sz="0" w:space="0" w:color="auto"/>
        <w:left w:val="none" w:sz="0" w:space="0" w:color="auto"/>
        <w:bottom w:val="none" w:sz="0" w:space="0" w:color="auto"/>
        <w:right w:val="none" w:sz="0" w:space="0" w:color="auto"/>
      </w:divBdr>
    </w:div>
    <w:div w:id="1806003555">
      <w:bodyDiv w:val="1"/>
      <w:marLeft w:val="0"/>
      <w:marRight w:val="0"/>
      <w:marTop w:val="0"/>
      <w:marBottom w:val="0"/>
      <w:divBdr>
        <w:top w:val="none" w:sz="0" w:space="0" w:color="auto"/>
        <w:left w:val="none" w:sz="0" w:space="0" w:color="auto"/>
        <w:bottom w:val="none" w:sz="0" w:space="0" w:color="auto"/>
        <w:right w:val="none" w:sz="0" w:space="0" w:color="auto"/>
      </w:divBdr>
    </w:div>
    <w:div w:id="1806969341">
      <w:bodyDiv w:val="1"/>
      <w:marLeft w:val="0"/>
      <w:marRight w:val="0"/>
      <w:marTop w:val="0"/>
      <w:marBottom w:val="0"/>
      <w:divBdr>
        <w:top w:val="none" w:sz="0" w:space="0" w:color="auto"/>
        <w:left w:val="none" w:sz="0" w:space="0" w:color="auto"/>
        <w:bottom w:val="none" w:sz="0" w:space="0" w:color="auto"/>
        <w:right w:val="none" w:sz="0" w:space="0" w:color="auto"/>
      </w:divBdr>
    </w:div>
    <w:div w:id="1815835003">
      <w:bodyDiv w:val="1"/>
      <w:marLeft w:val="0"/>
      <w:marRight w:val="0"/>
      <w:marTop w:val="0"/>
      <w:marBottom w:val="0"/>
      <w:divBdr>
        <w:top w:val="none" w:sz="0" w:space="0" w:color="auto"/>
        <w:left w:val="none" w:sz="0" w:space="0" w:color="auto"/>
        <w:bottom w:val="none" w:sz="0" w:space="0" w:color="auto"/>
        <w:right w:val="none" w:sz="0" w:space="0" w:color="auto"/>
      </w:divBdr>
    </w:div>
    <w:div w:id="1830249201">
      <w:bodyDiv w:val="1"/>
      <w:marLeft w:val="0"/>
      <w:marRight w:val="0"/>
      <w:marTop w:val="0"/>
      <w:marBottom w:val="0"/>
      <w:divBdr>
        <w:top w:val="none" w:sz="0" w:space="0" w:color="auto"/>
        <w:left w:val="none" w:sz="0" w:space="0" w:color="auto"/>
        <w:bottom w:val="none" w:sz="0" w:space="0" w:color="auto"/>
        <w:right w:val="none" w:sz="0" w:space="0" w:color="auto"/>
      </w:divBdr>
    </w:div>
    <w:div w:id="1833138455">
      <w:bodyDiv w:val="1"/>
      <w:marLeft w:val="0"/>
      <w:marRight w:val="0"/>
      <w:marTop w:val="0"/>
      <w:marBottom w:val="0"/>
      <w:divBdr>
        <w:top w:val="none" w:sz="0" w:space="0" w:color="auto"/>
        <w:left w:val="none" w:sz="0" w:space="0" w:color="auto"/>
        <w:bottom w:val="none" w:sz="0" w:space="0" w:color="auto"/>
        <w:right w:val="none" w:sz="0" w:space="0" w:color="auto"/>
      </w:divBdr>
    </w:div>
    <w:div w:id="1836915862">
      <w:bodyDiv w:val="1"/>
      <w:marLeft w:val="0"/>
      <w:marRight w:val="0"/>
      <w:marTop w:val="0"/>
      <w:marBottom w:val="0"/>
      <w:divBdr>
        <w:top w:val="none" w:sz="0" w:space="0" w:color="auto"/>
        <w:left w:val="none" w:sz="0" w:space="0" w:color="auto"/>
        <w:bottom w:val="none" w:sz="0" w:space="0" w:color="auto"/>
        <w:right w:val="none" w:sz="0" w:space="0" w:color="auto"/>
      </w:divBdr>
    </w:div>
    <w:div w:id="1838810882">
      <w:bodyDiv w:val="1"/>
      <w:marLeft w:val="0"/>
      <w:marRight w:val="0"/>
      <w:marTop w:val="0"/>
      <w:marBottom w:val="0"/>
      <w:divBdr>
        <w:top w:val="none" w:sz="0" w:space="0" w:color="auto"/>
        <w:left w:val="none" w:sz="0" w:space="0" w:color="auto"/>
        <w:bottom w:val="none" w:sz="0" w:space="0" w:color="auto"/>
        <w:right w:val="none" w:sz="0" w:space="0" w:color="auto"/>
      </w:divBdr>
    </w:div>
    <w:div w:id="1839421294">
      <w:bodyDiv w:val="1"/>
      <w:marLeft w:val="0"/>
      <w:marRight w:val="0"/>
      <w:marTop w:val="0"/>
      <w:marBottom w:val="0"/>
      <w:divBdr>
        <w:top w:val="none" w:sz="0" w:space="0" w:color="auto"/>
        <w:left w:val="none" w:sz="0" w:space="0" w:color="auto"/>
        <w:bottom w:val="none" w:sz="0" w:space="0" w:color="auto"/>
        <w:right w:val="none" w:sz="0" w:space="0" w:color="auto"/>
      </w:divBdr>
    </w:div>
    <w:div w:id="1854151323">
      <w:bodyDiv w:val="1"/>
      <w:marLeft w:val="0"/>
      <w:marRight w:val="0"/>
      <w:marTop w:val="0"/>
      <w:marBottom w:val="0"/>
      <w:divBdr>
        <w:top w:val="none" w:sz="0" w:space="0" w:color="auto"/>
        <w:left w:val="none" w:sz="0" w:space="0" w:color="auto"/>
        <w:bottom w:val="none" w:sz="0" w:space="0" w:color="auto"/>
        <w:right w:val="none" w:sz="0" w:space="0" w:color="auto"/>
      </w:divBdr>
    </w:div>
    <w:div w:id="1855456101">
      <w:bodyDiv w:val="1"/>
      <w:marLeft w:val="0"/>
      <w:marRight w:val="0"/>
      <w:marTop w:val="0"/>
      <w:marBottom w:val="0"/>
      <w:divBdr>
        <w:top w:val="none" w:sz="0" w:space="0" w:color="auto"/>
        <w:left w:val="none" w:sz="0" w:space="0" w:color="auto"/>
        <w:bottom w:val="none" w:sz="0" w:space="0" w:color="auto"/>
        <w:right w:val="none" w:sz="0" w:space="0" w:color="auto"/>
      </w:divBdr>
    </w:div>
    <w:div w:id="1861043014">
      <w:bodyDiv w:val="1"/>
      <w:marLeft w:val="0"/>
      <w:marRight w:val="0"/>
      <w:marTop w:val="0"/>
      <w:marBottom w:val="0"/>
      <w:divBdr>
        <w:top w:val="none" w:sz="0" w:space="0" w:color="auto"/>
        <w:left w:val="none" w:sz="0" w:space="0" w:color="auto"/>
        <w:bottom w:val="none" w:sz="0" w:space="0" w:color="auto"/>
        <w:right w:val="none" w:sz="0" w:space="0" w:color="auto"/>
      </w:divBdr>
    </w:div>
    <w:div w:id="1863741007">
      <w:bodyDiv w:val="1"/>
      <w:marLeft w:val="0"/>
      <w:marRight w:val="0"/>
      <w:marTop w:val="0"/>
      <w:marBottom w:val="0"/>
      <w:divBdr>
        <w:top w:val="none" w:sz="0" w:space="0" w:color="auto"/>
        <w:left w:val="none" w:sz="0" w:space="0" w:color="auto"/>
        <w:bottom w:val="none" w:sz="0" w:space="0" w:color="auto"/>
        <w:right w:val="none" w:sz="0" w:space="0" w:color="auto"/>
      </w:divBdr>
    </w:div>
    <w:div w:id="1866673630">
      <w:bodyDiv w:val="1"/>
      <w:marLeft w:val="0"/>
      <w:marRight w:val="0"/>
      <w:marTop w:val="0"/>
      <w:marBottom w:val="0"/>
      <w:divBdr>
        <w:top w:val="none" w:sz="0" w:space="0" w:color="auto"/>
        <w:left w:val="none" w:sz="0" w:space="0" w:color="auto"/>
        <w:bottom w:val="none" w:sz="0" w:space="0" w:color="auto"/>
        <w:right w:val="none" w:sz="0" w:space="0" w:color="auto"/>
      </w:divBdr>
    </w:div>
    <w:div w:id="1869290562">
      <w:bodyDiv w:val="1"/>
      <w:marLeft w:val="0"/>
      <w:marRight w:val="0"/>
      <w:marTop w:val="0"/>
      <w:marBottom w:val="0"/>
      <w:divBdr>
        <w:top w:val="none" w:sz="0" w:space="0" w:color="auto"/>
        <w:left w:val="none" w:sz="0" w:space="0" w:color="auto"/>
        <w:bottom w:val="none" w:sz="0" w:space="0" w:color="auto"/>
        <w:right w:val="none" w:sz="0" w:space="0" w:color="auto"/>
      </w:divBdr>
    </w:div>
    <w:div w:id="1876699641">
      <w:bodyDiv w:val="1"/>
      <w:marLeft w:val="0"/>
      <w:marRight w:val="0"/>
      <w:marTop w:val="0"/>
      <w:marBottom w:val="0"/>
      <w:divBdr>
        <w:top w:val="none" w:sz="0" w:space="0" w:color="auto"/>
        <w:left w:val="none" w:sz="0" w:space="0" w:color="auto"/>
        <w:bottom w:val="none" w:sz="0" w:space="0" w:color="auto"/>
        <w:right w:val="none" w:sz="0" w:space="0" w:color="auto"/>
      </w:divBdr>
    </w:div>
    <w:div w:id="1877234372">
      <w:bodyDiv w:val="1"/>
      <w:marLeft w:val="0"/>
      <w:marRight w:val="0"/>
      <w:marTop w:val="0"/>
      <w:marBottom w:val="0"/>
      <w:divBdr>
        <w:top w:val="none" w:sz="0" w:space="0" w:color="auto"/>
        <w:left w:val="none" w:sz="0" w:space="0" w:color="auto"/>
        <w:bottom w:val="none" w:sz="0" w:space="0" w:color="auto"/>
        <w:right w:val="none" w:sz="0" w:space="0" w:color="auto"/>
      </w:divBdr>
    </w:div>
    <w:div w:id="1881623752">
      <w:bodyDiv w:val="1"/>
      <w:marLeft w:val="0"/>
      <w:marRight w:val="0"/>
      <w:marTop w:val="0"/>
      <w:marBottom w:val="0"/>
      <w:divBdr>
        <w:top w:val="none" w:sz="0" w:space="0" w:color="auto"/>
        <w:left w:val="none" w:sz="0" w:space="0" w:color="auto"/>
        <w:bottom w:val="none" w:sz="0" w:space="0" w:color="auto"/>
        <w:right w:val="none" w:sz="0" w:space="0" w:color="auto"/>
      </w:divBdr>
    </w:div>
    <w:div w:id="1882328159">
      <w:bodyDiv w:val="1"/>
      <w:marLeft w:val="0"/>
      <w:marRight w:val="0"/>
      <w:marTop w:val="0"/>
      <w:marBottom w:val="0"/>
      <w:divBdr>
        <w:top w:val="none" w:sz="0" w:space="0" w:color="auto"/>
        <w:left w:val="none" w:sz="0" w:space="0" w:color="auto"/>
        <w:bottom w:val="none" w:sz="0" w:space="0" w:color="auto"/>
        <w:right w:val="none" w:sz="0" w:space="0" w:color="auto"/>
      </w:divBdr>
    </w:div>
    <w:div w:id="1890141077">
      <w:bodyDiv w:val="1"/>
      <w:marLeft w:val="0"/>
      <w:marRight w:val="0"/>
      <w:marTop w:val="0"/>
      <w:marBottom w:val="0"/>
      <w:divBdr>
        <w:top w:val="none" w:sz="0" w:space="0" w:color="auto"/>
        <w:left w:val="none" w:sz="0" w:space="0" w:color="auto"/>
        <w:bottom w:val="none" w:sz="0" w:space="0" w:color="auto"/>
        <w:right w:val="none" w:sz="0" w:space="0" w:color="auto"/>
      </w:divBdr>
    </w:div>
    <w:div w:id="1892884731">
      <w:bodyDiv w:val="1"/>
      <w:marLeft w:val="0"/>
      <w:marRight w:val="0"/>
      <w:marTop w:val="0"/>
      <w:marBottom w:val="0"/>
      <w:divBdr>
        <w:top w:val="none" w:sz="0" w:space="0" w:color="auto"/>
        <w:left w:val="none" w:sz="0" w:space="0" w:color="auto"/>
        <w:bottom w:val="none" w:sz="0" w:space="0" w:color="auto"/>
        <w:right w:val="none" w:sz="0" w:space="0" w:color="auto"/>
      </w:divBdr>
    </w:div>
    <w:div w:id="1894272455">
      <w:bodyDiv w:val="1"/>
      <w:marLeft w:val="0"/>
      <w:marRight w:val="0"/>
      <w:marTop w:val="0"/>
      <w:marBottom w:val="0"/>
      <w:divBdr>
        <w:top w:val="none" w:sz="0" w:space="0" w:color="auto"/>
        <w:left w:val="none" w:sz="0" w:space="0" w:color="auto"/>
        <w:bottom w:val="none" w:sz="0" w:space="0" w:color="auto"/>
        <w:right w:val="none" w:sz="0" w:space="0" w:color="auto"/>
      </w:divBdr>
    </w:div>
    <w:div w:id="1897355211">
      <w:bodyDiv w:val="1"/>
      <w:marLeft w:val="0"/>
      <w:marRight w:val="0"/>
      <w:marTop w:val="0"/>
      <w:marBottom w:val="0"/>
      <w:divBdr>
        <w:top w:val="none" w:sz="0" w:space="0" w:color="auto"/>
        <w:left w:val="none" w:sz="0" w:space="0" w:color="auto"/>
        <w:bottom w:val="none" w:sz="0" w:space="0" w:color="auto"/>
        <w:right w:val="none" w:sz="0" w:space="0" w:color="auto"/>
      </w:divBdr>
    </w:div>
    <w:div w:id="1898589745">
      <w:bodyDiv w:val="1"/>
      <w:marLeft w:val="0"/>
      <w:marRight w:val="0"/>
      <w:marTop w:val="0"/>
      <w:marBottom w:val="0"/>
      <w:divBdr>
        <w:top w:val="none" w:sz="0" w:space="0" w:color="auto"/>
        <w:left w:val="none" w:sz="0" w:space="0" w:color="auto"/>
        <w:bottom w:val="none" w:sz="0" w:space="0" w:color="auto"/>
        <w:right w:val="none" w:sz="0" w:space="0" w:color="auto"/>
      </w:divBdr>
    </w:div>
    <w:div w:id="1899240541">
      <w:bodyDiv w:val="1"/>
      <w:marLeft w:val="0"/>
      <w:marRight w:val="0"/>
      <w:marTop w:val="0"/>
      <w:marBottom w:val="0"/>
      <w:divBdr>
        <w:top w:val="none" w:sz="0" w:space="0" w:color="auto"/>
        <w:left w:val="none" w:sz="0" w:space="0" w:color="auto"/>
        <w:bottom w:val="none" w:sz="0" w:space="0" w:color="auto"/>
        <w:right w:val="none" w:sz="0" w:space="0" w:color="auto"/>
      </w:divBdr>
    </w:div>
    <w:div w:id="1922249079">
      <w:bodyDiv w:val="1"/>
      <w:marLeft w:val="0"/>
      <w:marRight w:val="0"/>
      <w:marTop w:val="0"/>
      <w:marBottom w:val="0"/>
      <w:divBdr>
        <w:top w:val="none" w:sz="0" w:space="0" w:color="auto"/>
        <w:left w:val="none" w:sz="0" w:space="0" w:color="auto"/>
        <w:bottom w:val="none" w:sz="0" w:space="0" w:color="auto"/>
        <w:right w:val="none" w:sz="0" w:space="0" w:color="auto"/>
      </w:divBdr>
    </w:div>
    <w:div w:id="1935161060">
      <w:bodyDiv w:val="1"/>
      <w:marLeft w:val="0"/>
      <w:marRight w:val="0"/>
      <w:marTop w:val="0"/>
      <w:marBottom w:val="0"/>
      <w:divBdr>
        <w:top w:val="none" w:sz="0" w:space="0" w:color="auto"/>
        <w:left w:val="none" w:sz="0" w:space="0" w:color="auto"/>
        <w:bottom w:val="none" w:sz="0" w:space="0" w:color="auto"/>
        <w:right w:val="none" w:sz="0" w:space="0" w:color="auto"/>
      </w:divBdr>
    </w:div>
    <w:div w:id="1947805381">
      <w:bodyDiv w:val="1"/>
      <w:marLeft w:val="0"/>
      <w:marRight w:val="0"/>
      <w:marTop w:val="0"/>
      <w:marBottom w:val="0"/>
      <w:divBdr>
        <w:top w:val="none" w:sz="0" w:space="0" w:color="auto"/>
        <w:left w:val="none" w:sz="0" w:space="0" w:color="auto"/>
        <w:bottom w:val="none" w:sz="0" w:space="0" w:color="auto"/>
        <w:right w:val="none" w:sz="0" w:space="0" w:color="auto"/>
      </w:divBdr>
    </w:div>
    <w:div w:id="1948852382">
      <w:bodyDiv w:val="1"/>
      <w:marLeft w:val="0"/>
      <w:marRight w:val="0"/>
      <w:marTop w:val="0"/>
      <w:marBottom w:val="0"/>
      <w:divBdr>
        <w:top w:val="none" w:sz="0" w:space="0" w:color="auto"/>
        <w:left w:val="none" w:sz="0" w:space="0" w:color="auto"/>
        <w:bottom w:val="none" w:sz="0" w:space="0" w:color="auto"/>
        <w:right w:val="none" w:sz="0" w:space="0" w:color="auto"/>
      </w:divBdr>
    </w:div>
    <w:div w:id="1951014590">
      <w:bodyDiv w:val="1"/>
      <w:marLeft w:val="0"/>
      <w:marRight w:val="0"/>
      <w:marTop w:val="0"/>
      <w:marBottom w:val="0"/>
      <w:divBdr>
        <w:top w:val="none" w:sz="0" w:space="0" w:color="auto"/>
        <w:left w:val="none" w:sz="0" w:space="0" w:color="auto"/>
        <w:bottom w:val="none" w:sz="0" w:space="0" w:color="auto"/>
        <w:right w:val="none" w:sz="0" w:space="0" w:color="auto"/>
      </w:divBdr>
    </w:div>
    <w:div w:id="1963489040">
      <w:bodyDiv w:val="1"/>
      <w:marLeft w:val="0"/>
      <w:marRight w:val="0"/>
      <w:marTop w:val="0"/>
      <w:marBottom w:val="0"/>
      <w:divBdr>
        <w:top w:val="none" w:sz="0" w:space="0" w:color="auto"/>
        <w:left w:val="none" w:sz="0" w:space="0" w:color="auto"/>
        <w:bottom w:val="none" w:sz="0" w:space="0" w:color="auto"/>
        <w:right w:val="none" w:sz="0" w:space="0" w:color="auto"/>
      </w:divBdr>
    </w:div>
    <w:div w:id="1969505811">
      <w:bodyDiv w:val="1"/>
      <w:marLeft w:val="0"/>
      <w:marRight w:val="0"/>
      <w:marTop w:val="0"/>
      <w:marBottom w:val="0"/>
      <w:divBdr>
        <w:top w:val="none" w:sz="0" w:space="0" w:color="auto"/>
        <w:left w:val="none" w:sz="0" w:space="0" w:color="auto"/>
        <w:bottom w:val="none" w:sz="0" w:space="0" w:color="auto"/>
        <w:right w:val="none" w:sz="0" w:space="0" w:color="auto"/>
      </w:divBdr>
    </w:div>
    <w:div w:id="1971783404">
      <w:bodyDiv w:val="1"/>
      <w:marLeft w:val="0"/>
      <w:marRight w:val="0"/>
      <w:marTop w:val="0"/>
      <w:marBottom w:val="0"/>
      <w:divBdr>
        <w:top w:val="none" w:sz="0" w:space="0" w:color="auto"/>
        <w:left w:val="none" w:sz="0" w:space="0" w:color="auto"/>
        <w:bottom w:val="none" w:sz="0" w:space="0" w:color="auto"/>
        <w:right w:val="none" w:sz="0" w:space="0" w:color="auto"/>
      </w:divBdr>
    </w:div>
    <w:div w:id="1979141827">
      <w:bodyDiv w:val="1"/>
      <w:marLeft w:val="0"/>
      <w:marRight w:val="0"/>
      <w:marTop w:val="0"/>
      <w:marBottom w:val="0"/>
      <w:divBdr>
        <w:top w:val="none" w:sz="0" w:space="0" w:color="auto"/>
        <w:left w:val="none" w:sz="0" w:space="0" w:color="auto"/>
        <w:bottom w:val="none" w:sz="0" w:space="0" w:color="auto"/>
        <w:right w:val="none" w:sz="0" w:space="0" w:color="auto"/>
      </w:divBdr>
    </w:div>
    <w:div w:id="1981768557">
      <w:bodyDiv w:val="1"/>
      <w:marLeft w:val="0"/>
      <w:marRight w:val="0"/>
      <w:marTop w:val="0"/>
      <w:marBottom w:val="0"/>
      <w:divBdr>
        <w:top w:val="none" w:sz="0" w:space="0" w:color="auto"/>
        <w:left w:val="none" w:sz="0" w:space="0" w:color="auto"/>
        <w:bottom w:val="none" w:sz="0" w:space="0" w:color="auto"/>
        <w:right w:val="none" w:sz="0" w:space="0" w:color="auto"/>
      </w:divBdr>
    </w:div>
    <w:div w:id="1983922168">
      <w:bodyDiv w:val="1"/>
      <w:marLeft w:val="0"/>
      <w:marRight w:val="0"/>
      <w:marTop w:val="0"/>
      <w:marBottom w:val="0"/>
      <w:divBdr>
        <w:top w:val="none" w:sz="0" w:space="0" w:color="auto"/>
        <w:left w:val="none" w:sz="0" w:space="0" w:color="auto"/>
        <w:bottom w:val="none" w:sz="0" w:space="0" w:color="auto"/>
        <w:right w:val="none" w:sz="0" w:space="0" w:color="auto"/>
      </w:divBdr>
    </w:div>
    <w:div w:id="1995915014">
      <w:bodyDiv w:val="1"/>
      <w:marLeft w:val="0"/>
      <w:marRight w:val="0"/>
      <w:marTop w:val="0"/>
      <w:marBottom w:val="0"/>
      <w:divBdr>
        <w:top w:val="none" w:sz="0" w:space="0" w:color="auto"/>
        <w:left w:val="none" w:sz="0" w:space="0" w:color="auto"/>
        <w:bottom w:val="none" w:sz="0" w:space="0" w:color="auto"/>
        <w:right w:val="none" w:sz="0" w:space="0" w:color="auto"/>
      </w:divBdr>
    </w:div>
    <w:div w:id="2006585365">
      <w:bodyDiv w:val="1"/>
      <w:marLeft w:val="0"/>
      <w:marRight w:val="0"/>
      <w:marTop w:val="0"/>
      <w:marBottom w:val="0"/>
      <w:divBdr>
        <w:top w:val="none" w:sz="0" w:space="0" w:color="auto"/>
        <w:left w:val="none" w:sz="0" w:space="0" w:color="auto"/>
        <w:bottom w:val="none" w:sz="0" w:space="0" w:color="auto"/>
        <w:right w:val="none" w:sz="0" w:space="0" w:color="auto"/>
      </w:divBdr>
    </w:div>
    <w:div w:id="2008048489">
      <w:bodyDiv w:val="1"/>
      <w:marLeft w:val="0"/>
      <w:marRight w:val="0"/>
      <w:marTop w:val="0"/>
      <w:marBottom w:val="0"/>
      <w:divBdr>
        <w:top w:val="none" w:sz="0" w:space="0" w:color="auto"/>
        <w:left w:val="none" w:sz="0" w:space="0" w:color="auto"/>
        <w:bottom w:val="none" w:sz="0" w:space="0" w:color="auto"/>
        <w:right w:val="none" w:sz="0" w:space="0" w:color="auto"/>
      </w:divBdr>
    </w:div>
    <w:div w:id="2011055587">
      <w:bodyDiv w:val="1"/>
      <w:marLeft w:val="0"/>
      <w:marRight w:val="0"/>
      <w:marTop w:val="0"/>
      <w:marBottom w:val="0"/>
      <w:divBdr>
        <w:top w:val="none" w:sz="0" w:space="0" w:color="auto"/>
        <w:left w:val="none" w:sz="0" w:space="0" w:color="auto"/>
        <w:bottom w:val="none" w:sz="0" w:space="0" w:color="auto"/>
        <w:right w:val="none" w:sz="0" w:space="0" w:color="auto"/>
      </w:divBdr>
    </w:div>
    <w:div w:id="2028486976">
      <w:bodyDiv w:val="1"/>
      <w:marLeft w:val="0"/>
      <w:marRight w:val="0"/>
      <w:marTop w:val="0"/>
      <w:marBottom w:val="0"/>
      <w:divBdr>
        <w:top w:val="none" w:sz="0" w:space="0" w:color="auto"/>
        <w:left w:val="none" w:sz="0" w:space="0" w:color="auto"/>
        <w:bottom w:val="none" w:sz="0" w:space="0" w:color="auto"/>
        <w:right w:val="none" w:sz="0" w:space="0" w:color="auto"/>
      </w:divBdr>
    </w:div>
    <w:div w:id="2045330556">
      <w:bodyDiv w:val="1"/>
      <w:marLeft w:val="0"/>
      <w:marRight w:val="0"/>
      <w:marTop w:val="0"/>
      <w:marBottom w:val="0"/>
      <w:divBdr>
        <w:top w:val="none" w:sz="0" w:space="0" w:color="auto"/>
        <w:left w:val="none" w:sz="0" w:space="0" w:color="auto"/>
        <w:bottom w:val="none" w:sz="0" w:space="0" w:color="auto"/>
        <w:right w:val="none" w:sz="0" w:space="0" w:color="auto"/>
      </w:divBdr>
    </w:div>
    <w:div w:id="2075008006">
      <w:bodyDiv w:val="1"/>
      <w:marLeft w:val="0"/>
      <w:marRight w:val="0"/>
      <w:marTop w:val="0"/>
      <w:marBottom w:val="0"/>
      <w:divBdr>
        <w:top w:val="none" w:sz="0" w:space="0" w:color="auto"/>
        <w:left w:val="none" w:sz="0" w:space="0" w:color="auto"/>
        <w:bottom w:val="none" w:sz="0" w:space="0" w:color="auto"/>
        <w:right w:val="none" w:sz="0" w:space="0" w:color="auto"/>
      </w:divBdr>
    </w:div>
    <w:div w:id="2081243439">
      <w:bodyDiv w:val="1"/>
      <w:marLeft w:val="0"/>
      <w:marRight w:val="0"/>
      <w:marTop w:val="0"/>
      <w:marBottom w:val="0"/>
      <w:divBdr>
        <w:top w:val="none" w:sz="0" w:space="0" w:color="auto"/>
        <w:left w:val="none" w:sz="0" w:space="0" w:color="auto"/>
        <w:bottom w:val="none" w:sz="0" w:space="0" w:color="auto"/>
        <w:right w:val="none" w:sz="0" w:space="0" w:color="auto"/>
      </w:divBdr>
    </w:div>
    <w:div w:id="2088721635">
      <w:bodyDiv w:val="1"/>
      <w:marLeft w:val="0"/>
      <w:marRight w:val="0"/>
      <w:marTop w:val="0"/>
      <w:marBottom w:val="0"/>
      <w:divBdr>
        <w:top w:val="none" w:sz="0" w:space="0" w:color="auto"/>
        <w:left w:val="none" w:sz="0" w:space="0" w:color="auto"/>
        <w:bottom w:val="none" w:sz="0" w:space="0" w:color="auto"/>
        <w:right w:val="none" w:sz="0" w:space="0" w:color="auto"/>
      </w:divBdr>
    </w:div>
    <w:div w:id="2094157504">
      <w:bodyDiv w:val="1"/>
      <w:marLeft w:val="0"/>
      <w:marRight w:val="0"/>
      <w:marTop w:val="0"/>
      <w:marBottom w:val="0"/>
      <w:divBdr>
        <w:top w:val="none" w:sz="0" w:space="0" w:color="auto"/>
        <w:left w:val="none" w:sz="0" w:space="0" w:color="auto"/>
        <w:bottom w:val="none" w:sz="0" w:space="0" w:color="auto"/>
        <w:right w:val="none" w:sz="0" w:space="0" w:color="auto"/>
      </w:divBdr>
    </w:div>
    <w:div w:id="2097167304">
      <w:bodyDiv w:val="1"/>
      <w:marLeft w:val="0"/>
      <w:marRight w:val="0"/>
      <w:marTop w:val="0"/>
      <w:marBottom w:val="0"/>
      <w:divBdr>
        <w:top w:val="none" w:sz="0" w:space="0" w:color="auto"/>
        <w:left w:val="none" w:sz="0" w:space="0" w:color="auto"/>
        <w:bottom w:val="none" w:sz="0" w:space="0" w:color="auto"/>
        <w:right w:val="none" w:sz="0" w:space="0" w:color="auto"/>
      </w:divBdr>
    </w:div>
    <w:div w:id="2104716981">
      <w:bodyDiv w:val="1"/>
      <w:marLeft w:val="0"/>
      <w:marRight w:val="0"/>
      <w:marTop w:val="0"/>
      <w:marBottom w:val="0"/>
      <w:divBdr>
        <w:top w:val="none" w:sz="0" w:space="0" w:color="auto"/>
        <w:left w:val="none" w:sz="0" w:space="0" w:color="auto"/>
        <w:bottom w:val="none" w:sz="0" w:space="0" w:color="auto"/>
        <w:right w:val="none" w:sz="0" w:space="0" w:color="auto"/>
      </w:divBdr>
    </w:div>
    <w:div w:id="2111004452">
      <w:bodyDiv w:val="1"/>
      <w:marLeft w:val="0"/>
      <w:marRight w:val="0"/>
      <w:marTop w:val="0"/>
      <w:marBottom w:val="0"/>
      <w:divBdr>
        <w:top w:val="none" w:sz="0" w:space="0" w:color="auto"/>
        <w:left w:val="none" w:sz="0" w:space="0" w:color="auto"/>
        <w:bottom w:val="none" w:sz="0" w:space="0" w:color="auto"/>
        <w:right w:val="none" w:sz="0" w:space="0" w:color="auto"/>
      </w:divBdr>
    </w:div>
    <w:div w:id="2113279275">
      <w:bodyDiv w:val="1"/>
      <w:marLeft w:val="0"/>
      <w:marRight w:val="0"/>
      <w:marTop w:val="0"/>
      <w:marBottom w:val="0"/>
      <w:divBdr>
        <w:top w:val="none" w:sz="0" w:space="0" w:color="auto"/>
        <w:left w:val="none" w:sz="0" w:space="0" w:color="auto"/>
        <w:bottom w:val="none" w:sz="0" w:space="0" w:color="auto"/>
        <w:right w:val="none" w:sz="0" w:space="0" w:color="auto"/>
      </w:divBdr>
    </w:div>
    <w:div w:id="2120024124">
      <w:bodyDiv w:val="1"/>
      <w:marLeft w:val="0"/>
      <w:marRight w:val="0"/>
      <w:marTop w:val="0"/>
      <w:marBottom w:val="0"/>
      <w:divBdr>
        <w:top w:val="none" w:sz="0" w:space="0" w:color="auto"/>
        <w:left w:val="none" w:sz="0" w:space="0" w:color="auto"/>
        <w:bottom w:val="none" w:sz="0" w:space="0" w:color="auto"/>
        <w:right w:val="none" w:sz="0" w:space="0" w:color="auto"/>
      </w:divBdr>
    </w:div>
    <w:div w:id="2126121279">
      <w:bodyDiv w:val="1"/>
      <w:marLeft w:val="0"/>
      <w:marRight w:val="0"/>
      <w:marTop w:val="0"/>
      <w:marBottom w:val="0"/>
      <w:divBdr>
        <w:top w:val="none" w:sz="0" w:space="0" w:color="auto"/>
        <w:left w:val="none" w:sz="0" w:space="0" w:color="auto"/>
        <w:bottom w:val="none" w:sz="0" w:space="0" w:color="auto"/>
        <w:right w:val="none" w:sz="0" w:space="0" w:color="auto"/>
      </w:divBdr>
    </w:div>
    <w:div w:id="2142570900">
      <w:bodyDiv w:val="1"/>
      <w:marLeft w:val="0"/>
      <w:marRight w:val="0"/>
      <w:marTop w:val="0"/>
      <w:marBottom w:val="0"/>
      <w:divBdr>
        <w:top w:val="none" w:sz="0" w:space="0" w:color="auto"/>
        <w:left w:val="none" w:sz="0" w:space="0" w:color="auto"/>
        <w:bottom w:val="none" w:sz="0" w:space="0" w:color="auto"/>
        <w:right w:val="none" w:sz="0" w:space="0" w:color="auto"/>
      </w:divBdr>
    </w:div>
    <w:div w:id="21446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8F5A5-E194-42D6-9EDF-8B90292B6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3871</Words>
  <Characters>22066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25886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Corrigan</dc:creator>
  <cp:lastModifiedBy>Steve Tebbutt</cp:lastModifiedBy>
  <cp:revision>6</cp:revision>
  <cp:lastPrinted>2015-04-24T15:52:00Z</cp:lastPrinted>
  <dcterms:created xsi:type="dcterms:W3CDTF">2016-08-16T14:24:00Z</dcterms:created>
  <dcterms:modified xsi:type="dcterms:W3CDTF">2016-09-15T08:40:00Z</dcterms:modified>
</cp:coreProperties>
</file>