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E704" w14:textId="09178A57" w:rsidR="000549DD" w:rsidRPr="000549DD" w:rsidRDefault="000549DD" w:rsidP="001C1ED0">
      <w:pPr>
        <w:spacing w:after="200" w:line="276" w:lineRule="auto"/>
        <w:jc w:val="center"/>
        <w:rPr>
          <w:rFonts w:asciiTheme="majorHAnsi" w:hAnsiTheme="majorHAnsi" w:cstheme="majorHAnsi"/>
          <w:b/>
          <w:bCs/>
          <w:sz w:val="32"/>
          <w:szCs w:val="32"/>
          <w:u w:val="single"/>
        </w:rPr>
      </w:pPr>
      <w:r w:rsidRPr="000549DD">
        <w:rPr>
          <w:rFonts w:asciiTheme="majorHAnsi" w:hAnsiTheme="majorHAnsi" w:cstheme="majorHAnsi"/>
          <w:b/>
          <w:bCs/>
          <w:sz w:val="32"/>
          <w:szCs w:val="32"/>
          <w:u w:val="single"/>
        </w:rPr>
        <w:t>Appeals Report</w:t>
      </w:r>
      <w:r w:rsidR="00DF5277">
        <w:rPr>
          <w:rFonts w:asciiTheme="majorHAnsi" w:hAnsiTheme="majorHAnsi" w:cstheme="majorHAnsi"/>
          <w:b/>
          <w:bCs/>
          <w:sz w:val="32"/>
          <w:szCs w:val="32"/>
          <w:u w:val="single"/>
        </w:rPr>
        <w:t xml:space="preserve"> – 2016/17</w:t>
      </w:r>
    </w:p>
    <w:p w14:paraId="55286EED" w14:textId="4B932539" w:rsidR="000549DD" w:rsidRPr="00DC787F" w:rsidRDefault="000549DD" w:rsidP="00DC787F">
      <w:pPr>
        <w:pStyle w:val="ListParagraph"/>
        <w:numPr>
          <w:ilvl w:val="0"/>
          <w:numId w:val="28"/>
        </w:numPr>
        <w:rPr>
          <w:rFonts w:asciiTheme="majorHAnsi" w:hAnsiTheme="majorHAnsi" w:cstheme="majorHAnsi"/>
          <w:b/>
          <w:bCs/>
          <w:sz w:val="24"/>
          <w:u w:val="single"/>
        </w:rPr>
      </w:pPr>
      <w:r w:rsidRPr="00DC787F">
        <w:rPr>
          <w:rFonts w:asciiTheme="majorHAnsi" w:hAnsiTheme="majorHAnsi" w:cstheme="majorHAnsi"/>
          <w:b/>
          <w:bCs/>
          <w:sz w:val="24"/>
          <w:u w:val="single"/>
        </w:rPr>
        <w:t>Background</w:t>
      </w:r>
    </w:p>
    <w:p w14:paraId="0B345836" w14:textId="66140F22" w:rsidR="000549DD" w:rsidRPr="000549DD" w:rsidRDefault="009F1DA9" w:rsidP="000549DD">
      <w:pPr>
        <w:spacing w:after="200" w:line="276" w:lineRule="auto"/>
        <w:jc w:val="both"/>
        <w:rPr>
          <w:rFonts w:asciiTheme="majorHAnsi" w:hAnsiTheme="majorHAnsi" w:cstheme="majorHAnsi"/>
        </w:rPr>
      </w:pPr>
      <w:r w:rsidRPr="000549DD">
        <w:rPr>
          <w:rFonts w:asciiTheme="majorHAnsi" w:hAnsiTheme="majorHAnsi" w:cstheme="majorHAnsi"/>
          <w:b/>
          <w:noProof/>
          <w:sz w:val="24"/>
          <w:u w:val="single"/>
          <w:lang w:eastAsia="en-GB"/>
        </w:rPr>
        <mc:AlternateContent>
          <mc:Choice Requires="wps">
            <w:drawing>
              <wp:anchor distT="0" distB="0" distL="114300" distR="114300" simplePos="0" relativeHeight="251659264" behindDoc="0" locked="0" layoutInCell="0" allowOverlap="1" wp14:anchorId="46FDCE03" wp14:editId="5AC19573">
                <wp:simplePos x="0" y="0"/>
                <wp:positionH relativeFrom="page">
                  <wp:posOffset>4962525</wp:posOffset>
                </wp:positionH>
                <wp:positionV relativeFrom="page">
                  <wp:posOffset>5162550</wp:posOffset>
                </wp:positionV>
                <wp:extent cx="1969770" cy="2238375"/>
                <wp:effectExtent l="38100" t="38100" r="3048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238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8A5BCE7" w14:textId="6655272A" w:rsidR="000549DD" w:rsidRDefault="000549DD" w:rsidP="000549DD">
                            <w:pPr>
                              <w:spacing w:after="200" w:line="276" w:lineRule="auto"/>
                            </w:pPr>
                            <w:r>
                              <w:t xml:space="preserve">During the reporting period, </w:t>
                            </w:r>
                            <w:r w:rsidR="009F1DA9">
                              <w:t xml:space="preserve">4600 non CTIMP and 905 CTIMP </w:t>
                            </w:r>
                            <w:r>
                              <w:t>applications were reviewed by UK RECs a</w:t>
                            </w:r>
                            <w:r w:rsidR="00B426F2">
                              <w:t xml:space="preserve">nd of these, </w:t>
                            </w:r>
                            <w:r w:rsidR="009F1DA9">
                              <w:t xml:space="preserve">225 (4.9%) and 22 (2.4%) applications respectively received an unfavourable opinion. </w:t>
                            </w:r>
                          </w:p>
                          <w:p w14:paraId="094CEB8C" w14:textId="77777777" w:rsidR="000549DD" w:rsidRDefault="000549DD" w:rsidP="000549DD">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406.5pt;width:155.1pt;height:1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fOlgIAACg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" o:allowincell="f" filled="f" strokecolor="#622423" strokeweight="6pt">
                <v:stroke linestyle="thickThin"/>
                <v:textbox inset="10.8pt,7.2pt,10.8pt,7.2pt">
                  <w:txbxContent>
                    <w:p w14:paraId="78A5BCE7" w14:textId="6655272A" w:rsidR="000549DD" w:rsidRDefault="000549DD" w:rsidP="000549DD">
                      <w:pPr>
                        <w:spacing w:after="200" w:line="276" w:lineRule="auto"/>
                      </w:pPr>
                      <w:r>
                        <w:t xml:space="preserve">During the reporting period, </w:t>
                      </w:r>
                      <w:r w:rsidR="009F1DA9">
                        <w:t xml:space="preserve">4600 non CTIMP and 905 CTIMP </w:t>
                      </w:r>
                      <w:r>
                        <w:t>applications were reviewed by UK RECs a</w:t>
                      </w:r>
                      <w:r w:rsidR="00B426F2">
                        <w:t xml:space="preserve">nd of these, </w:t>
                      </w:r>
                      <w:r w:rsidR="009F1DA9">
                        <w:t xml:space="preserve">225 (4.9%) and 22 (2.4%) applications respectively received an unfavourable opinion. </w:t>
                      </w:r>
                    </w:p>
                    <w:p w14:paraId="094CEB8C" w14:textId="77777777" w:rsidR="000549DD" w:rsidRDefault="000549DD" w:rsidP="000549D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0549DD" w:rsidRPr="000549DD">
        <w:rPr>
          <w:rFonts w:asciiTheme="majorHAnsi" w:hAnsiTheme="majorHAnsi" w:cstheme="majorHAnsi"/>
        </w:rPr>
        <w:t xml:space="preserve">RES Standard Operating Procedures give provision for any applicant who has received an unfavourable opinion on an application the right to appeal that decision.  Additionally, from 1 September 2011 applicants have the right to appeal an unfavourable opinion on a substantial </w:t>
      </w:r>
      <w:proofErr w:type="gramStart"/>
      <w:r w:rsidR="000549DD" w:rsidRPr="000549DD">
        <w:rPr>
          <w:rFonts w:asciiTheme="majorHAnsi" w:hAnsiTheme="majorHAnsi" w:cstheme="majorHAnsi"/>
        </w:rPr>
        <w:t>amendment.</w:t>
      </w:r>
      <w:proofErr w:type="gramEnd"/>
    </w:p>
    <w:p w14:paraId="7228C87C" w14:textId="77777777" w:rsidR="000549DD" w:rsidRDefault="000549DD" w:rsidP="000549DD">
      <w:pPr>
        <w:spacing w:after="200" w:line="276" w:lineRule="auto"/>
        <w:jc w:val="both"/>
        <w:rPr>
          <w:rFonts w:asciiTheme="majorHAnsi" w:hAnsiTheme="majorHAnsi" w:cstheme="majorHAnsi"/>
        </w:rPr>
      </w:pPr>
      <w:r w:rsidRPr="000549DD">
        <w:rPr>
          <w:rFonts w:asciiTheme="majorHAnsi" w:hAnsiTheme="majorHAnsi" w:cstheme="majorHAnsi"/>
        </w:rPr>
        <w:t>Applicants are required to set out in writing their reasons for wishing to appeal the decision and the Appeal Manager will consider this request.  For full applications, the Appeal REC will consider the same documentation which was considered by the original reviewing REC together with a copy of the Appeal letter and any other representations the research team may wish to make.  In respect of substantial amendments the appeal requires a review by a subcommittee of a second REC which provides advice back to the original reviewing REC which may choose to accept the advice or uphold their decision.</w:t>
      </w:r>
    </w:p>
    <w:p w14:paraId="07907C7D" w14:textId="1F03EDEA" w:rsidR="000013C7" w:rsidRPr="000549DD" w:rsidRDefault="000013C7" w:rsidP="000549DD">
      <w:pPr>
        <w:spacing w:after="200" w:line="276" w:lineRule="auto"/>
        <w:jc w:val="both"/>
        <w:rPr>
          <w:rFonts w:asciiTheme="majorHAnsi" w:hAnsiTheme="majorHAnsi" w:cstheme="majorHAnsi"/>
        </w:rPr>
      </w:pPr>
      <w:r>
        <w:rPr>
          <w:rFonts w:asciiTheme="majorHAnsi" w:hAnsiTheme="majorHAnsi" w:cstheme="majorHAnsi"/>
        </w:rPr>
        <w:t xml:space="preserve">RECs which are not based in England are not appointed by the HRA but do follow UK wide Standard Operating Procedures and appeals are dealt with by the appeals manager. </w:t>
      </w:r>
      <w:bookmarkStart w:id="0" w:name="_GoBack"/>
      <w:bookmarkEnd w:id="0"/>
    </w:p>
    <w:p w14:paraId="21A03815" w14:textId="316C5133" w:rsidR="000549DD" w:rsidRPr="00DC787F" w:rsidRDefault="009F1DA9" w:rsidP="00DC787F">
      <w:pPr>
        <w:pStyle w:val="ListParagraph"/>
        <w:numPr>
          <w:ilvl w:val="0"/>
          <w:numId w:val="28"/>
        </w:numPr>
        <w:jc w:val="both"/>
        <w:rPr>
          <w:rFonts w:asciiTheme="majorHAnsi" w:hAnsiTheme="majorHAnsi" w:cstheme="majorHAnsi"/>
          <w:b/>
          <w:sz w:val="24"/>
          <w:u w:val="single"/>
        </w:rPr>
      </w:pPr>
      <w:r w:rsidRPr="00DC787F">
        <w:rPr>
          <w:rFonts w:asciiTheme="majorHAnsi" w:hAnsiTheme="majorHAnsi" w:cstheme="majorHAnsi"/>
          <w:b/>
          <w:sz w:val="24"/>
          <w:u w:val="single"/>
        </w:rPr>
        <w:t>Appeals Data 01.04.2016 - 31.03.2017</w:t>
      </w:r>
      <w:r w:rsidR="000549DD" w:rsidRPr="00DC787F">
        <w:rPr>
          <w:rFonts w:asciiTheme="majorHAnsi" w:hAnsiTheme="majorHAnsi" w:cstheme="majorHAnsi"/>
          <w:b/>
          <w:sz w:val="24"/>
          <w:u w:val="single"/>
        </w:rPr>
        <w:t xml:space="preserve"> - New applications</w:t>
      </w:r>
    </w:p>
    <w:p w14:paraId="50FAEBDC" w14:textId="0908D4A9" w:rsidR="009F1DA9" w:rsidRDefault="000549DD" w:rsidP="000549DD">
      <w:pPr>
        <w:spacing w:after="200" w:line="276" w:lineRule="auto"/>
        <w:jc w:val="both"/>
        <w:rPr>
          <w:rFonts w:asciiTheme="majorHAnsi" w:hAnsiTheme="majorHAnsi" w:cstheme="majorHAnsi"/>
        </w:rPr>
      </w:pPr>
      <w:r w:rsidRPr="000549DD">
        <w:rPr>
          <w:rFonts w:asciiTheme="majorHAnsi" w:hAnsiTheme="majorHAnsi" w:cstheme="majorHAnsi"/>
        </w:rPr>
        <w:t>During the</w:t>
      </w:r>
      <w:r w:rsidR="009F1DA9">
        <w:rPr>
          <w:rFonts w:asciiTheme="majorHAnsi" w:hAnsiTheme="majorHAnsi" w:cstheme="majorHAnsi"/>
        </w:rPr>
        <w:t xml:space="preserve"> reporting period, a total of 11</w:t>
      </w:r>
      <w:r w:rsidR="008E69C8">
        <w:rPr>
          <w:rFonts w:asciiTheme="majorHAnsi" w:hAnsiTheme="majorHAnsi" w:cstheme="majorHAnsi"/>
        </w:rPr>
        <w:t xml:space="preserve"> (</w:t>
      </w:r>
      <w:r w:rsidR="009F1DA9">
        <w:rPr>
          <w:rFonts w:asciiTheme="majorHAnsi" w:hAnsiTheme="majorHAnsi" w:cstheme="majorHAnsi"/>
        </w:rPr>
        <w:t>4.4</w:t>
      </w:r>
      <w:r w:rsidR="00B426F2">
        <w:rPr>
          <w:rFonts w:asciiTheme="majorHAnsi" w:hAnsiTheme="majorHAnsi" w:cstheme="majorHAnsi"/>
        </w:rPr>
        <w:t>5% of the total number of unfavourable opinions)</w:t>
      </w:r>
      <w:r w:rsidRPr="000549DD">
        <w:rPr>
          <w:rFonts w:asciiTheme="majorHAnsi" w:hAnsiTheme="majorHAnsi" w:cstheme="majorHAnsi"/>
        </w:rPr>
        <w:t xml:space="preserve"> requests were received to appeal an unfavourable opinion for a new application</w:t>
      </w:r>
      <w:r w:rsidR="00E872B1">
        <w:rPr>
          <w:rFonts w:asciiTheme="majorHAnsi" w:hAnsiTheme="majorHAnsi" w:cstheme="majorHAnsi"/>
        </w:rPr>
        <w:t>, of which none were for a CTIMP.</w:t>
      </w:r>
      <w:r w:rsidRPr="000549DD">
        <w:rPr>
          <w:rFonts w:asciiTheme="majorHAnsi" w:hAnsiTheme="majorHAnsi" w:cstheme="majorHAnsi"/>
        </w:rPr>
        <w:t xml:space="preserve"> </w:t>
      </w:r>
    </w:p>
    <w:p w14:paraId="1A943AD9" w14:textId="36D8303B" w:rsidR="000549DD" w:rsidRPr="000549DD" w:rsidRDefault="000549DD" w:rsidP="000549DD">
      <w:pPr>
        <w:spacing w:after="200" w:line="276" w:lineRule="auto"/>
        <w:jc w:val="both"/>
        <w:rPr>
          <w:rFonts w:asciiTheme="majorHAnsi" w:hAnsiTheme="majorHAnsi" w:cstheme="majorHAnsi"/>
        </w:rPr>
      </w:pPr>
      <w:r w:rsidRPr="000549DD">
        <w:rPr>
          <w:rFonts w:asciiTheme="majorHAnsi" w:hAnsiTheme="majorHAnsi" w:cstheme="majorHAnsi"/>
        </w:rPr>
        <w:t>Of the total</w:t>
      </w:r>
      <w:r w:rsidR="00E872B1">
        <w:rPr>
          <w:rFonts w:asciiTheme="majorHAnsi" w:hAnsiTheme="majorHAnsi" w:cstheme="majorHAnsi"/>
        </w:rPr>
        <w:t xml:space="preserve"> 11 requests received, 5</w:t>
      </w:r>
      <w:r w:rsidRPr="000549DD">
        <w:rPr>
          <w:rFonts w:asciiTheme="majorHAnsi" w:hAnsiTheme="majorHAnsi" w:cstheme="majorHAnsi"/>
        </w:rPr>
        <w:t xml:space="preserve"> were allowed, </w:t>
      </w:r>
      <w:r w:rsidR="00E872B1">
        <w:rPr>
          <w:rFonts w:asciiTheme="majorHAnsi" w:hAnsiTheme="majorHAnsi" w:cstheme="majorHAnsi"/>
        </w:rPr>
        <w:t>4</w:t>
      </w:r>
      <w:r w:rsidRPr="000549DD">
        <w:rPr>
          <w:rFonts w:asciiTheme="majorHAnsi" w:hAnsiTheme="majorHAnsi" w:cstheme="majorHAnsi"/>
        </w:rPr>
        <w:t xml:space="preserve"> did not proceed and </w:t>
      </w:r>
      <w:r w:rsidR="00E872B1">
        <w:rPr>
          <w:rFonts w:asciiTheme="majorHAnsi" w:hAnsiTheme="majorHAnsi" w:cstheme="majorHAnsi"/>
        </w:rPr>
        <w:t xml:space="preserve">2 were re-submitted </w:t>
      </w:r>
      <w:r w:rsidRPr="000549DD">
        <w:rPr>
          <w:rFonts w:asciiTheme="majorHAnsi" w:hAnsiTheme="majorHAnsi" w:cstheme="majorHAnsi"/>
        </w:rPr>
        <w:t>as a new application. On receipt of the appeal request, consideration is given to the various options available to proceed and the applicant is advised. Where it is clear that the applicant is able to make the changes requested as part of the unfavourable opinion, the applicant is advised that resubmission to the same REC after making</w:t>
      </w:r>
      <w:r w:rsidR="00E872B1">
        <w:rPr>
          <w:rFonts w:asciiTheme="majorHAnsi" w:hAnsiTheme="majorHAnsi" w:cstheme="majorHAnsi"/>
        </w:rPr>
        <w:t xml:space="preserve"> the changes is advisable. Both</w:t>
      </w:r>
      <w:r w:rsidRPr="000549DD">
        <w:rPr>
          <w:rFonts w:asciiTheme="majorHAnsi" w:hAnsiTheme="majorHAnsi" w:cstheme="majorHAnsi"/>
        </w:rPr>
        <w:t xml:space="preserve"> applications which were resubmitted to the same REC instead of proceeding as an appeal received a favourable opinion from the REC after the second submission. </w:t>
      </w:r>
    </w:p>
    <w:p w14:paraId="0548CBFE" w14:textId="07C761A7" w:rsidR="00E872B1" w:rsidRDefault="00E872B1" w:rsidP="000549DD">
      <w:pPr>
        <w:spacing w:after="200" w:line="276" w:lineRule="auto"/>
        <w:jc w:val="both"/>
        <w:rPr>
          <w:rFonts w:asciiTheme="majorHAnsi" w:hAnsiTheme="majorHAnsi" w:cstheme="majorHAnsi"/>
        </w:rPr>
      </w:pPr>
      <w:r>
        <w:rPr>
          <w:rFonts w:asciiTheme="majorHAnsi" w:hAnsiTheme="majorHAnsi" w:cstheme="majorHAnsi"/>
        </w:rPr>
        <w:t>The reasons for the 4 appeal requests which did not proceed were as follows:</w:t>
      </w:r>
    </w:p>
    <w:p w14:paraId="11BD6FA5" w14:textId="788518E4" w:rsidR="00640A8A" w:rsidRDefault="00640A8A" w:rsidP="00E872B1">
      <w:pPr>
        <w:pStyle w:val="ListParagraph"/>
        <w:numPr>
          <w:ilvl w:val="0"/>
          <w:numId w:val="26"/>
        </w:numPr>
        <w:jc w:val="both"/>
        <w:rPr>
          <w:rFonts w:asciiTheme="majorHAnsi" w:hAnsiTheme="majorHAnsi" w:cstheme="majorHAnsi"/>
        </w:rPr>
      </w:pPr>
      <w:r>
        <w:rPr>
          <w:rFonts w:asciiTheme="majorHAnsi" w:hAnsiTheme="majorHAnsi" w:cstheme="majorHAnsi"/>
        </w:rPr>
        <w:t>Managed locally by Scientific Officer</w:t>
      </w:r>
    </w:p>
    <w:p w14:paraId="2518E4AE" w14:textId="5E9EF724" w:rsidR="00640A8A" w:rsidRDefault="00640A8A" w:rsidP="00E872B1">
      <w:pPr>
        <w:pStyle w:val="ListParagraph"/>
        <w:numPr>
          <w:ilvl w:val="0"/>
          <w:numId w:val="26"/>
        </w:numPr>
        <w:jc w:val="both"/>
        <w:rPr>
          <w:rFonts w:asciiTheme="majorHAnsi" w:hAnsiTheme="majorHAnsi" w:cstheme="majorHAnsi"/>
        </w:rPr>
      </w:pPr>
      <w:r>
        <w:rPr>
          <w:rFonts w:asciiTheme="majorHAnsi" w:hAnsiTheme="majorHAnsi" w:cstheme="majorHAnsi"/>
        </w:rPr>
        <w:t>Applicant decided not to proceed with the appeal</w:t>
      </w:r>
    </w:p>
    <w:p w14:paraId="5FC79C63" w14:textId="4F8D4367" w:rsidR="00E872B1" w:rsidRDefault="00E872B1" w:rsidP="00E872B1">
      <w:pPr>
        <w:pStyle w:val="ListParagraph"/>
        <w:numPr>
          <w:ilvl w:val="0"/>
          <w:numId w:val="26"/>
        </w:numPr>
        <w:jc w:val="both"/>
        <w:rPr>
          <w:rFonts w:asciiTheme="majorHAnsi" w:hAnsiTheme="majorHAnsi" w:cstheme="majorHAnsi"/>
        </w:rPr>
      </w:pPr>
      <w:r>
        <w:rPr>
          <w:rFonts w:asciiTheme="majorHAnsi" w:hAnsiTheme="majorHAnsi" w:cstheme="majorHAnsi"/>
        </w:rPr>
        <w:t>Managed as a complaint instead</w:t>
      </w:r>
    </w:p>
    <w:p w14:paraId="2D55CC59" w14:textId="0730238D" w:rsidR="00E872B1" w:rsidRPr="00D25A8F" w:rsidRDefault="00E872B1" w:rsidP="00E872B1">
      <w:pPr>
        <w:pStyle w:val="ListParagraph"/>
        <w:numPr>
          <w:ilvl w:val="0"/>
          <w:numId w:val="26"/>
        </w:numPr>
        <w:jc w:val="both"/>
        <w:rPr>
          <w:rFonts w:asciiTheme="majorHAnsi" w:hAnsiTheme="majorHAnsi" w:cstheme="majorHAnsi"/>
        </w:rPr>
      </w:pPr>
      <w:r w:rsidRPr="00D25A8F">
        <w:rPr>
          <w:rFonts w:asciiTheme="majorHAnsi" w:hAnsiTheme="majorHAnsi" w:cstheme="majorHAnsi"/>
        </w:rPr>
        <w:t>REC agreed to vary the unfavourable opinion to a favourable opinion</w:t>
      </w:r>
      <w:r w:rsidR="00D25A8F">
        <w:rPr>
          <w:rStyle w:val="FootnoteReference"/>
          <w:rFonts w:asciiTheme="majorHAnsi" w:hAnsiTheme="majorHAnsi" w:cstheme="majorHAnsi"/>
        </w:rPr>
        <w:footnoteReference w:id="1"/>
      </w:r>
    </w:p>
    <w:p w14:paraId="3689876C" w14:textId="186B694F" w:rsidR="00640A8A" w:rsidRDefault="00640A8A" w:rsidP="00D113AF">
      <w:pPr>
        <w:spacing w:after="200" w:line="276" w:lineRule="auto"/>
        <w:jc w:val="both"/>
        <w:rPr>
          <w:rFonts w:asciiTheme="majorHAnsi" w:hAnsiTheme="majorHAnsi" w:cstheme="majorHAnsi"/>
        </w:rPr>
      </w:pPr>
      <w:r>
        <w:rPr>
          <w:rFonts w:asciiTheme="majorHAnsi" w:hAnsiTheme="majorHAnsi" w:cstheme="majorHAnsi"/>
        </w:rPr>
        <w:lastRenderedPageBreak/>
        <w:t>Of the 5</w:t>
      </w:r>
      <w:r w:rsidR="000549DD" w:rsidRPr="000549DD">
        <w:rPr>
          <w:rFonts w:asciiTheme="majorHAnsi" w:hAnsiTheme="majorHAnsi" w:cstheme="majorHAnsi"/>
        </w:rPr>
        <w:t xml:space="preserve"> applications which went to appeal, </w:t>
      </w:r>
      <w:r>
        <w:rPr>
          <w:rFonts w:asciiTheme="majorHAnsi" w:hAnsiTheme="majorHAnsi" w:cstheme="majorHAnsi"/>
        </w:rPr>
        <w:t xml:space="preserve">3 subsequently received a favourable opinion, 1 received an unfavourable opinion and 1 received a provisional opinion and was subsequently withdrawn. </w:t>
      </w:r>
    </w:p>
    <w:p w14:paraId="551CFA99" w14:textId="77777777" w:rsidR="00640A8A" w:rsidRDefault="00640A8A" w:rsidP="000549DD">
      <w:pPr>
        <w:rPr>
          <w:rFonts w:asciiTheme="majorHAnsi" w:hAnsiTheme="majorHAnsi" w:cstheme="majorHAnsi"/>
        </w:rPr>
      </w:pPr>
    </w:p>
    <w:p w14:paraId="19449CD9" w14:textId="77777777" w:rsidR="00021D9A" w:rsidRDefault="00021D9A" w:rsidP="000549DD">
      <w:pPr>
        <w:rPr>
          <w:rFonts w:asciiTheme="majorHAnsi" w:hAnsiTheme="majorHAnsi" w:cstheme="majorHAnsi"/>
        </w:rPr>
      </w:pPr>
    </w:p>
    <w:p w14:paraId="15F13911" w14:textId="77777777" w:rsidR="00021D9A" w:rsidRPr="000549DD" w:rsidRDefault="00021D9A" w:rsidP="000549DD">
      <w:pPr>
        <w:rPr>
          <w:rFonts w:asciiTheme="majorHAnsi" w:hAnsiTheme="majorHAnsi" w:cstheme="majorHAnsi"/>
        </w:rPr>
      </w:pPr>
    </w:p>
    <w:p w14:paraId="56E0DE23" w14:textId="1E2C018F" w:rsidR="000549DD" w:rsidRPr="000549DD" w:rsidRDefault="00021D9A" w:rsidP="000549DD">
      <w:pPr>
        <w:rPr>
          <w:rFonts w:asciiTheme="majorHAnsi" w:hAnsiTheme="majorHAnsi" w:cstheme="majorHAnsi"/>
          <w:sz w:val="16"/>
          <w:szCs w:val="16"/>
        </w:rPr>
      </w:pPr>
      <w:r>
        <w:rPr>
          <w:rFonts w:asciiTheme="majorHAnsi" w:hAnsiTheme="majorHAnsi" w:cstheme="majorHAnsi"/>
          <w:sz w:val="16"/>
          <w:szCs w:val="16"/>
        </w:rPr>
        <w:t>Table 2.1</w:t>
      </w:r>
    </w:p>
    <w:tbl>
      <w:tblPr>
        <w:tblW w:w="8794" w:type="dxa"/>
        <w:tblInd w:w="103" w:type="dxa"/>
        <w:tblLook w:val="04A0" w:firstRow="1" w:lastRow="0" w:firstColumn="1" w:lastColumn="0" w:noHBand="0" w:noVBand="1"/>
      </w:tblPr>
      <w:tblGrid>
        <w:gridCol w:w="3833"/>
        <w:gridCol w:w="4961"/>
      </w:tblGrid>
      <w:tr w:rsidR="00D113AF" w:rsidRPr="00A53554" w14:paraId="605C2942" w14:textId="77777777" w:rsidTr="00D113AF">
        <w:trPr>
          <w:trHeight w:val="558"/>
        </w:trPr>
        <w:tc>
          <w:tcPr>
            <w:tcW w:w="383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tcPr>
          <w:p w14:paraId="0BB6C646" w14:textId="77777777" w:rsidR="00D113AF" w:rsidRPr="00A53554" w:rsidRDefault="00D113AF" w:rsidP="007E57EA">
            <w:pPr>
              <w:rPr>
                <w:rFonts w:asciiTheme="majorHAnsi" w:eastAsia="Times New Roman" w:hAnsiTheme="majorHAnsi" w:cstheme="majorHAnsi"/>
                <w:color w:val="000000"/>
                <w:lang w:eastAsia="en-GB"/>
              </w:rPr>
            </w:pPr>
            <w:r w:rsidRPr="00A53554">
              <w:rPr>
                <w:rFonts w:asciiTheme="majorHAnsi" w:eastAsia="Times New Roman" w:hAnsiTheme="majorHAnsi" w:cstheme="majorHAnsi"/>
                <w:color w:val="000000"/>
                <w:lang w:eastAsia="en-GB"/>
              </w:rPr>
              <w:t>Name of REC</w:t>
            </w:r>
          </w:p>
        </w:tc>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3459B1B" w14:textId="77777777" w:rsidR="00D113AF" w:rsidRPr="00A53554" w:rsidRDefault="00D113AF" w:rsidP="007E57EA">
            <w:pPr>
              <w:jc w:val="center"/>
              <w:rPr>
                <w:rFonts w:asciiTheme="majorHAnsi" w:eastAsia="Times New Roman" w:hAnsiTheme="majorHAnsi" w:cstheme="majorHAnsi"/>
                <w:color w:val="000000"/>
                <w:lang w:eastAsia="en-GB"/>
              </w:rPr>
            </w:pPr>
            <w:r w:rsidRPr="00A53554">
              <w:rPr>
                <w:rFonts w:asciiTheme="majorHAnsi" w:eastAsia="Times New Roman" w:hAnsiTheme="majorHAnsi" w:cstheme="majorHAnsi"/>
                <w:color w:val="000000"/>
                <w:lang w:eastAsia="en-GB"/>
              </w:rPr>
              <w:t>Outcome</w:t>
            </w:r>
          </w:p>
        </w:tc>
      </w:tr>
      <w:tr w:rsidR="00D113AF" w:rsidRPr="00A53554" w14:paraId="6D0A3422" w14:textId="77777777" w:rsidTr="00D113AF">
        <w:trPr>
          <w:trHeight w:val="558"/>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A9A2" w14:textId="531796DE" w:rsidR="00D113AF" w:rsidRPr="00A53554" w:rsidRDefault="00D113AF"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W</w:t>
            </w:r>
            <w:r>
              <w:rPr>
                <w:rFonts w:asciiTheme="majorHAnsi" w:eastAsia="Times New Roman" w:hAnsiTheme="majorHAnsi" w:cstheme="majorHAnsi"/>
                <w:color w:val="000000"/>
                <w:lang w:eastAsia="en-GB"/>
              </w:rPr>
              <w:t xml:space="preserve">est </w:t>
            </w:r>
            <w:r w:rsidRPr="00D113AF">
              <w:rPr>
                <w:rFonts w:asciiTheme="majorHAnsi" w:eastAsia="Times New Roman" w:hAnsiTheme="majorHAnsi" w:cstheme="majorHAnsi"/>
                <w:color w:val="000000"/>
                <w:lang w:eastAsia="en-GB"/>
              </w:rPr>
              <w:t>o</w:t>
            </w:r>
            <w:r>
              <w:rPr>
                <w:rFonts w:asciiTheme="majorHAnsi" w:eastAsia="Times New Roman" w:hAnsiTheme="majorHAnsi" w:cstheme="majorHAnsi"/>
                <w:color w:val="000000"/>
                <w:lang w:eastAsia="en-GB"/>
              </w:rPr>
              <w:t xml:space="preserve">f </w:t>
            </w:r>
            <w:r w:rsidRPr="00D113AF">
              <w:rPr>
                <w:rFonts w:asciiTheme="majorHAnsi" w:eastAsia="Times New Roman" w:hAnsiTheme="majorHAnsi" w:cstheme="majorHAnsi"/>
                <w:color w:val="000000"/>
                <w:lang w:eastAsia="en-GB"/>
              </w:rPr>
              <w:t>S</w:t>
            </w:r>
            <w:r>
              <w:rPr>
                <w:rFonts w:asciiTheme="majorHAnsi" w:eastAsia="Times New Roman" w:hAnsiTheme="majorHAnsi" w:cstheme="majorHAnsi"/>
                <w:color w:val="000000"/>
                <w:lang w:eastAsia="en-GB"/>
              </w:rPr>
              <w:t>cotland</w:t>
            </w:r>
            <w:r w:rsidRPr="00D113AF">
              <w:rPr>
                <w:rFonts w:asciiTheme="majorHAnsi" w:eastAsia="Times New Roman" w:hAnsiTheme="majorHAnsi" w:cstheme="majorHAnsi"/>
                <w:color w:val="000000"/>
                <w:lang w:eastAsia="en-GB"/>
              </w:rPr>
              <w:t xml:space="preserve"> REC 5</w:t>
            </w:r>
          </w:p>
        </w:tc>
        <w:tc>
          <w:tcPr>
            <w:tcW w:w="4961" w:type="dxa"/>
            <w:tcBorders>
              <w:top w:val="single" w:sz="4" w:space="0" w:color="auto"/>
              <w:left w:val="single" w:sz="4" w:space="0" w:color="auto"/>
              <w:bottom w:val="single" w:sz="4" w:space="0" w:color="auto"/>
              <w:right w:val="single" w:sz="4" w:space="0" w:color="auto"/>
            </w:tcBorders>
            <w:vAlign w:val="center"/>
          </w:tcPr>
          <w:p w14:paraId="789E5405" w14:textId="744DA911" w:rsidR="00D113AF" w:rsidRPr="00A53554" w:rsidRDefault="00D113AF"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Allowed -Further information Favourable</w:t>
            </w:r>
          </w:p>
        </w:tc>
      </w:tr>
      <w:tr w:rsidR="00677E9A" w:rsidRPr="00A53554" w14:paraId="71192F2B" w14:textId="77777777" w:rsidTr="00D113AF">
        <w:trPr>
          <w:trHeight w:val="5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58B8005D" w14:textId="687E8CEF"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N</w:t>
            </w:r>
            <w:r>
              <w:rPr>
                <w:rFonts w:asciiTheme="majorHAnsi" w:eastAsia="Times New Roman" w:hAnsiTheme="majorHAnsi" w:cstheme="majorHAnsi"/>
                <w:color w:val="000000"/>
                <w:lang w:eastAsia="en-GB"/>
              </w:rPr>
              <w:t xml:space="preserve">orth </w:t>
            </w:r>
            <w:r w:rsidRPr="00D113AF">
              <w:rPr>
                <w:rFonts w:asciiTheme="majorHAnsi" w:eastAsia="Times New Roman" w:hAnsiTheme="majorHAnsi" w:cstheme="majorHAnsi"/>
                <w:color w:val="000000"/>
                <w:lang w:eastAsia="en-GB"/>
              </w:rPr>
              <w:t>o</w:t>
            </w:r>
            <w:r>
              <w:rPr>
                <w:rFonts w:asciiTheme="majorHAnsi" w:eastAsia="Times New Roman" w:hAnsiTheme="majorHAnsi" w:cstheme="majorHAnsi"/>
                <w:color w:val="000000"/>
                <w:lang w:eastAsia="en-GB"/>
              </w:rPr>
              <w:t xml:space="preserve">f </w:t>
            </w:r>
            <w:r w:rsidRPr="00D113AF">
              <w:rPr>
                <w:rFonts w:asciiTheme="majorHAnsi" w:eastAsia="Times New Roman" w:hAnsiTheme="majorHAnsi" w:cstheme="majorHAnsi"/>
                <w:color w:val="000000"/>
                <w:lang w:eastAsia="en-GB"/>
              </w:rPr>
              <w:t>S</w:t>
            </w:r>
            <w:r>
              <w:rPr>
                <w:rFonts w:asciiTheme="majorHAnsi" w:eastAsia="Times New Roman" w:hAnsiTheme="majorHAnsi" w:cstheme="majorHAnsi"/>
                <w:color w:val="000000"/>
                <w:lang w:eastAsia="en-GB"/>
              </w:rPr>
              <w:t>cotland</w:t>
            </w:r>
            <w:r w:rsidRPr="00D113AF">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25F2DD1C" w14:textId="59F19486"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Allowed -</w:t>
            </w:r>
            <w:r w:rsidRPr="00D113AF">
              <w:rPr>
                <w:rFonts w:asciiTheme="majorHAnsi" w:eastAsia="Times New Roman" w:hAnsiTheme="majorHAnsi" w:cstheme="majorHAnsi"/>
                <w:color w:val="000000"/>
                <w:lang w:eastAsia="en-GB"/>
              </w:rPr>
              <w:t>Further information Favourable</w:t>
            </w:r>
          </w:p>
        </w:tc>
      </w:tr>
      <w:tr w:rsidR="00677E9A" w:rsidRPr="00A53554" w14:paraId="044CD215" w14:textId="77777777" w:rsidTr="00D113AF">
        <w:trPr>
          <w:trHeight w:val="5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15DA26F" w14:textId="36FB16B2"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Stanmore</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202D48C1" w14:textId="59A2893A" w:rsidR="00677E9A" w:rsidRDefault="00677E9A" w:rsidP="007E57EA">
            <w:pPr>
              <w:jc w:val="cente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Allowed -Further information Favourable</w:t>
            </w:r>
          </w:p>
        </w:tc>
      </w:tr>
      <w:tr w:rsidR="00677E9A" w:rsidRPr="00A53554" w14:paraId="56BB36A5" w14:textId="77777777" w:rsidTr="00D113AF">
        <w:trPr>
          <w:trHeight w:val="5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431794C8" w14:textId="4692FCD9"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Camden and Kings Cross</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7AB3972B" w14:textId="0FFAED39"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Allowed - Unfavourable</w:t>
            </w:r>
          </w:p>
        </w:tc>
      </w:tr>
      <w:tr w:rsidR="00677E9A" w:rsidRPr="00A53554" w14:paraId="0BE7E853" w14:textId="77777777" w:rsidTr="00D113AF">
        <w:trPr>
          <w:trHeight w:val="5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14:paraId="2A5CAF57" w14:textId="49BB0A37"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Cov</w:t>
            </w:r>
            <w:r>
              <w:rPr>
                <w:rFonts w:asciiTheme="majorHAnsi" w:eastAsia="Times New Roman" w:hAnsiTheme="majorHAnsi" w:cstheme="majorHAnsi"/>
                <w:color w:val="000000"/>
                <w:lang w:eastAsia="en-GB"/>
              </w:rPr>
              <w:t>entry</w:t>
            </w:r>
            <w:r w:rsidRPr="00D113AF">
              <w:rPr>
                <w:rFonts w:asciiTheme="majorHAnsi" w:eastAsia="Times New Roman" w:hAnsiTheme="majorHAnsi" w:cstheme="majorHAnsi"/>
                <w:color w:val="000000"/>
                <w:lang w:eastAsia="en-GB"/>
              </w:rPr>
              <w:t xml:space="preserve"> &amp; Warwick</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40BF7492" w14:textId="03BE9BFE"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Allowed - Withdrawn</w:t>
            </w:r>
          </w:p>
        </w:tc>
      </w:tr>
      <w:tr w:rsidR="00677E9A" w:rsidRPr="00A53554" w14:paraId="369439A6" w14:textId="77777777" w:rsidTr="00D113AF">
        <w:trPr>
          <w:trHeight w:val="50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EE0FB" w14:textId="08192EDC" w:rsidR="00677E9A" w:rsidRPr="00A53554"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S</w:t>
            </w:r>
            <w:r>
              <w:rPr>
                <w:rFonts w:asciiTheme="majorHAnsi" w:eastAsia="Times New Roman" w:hAnsiTheme="majorHAnsi" w:cstheme="majorHAnsi"/>
                <w:color w:val="000000"/>
                <w:lang w:eastAsia="en-GB"/>
              </w:rPr>
              <w:t xml:space="preserve">outheast </w:t>
            </w:r>
            <w:r w:rsidRPr="00D113AF">
              <w:rPr>
                <w:rFonts w:asciiTheme="majorHAnsi" w:eastAsia="Times New Roman" w:hAnsiTheme="majorHAnsi" w:cstheme="majorHAnsi"/>
                <w:color w:val="000000"/>
                <w:lang w:eastAsia="en-GB"/>
              </w:rPr>
              <w:t>S</w:t>
            </w:r>
            <w:r>
              <w:rPr>
                <w:rFonts w:asciiTheme="majorHAnsi" w:eastAsia="Times New Roman" w:hAnsiTheme="majorHAnsi" w:cstheme="majorHAnsi"/>
                <w:color w:val="000000"/>
                <w:lang w:eastAsia="en-GB"/>
              </w:rPr>
              <w:t>cotland</w:t>
            </w:r>
            <w:r w:rsidRPr="00D113AF">
              <w:rPr>
                <w:rFonts w:asciiTheme="majorHAnsi" w:eastAsia="Times New Roman" w:hAnsiTheme="majorHAnsi" w:cstheme="majorHAnsi"/>
                <w:color w:val="000000"/>
                <w:lang w:eastAsia="en-GB"/>
              </w:rPr>
              <w:t xml:space="preserve"> REC 2</w:t>
            </w:r>
          </w:p>
        </w:tc>
        <w:tc>
          <w:tcPr>
            <w:tcW w:w="4961" w:type="dxa"/>
            <w:tcBorders>
              <w:top w:val="nil"/>
              <w:left w:val="single" w:sz="4" w:space="0" w:color="auto"/>
              <w:bottom w:val="single" w:sz="4" w:space="0" w:color="auto"/>
              <w:right w:val="single" w:sz="4" w:space="0" w:color="auto"/>
            </w:tcBorders>
            <w:vAlign w:val="center"/>
          </w:tcPr>
          <w:p w14:paraId="7BBA5678" w14:textId="61E18EEF" w:rsidR="00677E9A" w:rsidRPr="00A53554"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Did not proceed</w:t>
            </w:r>
          </w:p>
        </w:tc>
      </w:tr>
      <w:tr w:rsidR="00677E9A" w:rsidRPr="00A53554" w14:paraId="46DA19D1" w14:textId="77777777" w:rsidTr="00D113AF">
        <w:trPr>
          <w:trHeight w:val="474"/>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A5353" w14:textId="1818295B"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Brighton and Sussex</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300B9183" w14:textId="71F73EAE"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Did not proceed</w:t>
            </w:r>
          </w:p>
        </w:tc>
      </w:tr>
      <w:tr w:rsidR="00677E9A" w:rsidRPr="00A53554" w14:paraId="0FDBA8E9" w14:textId="77777777" w:rsidTr="00D113AF">
        <w:trPr>
          <w:trHeight w:val="474"/>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95CB" w14:textId="7656DF31"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Cornwall and Plymouth</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48235E0B" w14:textId="7DBD43B2"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Did not proceed</w:t>
            </w:r>
          </w:p>
        </w:tc>
      </w:tr>
      <w:tr w:rsidR="00677E9A" w:rsidRPr="00A53554" w14:paraId="7F3CF93A" w14:textId="77777777" w:rsidTr="00D113AF">
        <w:trPr>
          <w:trHeight w:val="474"/>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93B6E" w14:textId="677B5471" w:rsidR="00677E9A" w:rsidRPr="00D113AF"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York</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5109C7A6" w14:textId="016366BF" w:rsidR="00677E9A" w:rsidRDefault="00677E9A"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Did not proceed</w:t>
            </w:r>
          </w:p>
        </w:tc>
      </w:tr>
      <w:tr w:rsidR="00677E9A" w:rsidRPr="00A53554" w14:paraId="082333B7" w14:textId="77777777" w:rsidTr="00D113AF">
        <w:trPr>
          <w:trHeight w:val="474"/>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591D" w14:textId="60EE39FE" w:rsidR="00677E9A" w:rsidRPr="00A53554"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Nottingham 2</w:t>
            </w:r>
          </w:p>
        </w:tc>
        <w:tc>
          <w:tcPr>
            <w:tcW w:w="4961" w:type="dxa"/>
            <w:tcBorders>
              <w:top w:val="nil"/>
              <w:left w:val="single" w:sz="4" w:space="0" w:color="auto"/>
              <w:bottom w:val="single" w:sz="4" w:space="0" w:color="auto"/>
              <w:right w:val="single" w:sz="4" w:space="0" w:color="auto"/>
            </w:tcBorders>
            <w:vAlign w:val="center"/>
          </w:tcPr>
          <w:p w14:paraId="4F0B8612" w14:textId="342CAFDE" w:rsidR="00677E9A" w:rsidRPr="00A53554" w:rsidRDefault="004D17B4"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New application </w:t>
            </w:r>
            <w:r w:rsidR="00677E9A">
              <w:rPr>
                <w:rFonts w:asciiTheme="majorHAnsi" w:eastAsia="Times New Roman" w:hAnsiTheme="majorHAnsi" w:cstheme="majorHAnsi"/>
                <w:color w:val="000000"/>
                <w:lang w:eastAsia="en-GB"/>
              </w:rPr>
              <w:t>submitted</w:t>
            </w:r>
            <w:r>
              <w:rPr>
                <w:rFonts w:asciiTheme="majorHAnsi" w:eastAsia="Times New Roman" w:hAnsiTheme="majorHAnsi" w:cstheme="majorHAnsi"/>
                <w:color w:val="000000"/>
                <w:lang w:eastAsia="en-GB"/>
              </w:rPr>
              <w:t xml:space="preserve"> </w:t>
            </w:r>
          </w:p>
        </w:tc>
      </w:tr>
      <w:tr w:rsidR="00677E9A" w:rsidRPr="00A53554" w14:paraId="14E74A5F" w14:textId="77777777" w:rsidTr="00D113AF">
        <w:trPr>
          <w:trHeight w:val="401"/>
        </w:trPr>
        <w:tc>
          <w:tcPr>
            <w:tcW w:w="3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5E079" w14:textId="0404EEB1" w:rsidR="00677E9A" w:rsidRPr="00A53554" w:rsidRDefault="00677E9A" w:rsidP="007E57EA">
            <w:pPr>
              <w:rPr>
                <w:rFonts w:asciiTheme="majorHAnsi" w:eastAsia="Times New Roman" w:hAnsiTheme="majorHAnsi" w:cstheme="majorHAnsi"/>
                <w:color w:val="000000"/>
                <w:lang w:eastAsia="en-GB"/>
              </w:rPr>
            </w:pPr>
            <w:r w:rsidRPr="00D113AF">
              <w:rPr>
                <w:rFonts w:asciiTheme="majorHAnsi" w:eastAsia="Times New Roman" w:hAnsiTheme="majorHAnsi" w:cstheme="majorHAnsi"/>
                <w:color w:val="000000"/>
                <w:lang w:eastAsia="en-GB"/>
              </w:rPr>
              <w:t>Bloomsbury</w:t>
            </w:r>
            <w:r>
              <w:rPr>
                <w:rFonts w:asciiTheme="majorHAnsi" w:eastAsia="Times New Roman" w:hAnsiTheme="majorHAnsi" w:cstheme="majorHAnsi"/>
                <w:color w:val="000000"/>
                <w:lang w:eastAsia="en-GB"/>
              </w:rPr>
              <w:t xml:space="preserve"> REC</w:t>
            </w:r>
          </w:p>
        </w:tc>
        <w:tc>
          <w:tcPr>
            <w:tcW w:w="4961" w:type="dxa"/>
            <w:tcBorders>
              <w:top w:val="nil"/>
              <w:left w:val="single" w:sz="4" w:space="0" w:color="auto"/>
              <w:bottom w:val="single" w:sz="4" w:space="0" w:color="auto"/>
              <w:right w:val="single" w:sz="4" w:space="0" w:color="auto"/>
            </w:tcBorders>
            <w:vAlign w:val="center"/>
          </w:tcPr>
          <w:p w14:paraId="7CEFC1B5" w14:textId="75B9B6A0" w:rsidR="00677E9A" w:rsidRPr="00A53554" w:rsidRDefault="004D17B4" w:rsidP="007E57EA">
            <w:pPr>
              <w:jc w:val="cente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New application </w:t>
            </w:r>
            <w:r w:rsidR="00677E9A">
              <w:rPr>
                <w:rFonts w:asciiTheme="majorHAnsi" w:eastAsia="Times New Roman" w:hAnsiTheme="majorHAnsi" w:cstheme="majorHAnsi"/>
                <w:color w:val="000000"/>
                <w:lang w:eastAsia="en-GB"/>
              </w:rPr>
              <w:t>submitted</w:t>
            </w:r>
          </w:p>
        </w:tc>
      </w:tr>
    </w:tbl>
    <w:p w14:paraId="56FA294E" w14:textId="77777777" w:rsidR="000549DD" w:rsidRPr="000549DD" w:rsidRDefault="000549DD" w:rsidP="000549DD">
      <w:pPr>
        <w:rPr>
          <w:rFonts w:asciiTheme="majorHAnsi" w:hAnsiTheme="majorHAnsi" w:cstheme="majorHAnsi"/>
        </w:rPr>
      </w:pPr>
    </w:p>
    <w:p w14:paraId="560F7684" w14:textId="7E08697A" w:rsidR="000549DD" w:rsidRDefault="004D17B4" w:rsidP="000549DD">
      <w:pPr>
        <w:jc w:val="both"/>
        <w:rPr>
          <w:rFonts w:asciiTheme="majorHAnsi" w:hAnsiTheme="majorHAnsi" w:cstheme="majorHAnsi"/>
        </w:rPr>
      </w:pPr>
      <w:r>
        <w:rPr>
          <w:rFonts w:asciiTheme="majorHAnsi" w:hAnsiTheme="majorHAnsi" w:cstheme="majorHAnsi"/>
        </w:rPr>
        <w:t xml:space="preserve">Table 2.1 sets out which RECs </w:t>
      </w:r>
      <w:r w:rsidR="00677E9A">
        <w:rPr>
          <w:rFonts w:asciiTheme="majorHAnsi" w:hAnsiTheme="majorHAnsi" w:cstheme="majorHAnsi"/>
        </w:rPr>
        <w:t xml:space="preserve">issued the unfavourable opinion which was appealed against and the outcome of the request to appeal. </w:t>
      </w:r>
    </w:p>
    <w:p w14:paraId="578E997D" w14:textId="629903E0" w:rsidR="000549DD" w:rsidRDefault="00677E9A" w:rsidP="000549DD">
      <w:pPr>
        <w:jc w:val="both"/>
        <w:rPr>
          <w:rFonts w:asciiTheme="majorHAnsi" w:hAnsiTheme="majorHAnsi" w:cstheme="majorHAnsi"/>
        </w:rPr>
      </w:pPr>
      <w:r>
        <w:rPr>
          <w:rFonts w:asciiTheme="majorHAnsi" w:hAnsiTheme="majorHAnsi" w:cstheme="majorHAnsi"/>
        </w:rPr>
        <w:t>For the studies</w:t>
      </w:r>
      <w:r w:rsidR="000549DD" w:rsidRPr="000549DD">
        <w:rPr>
          <w:rFonts w:asciiTheme="majorHAnsi" w:hAnsiTheme="majorHAnsi" w:cstheme="majorHAnsi"/>
        </w:rPr>
        <w:t xml:space="preserve"> which subsequently received a favourable opinion, further analysis has been </w:t>
      </w:r>
      <w:r w:rsidR="000549DD" w:rsidRPr="00021D9A">
        <w:rPr>
          <w:rFonts w:asciiTheme="majorHAnsi" w:hAnsiTheme="majorHAnsi" w:cstheme="majorHAnsi"/>
        </w:rPr>
        <w:t>undertaken to better understand the r</w:t>
      </w:r>
      <w:r w:rsidR="00DC787F">
        <w:rPr>
          <w:rFonts w:asciiTheme="majorHAnsi" w:hAnsiTheme="majorHAnsi" w:cstheme="majorHAnsi"/>
        </w:rPr>
        <w:t xml:space="preserve">eason for the different opinion and to reflect on whether there were any key inconstancies which would require further consideration. </w:t>
      </w:r>
    </w:p>
    <w:p w14:paraId="6A2791D1" w14:textId="77777777" w:rsidR="00021D9A" w:rsidRPr="00021D9A" w:rsidRDefault="00021D9A" w:rsidP="000549DD">
      <w:pPr>
        <w:jc w:val="both"/>
        <w:rPr>
          <w:rFonts w:asciiTheme="majorHAnsi" w:hAnsiTheme="majorHAnsi" w:cstheme="majorHAnsi"/>
        </w:rPr>
      </w:pPr>
    </w:p>
    <w:p w14:paraId="077EC2DE" w14:textId="488A4353" w:rsidR="00677E9A" w:rsidRDefault="00677E9A" w:rsidP="00677E9A">
      <w:pPr>
        <w:pStyle w:val="ListParagraph"/>
        <w:numPr>
          <w:ilvl w:val="0"/>
          <w:numId w:val="27"/>
        </w:numPr>
        <w:jc w:val="both"/>
        <w:rPr>
          <w:rFonts w:asciiTheme="majorHAnsi" w:hAnsiTheme="majorHAnsi" w:cstheme="majorHAnsi"/>
          <w:b/>
          <w:u w:val="single"/>
        </w:rPr>
      </w:pPr>
      <w:r w:rsidRPr="00021D9A">
        <w:rPr>
          <w:rFonts w:asciiTheme="majorHAnsi" w:hAnsiTheme="majorHAnsi" w:cstheme="majorHAnsi"/>
          <w:b/>
          <w:u w:val="single"/>
        </w:rPr>
        <w:t>West of Scotland REC 5</w:t>
      </w:r>
    </w:p>
    <w:p w14:paraId="3780C673" w14:textId="77777777" w:rsidR="00021D9A" w:rsidRPr="00021D9A" w:rsidRDefault="00021D9A" w:rsidP="00021D9A">
      <w:pPr>
        <w:pStyle w:val="ListParagraph"/>
        <w:jc w:val="both"/>
        <w:rPr>
          <w:rFonts w:asciiTheme="majorHAnsi" w:hAnsiTheme="majorHAnsi" w:cstheme="majorHAnsi"/>
          <w:b/>
          <w:u w:val="single"/>
        </w:rPr>
      </w:pPr>
    </w:p>
    <w:p w14:paraId="154182C8" w14:textId="764722F8" w:rsidR="00EC7D8F" w:rsidRPr="00021D9A" w:rsidRDefault="007661E4" w:rsidP="00EC7D8F">
      <w:pPr>
        <w:pStyle w:val="ListParagraph"/>
        <w:ind w:left="1440"/>
        <w:jc w:val="both"/>
        <w:rPr>
          <w:rFonts w:asciiTheme="majorHAnsi" w:hAnsiTheme="majorHAnsi" w:cstheme="majorHAnsi"/>
          <w:b/>
        </w:rPr>
      </w:pPr>
      <w:r w:rsidRPr="00021D9A">
        <w:rPr>
          <w:rFonts w:asciiTheme="majorHAnsi" w:hAnsiTheme="majorHAnsi" w:cstheme="majorHAnsi"/>
          <w:b/>
        </w:rPr>
        <w:t>Reason for the UFO</w:t>
      </w:r>
    </w:p>
    <w:p w14:paraId="33BFBB20" w14:textId="20CC6255" w:rsidR="007661E4" w:rsidRDefault="007661E4" w:rsidP="007661E4">
      <w:pPr>
        <w:pStyle w:val="ListParagraph"/>
        <w:numPr>
          <w:ilvl w:val="1"/>
          <w:numId w:val="27"/>
        </w:numPr>
        <w:jc w:val="both"/>
        <w:rPr>
          <w:rFonts w:asciiTheme="majorHAnsi" w:hAnsiTheme="majorHAnsi" w:cstheme="majorHAnsi"/>
        </w:rPr>
      </w:pPr>
      <w:r>
        <w:rPr>
          <w:rFonts w:asciiTheme="majorHAnsi" w:hAnsiTheme="majorHAnsi" w:cstheme="majorHAnsi"/>
        </w:rPr>
        <w:t xml:space="preserve">The UFO was issued because the REC was of the opinion that patients with post stroke dementia should be excluded, the researcher did not have sufficient experience to deal with such a vulnerable group with the study as proposed and also that the study was </w:t>
      </w:r>
      <w:r>
        <w:rPr>
          <w:rFonts w:asciiTheme="majorHAnsi" w:hAnsiTheme="majorHAnsi" w:cstheme="majorHAnsi"/>
        </w:rPr>
        <w:lastRenderedPageBreak/>
        <w:t xml:space="preserve">under powered for a study involving such a vulnerable group which was considered to be burdensome. </w:t>
      </w:r>
    </w:p>
    <w:p w14:paraId="610C00A1" w14:textId="77777777" w:rsidR="007661E4" w:rsidRDefault="007661E4" w:rsidP="007661E4">
      <w:pPr>
        <w:pStyle w:val="ListParagraph"/>
        <w:ind w:left="1440"/>
        <w:jc w:val="both"/>
        <w:rPr>
          <w:rFonts w:asciiTheme="majorHAnsi" w:hAnsiTheme="majorHAnsi" w:cstheme="majorHAnsi"/>
        </w:rPr>
      </w:pPr>
    </w:p>
    <w:p w14:paraId="0D42FD37" w14:textId="14FDC2AF" w:rsidR="00EC7D8F" w:rsidRPr="00021D9A" w:rsidRDefault="007661E4" w:rsidP="00EC7D8F">
      <w:pPr>
        <w:pStyle w:val="ListParagraph"/>
        <w:ind w:left="1440"/>
        <w:jc w:val="both"/>
        <w:rPr>
          <w:rFonts w:asciiTheme="majorHAnsi" w:hAnsiTheme="majorHAnsi" w:cstheme="majorHAnsi"/>
          <w:b/>
        </w:rPr>
      </w:pPr>
      <w:r w:rsidRPr="00021D9A">
        <w:rPr>
          <w:rFonts w:asciiTheme="majorHAnsi" w:hAnsiTheme="majorHAnsi" w:cstheme="majorHAnsi"/>
          <w:b/>
        </w:rPr>
        <w:t>Response in appeal letter</w:t>
      </w:r>
    </w:p>
    <w:p w14:paraId="16D8338B" w14:textId="7C7E52F5" w:rsidR="00EC7D8F" w:rsidRDefault="007661E4" w:rsidP="00EC7D8F">
      <w:pPr>
        <w:pStyle w:val="ListParagraph"/>
        <w:numPr>
          <w:ilvl w:val="1"/>
          <w:numId w:val="27"/>
        </w:numPr>
        <w:jc w:val="both"/>
        <w:rPr>
          <w:rFonts w:asciiTheme="majorHAnsi" w:hAnsiTheme="majorHAnsi" w:cstheme="majorHAnsi"/>
        </w:rPr>
      </w:pPr>
      <w:r>
        <w:rPr>
          <w:rFonts w:asciiTheme="majorHAnsi" w:hAnsiTheme="majorHAnsi" w:cstheme="majorHAnsi"/>
        </w:rPr>
        <w:t xml:space="preserve">The applicant challenged the exclusion of patients with post stroke dementia and the power calculation but agreed that the researcher should be more closely supervised with someone with more experience. </w:t>
      </w:r>
    </w:p>
    <w:p w14:paraId="4E443EB7" w14:textId="77777777" w:rsidR="00523513" w:rsidRDefault="00523513" w:rsidP="00523513">
      <w:pPr>
        <w:pStyle w:val="ListParagraph"/>
        <w:ind w:left="1440"/>
        <w:jc w:val="both"/>
        <w:rPr>
          <w:rFonts w:asciiTheme="majorHAnsi" w:hAnsiTheme="majorHAnsi" w:cstheme="majorHAnsi"/>
        </w:rPr>
      </w:pPr>
    </w:p>
    <w:p w14:paraId="4E2D0F56" w14:textId="7D415419" w:rsidR="00EC7D8F" w:rsidRPr="00021D9A" w:rsidRDefault="00523513" w:rsidP="00523513">
      <w:pPr>
        <w:pStyle w:val="ListParagraph"/>
        <w:ind w:left="1440"/>
        <w:jc w:val="both"/>
        <w:rPr>
          <w:rFonts w:asciiTheme="majorHAnsi" w:hAnsiTheme="majorHAnsi" w:cstheme="majorHAnsi"/>
          <w:b/>
        </w:rPr>
      </w:pPr>
      <w:r w:rsidRPr="00021D9A">
        <w:rPr>
          <w:rFonts w:asciiTheme="majorHAnsi" w:hAnsiTheme="majorHAnsi" w:cstheme="majorHAnsi"/>
          <w:b/>
        </w:rPr>
        <w:t>Ou</w:t>
      </w:r>
      <w:r w:rsidR="00EC7D8F" w:rsidRPr="00021D9A">
        <w:rPr>
          <w:rFonts w:asciiTheme="majorHAnsi" w:hAnsiTheme="majorHAnsi" w:cstheme="majorHAnsi"/>
          <w:b/>
        </w:rPr>
        <w:t>tcome of the second REC review</w:t>
      </w:r>
    </w:p>
    <w:p w14:paraId="6BC21DCD" w14:textId="1B94537C" w:rsidR="007661E4" w:rsidRDefault="00EC7D8F" w:rsidP="007661E4">
      <w:pPr>
        <w:pStyle w:val="ListParagraph"/>
        <w:numPr>
          <w:ilvl w:val="1"/>
          <w:numId w:val="27"/>
        </w:numPr>
        <w:jc w:val="both"/>
        <w:rPr>
          <w:rFonts w:asciiTheme="majorHAnsi" w:hAnsiTheme="majorHAnsi" w:cstheme="majorHAnsi"/>
        </w:rPr>
      </w:pPr>
      <w:r>
        <w:rPr>
          <w:rFonts w:asciiTheme="majorHAnsi" w:hAnsiTheme="majorHAnsi" w:cstheme="majorHAnsi"/>
        </w:rPr>
        <w:t>The second REC</w:t>
      </w:r>
      <w:r w:rsidR="00021D9A">
        <w:rPr>
          <w:rFonts w:asciiTheme="majorHAnsi" w:hAnsiTheme="majorHAnsi" w:cstheme="majorHAnsi"/>
        </w:rPr>
        <w:t xml:space="preserve"> stated</w:t>
      </w:r>
      <w:r>
        <w:rPr>
          <w:rFonts w:asciiTheme="majorHAnsi" w:hAnsiTheme="majorHAnsi" w:cstheme="majorHAnsi"/>
        </w:rPr>
        <w:t xml:space="preserve"> that the issues raised by the first REC had now been addressed which it was satisfied with.</w:t>
      </w:r>
      <w:r w:rsidR="00021D9A">
        <w:rPr>
          <w:rFonts w:asciiTheme="majorHAnsi" w:hAnsiTheme="majorHAnsi" w:cstheme="majorHAnsi"/>
        </w:rPr>
        <w:t xml:space="preserve"> The applicant had agreed to variations to the study in discussion with the REC.</w:t>
      </w:r>
      <w:r>
        <w:rPr>
          <w:rFonts w:asciiTheme="majorHAnsi" w:hAnsiTheme="majorHAnsi" w:cstheme="majorHAnsi"/>
        </w:rPr>
        <w:t xml:space="preserve"> Additional issues were raised as a provisional opinion, all of which were also addressed by the applicant. </w:t>
      </w:r>
      <w:r w:rsidR="00DC787F">
        <w:rPr>
          <w:rFonts w:asciiTheme="majorHAnsi" w:hAnsiTheme="majorHAnsi" w:cstheme="majorHAnsi"/>
        </w:rPr>
        <w:t>There was no notable</w:t>
      </w:r>
      <w:r w:rsidR="00021D9A">
        <w:rPr>
          <w:rFonts w:asciiTheme="majorHAnsi" w:hAnsiTheme="majorHAnsi" w:cstheme="majorHAnsi"/>
        </w:rPr>
        <w:t xml:space="preserve"> </w:t>
      </w:r>
      <w:r w:rsidR="00BE086A">
        <w:rPr>
          <w:rFonts w:asciiTheme="majorHAnsi" w:hAnsiTheme="majorHAnsi" w:cstheme="majorHAnsi"/>
        </w:rPr>
        <w:t>in</w:t>
      </w:r>
      <w:r w:rsidR="00021D9A">
        <w:rPr>
          <w:rFonts w:asciiTheme="majorHAnsi" w:hAnsiTheme="majorHAnsi" w:cstheme="majorHAnsi"/>
        </w:rPr>
        <w:t>consistency between the two REC</w:t>
      </w:r>
      <w:r w:rsidR="0062695D">
        <w:rPr>
          <w:rFonts w:asciiTheme="majorHAnsi" w:hAnsiTheme="majorHAnsi" w:cstheme="majorHAnsi"/>
        </w:rPr>
        <w:t xml:space="preserve"> reviews</w:t>
      </w:r>
      <w:r w:rsidR="00021D9A">
        <w:rPr>
          <w:rFonts w:asciiTheme="majorHAnsi" w:hAnsiTheme="majorHAnsi" w:cstheme="majorHAnsi"/>
        </w:rPr>
        <w:t xml:space="preserve">. </w:t>
      </w:r>
    </w:p>
    <w:p w14:paraId="26E38969" w14:textId="77777777" w:rsidR="00EC7D8F" w:rsidRDefault="00EC7D8F" w:rsidP="00523513">
      <w:pPr>
        <w:pStyle w:val="ListParagraph"/>
        <w:ind w:left="1440"/>
        <w:jc w:val="both"/>
        <w:rPr>
          <w:rFonts w:asciiTheme="majorHAnsi" w:hAnsiTheme="majorHAnsi" w:cstheme="majorHAnsi"/>
        </w:rPr>
      </w:pPr>
    </w:p>
    <w:p w14:paraId="7B45A9E8" w14:textId="2E800C5F" w:rsidR="00677E9A" w:rsidRDefault="00677E9A" w:rsidP="00677E9A">
      <w:pPr>
        <w:pStyle w:val="ListParagraph"/>
        <w:numPr>
          <w:ilvl w:val="0"/>
          <w:numId w:val="27"/>
        </w:numPr>
        <w:jc w:val="both"/>
        <w:rPr>
          <w:rFonts w:asciiTheme="majorHAnsi" w:hAnsiTheme="majorHAnsi" w:cstheme="majorHAnsi"/>
          <w:b/>
          <w:u w:val="single"/>
        </w:rPr>
      </w:pPr>
      <w:r w:rsidRPr="00021D9A">
        <w:rPr>
          <w:rFonts w:asciiTheme="majorHAnsi" w:hAnsiTheme="majorHAnsi" w:cstheme="majorHAnsi"/>
          <w:b/>
          <w:u w:val="single"/>
        </w:rPr>
        <w:t>North of Scotland REC</w:t>
      </w:r>
    </w:p>
    <w:p w14:paraId="6249F634" w14:textId="77777777" w:rsidR="00021D9A" w:rsidRPr="00021D9A" w:rsidRDefault="00021D9A" w:rsidP="00021D9A">
      <w:pPr>
        <w:pStyle w:val="ListParagraph"/>
        <w:jc w:val="both"/>
        <w:rPr>
          <w:rFonts w:asciiTheme="majorHAnsi" w:hAnsiTheme="majorHAnsi" w:cstheme="majorHAnsi"/>
          <w:b/>
          <w:u w:val="single"/>
        </w:rPr>
      </w:pPr>
    </w:p>
    <w:p w14:paraId="60533D4B" w14:textId="22643236" w:rsidR="00523513" w:rsidRPr="00021D9A" w:rsidRDefault="00523513" w:rsidP="00523513">
      <w:pPr>
        <w:pStyle w:val="ListParagraph"/>
        <w:ind w:left="1440"/>
        <w:jc w:val="both"/>
        <w:rPr>
          <w:rFonts w:asciiTheme="majorHAnsi" w:hAnsiTheme="majorHAnsi" w:cstheme="majorHAnsi"/>
          <w:b/>
        </w:rPr>
      </w:pPr>
      <w:r w:rsidRPr="00021D9A">
        <w:rPr>
          <w:rFonts w:asciiTheme="majorHAnsi" w:hAnsiTheme="majorHAnsi" w:cstheme="majorHAnsi"/>
          <w:b/>
        </w:rPr>
        <w:t>Reason for the UFO</w:t>
      </w:r>
    </w:p>
    <w:p w14:paraId="053464FE" w14:textId="7C7EBCFA" w:rsidR="00497CB0" w:rsidRDefault="00523513" w:rsidP="00523513">
      <w:pPr>
        <w:pStyle w:val="ListParagraph"/>
        <w:numPr>
          <w:ilvl w:val="1"/>
          <w:numId w:val="27"/>
        </w:numPr>
        <w:jc w:val="both"/>
        <w:rPr>
          <w:rFonts w:asciiTheme="majorHAnsi" w:hAnsiTheme="majorHAnsi" w:cstheme="majorHAnsi"/>
        </w:rPr>
      </w:pPr>
      <w:r>
        <w:rPr>
          <w:rFonts w:asciiTheme="majorHAnsi" w:hAnsiTheme="majorHAnsi" w:cstheme="majorHAnsi"/>
        </w:rPr>
        <w:t xml:space="preserve">The proposed study involved using software to scan emails which were written by early stage dementia </w:t>
      </w:r>
      <w:r w:rsidR="00497CB0">
        <w:rPr>
          <w:rFonts w:asciiTheme="majorHAnsi" w:hAnsiTheme="majorHAnsi" w:cstheme="majorHAnsi"/>
        </w:rPr>
        <w:t xml:space="preserve">patients to see whether themes in the language can identify and potentially predict the onset of dementia. The REC raised a significant number of issues, largely in relation to the practicality of the study. </w:t>
      </w:r>
    </w:p>
    <w:p w14:paraId="2FA3BFD8" w14:textId="77777777" w:rsidR="00497CB0" w:rsidRDefault="00497CB0" w:rsidP="00497CB0">
      <w:pPr>
        <w:pStyle w:val="ListParagraph"/>
        <w:ind w:left="1440"/>
        <w:jc w:val="both"/>
        <w:rPr>
          <w:rFonts w:asciiTheme="majorHAnsi" w:hAnsiTheme="majorHAnsi" w:cstheme="majorHAnsi"/>
        </w:rPr>
      </w:pPr>
    </w:p>
    <w:p w14:paraId="74635942" w14:textId="0AE256F7" w:rsidR="00523513" w:rsidRPr="00021D9A" w:rsidRDefault="00523513" w:rsidP="00497CB0">
      <w:pPr>
        <w:pStyle w:val="ListParagraph"/>
        <w:ind w:left="1440"/>
        <w:jc w:val="both"/>
        <w:rPr>
          <w:rFonts w:asciiTheme="majorHAnsi" w:hAnsiTheme="majorHAnsi" w:cstheme="majorHAnsi"/>
          <w:b/>
        </w:rPr>
      </w:pPr>
      <w:r>
        <w:rPr>
          <w:rFonts w:asciiTheme="majorHAnsi" w:hAnsiTheme="majorHAnsi" w:cstheme="majorHAnsi"/>
        </w:rPr>
        <w:t xml:space="preserve"> </w:t>
      </w:r>
      <w:r w:rsidR="00497CB0" w:rsidRPr="00021D9A">
        <w:rPr>
          <w:rFonts w:asciiTheme="majorHAnsi" w:hAnsiTheme="majorHAnsi" w:cstheme="majorHAnsi"/>
          <w:b/>
        </w:rPr>
        <w:t>Response in the appeal letter</w:t>
      </w:r>
    </w:p>
    <w:p w14:paraId="2524ABDF" w14:textId="3D57B15D" w:rsidR="00497CB0" w:rsidRDefault="00497CB0" w:rsidP="00523513">
      <w:pPr>
        <w:pStyle w:val="ListParagraph"/>
        <w:numPr>
          <w:ilvl w:val="1"/>
          <w:numId w:val="27"/>
        </w:numPr>
        <w:jc w:val="both"/>
        <w:rPr>
          <w:rFonts w:asciiTheme="majorHAnsi" w:hAnsiTheme="majorHAnsi" w:cstheme="majorHAnsi"/>
        </w:rPr>
      </w:pPr>
      <w:r>
        <w:rPr>
          <w:rFonts w:asciiTheme="majorHAnsi" w:hAnsiTheme="majorHAnsi" w:cstheme="majorHAnsi"/>
        </w:rPr>
        <w:t xml:space="preserve">The applicant provided some further information </w:t>
      </w:r>
      <w:r w:rsidR="00E94CFB">
        <w:rPr>
          <w:rFonts w:asciiTheme="majorHAnsi" w:hAnsiTheme="majorHAnsi" w:cstheme="majorHAnsi"/>
        </w:rPr>
        <w:t>and also stated that they were of the opinion that the REC had not understood what was being proposed.</w:t>
      </w:r>
    </w:p>
    <w:p w14:paraId="0355B428" w14:textId="2F33223F" w:rsidR="00E94CFB" w:rsidRDefault="00E94CFB" w:rsidP="00E94CFB">
      <w:pPr>
        <w:pStyle w:val="ListParagraph"/>
        <w:ind w:left="1440"/>
        <w:jc w:val="both"/>
        <w:rPr>
          <w:rFonts w:asciiTheme="majorHAnsi" w:hAnsiTheme="majorHAnsi" w:cstheme="majorHAnsi"/>
        </w:rPr>
      </w:pPr>
    </w:p>
    <w:p w14:paraId="683C2083" w14:textId="12BADDB4" w:rsidR="00E94CFB" w:rsidRPr="00021D9A" w:rsidRDefault="00E94CFB" w:rsidP="00E94CFB">
      <w:pPr>
        <w:pStyle w:val="ListParagraph"/>
        <w:ind w:left="1440"/>
        <w:jc w:val="both"/>
        <w:rPr>
          <w:rFonts w:asciiTheme="majorHAnsi" w:hAnsiTheme="majorHAnsi" w:cstheme="majorHAnsi"/>
          <w:b/>
        </w:rPr>
      </w:pPr>
      <w:r w:rsidRPr="00021D9A">
        <w:rPr>
          <w:rFonts w:asciiTheme="majorHAnsi" w:hAnsiTheme="majorHAnsi" w:cstheme="majorHAnsi"/>
          <w:b/>
        </w:rPr>
        <w:t xml:space="preserve">Outcome of the second </w:t>
      </w:r>
      <w:r w:rsidR="00CB5C9E" w:rsidRPr="00021D9A">
        <w:rPr>
          <w:rFonts w:asciiTheme="majorHAnsi" w:hAnsiTheme="majorHAnsi" w:cstheme="majorHAnsi"/>
          <w:b/>
        </w:rPr>
        <w:t xml:space="preserve">REC </w:t>
      </w:r>
      <w:r w:rsidRPr="00021D9A">
        <w:rPr>
          <w:rFonts w:asciiTheme="majorHAnsi" w:hAnsiTheme="majorHAnsi" w:cstheme="majorHAnsi"/>
          <w:b/>
        </w:rPr>
        <w:t>review</w:t>
      </w:r>
    </w:p>
    <w:p w14:paraId="23AB0DEF" w14:textId="12E5DB5A" w:rsidR="00E94CFB" w:rsidRDefault="00E94CFB" w:rsidP="00021D9A">
      <w:pPr>
        <w:pStyle w:val="ListParagraph"/>
        <w:numPr>
          <w:ilvl w:val="1"/>
          <w:numId w:val="27"/>
        </w:numPr>
        <w:jc w:val="both"/>
        <w:rPr>
          <w:rFonts w:asciiTheme="majorHAnsi" w:hAnsiTheme="majorHAnsi" w:cstheme="majorHAnsi"/>
        </w:rPr>
      </w:pPr>
      <w:r>
        <w:rPr>
          <w:rFonts w:asciiTheme="majorHAnsi" w:hAnsiTheme="majorHAnsi" w:cstheme="majorHAnsi"/>
        </w:rPr>
        <w:t>The second Committee accepted the further information provided by the applicant and requested just minor clarifications from the applicant and changes to the information sheets.</w:t>
      </w:r>
      <w:r w:rsidR="00021D9A">
        <w:rPr>
          <w:rFonts w:asciiTheme="majorHAnsi" w:hAnsiTheme="majorHAnsi" w:cstheme="majorHAnsi"/>
        </w:rPr>
        <w:t xml:space="preserve"> </w:t>
      </w:r>
      <w:r w:rsidR="00DC787F">
        <w:rPr>
          <w:rFonts w:asciiTheme="majorHAnsi" w:hAnsiTheme="majorHAnsi" w:cstheme="majorHAnsi"/>
        </w:rPr>
        <w:t>There was no notable</w:t>
      </w:r>
      <w:r w:rsidR="00021D9A" w:rsidRPr="00021D9A">
        <w:rPr>
          <w:rFonts w:asciiTheme="majorHAnsi" w:hAnsiTheme="majorHAnsi" w:cstheme="majorHAnsi"/>
        </w:rPr>
        <w:t xml:space="preserve"> </w:t>
      </w:r>
      <w:r w:rsidR="00BE086A">
        <w:rPr>
          <w:rFonts w:asciiTheme="majorHAnsi" w:hAnsiTheme="majorHAnsi" w:cstheme="majorHAnsi"/>
        </w:rPr>
        <w:t>in</w:t>
      </w:r>
      <w:r w:rsidR="00021D9A" w:rsidRPr="00021D9A">
        <w:rPr>
          <w:rFonts w:asciiTheme="majorHAnsi" w:hAnsiTheme="majorHAnsi" w:cstheme="majorHAnsi"/>
        </w:rPr>
        <w:t xml:space="preserve">consistency between the two REC </w:t>
      </w:r>
      <w:r w:rsidR="0062695D">
        <w:rPr>
          <w:rFonts w:asciiTheme="majorHAnsi" w:hAnsiTheme="majorHAnsi" w:cstheme="majorHAnsi"/>
        </w:rPr>
        <w:t>reviews</w:t>
      </w:r>
      <w:r w:rsidR="00021D9A" w:rsidRPr="00021D9A">
        <w:rPr>
          <w:rFonts w:asciiTheme="majorHAnsi" w:hAnsiTheme="majorHAnsi" w:cstheme="majorHAnsi"/>
        </w:rPr>
        <w:t>.</w:t>
      </w:r>
    </w:p>
    <w:p w14:paraId="0C9DACFC" w14:textId="77777777" w:rsidR="00021D9A" w:rsidRDefault="00021D9A" w:rsidP="00021D9A">
      <w:pPr>
        <w:pStyle w:val="ListParagraph"/>
        <w:ind w:left="1440"/>
        <w:jc w:val="both"/>
        <w:rPr>
          <w:rFonts w:asciiTheme="majorHAnsi" w:hAnsiTheme="majorHAnsi" w:cstheme="majorHAnsi"/>
        </w:rPr>
      </w:pPr>
    </w:p>
    <w:p w14:paraId="01675D00" w14:textId="58E7E1CB" w:rsidR="00677E9A" w:rsidRPr="00021D9A" w:rsidRDefault="00021D9A" w:rsidP="00677E9A">
      <w:pPr>
        <w:pStyle w:val="ListParagraph"/>
        <w:numPr>
          <w:ilvl w:val="0"/>
          <w:numId w:val="27"/>
        </w:numPr>
        <w:jc w:val="both"/>
        <w:rPr>
          <w:rFonts w:asciiTheme="majorHAnsi" w:hAnsiTheme="majorHAnsi" w:cstheme="majorHAnsi"/>
          <w:b/>
          <w:u w:val="single"/>
        </w:rPr>
      </w:pPr>
      <w:r w:rsidRPr="00021D9A">
        <w:rPr>
          <w:rFonts w:asciiTheme="majorHAnsi" w:hAnsiTheme="majorHAnsi" w:cstheme="majorHAnsi"/>
          <w:b/>
          <w:u w:val="single"/>
        </w:rPr>
        <w:t>Stanmore REC</w:t>
      </w:r>
    </w:p>
    <w:p w14:paraId="1801EFBB" w14:textId="77777777" w:rsidR="00021D9A" w:rsidRDefault="00021D9A" w:rsidP="00021D9A">
      <w:pPr>
        <w:pStyle w:val="ListParagraph"/>
        <w:jc w:val="both"/>
        <w:rPr>
          <w:rFonts w:asciiTheme="majorHAnsi" w:hAnsiTheme="majorHAnsi" w:cstheme="majorHAnsi"/>
        </w:rPr>
      </w:pPr>
    </w:p>
    <w:p w14:paraId="3CBFD173" w14:textId="2C20AD2D" w:rsidR="00E94CFB" w:rsidRPr="00021D9A" w:rsidRDefault="00E94CFB" w:rsidP="00E94CFB">
      <w:pPr>
        <w:pStyle w:val="ListParagraph"/>
        <w:ind w:left="1440"/>
        <w:jc w:val="both"/>
        <w:rPr>
          <w:rFonts w:asciiTheme="majorHAnsi" w:hAnsiTheme="majorHAnsi" w:cstheme="majorHAnsi"/>
          <w:b/>
        </w:rPr>
      </w:pPr>
      <w:r w:rsidRPr="00021D9A">
        <w:rPr>
          <w:rFonts w:asciiTheme="majorHAnsi" w:hAnsiTheme="majorHAnsi" w:cstheme="majorHAnsi"/>
          <w:b/>
        </w:rPr>
        <w:t>Reason for the UFO</w:t>
      </w:r>
    </w:p>
    <w:p w14:paraId="25D30983" w14:textId="4A841D2E" w:rsidR="00E94CFB" w:rsidRDefault="00E94CFB" w:rsidP="00E94CFB">
      <w:pPr>
        <w:pStyle w:val="ListParagraph"/>
        <w:numPr>
          <w:ilvl w:val="1"/>
          <w:numId w:val="27"/>
        </w:numPr>
        <w:jc w:val="both"/>
        <w:rPr>
          <w:rFonts w:asciiTheme="majorHAnsi" w:hAnsiTheme="majorHAnsi" w:cstheme="majorHAnsi"/>
        </w:rPr>
      </w:pPr>
      <w:r>
        <w:rPr>
          <w:rFonts w:asciiTheme="majorHAnsi" w:hAnsiTheme="majorHAnsi" w:cstheme="majorHAnsi"/>
        </w:rPr>
        <w:t>The Committee</w:t>
      </w:r>
      <w:r w:rsidR="00CB5C9E">
        <w:rPr>
          <w:rFonts w:asciiTheme="majorHAnsi" w:hAnsiTheme="majorHAnsi" w:cstheme="majorHAnsi"/>
        </w:rPr>
        <w:t xml:space="preserve"> was</w:t>
      </w:r>
      <w:r>
        <w:rPr>
          <w:rFonts w:asciiTheme="majorHAnsi" w:hAnsiTheme="majorHAnsi" w:cstheme="majorHAnsi"/>
        </w:rPr>
        <w:t xml:space="preserve"> of the opinion that the student who was proposing to undertake the research had become upset at the meeting and because the student also had the condition which was being researched, </w:t>
      </w:r>
      <w:r w:rsidR="00CB5C9E">
        <w:rPr>
          <w:rFonts w:asciiTheme="majorHAnsi" w:hAnsiTheme="majorHAnsi" w:cstheme="majorHAnsi"/>
        </w:rPr>
        <w:t xml:space="preserve">was concerned about her ability to be objective. </w:t>
      </w:r>
    </w:p>
    <w:p w14:paraId="0D274397" w14:textId="77777777" w:rsidR="00CB5C9E" w:rsidRDefault="00CB5C9E" w:rsidP="00CB5C9E">
      <w:pPr>
        <w:pStyle w:val="ListParagraph"/>
        <w:ind w:left="1440"/>
        <w:jc w:val="both"/>
        <w:rPr>
          <w:rFonts w:asciiTheme="majorHAnsi" w:hAnsiTheme="majorHAnsi" w:cstheme="majorHAnsi"/>
        </w:rPr>
      </w:pPr>
    </w:p>
    <w:p w14:paraId="6BB0AADE" w14:textId="08C6270D" w:rsidR="00021D9A" w:rsidRPr="00021D9A" w:rsidRDefault="00CB5C9E" w:rsidP="00021D9A">
      <w:pPr>
        <w:pStyle w:val="ListParagraph"/>
        <w:ind w:left="1440"/>
        <w:jc w:val="both"/>
        <w:rPr>
          <w:rFonts w:asciiTheme="majorHAnsi" w:hAnsiTheme="majorHAnsi" w:cstheme="majorHAnsi"/>
          <w:b/>
        </w:rPr>
      </w:pPr>
      <w:r w:rsidRPr="00021D9A">
        <w:rPr>
          <w:rFonts w:asciiTheme="majorHAnsi" w:hAnsiTheme="majorHAnsi" w:cstheme="majorHAnsi"/>
          <w:b/>
        </w:rPr>
        <w:t>Response in the appeal letter</w:t>
      </w:r>
    </w:p>
    <w:p w14:paraId="3658A065" w14:textId="780CEC40" w:rsidR="00CB5C9E" w:rsidRPr="00021D9A" w:rsidRDefault="00CB5C9E" w:rsidP="00CB5C9E">
      <w:pPr>
        <w:pStyle w:val="ListParagraph"/>
        <w:numPr>
          <w:ilvl w:val="1"/>
          <w:numId w:val="27"/>
        </w:numPr>
        <w:jc w:val="both"/>
        <w:rPr>
          <w:rFonts w:asciiTheme="majorHAnsi" w:hAnsiTheme="majorHAnsi" w:cstheme="majorHAnsi"/>
        </w:rPr>
      </w:pPr>
      <w:r w:rsidRPr="00021D9A">
        <w:rPr>
          <w:rFonts w:asciiTheme="majorHAnsi" w:hAnsiTheme="majorHAnsi" w:cstheme="majorHAnsi"/>
        </w:rPr>
        <w:t xml:space="preserve">The student and her academic supervisors all responded to say that this was not their perception of the meeting. She had become slightly upset at the beginning of the meeting but this had been all and that there were no concerns from the perspective of the supervisors in regards to her ability to undertake the research. </w:t>
      </w:r>
    </w:p>
    <w:p w14:paraId="2FD4D61E" w14:textId="77777777" w:rsidR="00CB5C9E" w:rsidRDefault="00CB5C9E" w:rsidP="00CB5C9E">
      <w:pPr>
        <w:pStyle w:val="ListParagraph"/>
        <w:ind w:left="1440"/>
        <w:jc w:val="both"/>
        <w:rPr>
          <w:rFonts w:asciiTheme="majorHAnsi" w:hAnsiTheme="majorHAnsi" w:cstheme="majorHAnsi"/>
        </w:rPr>
      </w:pPr>
    </w:p>
    <w:p w14:paraId="22D03E06" w14:textId="25D7FABD" w:rsidR="00CB5C9E" w:rsidRPr="00021D9A" w:rsidRDefault="00CB5C9E" w:rsidP="00CB5C9E">
      <w:pPr>
        <w:pStyle w:val="ListParagraph"/>
        <w:ind w:left="1440"/>
        <w:jc w:val="both"/>
        <w:rPr>
          <w:rFonts w:asciiTheme="majorHAnsi" w:hAnsiTheme="majorHAnsi" w:cstheme="majorHAnsi"/>
          <w:b/>
        </w:rPr>
      </w:pPr>
      <w:r w:rsidRPr="00021D9A">
        <w:rPr>
          <w:rFonts w:asciiTheme="majorHAnsi" w:hAnsiTheme="majorHAnsi" w:cstheme="majorHAnsi"/>
          <w:b/>
        </w:rPr>
        <w:lastRenderedPageBreak/>
        <w:t>Outcome of the second REC review</w:t>
      </w:r>
    </w:p>
    <w:p w14:paraId="69BAEEE9" w14:textId="171CBF2D" w:rsidR="00CB5C9E" w:rsidRPr="00677E9A" w:rsidRDefault="00CB5C9E" w:rsidP="00021D9A">
      <w:pPr>
        <w:pStyle w:val="ListParagraph"/>
        <w:numPr>
          <w:ilvl w:val="1"/>
          <w:numId w:val="27"/>
        </w:numPr>
        <w:jc w:val="both"/>
        <w:rPr>
          <w:rFonts w:asciiTheme="majorHAnsi" w:hAnsiTheme="majorHAnsi" w:cstheme="majorHAnsi"/>
        </w:rPr>
      </w:pPr>
      <w:r>
        <w:rPr>
          <w:rFonts w:asciiTheme="majorHAnsi" w:hAnsiTheme="majorHAnsi" w:cstheme="majorHAnsi"/>
        </w:rPr>
        <w:t>The second REC requested a number of clarifications and revisions when issuing a provisional opinion</w:t>
      </w:r>
      <w:r w:rsidR="00021D9A">
        <w:rPr>
          <w:rFonts w:asciiTheme="majorHAnsi" w:hAnsiTheme="majorHAnsi" w:cstheme="majorHAnsi"/>
        </w:rPr>
        <w:t xml:space="preserve"> but was assured that the student was able to undertake the research. </w:t>
      </w:r>
      <w:r>
        <w:rPr>
          <w:rFonts w:asciiTheme="majorHAnsi" w:hAnsiTheme="majorHAnsi" w:cstheme="majorHAnsi"/>
        </w:rPr>
        <w:t xml:space="preserve"> </w:t>
      </w:r>
      <w:r w:rsidR="00021D9A" w:rsidRPr="00021D9A">
        <w:rPr>
          <w:rFonts w:asciiTheme="majorHAnsi" w:hAnsiTheme="majorHAnsi" w:cstheme="majorHAnsi"/>
        </w:rPr>
        <w:t xml:space="preserve">There was no overall </w:t>
      </w:r>
      <w:r w:rsidR="00BE086A">
        <w:rPr>
          <w:rFonts w:asciiTheme="majorHAnsi" w:hAnsiTheme="majorHAnsi" w:cstheme="majorHAnsi"/>
        </w:rPr>
        <w:t>in</w:t>
      </w:r>
      <w:r w:rsidR="00021D9A" w:rsidRPr="00021D9A">
        <w:rPr>
          <w:rFonts w:asciiTheme="majorHAnsi" w:hAnsiTheme="majorHAnsi" w:cstheme="majorHAnsi"/>
        </w:rPr>
        <w:t>consisten</w:t>
      </w:r>
      <w:r w:rsidR="00BE086A">
        <w:rPr>
          <w:rFonts w:asciiTheme="majorHAnsi" w:hAnsiTheme="majorHAnsi" w:cstheme="majorHAnsi"/>
        </w:rPr>
        <w:t xml:space="preserve">cy between the two REC </w:t>
      </w:r>
      <w:r w:rsidR="0062695D">
        <w:rPr>
          <w:rFonts w:asciiTheme="majorHAnsi" w:hAnsiTheme="majorHAnsi" w:cstheme="majorHAnsi"/>
        </w:rPr>
        <w:t xml:space="preserve">reviews </w:t>
      </w:r>
      <w:r w:rsidR="00BE086A">
        <w:rPr>
          <w:rFonts w:asciiTheme="majorHAnsi" w:hAnsiTheme="majorHAnsi" w:cstheme="majorHAnsi"/>
        </w:rPr>
        <w:t>based on the experience of the second Committee being different to the first and also further assurances having been provided to the second REC.</w:t>
      </w:r>
    </w:p>
    <w:p w14:paraId="00C29FEB" w14:textId="77777777" w:rsidR="000549DD" w:rsidRDefault="000549DD" w:rsidP="000549DD">
      <w:pPr>
        <w:rPr>
          <w:rFonts w:asciiTheme="majorHAnsi" w:hAnsiTheme="majorHAnsi" w:cstheme="majorHAnsi"/>
        </w:rPr>
      </w:pPr>
    </w:p>
    <w:p w14:paraId="7A0063DB" w14:textId="77777777" w:rsidR="00021D9A" w:rsidRDefault="00021D9A" w:rsidP="000549DD">
      <w:pPr>
        <w:rPr>
          <w:rFonts w:asciiTheme="majorHAnsi" w:hAnsiTheme="majorHAnsi" w:cstheme="majorHAnsi"/>
        </w:rPr>
      </w:pPr>
    </w:p>
    <w:p w14:paraId="7C03CDB4" w14:textId="77777777" w:rsidR="00021D9A" w:rsidRPr="000549DD" w:rsidRDefault="00021D9A" w:rsidP="000549DD">
      <w:pPr>
        <w:rPr>
          <w:rFonts w:asciiTheme="majorHAnsi" w:hAnsiTheme="majorHAnsi" w:cstheme="majorHAnsi"/>
        </w:rPr>
      </w:pPr>
    </w:p>
    <w:p w14:paraId="7EDFADE5" w14:textId="0580A1AE" w:rsidR="000549DD" w:rsidRPr="00DC787F" w:rsidRDefault="00DC787F" w:rsidP="00DC787F">
      <w:pPr>
        <w:pStyle w:val="ListParagraph"/>
        <w:numPr>
          <w:ilvl w:val="0"/>
          <w:numId w:val="28"/>
        </w:numPr>
        <w:rPr>
          <w:rFonts w:asciiTheme="majorHAnsi" w:hAnsiTheme="majorHAnsi" w:cstheme="majorHAnsi"/>
          <w:b/>
          <w:sz w:val="24"/>
          <w:u w:val="single"/>
        </w:rPr>
      </w:pPr>
      <w:r>
        <w:rPr>
          <w:rFonts w:asciiTheme="majorHAnsi" w:hAnsiTheme="majorHAnsi" w:cstheme="majorHAnsi"/>
          <w:b/>
          <w:sz w:val="24"/>
          <w:u w:val="single"/>
        </w:rPr>
        <w:t>A</w:t>
      </w:r>
      <w:r w:rsidRPr="00DC787F">
        <w:rPr>
          <w:rFonts w:asciiTheme="majorHAnsi" w:hAnsiTheme="majorHAnsi" w:cstheme="majorHAnsi"/>
          <w:b/>
          <w:sz w:val="24"/>
          <w:u w:val="single"/>
        </w:rPr>
        <w:t>ppeals data 01/04/</w:t>
      </w:r>
      <w:r w:rsidR="00994040" w:rsidRPr="00DC787F">
        <w:rPr>
          <w:rFonts w:asciiTheme="majorHAnsi" w:hAnsiTheme="majorHAnsi" w:cstheme="majorHAnsi"/>
          <w:b/>
          <w:sz w:val="24"/>
          <w:u w:val="single"/>
        </w:rPr>
        <w:t>2016 - 31/03/2017</w:t>
      </w:r>
      <w:r w:rsidR="000549DD" w:rsidRPr="00DC787F">
        <w:rPr>
          <w:rFonts w:asciiTheme="majorHAnsi" w:hAnsiTheme="majorHAnsi" w:cstheme="majorHAnsi"/>
          <w:b/>
          <w:sz w:val="24"/>
          <w:u w:val="single"/>
        </w:rPr>
        <w:t xml:space="preserve"> - Substantial amendments</w:t>
      </w:r>
    </w:p>
    <w:p w14:paraId="54E13457" w14:textId="2FAE9A33" w:rsidR="001A3E68" w:rsidRDefault="000549DD" w:rsidP="000549DD">
      <w:pPr>
        <w:jc w:val="both"/>
        <w:rPr>
          <w:rFonts w:asciiTheme="majorHAnsi" w:hAnsiTheme="majorHAnsi" w:cstheme="majorHAnsi"/>
        </w:rPr>
      </w:pPr>
      <w:r w:rsidRPr="000549DD">
        <w:rPr>
          <w:rFonts w:asciiTheme="majorHAnsi" w:hAnsiTheme="majorHAnsi" w:cstheme="majorHAnsi"/>
          <w:noProof/>
          <w:sz w:val="24"/>
          <w:lang w:eastAsia="en-GB"/>
        </w:rPr>
        <mc:AlternateContent>
          <mc:Choice Requires="wps">
            <w:drawing>
              <wp:anchor distT="0" distB="0" distL="114300" distR="114300" simplePos="0" relativeHeight="251660288" behindDoc="0" locked="0" layoutInCell="0" allowOverlap="1" wp14:anchorId="365C90A5" wp14:editId="082C5293">
                <wp:simplePos x="0" y="0"/>
                <wp:positionH relativeFrom="page">
                  <wp:posOffset>5229225</wp:posOffset>
                </wp:positionH>
                <wp:positionV relativeFrom="page">
                  <wp:posOffset>1952625</wp:posOffset>
                </wp:positionV>
                <wp:extent cx="1543050" cy="2705100"/>
                <wp:effectExtent l="38100" t="38100" r="3810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36C1E22" w14:textId="2E161D60" w:rsidR="000549DD" w:rsidRPr="009D7338" w:rsidRDefault="000549DD" w:rsidP="000549DD">
                            <w:pPr>
                              <w:spacing w:after="0" w:line="360" w:lineRule="auto"/>
                              <w:jc w:val="center"/>
                              <w:rPr>
                                <w:rFonts w:asciiTheme="majorHAnsi" w:eastAsiaTheme="majorEastAsia" w:hAnsiTheme="majorHAnsi" w:cstheme="majorBidi"/>
                                <w:iCs/>
                                <w:szCs w:val="22"/>
                              </w:rPr>
                            </w:pPr>
                            <w:r w:rsidRPr="009D7338">
                              <w:rPr>
                                <w:rFonts w:asciiTheme="majorHAnsi" w:eastAsiaTheme="majorEastAsia" w:hAnsiTheme="majorHAnsi" w:cstheme="majorBidi"/>
                                <w:iCs/>
                                <w:szCs w:val="22"/>
                              </w:rPr>
                              <w:t>During the reporting period</w:t>
                            </w:r>
                            <w:r w:rsidR="00994040">
                              <w:rPr>
                                <w:rFonts w:asciiTheme="majorHAnsi" w:eastAsiaTheme="majorEastAsia" w:hAnsiTheme="majorHAnsi" w:cstheme="majorBidi"/>
                                <w:iCs/>
                              </w:rPr>
                              <w:t>, 8485</w:t>
                            </w:r>
                            <w:r>
                              <w:rPr>
                                <w:rFonts w:asciiTheme="majorHAnsi" w:eastAsiaTheme="majorEastAsia" w:hAnsiTheme="majorHAnsi" w:cstheme="majorBidi"/>
                                <w:iCs/>
                              </w:rPr>
                              <w:t xml:space="preserve"> substantial amendments were r</w:t>
                            </w:r>
                            <w:r w:rsidR="00994040">
                              <w:rPr>
                                <w:rFonts w:asciiTheme="majorHAnsi" w:eastAsiaTheme="majorEastAsia" w:hAnsiTheme="majorHAnsi" w:cstheme="majorBidi"/>
                                <w:iCs/>
                              </w:rPr>
                              <w:t>eviewed by UK RECs, of these 383 (3.3%)</w:t>
                            </w:r>
                            <w:r>
                              <w:rPr>
                                <w:rFonts w:asciiTheme="majorHAnsi" w:eastAsiaTheme="majorEastAsia" w:hAnsiTheme="majorHAnsi" w:cstheme="majorBidi"/>
                                <w:iCs/>
                              </w:rPr>
                              <w:t xml:space="preserve"> received an unfavourable opinion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11.75pt;margin-top:153.75pt;width:12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" o:allowincell="f" filled="f" strokecolor="#622423" strokeweight="6pt">
                <v:stroke linestyle="thickThin"/>
                <v:textbox inset="10.8pt,7.2pt,10.8pt,7.2pt">
                  <w:txbxContent>
                    <w:p w14:paraId="636C1E22" w14:textId="2E161D60" w:rsidR="000549DD" w:rsidRPr="009D7338" w:rsidRDefault="000549DD" w:rsidP="000549DD">
                      <w:pPr>
                        <w:spacing w:after="0" w:line="360" w:lineRule="auto"/>
                        <w:jc w:val="center"/>
                        <w:rPr>
                          <w:rFonts w:asciiTheme="majorHAnsi" w:eastAsiaTheme="majorEastAsia" w:hAnsiTheme="majorHAnsi" w:cstheme="majorBidi"/>
                          <w:iCs/>
                          <w:szCs w:val="22"/>
                        </w:rPr>
                      </w:pPr>
                      <w:r w:rsidRPr="009D7338">
                        <w:rPr>
                          <w:rFonts w:asciiTheme="majorHAnsi" w:eastAsiaTheme="majorEastAsia" w:hAnsiTheme="majorHAnsi" w:cstheme="majorBidi"/>
                          <w:iCs/>
                          <w:szCs w:val="22"/>
                        </w:rPr>
                        <w:t>During the reporting period</w:t>
                      </w:r>
                      <w:r w:rsidR="00994040">
                        <w:rPr>
                          <w:rFonts w:asciiTheme="majorHAnsi" w:eastAsiaTheme="majorEastAsia" w:hAnsiTheme="majorHAnsi" w:cstheme="majorBidi"/>
                          <w:iCs/>
                        </w:rPr>
                        <w:t>, 8485</w:t>
                      </w:r>
                      <w:r>
                        <w:rPr>
                          <w:rFonts w:asciiTheme="majorHAnsi" w:eastAsiaTheme="majorEastAsia" w:hAnsiTheme="majorHAnsi" w:cstheme="majorBidi"/>
                          <w:iCs/>
                        </w:rPr>
                        <w:t xml:space="preserve"> substantial amendments were r</w:t>
                      </w:r>
                      <w:r w:rsidR="00994040">
                        <w:rPr>
                          <w:rFonts w:asciiTheme="majorHAnsi" w:eastAsiaTheme="majorEastAsia" w:hAnsiTheme="majorHAnsi" w:cstheme="majorBidi"/>
                          <w:iCs/>
                        </w:rPr>
                        <w:t>eviewed by UK RECs, of these 383 (3.3%)</w:t>
                      </w:r>
                      <w:r>
                        <w:rPr>
                          <w:rFonts w:asciiTheme="majorHAnsi" w:eastAsiaTheme="majorEastAsia" w:hAnsiTheme="majorHAnsi" w:cstheme="majorBidi"/>
                          <w:iCs/>
                        </w:rPr>
                        <w:t xml:space="preserve"> received an unfavourable opinion </w:t>
                      </w:r>
                    </w:p>
                  </w:txbxContent>
                </v:textbox>
                <w10:wrap type="square" anchorx="page" anchory="page"/>
              </v:shape>
            </w:pict>
          </mc:Fallback>
        </mc:AlternateContent>
      </w:r>
      <w:r w:rsidRPr="000549DD">
        <w:rPr>
          <w:rFonts w:asciiTheme="majorHAnsi" w:hAnsiTheme="majorHAnsi" w:cstheme="majorHAnsi"/>
        </w:rPr>
        <w:t xml:space="preserve">During the reporting period, </w:t>
      </w:r>
      <w:r w:rsidR="001A3E68">
        <w:rPr>
          <w:rFonts w:asciiTheme="majorHAnsi" w:hAnsiTheme="majorHAnsi" w:cstheme="majorHAnsi"/>
        </w:rPr>
        <w:t>12</w:t>
      </w:r>
      <w:r w:rsidRPr="000549DD">
        <w:rPr>
          <w:rFonts w:asciiTheme="majorHAnsi" w:hAnsiTheme="majorHAnsi" w:cstheme="majorHAnsi"/>
        </w:rPr>
        <w:t xml:space="preserve"> </w:t>
      </w:r>
      <w:r w:rsidR="00DC787F">
        <w:rPr>
          <w:rFonts w:asciiTheme="majorHAnsi" w:hAnsiTheme="majorHAnsi" w:cstheme="majorHAnsi"/>
        </w:rPr>
        <w:t xml:space="preserve">(3% of all unfavourable opinions issued) </w:t>
      </w:r>
      <w:r w:rsidRPr="000549DD">
        <w:rPr>
          <w:rFonts w:asciiTheme="majorHAnsi" w:hAnsiTheme="majorHAnsi" w:cstheme="majorHAnsi"/>
        </w:rPr>
        <w:t>requests</w:t>
      </w:r>
      <w:r w:rsidR="00235687">
        <w:rPr>
          <w:rFonts w:asciiTheme="majorHAnsi" w:hAnsiTheme="majorHAnsi" w:cstheme="majorHAnsi"/>
        </w:rPr>
        <w:t xml:space="preserve"> (4 CTIMP and 8 non CTIMP)</w:t>
      </w:r>
      <w:r w:rsidRPr="000549DD">
        <w:rPr>
          <w:rFonts w:asciiTheme="majorHAnsi" w:hAnsiTheme="majorHAnsi" w:cstheme="majorHAnsi"/>
        </w:rPr>
        <w:t xml:space="preserve"> were received to appeal an unfavourable opinion issued for a substantial amendment. </w:t>
      </w:r>
    </w:p>
    <w:p w14:paraId="51F8557A" w14:textId="756593BA" w:rsidR="000549DD" w:rsidRPr="000549DD" w:rsidRDefault="000549DD" w:rsidP="000549DD">
      <w:pPr>
        <w:jc w:val="both"/>
        <w:rPr>
          <w:rFonts w:asciiTheme="majorHAnsi" w:hAnsiTheme="majorHAnsi" w:cstheme="majorHAnsi"/>
        </w:rPr>
      </w:pPr>
      <w:r w:rsidRPr="000549DD">
        <w:rPr>
          <w:rFonts w:asciiTheme="majorHAnsi" w:hAnsiTheme="majorHAnsi" w:cstheme="majorHAnsi"/>
        </w:rPr>
        <w:t xml:space="preserve">When receiving a request to appeal an unfavourable opinion for a substantial amendment, consideration is given in the first instance to whether the matter can be resolved with the REC in the first instance. Where this is considered possible after liaison with the REC Chair, the applicant is asked to submit a modified amendment. The reason for this is that when an appeal is allowed and review by a second REC is requested, the final opinion ultimately remains with the first REC and the outcome of the review by the second REC is for information and reference only. It is therefore preferable to work with the main REC in the first instance to resolve the issue when this is possible. </w:t>
      </w:r>
    </w:p>
    <w:p w14:paraId="2166767B" w14:textId="28C9F5C3" w:rsidR="00606FB5" w:rsidRDefault="00235687" w:rsidP="000549DD">
      <w:pPr>
        <w:jc w:val="both"/>
        <w:rPr>
          <w:rFonts w:asciiTheme="majorHAnsi" w:hAnsiTheme="majorHAnsi" w:cstheme="majorHAnsi"/>
        </w:rPr>
      </w:pPr>
      <w:r>
        <w:rPr>
          <w:rFonts w:asciiTheme="majorHAnsi" w:hAnsiTheme="majorHAnsi" w:cstheme="majorHAnsi"/>
        </w:rPr>
        <w:t>Of the 12</w:t>
      </w:r>
      <w:r w:rsidR="000549DD" w:rsidRPr="000549DD">
        <w:rPr>
          <w:rFonts w:asciiTheme="majorHAnsi" w:hAnsiTheme="majorHAnsi" w:cstheme="majorHAnsi"/>
        </w:rPr>
        <w:t xml:space="preserve"> requests to appeal received in the reporting period, </w:t>
      </w:r>
      <w:r w:rsidR="00606FB5">
        <w:rPr>
          <w:rFonts w:asciiTheme="majorHAnsi" w:hAnsiTheme="majorHAnsi" w:cstheme="majorHAnsi"/>
        </w:rPr>
        <w:t xml:space="preserve">1 was advised to submit a new application as advised by the REC, 8 resubmitted as a modified amendment and 3 proceeded as an appeal. </w:t>
      </w:r>
      <w:r w:rsidR="000549DD" w:rsidRPr="000549DD">
        <w:rPr>
          <w:rFonts w:asciiTheme="majorHAnsi" w:hAnsiTheme="majorHAnsi" w:cstheme="majorHAnsi"/>
        </w:rPr>
        <w:t xml:space="preserve">Of the 8 </w:t>
      </w:r>
      <w:r w:rsidR="00606FB5">
        <w:rPr>
          <w:rFonts w:asciiTheme="majorHAnsi" w:hAnsiTheme="majorHAnsi" w:cstheme="majorHAnsi"/>
        </w:rPr>
        <w:t xml:space="preserve">appeal </w:t>
      </w:r>
      <w:r w:rsidR="000549DD" w:rsidRPr="000549DD">
        <w:rPr>
          <w:rFonts w:asciiTheme="majorHAnsi" w:hAnsiTheme="majorHAnsi" w:cstheme="majorHAnsi"/>
        </w:rPr>
        <w:t xml:space="preserve">requests which resulted in an agreement </w:t>
      </w:r>
      <w:r w:rsidR="00606FB5">
        <w:rPr>
          <w:rFonts w:asciiTheme="majorHAnsi" w:hAnsiTheme="majorHAnsi" w:cstheme="majorHAnsi"/>
        </w:rPr>
        <w:t xml:space="preserve">to submit a modified amendment, all went on to receive a favourable opinion. Of the 3 amendments which went through the appeal process, 2 received a further unfavourable opinion and 1 received a favourable opinion. </w:t>
      </w:r>
    </w:p>
    <w:p w14:paraId="0507C4FC" w14:textId="7847F121" w:rsidR="00BF085D" w:rsidRPr="00E46FDA" w:rsidRDefault="00DC787F" w:rsidP="000549DD">
      <w:pPr>
        <w:rPr>
          <w:rFonts w:asciiTheme="majorHAnsi" w:hAnsiTheme="majorHAnsi" w:cstheme="majorHAnsi"/>
          <w:sz w:val="16"/>
          <w:szCs w:val="16"/>
        </w:rPr>
      </w:pPr>
      <w:r>
        <w:rPr>
          <w:rFonts w:asciiTheme="majorHAnsi" w:hAnsiTheme="majorHAnsi" w:cstheme="majorHAnsi"/>
          <w:sz w:val="16"/>
          <w:szCs w:val="16"/>
        </w:rPr>
        <w:t>Table 3.1</w:t>
      </w:r>
    </w:p>
    <w:tbl>
      <w:tblPr>
        <w:tblW w:w="10085" w:type="dxa"/>
        <w:tblInd w:w="103" w:type="dxa"/>
        <w:tblLook w:val="04A0" w:firstRow="1" w:lastRow="0" w:firstColumn="1" w:lastColumn="0" w:noHBand="0" w:noVBand="1"/>
      </w:tblPr>
      <w:tblGrid>
        <w:gridCol w:w="3549"/>
        <w:gridCol w:w="3442"/>
        <w:gridCol w:w="3094"/>
      </w:tblGrid>
      <w:tr w:rsidR="00F9454E" w:rsidRPr="00BF085D" w14:paraId="04CFFCD9" w14:textId="3CFC1FA4" w:rsidTr="00F9454E">
        <w:trPr>
          <w:trHeight w:val="699"/>
        </w:trPr>
        <w:tc>
          <w:tcPr>
            <w:tcW w:w="3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55F612" w14:textId="3A23CE93" w:rsidR="00F9454E" w:rsidRPr="00BF085D" w:rsidRDefault="00F9454E" w:rsidP="00BF085D">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Name of REC</w:t>
            </w:r>
          </w:p>
        </w:tc>
        <w:tc>
          <w:tcPr>
            <w:tcW w:w="34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E26E29B" w14:textId="23A9A467" w:rsidR="00F9454E" w:rsidRPr="00BF085D" w:rsidRDefault="00F9454E" w:rsidP="00BF085D">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Outcome</w:t>
            </w:r>
          </w:p>
        </w:tc>
        <w:tc>
          <w:tcPr>
            <w:tcW w:w="309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56B5D0" w14:textId="63F5E9C5" w:rsidR="00F9454E" w:rsidRDefault="00F9454E" w:rsidP="00BF085D">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CTIMP/Non CTIMP</w:t>
            </w:r>
          </w:p>
        </w:tc>
      </w:tr>
      <w:tr w:rsidR="00F9454E" w:rsidRPr="00BF085D" w14:paraId="3B06B795" w14:textId="2C89C13C" w:rsidTr="00F9454E">
        <w:trPr>
          <w:trHeight w:val="699"/>
        </w:trPr>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587675E4" w14:textId="77777777"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Fulham</w:t>
            </w:r>
          </w:p>
          <w:p w14:paraId="564F4B40" w14:textId="236CE1C2" w:rsidR="00F9454E" w:rsidRPr="00BF085D" w:rsidRDefault="00F9454E" w:rsidP="00131710">
            <w:pPr>
              <w:spacing w:after="0" w:line="240" w:lineRule="auto"/>
              <w:rPr>
                <w:rFonts w:ascii="Calibri" w:eastAsia="Times New Roman" w:hAnsi="Calibri" w:cs="Calibri"/>
                <w:color w:val="000000"/>
                <w:szCs w:val="22"/>
                <w:lang w:eastAsia="en-GB"/>
              </w:rPr>
            </w:pPr>
          </w:p>
        </w:tc>
        <w:tc>
          <w:tcPr>
            <w:tcW w:w="3442" w:type="dxa"/>
            <w:tcBorders>
              <w:top w:val="single" w:sz="4" w:space="0" w:color="auto"/>
              <w:left w:val="single" w:sz="4" w:space="0" w:color="auto"/>
              <w:bottom w:val="single" w:sz="4" w:space="0" w:color="auto"/>
              <w:right w:val="single" w:sz="4" w:space="0" w:color="auto"/>
            </w:tcBorders>
          </w:tcPr>
          <w:p w14:paraId="3E5B63E9" w14:textId="3ED41443"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New application submitted</w:t>
            </w:r>
          </w:p>
        </w:tc>
        <w:tc>
          <w:tcPr>
            <w:tcW w:w="3094" w:type="dxa"/>
            <w:tcBorders>
              <w:top w:val="single" w:sz="4" w:space="0" w:color="auto"/>
              <w:left w:val="single" w:sz="4" w:space="0" w:color="auto"/>
              <w:bottom w:val="single" w:sz="4" w:space="0" w:color="auto"/>
              <w:right w:val="single" w:sz="4" w:space="0" w:color="auto"/>
            </w:tcBorders>
          </w:tcPr>
          <w:p w14:paraId="3BC6D804" w14:textId="629AB30D" w:rsidR="00F9454E"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Non CTIMP</w:t>
            </w:r>
          </w:p>
        </w:tc>
      </w:tr>
      <w:tr w:rsidR="00F9454E" w:rsidRPr="00BF085D" w14:paraId="07D3EF14" w14:textId="5659D44A" w:rsidTr="00F9454E">
        <w:trPr>
          <w:trHeight w:val="660"/>
        </w:trPr>
        <w:tc>
          <w:tcPr>
            <w:tcW w:w="3549" w:type="dxa"/>
            <w:tcBorders>
              <w:top w:val="nil"/>
              <w:left w:val="single" w:sz="4" w:space="0" w:color="auto"/>
              <w:bottom w:val="single" w:sz="4" w:space="0" w:color="auto"/>
              <w:right w:val="single" w:sz="4" w:space="0" w:color="auto"/>
            </w:tcBorders>
            <w:shd w:val="clear" w:color="auto" w:fill="auto"/>
            <w:noWrap/>
            <w:hideMark/>
          </w:tcPr>
          <w:p w14:paraId="0BBDB4F6" w14:textId="6F380EA9" w:rsidR="00F9454E" w:rsidRPr="00BF085D"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Cambridge Central</w:t>
            </w:r>
            <w:r>
              <w:rPr>
                <w:rFonts w:ascii="Calibri" w:eastAsia="Times New Roman" w:hAnsi="Calibri" w:cs="Calibri"/>
                <w:color w:val="000000"/>
                <w:szCs w:val="22"/>
                <w:lang w:eastAsia="en-GB"/>
              </w:rPr>
              <w:t xml:space="preserve"> (CTIMP)</w:t>
            </w:r>
          </w:p>
        </w:tc>
        <w:tc>
          <w:tcPr>
            <w:tcW w:w="3442" w:type="dxa"/>
            <w:tcBorders>
              <w:top w:val="nil"/>
              <w:left w:val="single" w:sz="4" w:space="0" w:color="auto"/>
              <w:bottom w:val="single" w:sz="4" w:space="0" w:color="auto"/>
              <w:right w:val="single" w:sz="4" w:space="0" w:color="auto"/>
            </w:tcBorders>
          </w:tcPr>
          <w:p w14:paraId="5E1E6D92" w14:textId="691A2E78"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nil"/>
              <w:left w:val="single" w:sz="4" w:space="0" w:color="auto"/>
              <w:bottom w:val="single" w:sz="4" w:space="0" w:color="auto"/>
              <w:right w:val="single" w:sz="4" w:space="0" w:color="auto"/>
            </w:tcBorders>
          </w:tcPr>
          <w:p w14:paraId="4F31F59F" w14:textId="49BFEF5E" w:rsidR="00F9454E"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CTIMP</w:t>
            </w:r>
          </w:p>
        </w:tc>
      </w:tr>
      <w:tr w:rsidR="00F9454E" w:rsidRPr="00BF085D" w14:paraId="30FD68E3" w14:textId="4AA8AD54" w:rsidTr="00F9454E">
        <w:trPr>
          <w:trHeight w:val="600"/>
        </w:trPr>
        <w:tc>
          <w:tcPr>
            <w:tcW w:w="3549" w:type="dxa"/>
            <w:tcBorders>
              <w:top w:val="nil"/>
              <w:left w:val="single" w:sz="4" w:space="0" w:color="auto"/>
              <w:bottom w:val="single" w:sz="4" w:space="0" w:color="auto"/>
              <w:right w:val="single" w:sz="4" w:space="0" w:color="auto"/>
            </w:tcBorders>
            <w:shd w:val="clear" w:color="auto" w:fill="auto"/>
            <w:hideMark/>
          </w:tcPr>
          <w:p w14:paraId="68877E19" w14:textId="66585B12" w:rsidR="00F9454E" w:rsidRPr="00BF085D"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G</w:t>
            </w:r>
            <w:r>
              <w:rPr>
                <w:rFonts w:ascii="Calibri" w:eastAsia="Times New Roman" w:hAnsi="Calibri" w:cs="Calibri"/>
                <w:color w:val="000000"/>
                <w:szCs w:val="22"/>
                <w:lang w:eastAsia="en-GB"/>
              </w:rPr>
              <w:t xml:space="preserve">reater </w:t>
            </w:r>
            <w:r w:rsidRPr="00131710">
              <w:rPr>
                <w:rFonts w:ascii="Calibri" w:eastAsia="Times New Roman" w:hAnsi="Calibri" w:cs="Calibri"/>
                <w:color w:val="000000"/>
                <w:szCs w:val="22"/>
                <w:lang w:eastAsia="en-GB"/>
              </w:rPr>
              <w:t>M</w:t>
            </w:r>
            <w:r>
              <w:rPr>
                <w:rFonts w:ascii="Calibri" w:eastAsia="Times New Roman" w:hAnsi="Calibri" w:cs="Calibri"/>
                <w:color w:val="000000"/>
                <w:szCs w:val="22"/>
                <w:lang w:eastAsia="en-GB"/>
              </w:rPr>
              <w:t>anchester</w:t>
            </w:r>
            <w:r w:rsidRPr="00131710">
              <w:rPr>
                <w:rFonts w:ascii="Calibri" w:eastAsia="Times New Roman" w:hAnsi="Calibri" w:cs="Calibri"/>
                <w:color w:val="000000"/>
                <w:szCs w:val="22"/>
                <w:lang w:eastAsia="en-GB"/>
              </w:rPr>
              <w:t xml:space="preserve"> Central</w:t>
            </w:r>
          </w:p>
        </w:tc>
        <w:tc>
          <w:tcPr>
            <w:tcW w:w="3442" w:type="dxa"/>
            <w:tcBorders>
              <w:top w:val="nil"/>
              <w:left w:val="single" w:sz="4" w:space="0" w:color="auto"/>
              <w:bottom w:val="single" w:sz="4" w:space="0" w:color="auto"/>
              <w:right w:val="single" w:sz="4" w:space="0" w:color="auto"/>
            </w:tcBorders>
          </w:tcPr>
          <w:p w14:paraId="4F0981CC" w14:textId="2C75B385"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nil"/>
              <w:left w:val="single" w:sz="4" w:space="0" w:color="auto"/>
              <w:bottom w:val="single" w:sz="4" w:space="0" w:color="auto"/>
              <w:right w:val="single" w:sz="4" w:space="0" w:color="auto"/>
            </w:tcBorders>
          </w:tcPr>
          <w:p w14:paraId="440E3DD1" w14:textId="082CBD4A"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148153A2" w14:textId="71664DA5" w:rsidTr="00F9454E">
        <w:trPr>
          <w:trHeight w:val="600"/>
        </w:trPr>
        <w:tc>
          <w:tcPr>
            <w:tcW w:w="3549" w:type="dxa"/>
            <w:tcBorders>
              <w:top w:val="nil"/>
              <w:left w:val="single" w:sz="4" w:space="0" w:color="auto"/>
              <w:bottom w:val="single" w:sz="4" w:space="0" w:color="auto"/>
              <w:right w:val="single" w:sz="4" w:space="0" w:color="auto"/>
            </w:tcBorders>
            <w:shd w:val="clear" w:color="auto" w:fill="auto"/>
            <w:noWrap/>
            <w:hideMark/>
          </w:tcPr>
          <w:p w14:paraId="04ADA436" w14:textId="4075F66A" w:rsidR="00F9454E" w:rsidRPr="00BF085D"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Central Bristol</w:t>
            </w:r>
          </w:p>
        </w:tc>
        <w:tc>
          <w:tcPr>
            <w:tcW w:w="3442" w:type="dxa"/>
            <w:tcBorders>
              <w:top w:val="nil"/>
              <w:left w:val="single" w:sz="4" w:space="0" w:color="auto"/>
              <w:bottom w:val="single" w:sz="4" w:space="0" w:color="auto"/>
              <w:right w:val="single" w:sz="4" w:space="0" w:color="auto"/>
            </w:tcBorders>
          </w:tcPr>
          <w:p w14:paraId="3CAF0DE8" w14:textId="3A74CDCF"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nil"/>
              <w:left w:val="single" w:sz="4" w:space="0" w:color="auto"/>
              <w:bottom w:val="single" w:sz="4" w:space="0" w:color="auto"/>
              <w:right w:val="single" w:sz="4" w:space="0" w:color="auto"/>
            </w:tcBorders>
          </w:tcPr>
          <w:p w14:paraId="7CBDA128" w14:textId="1EF8F513"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756FA571" w14:textId="11DC833B" w:rsidTr="00F9454E">
        <w:trPr>
          <w:trHeight w:val="600"/>
        </w:trPr>
        <w:tc>
          <w:tcPr>
            <w:tcW w:w="3549" w:type="dxa"/>
            <w:tcBorders>
              <w:top w:val="nil"/>
              <w:left w:val="single" w:sz="4" w:space="0" w:color="auto"/>
              <w:bottom w:val="single" w:sz="4" w:space="0" w:color="auto"/>
              <w:right w:val="single" w:sz="4" w:space="0" w:color="auto"/>
            </w:tcBorders>
            <w:shd w:val="clear" w:color="auto" w:fill="auto"/>
            <w:noWrap/>
            <w:hideMark/>
          </w:tcPr>
          <w:p w14:paraId="4072212E" w14:textId="54975BE2" w:rsidR="00F9454E" w:rsidRPr="00BF085D"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lastRenderedPageBreak/>
              <w:t>Surrey Borders</w:t>
            </w:r>
            <w:r>
              <w:rPr>
                <w:rFonts w:ascii="Calibri" w:eastAsia="Times New Roman" w:hAnsi="Calibri" w:cs="Calibri"/>
                <w:color w:val="000000"/>
                <w:szCs w:val="22"/>
                <w:lang w:eastAsia="en-GB"/>
              </w:rPr>
              <w:t xml:space="preserve"> </w:t>
            </w:r>
          </w:p>
        </w:tc>
        <w:tc>
          <w:tcPr>
            <w:tcW w:w="3442" w:type="dxa"/>
            <w:tcBorders>
              <w:top w:val="nil"/>
              <w:left w:val="single" w:sz="4" w:space="0" w:color="auto"/>
              <w:bottom w:val="single" w:sz="4" w:space="0" w:color="auto"/>
              <w:right w:val="single" w:sz="4" w:space="0" w:color="auto"/>
            </w:tcBorders>
          </w:tcPr>
          <w:p w14:paraId="235A60BC" w14:textId="2E084588"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nil"/>
              <w:left w:val="single" w:sz="4" w:space="0" w:color="auto"/>
              <w:bottom w:val="single" w:sz="4" w:space="0" w:color="auto"/>
              <w:right w:val="single" w:sz="4" w:space="0" w:color="auto"/>
            </w:tcBorders>
          </w:tcPr>
          <w:p w14:paraId="53A3201C" w14:textId="4FDEA1C2" w:rsidR="00F9454E"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CTIMP</w:t>
            </w:r>
          </w:p>
        </w:tc>
      </w:tr>
      <w:tr w:rsidR="00F9454E" w:rsidRPr="00BF085D" w14:paraId="52E6F3E2" w14:textId="3413BC6C" w:rsidTr="00F9454E">
        <w:trPr>
          <w:trHeight w:val="600"/>
        </w:trPr>
        <w:tc>
          <w:tcPr>
            <w:tcW w:w="3549" w:type="dxa"/>
            <w:tcBorders>
              <w:top w:val="single" w:sz="6" w:space="0" w:color="auto"/>
              <w:left w:val="single" w:sz="4" w:space="0" w:color="auto"/>
              <w:bottom w:val="single" w:sz="6" w:space="0" w:color="auto"/>
              <w:right w:val="single" w:sz="6" w:space="0" w:color="auto"/>
            </w:tcBorders>
            <w:shd w:val="clear" w:color="auto" w:fill="auto"/>
            <w:noWrap/>
          </w:tcPr>
          <w:p w14:paraId="154D5BBE" w14:textId="58738B51" w:rsidR="00F9454E" w:rsidRPr="00131710"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Bloomsbury</w:t>
            </w:r>
          </w:p>
        </w:tc>
        <w:tc>
          <w:tcPr>
            <w:tcW w:w="3442" w:type="dxa"/>
            <w:tcBorders>
              <w:top w:val="single" w:sz="6" w:space="0" w:color="auto"/>
              <w:left w:val="single" w:sz="6" w:space="0" w:color="auto"/>
              <w:bottom w:val="single" w:sz="6" w:space="0" w:color="auto"/>
              <w:right w:val="single" w:sz="4" w:space="0" w:color="auto"/>
            </w:tcBorders>
          </w:tcPr>
          <w:p w14:paraId="53C54B4F" w14:textId="66AAA438"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single" w:sz="6" w:space="0" w:color="auto"/>
              <w:left w:val="single" w:sz="6" w:space="0" w:color="auto"/>
              <w:bottom w:val="single" w:sz="6" w:space="0" w:color="auto"/>
              <w:right w:val="single" w:sz="4" w:space="0" w:color="auto"/>
            </w:tcBorders>
          </w:tcPr>
          <w:p w14:paraId="74304470" w14:textId="4E44EC4B"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CTIMP</w:t>
            </w:r>
          </w:p>
        </w:tc>
      </w:tr>
      <w:tr w:rsidR="00F9454E" w:rsidRPr="00BF085D" w14:paraId="638AA1F1" w14:textId="7ABE6848" w:rsidTr="00F9454E">
        <w:trPr>
          <w:trHeight w:val="600"/>
        </w:trPr>
        <w:tc>
          <w:tcPr>
            <w:tcW w:w="3549" w:type="dxa"/>
            <w:tcBorders>
              <w:top w:val="single" w:sz="6" w:space="0" w:color="auto"/>
              <w:left w:val="single" w:sz="4" w:space="0" w:color="auto"/>
              <w:bottom w:val="single" w:sz="6" w:space="0" w:color="auto"/>
              <w:right w:val="single" w:sz="6" w:space="0" w:color="auto"/>
            </w:tcBorders>
            <w:shd w:val="clear" w:color="auto" w:fill="auto"/>
            <w:noWrap/>
          </w:tcPr>
          <w:p w14:paraId="1C7B5EF4" w14:textId="579FF2FA"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Camberwell St Giles</w:t>
            </w:r>
          </w:p>
        </w:tc>
        <w:tc>
          <w:tcPr>
            <w:tcW w:w="3442" w:type="dxa"/>
            <w:tcBorders>
              <w:top w:val="single" w:sz="6" w:space="0" w:color="auto"/>
              <w:left w:val="single" w:sz="6" w:space="0" w:color="auto"/>
              <w:bottom w:val="single" w:sz="6" w:space="0" w:color="auto"/>
              <w:right w:val="single" w:sz="4" w:space="0" w:color="auto"/>
            </w:tcBorders>
          </w:tcPr>
          <w:p w14:paraId="43F6864A" w14:textId="3B6ADAA6"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single" w:sz="6" w:space="0" w:color="auto"/>
              <w:left w:val="single" w:sz="6" w:space="0" w:color="auto"/>
              <w:bottom w:val="single" w:sz="6" w:space="0" w:color="auto"/>
              <w:right w:val="single" w:sz="4" w:space="0" w:color="auto"/>
            </w:tcBorders>
          </w:tcPr>
          <w:p w14:paraId="75B38C10" w14:textId="3B98B8F2"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77C0048C" w14:textId="04113009" w:rsidTr="00F9454E">
        <w:trPr>
          <w:trHeight w:val="600"/>
        </w:trPr>
        <w:tc>
          <w:tcPr>
            <w:tcW w:w="3549" w:type="dxa"/>
            <w:tcBorders>
              <w:top w:val="single" w:sz="6" w:space="0" w:color="auto"/>
              <w:left w:val="single" w:sz="4" w:space="0" w:color="auto"/>
              <w:bottom w:val="single" w:sz="6" w:space="0" w:color="auto"/>
              <w:right w:val="single" w:sz="6" w:space="0" w:color="auto"/>
            </w:tcBorders>
            <w:shd w:val="clear" w:color="auto" w:fill="auto"/>
            <w:noWrap/>
          </w:tcPr>
          <w:p w14:paraId="05DBE510" w14:textId="6EA15E0C"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Oxford B</w:t>
            </w:r>
          </w:p>
        </w:tc>
        <w:tc>
          <w:tcPr>
            <w:tcW w:w="3442" w:type="dxa"/>
            <w:tcBorders>
              <w:top w:val="single" w:sz="6" w:space="0" w:color="auto"/>
              <w:left w:val="single" w:sz="6" w:space="0" w:color="auto"/>
              <w:bottom w:val="single" w:sz="6" w:space="0" w:color="auto"/>
              <w:right w:val="single" w:sz="4" w:space="0" w:color="auto"/>
            </w:tcBorders>
          </w:tcPr>
          <w:p w14:paraId="5FEF3B3A" w14:textId="4306046C"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single" w:sz="6" w:space="0" w:color="auto"/>
              <w:left w:val="single" w:sz="6" w:space="0" w:color="auto"/>
              <w:bottom w:val="single" w:sz="6" w:space="0" w:color="auto"/>
              <w:right w:val="single" w:sz="4" w:space="0" w:color="auto"/>
            </w:tcBorders>
          </w:tcPr>
          <w:p w14:paraId="226C843D" w14:textId="6D94E135"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4AE9DABB" w14:textId="3819F020" w:rsidTr="00F9454E">
        <w:trPr>
          <w:trHeight w:val="600"/>
        </w:trPr>
        <w:tc>
          <w:tcPr>
            <w:tcW w:w="3549" w:type="dxa"/>
            <w:tcBorders>
              <w:top w:val="single" w:sz="6" w:space="0" w:color="auto"/>
              <w:left w:val="single" w:sz="4" w:space="0" w:color="auto"/>
              <w:bottom w:val="single" w:sz="6" w:space="0" w:color="auto"/>
              <w:right w:val="single" w:sz="6" w:space="0" w:color="auto"/>
            </w:tcBorders>
            <w:shd w:val="clear" w:color="auto" w:fill="auto"/>
            <w:noWrap/>
          </w:tcPr>
          <w:p w14:paraId="76B2E82F" w14:textId="2441E8B3"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London Central</w:t>
            </w:r>
          </w:p>
        </w:tc>
        <w:tc>
          <w:tcPr>
            <w:tcW w:w="3442" w:type="dxa"/>
            <w:tcBorders>
              <w:top w:val="single" w:sz="6" w:space="0" w:color="auto"/>
              <w:left w:val="single" w:sz="6" w:space="0" w:color="auto"/>
              <w:bottom w:val="single" w:sz="6" w:space="0" w:color="auto"/>
              <w:right w:val="single" w:sz="4" w:space="0" w:color="auto"/>
            </w:tcBorders>
          </w:tcPr>
          <w:p w14:paraId="48825453" w14:textId="58E4756E"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Modified - Favourable</w:t>
            </w:r>
          </w:p>
        </w:tc>
        <w:tc>
          <w:tcPr>
            <w:tcW w:w="3094" w:type="dxa"/>
            <w:tcBorders>
              <w:top w:val="single" w:sz="6" w:space="0" w:color="auto"/>
              <w:left w:val="single" w:sz="6" w:space="0" w:color="auto"/>
              <w:bottom w:val="single" w:sz="6" w:space="0" w:color="auto"/>
              <w:right w:val="single" w:sz="4" w:space="0" w:color="auto"/>
            </w:tcBorders>
          </w:tcPr>
          <w:p w14:paraId="561DDEE7" w14:textId="6357E825"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56B3F408" w14:textId="52FD379B" w:rsidTr="00F9454E">
        <w:trPr>
          <w:trHeight w:val="600"/>
        </w:trPr>
        <w:tc>
          <w:tcPr>
            <w:tcW w:w="3549" w:type="dxa"/>
            <w:tcBorders>
              <w:top w:val="single" w:sz="6" w:space="0" w:color="auto"/>
              <w:left w:val="single" w:sz="4" w:space="0" w:color="auto"/>
              <w:bottom w:val="single" w:sz="6" w:space="0" w:color="auto"/>
              <w:right w:val="single" w:sz="6" w:space="0" w:color="auto"/>
            </w:tcBorders>
            <w:shd w:val="clear" w:color="auto" w:fill="auto"/>
            <w:noWrap/>
          </w:tcPr>
          <w:p w14:paraId="087904F7" w14:textId="19FB31F1"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Scotland A REC</w:t>
            </w:r>
          </w:p>
        </w:tc>
        <w:tc>
          <w:tcPr>
            <w:tcW w:w="3442" w:type="dxa"/>
            <w:tcBorders>
              <w:top w:val="single" w:sz="6" w:space="0" w:color="auto"/>
              <w:left w:val="single" w:sz="6" w:space="0" w:color="auto"/>
              <w:bottom w:val="single" w:sz="6" w:space="0" w:color="auto"/>
              <w:right w:val="single" w:sz="4" w:space="0" w:color="auto"/>
            </w:tcBorders>
          </w:tcPr>
          <w:p w14:paraId="25C020B8" w14:textId="0D52F823"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Appeal - Favourable</w:t>
            </w:r>
          </w:p>
        </w:tc>
        <w:tc>
          <w:tcPr>
            <w:tcW w:w="3094" w:type="dxa"/>
            <w:tcBorders>
              <w:top w:val="single" w:sz="6" w:space="0" w:color="auto"/>
              <w:left w:val="single" w:sz="6" w:space="0" w:color="auto"/>
              <w:bottom w:val="single" w:sz="6" w:space="0" w:color="auto"/>
              <w:right w:val="single" w:sz="4" w:space="0" w:color="auto"/>
            </w:tcBorders>
          </w:tcPr>
          <w:p w14:paraId="574B2088" w14:textId="315CA881"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CTIMP</w:t>
            </w:r>
          </w:p>
        </w:tc>
      </w:tr>
      <w:tr w:rsidR="00F9454E" w:rsidRPr="00BF085D" w14:paraId="145D1F59" w14:textId="782BD878" w:rsidTr="00F9454E">
        <w:trPr>
          <w:trHeight w:val="600"/>
        </w:trPr>
        <w:tc>
          <w:tcPr>
            <w:tcW w:w="3549" w:type="dxa"/>
            <w:tcBorders>
              <w:top w:val="single" w:sz="6" w:space="0" w:color="auto"/>
              <w:left w:val="single" w:sz="4" w:space="0" w:color="auto"/>
              <w:bottom w:val="single" w:sz="4" w:space="0" w:color="auto"/>
              <w:right w:val="single" w:sz="6" w:space="0" w:color="auto"/>
            </w:tcBorders>
            <w:shd w:val="clear" w:color="auto" w:fill="auto"/>
            <w:noWrap/>
          </w:tcPr>
          <w:p w14:paraId="70FB4092" w14:textId="31D54FC1"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S</w:t>
            </w:r>
            <w:r>
              <w:rPr>
                <w:rFonts w:ascii="Calibri" w:eastAsia="Times New Roman" w:hAnsi="Calibri" w:cs="Calibri"/>
                <w:color w:val="000000"/>
                <w:szCs w:val="22"/>
                <w:lang w:eastAsia="en-GB"/>
              </w:rPr>
              <w:t>outh</w:t>
            </w:r>
            <w:r w:rsidRPr="00131710">
              <w:rPr>
                <w:rFonts w:ascii="Calibri" w:eastAsia="Times New Roman" w:hAnsi="Calibri" w:cs="Calibri"/>
                <w:color w:val="000000"/>
                <w:szCs w:val="22"/>
                <w:lang w:eastAsia="en-GB"/>
              </w:rPr>
              <w:t>e</w:t>
            </w:r>
            <w:r>
              <w:rPr>
                <w:rFonts w:ascii="Calibri" w:eastAsia="Times New Roman" w:hAnsi="Calibri" w:cs="Calibri"/>
                <w:color w:val="000000"/>
                <w:szCs w:val="22"/>
                <w:lang w:eastAsia="en-GB"/>
              </w:rPr>
              <w:t xml:space="preserve">ast </w:t>
            </w:r>
            <w:r w:rsidRPr="00131710">
              <w:rPr>
                <w:rFonts w:ascii="Calibri" w:eastAsia="Times New Roman" w:hAnsi="Calibri" w:cs="Calibri"/>
                <w:color w:val="000000"/>
                <w:szCs w:val="22"/>
                <w:lang w:eastAsia="en-GB"/>
              </w:rPr>
              <w:t>S</w:t>
            </w:r>
            <w:r>
              <w:rPr>
                <w:rFonts w:ascii="Calibri" w:eastAsia="Times New Roman" w:hAnsi="Calibri" w:cs="Calibri"/>
                <w:color w:val="000000"/>
                <w:szCs w:val="22"/>
                <w:lang w:eastAsia="en-GB"/>
              </w:rPr>
              <w:t>cotland</w:t>
            </w:r>
            <w:r w:rsidRPr="00131710">
              <w:rPr>
                <w:rFonts w:ascii="Calibri" w:eastAsia="Times New Roman" w:hAnsi="Calibri" w:cs="Calibri"/>
                <w:color w:val="000000"/>
                <w:szCs w:val="22"/>
                <w:lang w:eastAsia="en-GB"/>
              </w:rPr>
              <w:t xml:space="preserve"> REC 2</w:t>
            </w:r>
          </w:p>
        </w:tc>
        <w:tc>
          <w:tcPr>
            <w:tcW w:w="3442" w:type="dxa"/>
            <w:tcBorders>
              <w:top w:val="single" w:sz="6" w:space="0" w:color="auto"/>
              <w:left w:val="single" w:sz="6" w:space="0" w:color="auto"/>
              <w:bottom w:val="single" w:sz="4" w:space="0" w:color="auto"/>
              <w:right w:val="single" w:sz="4" w:space="0" w:color="auto"/>
            </w:tcBorders>
          </w:tcPr>
          <w:p w14:paraId="71E90B23" w14:textId="5F617AF9" w:rsidR="00F9454E"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Appeal - Unfavourable</w:t>
            </w:r>
          </w:p>
        </w:tc>
        <w:tc>
          <w:tcPr>
            <w:tcW w:w="3094" w:type="dxa"/>
            <w:tcBorders>
              <w:top w:val="single" w:sz="6" w:space="0" w:color="auto"/>
              <w:left w:val="single" w:sz="6" w:space="0" w:color="auto"/>
              <w:bottom w:val="single" w:sz="4" w:space="0" w:color="auto"/>
              <w:right w:val="single" w:sz="4" w:space="0" w:color="auto"/>
            </w:tcBorders>
          </w:tcPr>
          <w:p w14:paraId="451C7658" w14:textId="0FAB67E4"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r w:rsidR="00F9454E" w:rsidRPr="00BF085D" w14:paraId="689D542B" w14:textId="6FF4E675" w:rsidTr="00F9454E">
        <w:trPr>
          <w:trHeight w:val="600"/>
        </w:trPr>
        <w:tc>
          <w:tcPr>
            <w:tcW w:w="3549" w:type="dxa"/>
            <w:tcBorders>
              <w:top w:val="single" w:sz="6" w:space="0" w:color="auto"/>
              <w:left w:val="single" w:sz="4" w:space="0" w:color="auto"/>
              <w:bottom w:val="single" w:sz="4" w:space="0" w:color="auto"/>
              <w:right w:val="single" w:sz="6" w:space="0" w:color="auto"/>
            </w:tcBorders>
            <w:shd w:val="clear" w:color="auto" w:fill="auto"/>
            <w:noWrap/>
          </w:tcPr>
          <w:p w14:paraId="37D85774" w14:textId="197AB300" w:rsidR="00F9454E" w:rsidRPr="00131710" w:rsidRDefault="00F9454E" w:rsidP="00131710">
            <w:pPr>
              <w:spacing w:after="0" w:line="240" w:lineRule="auto"/>
              <w:rPr>
                <w:rFonts w:ascii="Calibri" w:eastAsia="Times New Roman" w:hAnsi="Calibri" w:cs="Calibri"/>
                <w:color w:val="000000"/>
                <w:szCs w:val="22"/>
                <w:lang w:eastAsia="en-GB"/>
              </w:rPr>
            </w:pPr>
            <w:r w:rsidRPr="00131710">
              <w:rPr>
                <w:rFonts w:ascii="Calibri" w:eastAsia="Times New Roman" w:hAnsi="Calibri" w:cs="Calibri"/>
                <w:color w:val="000000"/>
                <w:szCs w:val="22"/>
                <w:lang w:eastAsia="en-GB"/>
              </w:rPr>
              <w:t>Tyne and Wear South</w:t>
            </w:r>
          </w:p>
        </w:tc>
        <w:tc>
          <w:tcPr>
            <w:tcW w:w="3442" w:type="dxa"/>
            <w:tcBorders>
              <w:top w:val="single" w:sz="6" w:space="0" w:color="auto"/>
              <w:left w:val="single" w:sz="6" w:space="0" w:color="auto"/>
              <w:bottom w:val="single" w:sz="4" w:space="0" w:color="auto"/>
              <w:right w:val="single" w:sz="4" w:space="0" w:color="auto"/>
            </w:tcBorders>
          </w:tcPr>
          <w:p w14:paraId="019FC035" w14:textId="4F79E0C4" w:rsidR="00F9454E" w:rsidRPr="00BF085D" w:rsidRDefault="00F9454E" w:rsidP="00131710">
            <w:pPr>
              <w:spacing w:after="0" w:line="240" w:lineRule="auto"/>
              <w:rPr>
                <w:rFonts w:ascii="Calibri" w:eastAsia="Times New Roman" w:hAnsi="Calibri" w:cs="Calibri"/>
                <w:color w:val="000000"/>
                <w:szCs w:val="22"/>
                <w:lang w:eastAsia="en-GB"/>
              </w:rPr>
            </w:pPr>
            <w:r>
              <w:rPr>
                <w:rFonts w:ascii="Calibri" w:eastAsia="Times New Roman" w:hAnsi="Calibri" w:cs="Calibri"/>
                <w:color w:val="000000"/>
                <w:szCs w:val="22"/>
                <w:lang w:eastAsia="en-GB"/>
              </w:rPr>
              <w:t>Appeal - Unfavourable</w:t>
            </w:r>
          </w:p>
        </w:tc>
        <w:tc>
          <w:tcPr>
            <w:tcW w:w="3094" w:type="dxa"/>
            <w:tcBorders>
              <w:top w:val="single" w:sz="6" w:space="0" w:color="auto"/>
              <w:left w:val="single" w:sz="6" w:space="0" w:color="auto"/>
              <w:bottom w:val="single" w:sz="4" w:space="0" w:color="auto"/>
              <w:right w:val="single" w:sz="4" w:space="0" w:color="auto"/>
            </w:tcBorders>
          </w:tcPr>
          <w:p w14:paraId="213A0433" w14:textId="38039DEC" w:rsidR="00F9454E" w:rsidRDefault="00F9454E" w:rsidP="00131710">
            <w:pPr>
              <w:spacing w:after="0" w:line="240" w:lineRule="auto"/>
              <w:rPr>
                <w:rFonts w:ascii="Calibri" w:eastAsia="Times New Roman" w:hAnsi="Calibri" w:cs="Calibri"/>
                <w:color w:val="000000"/>
                <w:szCs w:val="22"/>
                <w:lang w:eastAsia="en-GB"/>
              </w:rPr>
            </w:pPr>
            <w:r w:rsidRPr="00F9454E">
              <w:rPr>
                <w:rFonts w:ascii="Calibri" w:eastAsia="Times New Roman" w:hAnsi="Calibri" w:cs="Calibri"/>
                <w:color w:val="000000"/>
                <w:szCs w:val="22"/>
                <w:lang w:eastAsia="en-GB"/>
              </w:rPr>
              <w:t>Non CTIMP</w:t>
            </w:r>
          </w:p>
        </w:tc>
      </w:tr>
    </w:tbl>
    <w:p w14:paraId="23B4A123" w14:textId="77777777" w:rsidR="0035119E" w:rsidRDefault="0035119E" w:rsidP="001A61F6">
      <w:pPr>
        <w:spacing w:line="360" w:lineRule="auto"/>
        <w:rPr>
          <w:rFonts w:cstheme="minorHAnsi"/>
          <w:szCs w:val="22"/>
        </w:rPr>
      </w:pPr>
    </w:p>
    <w:p w14:paraId="7DCE46F0" w14:textId="6D846E14" w:rsidR="00F9454E" w:rsidRDefault="003E2BB1" w:rsidP="001A61F6">
      <w:pPr>
        <w:spacing w:line="360" w:lineRule="auto"/>
        <w:rPr>
          <w:rFonts w:cstheme="minorHAnsi"/>
          <w:szCs w:val="22"/>
        </w:rPr>
      </w:pPr>
      <w:r w:rsidRPr="003E2BB1">
        <w:rPr>
          <w:rFonts w:cstheme="minorHAnsi"/>
          <w:szCs w:val="22"/>
        </w:rPr>
        <w:t>For the studies which subsequently received a favourable opinion, further analysis has been undertaken to better understand the reason for the different opinion.</w:t>
      </w:r>
    </w:p>
    <w:p w14:paraId="747B2390" w14:textId="6B7F72A2" w:rsidR="003E2BB1" w:rsidRPr="00DC787F" w:rsidRDefault="003E2BB1" w:rsidP="00DC787F">
      <w:pPr>
        <w:pStyle w:val="ListParagraph"/>
        <w:numPr>
          <w:ilvl w:val="0"/>
          <w:numId w:val="29"/>
        </w:numPr>
        <w:spacing w:line="360" w:lineRule="auto"/>
        <w:rPr>
          <w:rFonts w:cstheme="minorHAnsi"/>
          <w:b/>
          <w:u w:val="single"/>
        </w:rPr>
      </w:pPr>
      <w:r w:rsidRPr="00DC787F">
        <w:rPr>
          <w:rFonts w:cstheme="minorHAnsi"/>
          <w:b/>
          <w:u w:val="single"/>
        </w:rPr>
        <w:t>Scotland A REC</w:t>
      </w:r>
    </w:p>
    <w:p w14:paraId="080CA1FC" w14:textId="61845B34" w:rsidR="00344EFD" w:rsidRDefault="003E2BB1" w:rsidP="001A61F6">
      <w:pPr>
        <w:spacing w:line="360" w:lineRule="auto"/>
        <w:rPr>
          <w:rFonts w:cstheme="minorHAnsi"/>
          <w:b/>
          <w:szCs w:val="22"/>
        </w:rPr>
      </w:pPr>
      <w:r>
        <w:rPr>
          <w:rFonts w:cstheme="minorHAnsi"/>
          <w:szCs w:val="22"/>
        </w:rPr>
        <w:tab/>
      </w:r>
      <w:r w:rsidR="00F9454E">
        <w:rPr>
          <w:rFonts w:cstheme="minorHAnsi"/>
          <w:szCs w:val="22"/>
        </w:rPr>
        <w:tab/>
      </w:r>
      <w:r>
        <w:rPr>
          <w:rFonts w:cstheme="minorHAnsi"/>
          <w:b/>
          <w:szCs w:val="22"/>
        </w:rPr>
        <w:t>Reason for the UFO</w:t>
      </w:r>
    </w:p>
    <w:p w14:paraId="0C63F794" w14:textId="4619513E" w:rsidR="003E2BB1" w:rsidRPr="00F9454E" w:rsidRDefault="003E2BB1" w:rsidP="003E2BB1">
      <w:pPr>
        <w:pStyle w:val="ListParagraph"/>
        <w:numPr>
          <w:ilvl w:val="1"/>
          <w:numId w:val="27"/>
        </w:numPr>
        <w:spacing w:line="360" w:lineRule="auto"/>
        <w:rPr>
          <w:rFonts w:cstheme="minorHAnsi"/>
          <w:b/>
        </w:rPr>
      </w:pPr>
      <w:r>
        <w:rPr>
          <w:rFonts w:cstheme="minorHAnsi"/>
        </w:rPr>
        <w:t>The Committee was</w:t>
      </w:r>
      <w:r w:rsidR="008F6D60">
        <w:rPr>
          <w:rFonts w:cstheme="minorHAnsi"/>
        </w:rPr>
        <w:t xml:space="preserve"> of the opinion that the changes to the inclusion and exclusion criteria </w:t>
      </w:r>
      <w:r w:rsidR="00F9454E">
        <w:rPr>
          <w:rFonts w:cstheme="minorHAnsi"/>
        </w:rPr>
        <w:t>and the addition of a participant group</w:t>
      </w:r>
      <w:r>
        <w:rPr>
          <w:rFonts w:cstheme="minorHAnsi"/>
        </w:rPr>
        <w:t xml:space="preserve"> proposed in the substantial amendment </w:t>
      </w:r>
      <w:r w:rsidR="00F9454E">
        <w:rPr>
          <w:rFonts w:cstheme="minorHAnsi"/>
        </w:rPr>
        <w:t xml:space="preserve">would make the study scientifically invalid. </w:t>
      </w:r>
    </w:p>
    <w:p w14:paraId="219EBB4E" w14:textId="77777777" w:rsidR="00F9454E" w:rsidRPr="00F9454E" w:rsidRDefault="00F9454E" w:rsidP="00F9454E">
      <w:pPr>
        <w:pStyle w:val="ListParagraph"/>
        <w:spacing w:line="360" w:lineRule="auto"/>
        <w:ind w:left="1440"/>
        <w:rPr>
          <w:rFonts w:cstheme="minorHAnsi"/>
          <w:b/>
        </w:rPr>
      </w:pPr>
    </w:p>
    <w:p w14:paraId="1742F7D7" w14:textId="3E34CFDB" w:rsidR="00F9454E" w:rsidRPr="00F9454E" w:rsidRDefault="00F9454E" w:rsidP="00F9454E">
      <w:pPr>
        <w:pStyle w:val="ListParagraph"/>
        <w:spacing w:line="360" w:lineRule="auto"/>
        <w:ind w:left="1440"/>
        <w:rPr>
          <w:rFonts w:cstheme="minorHAnsi"/>
          <w:b/>
        </w:rPr>
      </w:pPr>
      <w:r>
        <w:rPr>
          <w:rFonts w:cstheme="minorHAnsi"/>
          <w:b/>
        </w:rPr>
        <w:t>Response in the appeal letter</w:t>
      </w:r>
    </w:p>
    <w:p w14:paraId="0C7FF014" w14:textId="4674CEEF" w:rsidR="00F9454E" w:rsidRPr="008F6D60" w:rsidRDefault="00F9454E" w:rsidP="003E2BB1">
      <w:pPr>
        <w:pStyle w:val="ListParagraph"/>
        <w:numPr>
          <w:ilvl w:val="1"/>
          <w:numId w:val="27"/>
        </w:numPr>
        <w:spacing w:line="360" w:lineRule="auto"/>
        <w:rPr>
          <w:rFonts w:cstheme="minorHAnsi"/>
          <w:b/>
        </w:rPr>
      </w:pPr>
      <w:r>
        <w:rPr>
          <w:rFonts w:cstheme="minorHAnsi"/>
        </w:rPr>
        <w:t>T</w:t>
      </w:r>
      <w:r w:rsidR="008F6D60">
        <w:rPr>
          <w:rFonts w:cstheme="minorHAnsi"/>
        </w:rPr>
        <w:t xml:space="preserve">he study had not yet recruited any participants so there would be no issues with comparison of new data to previously collected data and the exclusion and inclusion criteria have been clarified but are not significantly different to the original protocol. </w:t>
      </w:r>
    </w:p>
    <w:p w14:paraId="0850B81E" w14:textId="77777777" w:rsidR="008F6D60" w:rsidRPr="008F6D60" w:rsidRDefault="008F6D60" w:rsidP="008F6D60">
      <w:pPr>
        <w:pStyle w:val="ListParagraph"/>
        <w:spacing w:line="360" w:lineRule="auto"/>
        <w:ind w:left="1440"/>
        <w:rPr>
          <w:rFonts w:cstheme="minorHAnsi"/>
          <w:b/>
        </w:rPr>
      </w:pPr>
    </w:p>
    <w:p w14:paraId="728E85F0" w14:textId="4418D92F" w:rsidR="008F6D60" w:rsidRPr="008F6D60" w:rsidRDefault="008F6D60" w:rsidP="008F6D60">
      <w:pPr>
        <w:pStyle w:val="ListParagraph"/>
        <w:spacing w:line="360" w:lineRule="auto"/>
        <w:ind w:left="1440"/>
        <w:rPr>
          <w:rFonts w:cstheme="minorHAnsi"/>
          <w:b/>
        </w:rPr>
      </w:pPr>
      <w:r>
        <w:rPr>
          <w:rFonts w:cstheme="minorHAnsi"/>
          <w:b/>
        </w:rPr>
        <w:t>Outcome of the second review</w:t>
      </w:r>
    </w:p>
    <w:p w14:paraId="2C68EDC2" w14:textId="71A88760" w:rsidR="004D17B4" w:rsidRPr="00DC787F" w:rsidRDefault="008F6D60" w:rsidP="001A61F6">
      <w:pPr>
        <w:pStyle w:val="ListParagraph"/>
        <w:numPr>
          <w:ilvl w:val="1"/>
          <w:numId w:val="27"/>
        </w:numPr>
        <w:spacing w:line="360" w:lineRule="auto"/>
        <w:rPr>
          <w:rFonts w:cstheme="minorHAnsi"/>
          <w:b/>
        </w:rPr>
      </w:pPr>
      <w:r>
        <w:rPr>
          <w:rFonts w:cstheme="minorHAnsi"/>
        </w:rPr>
        <w:t xml:space="preserve">The second REC was satisfied that the proposed changes would not compromise the scientific validity of the study as no recruitment had yet taken place. The main REC subsequently issued a favourable opinion. </w:t>
      </w:r>
    </w:p>
    <w:p w14:paraId="3840D1BF" w14:textId="77777777" w:rsidR="00DC787F" w:rsidRDefault="00DC787F" w:rsidP="001A61F6">
      <w:pPr>
        <w:spacing w:line="360" w:lineRule="auto"/>
        <w:rPr>
          <w:rFonts w:cstheme="minorHAnsi"/>
          <w:b/>
          <w:szCs w:val="22"/>
          <w:u w:val="single"/>
        </w:rPr>
      </w:pPr>
    </w:p>
    <w:p w14:paraId="7F61A539" w14:textId="4282DECF" w:rsidR="00994040" w:rsidRPr="00DC787F" w:rsidRDefault="00994040" w:rsidP="00032C5D">
      <w:pPr>
        <w:pStyle w:val="ListParagraph"/>
        <w:numPr>
          <w:ilvl w:val="0"/>
          <w:numId w:val="28"/>
        </w:numPr>
        <w:spacing w:line="360" w:lineRule="auto"/>
        <w:rPr>
          <w:rFonts w:cstheme="minorHAnsi"/>
          <w:b/>
          <w:u w:val="single"/>
        </w:rPr>
      </w:pPr>
      <w:r w:rsidRPr="00DC787F">
        <w:rPr>
          <w:rFonts w:cstheme="minorHAnsi"/>
          <w:b/>
          <w:u w:val="single"/>
        </w:rPr>
        <w:t>Comparison with previous years</w:t>
      </w:r>
    </w:p>
    <w:tbl>
      <w:tblPr>
        <w:tblStyle w:val="TableGrid"/>
        <w:tblW w:w="0" w:type="auto"/>
        <w:tblLook w:val="04A0" w:firstRow="1" w:lastRow="0" w:firstColumn="1" w:lastColumn="0" w:noHBand="0" w:noVBand="1"/>
      </w:tblPr>
      <w:tblGrid>
        <w:gridCol w:w="3510"/>
        <w:gridCol w:w="1560"/>
        <w:gridCol w:w="1701"/>
        <w:gridCol w:w="1701"/>
        <w:gridCol w:w="1716"/>
      </w:tblGrid>
      <w:tr w:rsidR="00741C8B" w14:paraId="22606433" w14:textId="77777777" w:rsidTr="004D17B4">
        <w:tc>
          <w:tcPr>
            <w:tcW w:w="3510" w:type="dxa"/>
          </w:tcPr>
          <w:p w14:paraId="262A943C" w14:textId="77777777" w:rsidR="00741C8B" w:rsidRDefault="00741C8B" w:rsidP="001A61F6">
            <w:pPr>
              <w:spacing w:line="360" w:lineRule="auto"/>
              <w:rPr>
                <w:rFonts w:cstheme="minorHAnsi"/>
                <w:szCs w:val="22"/>
              </w:rPr>
            </w:pPr>
          </w:p>
        </w:tc>
        <w:tc>
          <w:tcPr>
            <w:tcW w:w="1560" w:type="dxa"/>
          </w:tcPr>
          <w:p w14:paraId="4A858FA6" w14:textId="75D18FE5" w:rsidR="00741C8B" w:rsidRPr="00DC787F" w:rsidRDefault="004D17B4" w:rsidP="001A61F6">
            <w:pPr>
              <w:spacing w:line="360" w:lineRule="auto"/>
              <w:rPr>
                <w:rFonts w:cstheme="minorHAnsi"/>
                <w:b/>
                <w:szCs w:val="22"/>
              </w:rPr>
            </w:pPr>
            <w:r w:rsidRPr="00DC787F">
              <w:rPr>
                <w:rFonts w:cstheme="minorHAnsi"/>
                <w:b/>
                <w:szCs w:val="22"/>
              </w:rPr>
              <w:t>2013/14</w:t>
            </w:r>
          </w:p>
        </w:tc>
        <w:tc>
          <w:tcPr>
            <w:tcW w:w="1701" w:type="dxa"/>
          </w:tcPr>
          <w:p w14:paraId="00E4A295" w14:textId="038A4153" w:rsidR="00741C8B" w:rsidRPr="00DC787F" w:rsidRDefault="004D17B4" w:rsidP="001A61F6">
            <w:pPr>
              <w:spacing w:line="360" w:lineRule="auto"/>
              <w:rPr>
                <w:rFonts w:cstheme="minorHAnsi"/>
                <w:b/>
                <w:szCs w:val="22"/>
              </w:rPr>
            </w:pPr>
            <w:r w:rsidRPr="00DC787F">
              <w:rPr>
                <w:rFonts w:cstheme="minorHAnsi"/>
                <w:b/>
                <w:szCs w:val="22"/>
              </w:rPr>
              <w:t>2014/15</w:t>
            </w:r>
          </w:p>
        </w:tc>
        <w:tc>
          <w:tcPr>
            <w:tcW w:w="1701" w:type="dxa"/>
          </w:tcPr>
          <w:p w14:paraId="5E3DE859" w14:textId="69F8CDD0" w:rsidR="00741C8B" w:rsidRPr="00DC787F" w:rsidRDefault="004D17B4" w:rsidP="001A61F6">
            <w:pPr>
              <w:spacing w:line="360" w:lineRule="auto"/>
              <w:rPr>
                <w:rFonts w:cstheme="minorHAnsi"/>
                <w:b/>
                <w:szCs w:val="22"/>
              </w:rPr>
            </w:pPr>
            <w:r w:rsidRPr="00DC787F">
              <w:rPr>
                <w:rFonts w:cstheme="minorHAnsi"/>
                <w:b/>
                <w:szCs w:val="22"/>
              </w:rPr>
              <w:t>2015/16</w:t>
            </w:r>
          </w:p>
        </w:tc>
        <w:tc>
          <w:tcPr>
            <w:tcW w:w="1716" w:type="dxa"/>
          </w:tcPr>
          <w:p w14:paraId="08077D59" w14:textId="08FC9B67" w:rsidR="00741C8B" w:rsidRPr="00DC787F" w:rsidRDefault="004D17B4" w:rsidP="001A61F6">
            <w:pPr>
              <w:spacing w:line="360" w:lineRule="auto"/>
              <w:rPr>
                <w:rFonts w:cstheme="minorHAnsi"/>
                <w:b/>
                <w:szCs w:val="22"/>
              </w:rPr>
            </w:pPr>
            <w:r w:rsidRPr="00DC787F">
              <w:rPr>
                <w:rFonts w:cstheme="minorHAnsi"/>
                <w:b/>
                <w:szCs w:val="22"/>
              </w:rPr>
              <w:t>2016/17</w:t>
            </w:r>
          </w:p>
        </w:tc>
      </w:tr>
      <w:tr w:rsidR="00741C8B" w14:paraId="3D431057" w14:textId="77777777" w:rsidTr="004D17B4">
        <w:tc>
          <w:tcPr>
            <w:tcW w:w="3510" w:type="dxa"/>
          </w:tcPr>
          <w:p w14:paraId="66F0BA16" w14:textId="52309E02" w:rsidR="00741C8B" w:rsidRPr="00DC787F" w:rsidRDefault="004D17B4" w:rsidP="001A61F6">
            <w:pPr>
              <w:spacing w:line="360" w:lineRule="auto"/>
              <w:rPr>
                <w:rFonts w:cstheme="minorHAnsi"/>
                <w:b/>
                <w:szCs w:val="22"/>
              </w:rPr>
            </w:pPr>
            <w:r w:rsidRPr="00DC787F">
              <w:rPr>
                <w:rFonts w:cstheme="minorHAnsi"/>
                <w:b/>
                <w:szCs w:val="22"/>
              </w:rPr>
              <w:t>Full</w:t>
            </w:r>
          </w:p>
        </w:tc>
        <w:tc>
          <w:tcPr>
            <w:tcW w:w="1560" w:type="dxa"/>
          </w:tcPr>
          <w:p w14:paraId="3C1FDBB9" w14:textId="02FD8053" w:rsidR="00741C8B" w:rsidRDefault="004D17B4" w:rsidP="001A61F6">
            <w:pPr>
              <w:spacing w:line="360" w:lineRule="auto"/>
              <w:rPr>
                <w:rFonts w:cstheme="minorHAnsi"/>
                <w:szCs w:val="22"/>
              </w:rPr>
            </w:pPr>
            <w:r>
              <w:rPr>
                <w:rFonts w:cstheme="minorHAnsi"/>
                <w:szCs w:val="22"/>
              </w:rPr>
              <w:t>14</w:t>
            </w:r>
          </w:p>
        </w:tc>
        <w:tc>
          <w:tcPr>
            <w:tcW w:w="1701" w:type="dxa"/>
          </w:tcPr>
          <w:p w14:paraId="2D3D1A1B" w14:textId="5DE2750A" w:rsidR="00741C8B" w:rsidRDefault="004D17B4" w:rsidP="001A61F6">
            <w:pPr>
              <w:spacing w:line="360" w:lineRule="auto"/>
              <w:rPr>
                <w:rFonts w:cstheme="minorHAnsi"/>
                <w:szCs w:val="22"/>
              </w:rPr>
            </w:pPr>
            <w:r>
              <w:rPr>
                <w:rFonts w:cstheme="minorHAnsi"/>
                <w:szCs w:val="22"/>
              </w:rPr>
              <w:t>9</w:t>
            </w:r>
          </w:p>
        </w:tc>
        <w:tc>
          <w:tcPr>
            <w:tcW w:w="1701" w:type="dxa"/>
          </w:tcPr>
          <w:p w14:paraId="1C1F45BE" w14:textId="53B0EA6E" w:rsidR="00741C8B" w:rsidRDefault="004D17B4" w:rsidP="001A61F6">
            <w:pPr>
              <w:spacing w:line="360" w:lineRule="auto"/>
              <w:rPr>
                <w:rFonts w:cstheme="minorHAnsi"/>
                <w:szCs w:val="22"/>
              </w:rPr>
            </w:pPr>
            <w:r>
              <w:rPr>
                <w:rFonts w:cstheme="minorHAnsi"/>
                <w:szCs w:val="22"/>
              </w:rPr>
              <w:t>8</w:t>
            </w:r>
          </w:p>
        </w:tc>
        <w:tc>
          <w:tcPr>
            <w:tcW w:w="1716" w:type="dxa"/>
          </w:tcPr>
          <w:p w14:paraId="76C34BE2" w14:textId="451E6A15" w:rsidR="00741C8B" w:rsidRDefault="004D17B4" w:rsidP="001A61F6">
            <w:pPr>
              <w:spacing w:line="360" w:lineRule="auto"/>
              <w:rPr>
                <w:rFonts w:cstheme="minorHAnsi"/>
                <w:szCs w:val="22"/>
              </w:rPr>
            </w:pPr>
            <w:r>
              <w:rPr>
                <w:rFonts w:cstheme="minorHAnsi"/>
                <w:szCs w:val="22"/>
              </w:rPr>
              <w:t>11</w:t>
            </w:r>
          </w:p>
        </w:tc>
      </w:tr>
      <w:tr w:rsidR="00741C8B" w14:paraId="747CEFF4" w14:textId="77777777" w:rsidTr="004D17B4">
        <w:tc>
          <w:tcPr>
            <w:tcW w:w="3510" w:type="dxa"/>
          </w:tcPr>
          <w:p w14:paraId="50D6C188" w14:textId="2E2A92DD" w:rsidR="00741C8B" w:rsidRPr="00DC787F" w:rsidRDefault="004D17B4" w:rsidP="001A61F6">
            <w:pPr>
              <w:spacing w:line="360" w:lineRule="auto"/>
              <w:rPr>
                <w:rFonts w:cstheme="minorHAnsi"/>
                <w:b/>
                <w:szCs w:val="22"/>
              </w:rPr>
            </w:pPr>
            <w:r w:rsidRPr="00DC787F">
              <w:rPr>
                <w:rFonts w:cstheme="minorHAnsi"/>
                <w:b/>
                <w:szCs w:val="22"/>
              </w:rPr>
              <w:t>Substantial amendments</w:t>
            </w:r>
          </w:p>
        </w:tc>
        <w:tc>
          <w:tcPr>
            <w:tcW w:w="1560" w:type="dxa"/>
          </w:tcPr>
          <w:p w14:paraId="59CB55C5" w14:textId="3AD88597" w:rsidR="00741C8B" w:rsidRDefault="004D17B4" w:rsidP="001A61F6">
            <w:pPr>
              <w:spacing w:line="360" w:lineRule="auto"/>
              <w:rPr>
                <w:rFonts w:cstheme="minorHAnsi"/>
                <w:szCs w:val="22"/>
              </w:rPr>
            </w:pPr>
            <w:r>
              <w:rPr>
                <w:rFonts w:cstheme="minorHAnsi"/>
                <w:szCs w:val="22"/>
              </w:rPr>
              <w:t>10</w:t>
            </w:r>
          </w:p>
        </w:tc>
        <w:tc>
          <w:tcPr>
            <w:tcW w:w="1701" w:type="dxa"/>
          </w:tcPr>
          <w:p w14:paraId="68A65ED3" w14:textId="1F89C328" w:rsidR="00741C8B" w:rsidRDefault="004D17B4" w:rsidP="001A61F6">
            <w:pPr>
              <w:spacing w:line="360" w:lineRule="auto"/>
              <w:rPr>
                <w:rFonts w:cstheme="minorHAnsi"/>
                <w:szCs w:val="22"/>
              </w:rPr>
            </w:pPr>
            <w:r>
              <w:rPr>
                <w:rFonts w:cstheme="minorHAnsi"/>
                <w:szCs w:val="22"/>
              </w:rPr>
              <w:t>7</w:t>
            </w:r>
          </w:p>
        </w:tc>
        <w:tc>
          <w:tcPr>
            <w:tcW w:w="1701" w:type="dxa"/>
          </w:tcPr>
          <w:p w14:paraId="5190B2F2" w14:textId="03108C15" w:rsidR="00741C8B" w:rsidRDefault="004D17B4" w:rsidP="001A61F6">
            <w:pPr>
              <w:spacing w:line="360" w:lineRule="auto"/>
              <w:rPr>
                <w:rFonts w:cstheme="minorHAnsi"/>
                <w:szCs w:val="22"/>
              </w:rPr>
            </w:pPr>
            <w:r>
              <w:rPr>
                <w:rFonts w:cstheme="minorHAnsi"/>
                <w:szCs w:val="22"/>
              </w:rPr>
              <w:t>7</w:t>
            </w:r>
          </w:p>
        </w:tc>
        <w:tc>
          <w:tcPr>
            <w:tcW w:w="1716" w:type="dxa"/>
          </w:tcPr>
          <w:p w14:paraId="372DD624" w14:textId="2CDABE19" w:rsidR="00741C8B" w:rsidRDefault="004D17B4" w:rsidP="001A61F6">
            <w:pPr>
              <w:spacing w:line="360" w:lineRule="auto"/>
              <w:rPr>
                <w:rFonts w:cstheme="minorHAnsi"/>
                <w:szCs w:val="22"/>
              </w:rPr>
            </w:pPr>
            <w:r>
              <w:rPr>
                <w:rFonts w:cstheme="minorHAnsi"/>
                <w:szCs w:val="22"/>
              </w:rPr>
              <w:t>12</w:t>
            </w:r>
          </w:p>
        </w:tc>
      </w:tr>
    </w:tbl>
    <w:p w14:paraId="0D4ECE64" w14:textId="77777777" w:rsidR="00344EFD" w:rsidRDefault="00344EFD" w:rsidP="001A61F6">
      <w:pPr>
        <w:spacing w:line="360" w:lineRule="auto"/>
        <w:rPr>
          <w:rFonts w:cstheme="minorHAnsi"/>
          <w:szCs w:val="22"/>
        </w:rPr>
      </w:pPr>
    </w:p>
    <w:p w14:paraId="7D3E5DE6" w14:textId="72D343ED" w:rsidR="004D5FB9" w:rsidRPr="00032C5D" w:rsidRDefault="0035119E" w:rsidP="00032C5D">
      <w:pPr>
        <w:pStyle w:val="ListParagraph"/>
        <w:numPr>
          <w:ilvl w:val="0"/>
          <w:numId w:val="28"/>
        </w:numPr>
        <w:spacing w:line="360" w:lineRule="auto"/>
        <w:rPr>
          <w:rFonts w:cstheme="minorHAnsi"/>
          <w:b/>
          <w:u w:val="single"/>
        </w:rPr>
      </w:pPr>
      <w:r w:rsidRPr="00032C5D">
        <w:rPr>
          <w:rFonts w:cstheme="minorHAnsi"/>
          <w:b/>
          <w:u w:val="single"/>
        </w:rPr>
        <w:t>Observations and Conclusions.</w:t>
      </w:r>
    </w:p>
    <w:p w14:paraId="7D358133" w14:textId="4D5CEFFA" w:rsidR="0035119E" w:rsidRDefault="0035119E" w:rsidP="00AC02C3">
      <w:pPr>
        <w:pStyle w:val="ListParagraph"/>
        <w:numPr>
          <w:ilvl w:val="0"/>
          <w:numId w:val="25"/>
        </w:numPr>
        <w:spacing w:line="360" w:lineRule="auto"/>
        <w:rPr>
          <w:rFonts w:cstheme="minorHAnsi"/>
        </w:rPr>
      </w:pPr>
      <w:r>
        <w:rPr>
          <w:rFonts w:cstheme="minorHAnsi"/>
        </w:rPr>
        <w:t xml:space="preserve">The number of requests to appeal unfavourable opinions </w:t>
      </w:r>
      <w:r w:rsidR="00EE595D">
        <w:rPr>
          <w:rFonts w:cstheme="minorHAnsi"/>
        </w:rPr>
        <w:t>continues to be</w:t>
      </w:r>
      <w:r>
        <w:rPr>
          <w:rFonts w:cstheme="minorHAnsi"/>
        </w:rPr>
        <w:t xml:space="preserve"> very low in comparison to the number of unfavourable opinions issued (which in turn is relatively low compared to the overall number of applications reviewed</w:t>
      </w:r>
      <w:r w:rsidR="00B426F2">
        <w:rPr>
          <w:rFonts w:cstheme="minorHAnsi"/>
        </w:rPr>
        <w:t xml:space="preserve"> - 5%</w:t>
      </w:r>
      <w:r>
        <w:rPr>
          <w:rFonts w:cstheme="minorHAnsi"/>
        </w:rPr>
        <w:t>).</w:t>
      </w:r>
    </w:p>
    <w:p w14:paraId="6FEAF177" w14:textId="79673396" w:rsidR="00AC02C3" w:rsidRPr="0035119E" w:rsidRDefault="00DC787F" w:rsidP="00AC02C3">
      <w:pPr>
        <w:pStyle w:val="ListParagraph"/>
        <w:numPr>
          <w:ilvl w:val="0"/>
          <w:numId w:val="25"/>
        </w:numPr>
        <w:spacing w:line="360" w:lineRule="auto"/>
        <w:rPr>
          <w:rFonts w:asciiTheme="majorHAnsi" w:hAnsiTheme="majorHAnsi" w:cstheme="majorHAnsi"/>
        </w:rPr>
      </w:pPr>
      <w:r>
        <w:rPr>
          <w:rFonts w:asciiTheme="majorHAnsi" w:hAnsiTheme="majorHAnsi" w:cstheme="majorHAnsi"/>
        </w:rPr>
        <w:t>There were no notable issues identified during this reporting period which were deemed to warrant further consideration.</w:t>
      </w:r>
    </w:p>
    <w:sectPr w:rsidR="00AC02C3" w:rsidRPr="0035119E" w:rsidSect="00BA53C2">
      <w:headerReference w:type="default" r:id="rId9"/>
      <w:footerReference w:type="default" r:id="rId10"/>
      <w:headerReference w:type="first" r:id="rId11"/>
      <w:footerReference w:type="first" r:id="rId12"/>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5F7C56" w:rsidRDefault="005F7C56" w:rsidP="00234F6D">
      <w:r>
        <w:separator/>
      </w:r>
    </w:p>
  </w:endnote>
  <w:endnote w:type="continuationSeparator" w:id="0">
    <w:p w14:paraId="26204E06" w14:textId="77777777" w:rsidR="005F7C56" w:rsidRDefault="005F7C5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18409"/>
      <w:docPartObj>
        <w:docPartGallery w:val="Page Numbers (Bottom of Page)"/>
        <w:docPartUnique/>
      </w:docPartObj>
    </w:sdtPr>
    <w:sdtEndPr>
      <w:rPr>
        <w:noProof/>
      </w:rPr>
    </w:sdtEndPr>
    <w:sdtContent>
      <w:p w14:paraId="0197AAB6" w14:textId="7771B9AA" w:rsidR="003C2EEA" w:rsidRDefault="003C2EEA">
        <w:pPr>
          <w:pStyle w:val="Footer"/>
          <w:jc w:val="right"/>
        </w:pPr>
        <w:r>
          <w:fldChar w:fldCharType="begin"/>
        </w:r>
        <w:r>
          <w:instrText xml:space="preserve"> PAGE   \* MERGEFORMAT </w:instrText>
        </w:r>
        <w:r>
          <w:fldChar w:fldCharType="separate"/>
        </w:r>
        <w:r w:rsidR="000013C7">
          <w:rPr>
            <w:noProof/>
          </w:rPr>
          <w:t>2</w:t>
        </w:r>
        <w:r>
          <w:rPr>
            <w:noProof/>
          </w:rPr>
          <w:fldChar w:fldCharType="end"/>
        </w:r>
      </w:p>
    </w:sdtContent>
  </w:sdt>
  <w:p w14:paraId="30437931" w14:textId="77FEB5F7"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5F7C56" w:rsidRDefault="005F7C56" w:rsidP="00234F6D">
      <w:r>
        <w:separator/>
      </w:r>
    </w:p>
  </w:footnote>
  <w:footnote w:type="continuationSeparator" w:id="0">
    <w:p w14:paraId="4B241839" w14:textId="77777777" w:rsidR="005F7C56" w:rsidRDefault="005F7C56" w:rsidP="00234F6D">
      <w:r>
        <w:continuationSeparator/>
      </w:r>
    </w:p>
  </w:footnote>
  <w:footnote w:id="1">
    <w:p w14:paraId="5CD08182" w14:textId="21C116B2" w:rsidR="00D25A8F" w:rsidRDefault="00D25A8F">
      <w:pPr>
        <w:pStyle w:val="FootnoteText"/>
      </w:pPr>
      <w:r>
        <w:rPr>
          <w:rStyle w:val="FootnoteReference"/>
        </w:rPr>
        <w:footnoteRef/>
      </w:r>
      <w:r>
        <w:t xml:space="preserve"> Th</w:t>
      </w:r>
      <w:r w:rsidR="000013C7">
        <w:t>e REC had initially been of the opinion that inclusion of the control group was not justified and issued an unfavourable opinion on this basis. In the appeal letter, the sponsor highlighted a letter from the FDA which had been submitted with the application which provided this justification. The REC had overlooked this during this initial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1FDE74CD"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r w:rsidR="00DC787F">
      <w:t>V1.</w:t>
    </w:r>
    <w:r w:rsidR="000013C7">
      <w:t>2</w:t>
    </w:r>
    <w:r w:rsidR="00DC787F">
      <w:t xml:space="preserve"> </w:t>
    </w:r>
    <w:r w:rsidR="000013C7">
      <w:t>25</w:t>
    </w:r>
    <w:r w:rsidR="00DC787F">
      <w:t>/</w:t>
    </w:r>
    <w:r w:rsidR="000013C7">
      <w:t>10</w:t>
    </w:r>
    <w:r w:rsidR="00DC787F">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7A7A4F61"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r w:rsidR="00AC02C3">
      <w:t>V1.</w:t>
    </w:r>
    <w:r w:rsidR="000013C7">
      <w:t>2</w:t>
    </w:r>
    <w:r w:rsidR="004D17B4">
      <w:t xml:space="preserve"> </w:t>
    </w:r>
    <w:r w:rsidR="000013C7">
      <w:t>25</w:t>
    </w:r>
    <w:r w:rsidR="004D17B4">
      <w:t>.</w:t>
    </w:r>
    <w:r w:rsidR="000013C7">
      <w:t>10</w:t>
    </w:r>
    <w:r w:rsidR="004D17B4">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17292336"/>
    <w:multiLevelType w:val="hybridMultilevel"/>
    <w:tmpl w:val="0FFCA274"/>
    <w:lvl w:ilvl="0" w:tplc="B2F05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99A6C38"/>
    <w:multiLevelType w:val="hybridMultilevel"/>
    <w:tmpl w:val="FE8253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C7DC5"/>
    <w:multiLevelType w:val="hybridMultilevel"/>
    <w:tmpl w:val="7E24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13771B"/>
    <w:multiLevelType w:val="hybridMultilevel"/>
    <w:tmpl w:val="F4E22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45CBD"/>
    <w:multiLevelType w:val="hybridMultilevel"/>
    <w:tmpl w:val="42342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7317BB"/>
    <w:multiLevelType w:val="hybridMultilevel"/>
    <w:tmpl w:val="973EACE2"/>
    <w:lvl w:ilvl="0" w:tplc="08090013">
      <w:start w:val="1"/>
      <w:numFmt w:val="upperRoman"/>
      <w:lvlText w:val="%1."/>
      <w:lvlJc w:val="righ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32F0F"/>
    <w:multiLevelType w:val="hybridMultilevel"/>
    <w:tmpl w:val="DC3C80C0"/>
    <w:lvl w:ilvl="0" w:tplc="7992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B94887"/>
    <w:multiLevelType w:val="hybridMultilevel"/>
    <w:tmpl w:val="3B9AE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4E03D7"/>
    <w:multiLevelType w:val="hybridMultilevel"/>
    <w:tmpl w:val="628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4810D5"/>
    <w:multiLevelType w:val="hybridMultilevel"/>
    <w:tmpl w:val="CB8C7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B50B41"/>
    <w:multiLevelType w:val="hybridMultilevel"/>
    <w:tmpl w:val="BF8CD0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73491"/>
    <w:multiLevelType w:val="hybridMultilevel"/>
    <w:tmpl w:val="1570E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05937"/>
    <w:multiLevelType w:val="hybridMultilevel"/>
    <w:tmpl w:val="47F4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595182"/>
    <w:multiLevelType w:val="hybridMultilevel"/>
    <w:tmpl w:val="EBACE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CFC1A86"/>
    <w:multiLevelType w:val="hybridMultilevel"/>
    <w:tmpl w:val="9042E052"/>
    <w:lvl w:ilvl="0" w:tplc="EE829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5"/>
  </w:num>
  <w:num w:numId="13">
    <w:abstractNumId w:val="23"/>
  </w:num>
  <w:num w:numId="14">
    <w:abstractNumId w:val="18"/>
  </w:num>
  <w:num w:numId="15">
    <w:abstractNumId w:val="14"/>
  </w:num>
  <w:num w:numId="16">
    <w:abstractNumId w:val="11"/>
  </w:num>
  <w:num w:numId="17">
    <w:abstractNumId w:val="21"/>
  </w:num>
  <w:num w:numId="18">
    <w:abstractNumId w:val="28"/>
  </w:num>
  <w:num w:numId="19">
    <w:abstractNumId w:val="19"/>
  </w:num>
  <w:num w:numId="20">
    <w:abstractNumId w:val="16"/>
  </w:num>
  <w:num w:numId="21">
    <w:abstractNumId w:val="27"/>
  </w:num>
  <w:num w:numId="22">
    <w:abstractNumId w:val="20"/>
  </w:num>
  <w:num w:numId="23">
    <w:abstractNumId w:val="13"/>
  </w:num>
  <w:num w:numId="24">
    <w:abstractNumId w:val="26"/>
  </w:num>
  <w:num w:numId="25">
    <w:abstractNumId w:val="12"/>
  </w:num>
  <w:num w:numId="26">
    <w:abstractNumId w:val="22"/>
  </w:num>
  <w:num w:numId="27">
    <w:abstractNumId w:val="17"/>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13C7"/>
    <w:rsid w:val="00006F21"/>
    <w:rsid w:val="00021D9A"/>
    <w:rsid w:val="00032C5D"/>
    <w:rsid w:val="000549DD"/>
    <w:rsid w:val="000676CD"/>
    <w:rsid w:val="00076F16"/>
    <w:rsid w:val="000C7CF4"/>
    <w:rsid w:val="00131710"/>
    <w:rsid w:val="001444A7"/>
    <w:rsid w:val="00191996"/>
    <w:rsid w:val="001A3E68"/>
    <w:rsid w:val="001A61F6"/>
    <w:rsid w:val="001B16DC"/>
    <w:rsid w:val="001B3833"/>
    <w:rsid w:val="001B41C4"/>
    <w:rsid w:val="001C1ED0"/>
    <w:rsid w:val="002126E2"/>
    <w:rsid w:val="00234F6D"/>
    <w:rsid w:val="00235687"/>
    <w:rsid w:val="00236E57"/>
    <w:rsid w:val="00266F06"/>
    <w:rsid w:val="002676B7"/>
    <w:rsid w:val="002B1CB1"/>
    <w:rsid w:val="00344EFD"/>
    <w:rsid w:val="00350036"/>
    <w:rsid w:val="0035119E"/>
    <w:rsid w:val="00373AEE"/>
    <w:rsid w:val="00377742"/>
    <w:rsid w:val="00381946"/>
    <w:rsid w:val="003A1578"/>
    <w:rsid w:val="003C2EEA"/>
    <w:rsid w:val="003E2BB1"/>
    <w:rsid w:val="003E5CA2"/>
    <w:rsid w:val="00411D67"/>
    <w:rsid w:val="0044745A"/>
    <w:rsid w:val="0046376B"/>
    <w:rsid w:val="00497CB0"/>
    <w:rsid w:val="004D17B4"/>
    <w:rsid w:val="004D5FB9"/>
    <w:rsid w:val="00523513"/>
    <w:rsid w:val="005D12F5"/>
    <w:rsid w:val="005F7C56"/>
    <w:rsid w:val="00606FB5"/>
    <w:rsid w:val="0062695D"/>
    <w:rsid w:val="00640A8A"/>
    <w:rsid w:val="00677E9A"/>
    <w:rsid w:val="00741C8B"/>
    <w:rsid w:val="00753946"/>
    <w:rsid w:val="007661E4"/>
    <w:rsid w:val="007F7C65"/>
    <w:rsid w:val="0081047C"/>
    <w:rsid w:val="00880C3E"/>
    <w:rsid w:val="008C3919"/>
    <w:rsid w:val="008E69C8"/>
    <w:rsid w:val="008F0C9F"/>
    <w:rsid w:val="008F6D60"/>
    <w:rsid w:val="008F7008"/>
    <w:rsid w:val="00903C63"/>
    <w:rsid w:val="00931534"/>
    <w:rsid w:val="00983566"/>
    <w:rsid w:val="00994040"/>
    <w:rsid w:val="009976D3"/>
    <w:rsid w:val="009C22B2"/>
    <w:rsid w:val="009F1DA9"/>
    <w:rsid w:val="00A13F7C"/>
    <w:rsid w:val="00A40045"/>
    <w:rsid w:val="00A966D1"/>
    <w:rsid w:val="00AC02C3"/>
    <w:rsid w:val="00AE26F2"/>
    <w:rsid w:val="00AF48E1"/>
    <w:rsid w:val="00B17F61"/>
    <w:rsid w:val="00B426F2"/>
    <w:rsid w:val="00B678E1"/>
    <w:rsid w:val="00B678FD"/>
    <w:rsid w:val="00B75230"/>
    <w:rsid w:val="00B90470"/>
    <w:rsid w:val="00BA53C2"/>
    <w:rsid w:val="00BB61F4"/>
    <w:rsid w:val="00BE008E"/>
    <w:rsid w:val="00BE086A"/>
    <w:rsid w:val="00BF085D"/>
    <w:rsid w:val="00C47D48"/>
    <w:rsid w:val="00C5704F"/>
    <w:rsid w:val="00C61B86"/>
    <w:rsid w:val="00C83FDB"/>
    <w:rsid w:val="00C84257"/>
    <w:rsid w:val="00CB2B1E"/>
    <w:rsid w:val="00CB5C9E"/>
    <w:rsid w:val="00CD581A"/>
    <w:rsid w:val="00CE060B"/>
    <w:rsid w:val="00D10D33"/>
    <w:rsid w:val="00D113AF"/>
    <w:rsid w:val="00D25A8F"/>
    <w:rsid w:val="00D25F4A"/>
    <w:rsid w:val="00D31CF8"/>
    <w:rsid w:val="00D5595B"/>
    <w:rsid w:val="00D706FE"/>
    <w:rsid w:val="00D91008"/>
    <w:rsid w:val="00DA6A8F"/>
    <w:rsid w:val="00DB7C49"/>
    <w:rsid w:val="00DC787F"/>
    <w:rsid w:val="00DF5277"/>
    <w:rsid w:val="00E365A2"/>
    <w:rsid w:val="00E46FDA"/>
    <w:rsid w:val="00E612F8"/>
    <w:rsid w:val="00E73549"/>
    <w:rsid w:val="00E872B1"/>
    <w:rsid w:val="00E94CA1"/>
    <w:rsid w:val="00E94CFB"/>
    <w:rsid w:val="00EC7D8F"/>
    <w:rsid w:val="00EE595D"/>
    <w:rsid w:val="00F91FBF"/>
    <w:rsid w:val="00F9454E"/>
    <w:rsid w:val="00F975CC"/>
    <w:rsid w:val="00FA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customStyle="1" w:styleId="Default">
    <w:name w:val="Default"/>
    <w:rsid w:val="009976D3"/>
    <w:pPr>
      <w:autoSpaceDE w:val="0"/>
      <w:autoSpaceDN w:val="0"/>
      <w:adjustRightInd w:val="0"/>
    </w:pPr>
    <w:rPr>
      <w:rFonts w:ascii="Calibri" w:hAnsi="Calibri" w:cs="Calibri"/>
      <w:color w:val="000000"/>
      <w:lang w:val="en-GB"/>
    </w:rPr>
  </w:style>
  <w:style w:type="paragraph" w:styleId="FootnoteText">
    <w:name w:val="footnote text"/>
    <w:basedOn w:val="Normal"/>
    <w:link w:val="FootnoteTextChar"/>
    <w:uiPriority w:val="99"/>
    <w:semiHidden/>
    <w:unhideWhenUsed/>
    <w:rsid w:val="000549DD"/>
    <w:pPr>
      <w:spacing w:after="0" w:line="240"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0549DD"/>
    <w:rPr>
      <w:rFonts w:ascii="Calibri" w:eastAsiaTheme="minorHAnsi" w:hAnsi="Calibri" w:cs="Calibri"/>
      <w:sz w:val="20"/>
      <w:szCs w:val="20"/>
      <w:lang w:val="en-GB"/>
    </w:rPr>
  </w:style>
  <w:style w:type="character" w:styleId="FootnoteReference">
    <w:name w:val="footnote reference"/>
    <w:basedOn w:val="DefaultParagraphFont"/>
    <w:uiPriority w:val="99"/>
    <w:semiHidden/>
    <w:unhideWhenUsed/>
    <w:rsid w:val="000549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paragraph" w:customStyle="1" w:styleId="Default">
    <w:name w:val="Default"/>
    <w:rsid w:val="009976D3"/>
    <w:pPr>
      <w:autoSpaceDE w:val="0"/>
      <w:autoSpaceDN w:val="0"/>
      <w:adjustRightInd w:val="0"/>
    </w:pPr>
    <w:rPr>
      <w:rFonts w:ascii="Calibri" w:hAnsi="Calibri" w:cs="Calibri"/>
      <w:color w:val="000000"/>
      <w:lang w:val="en-GB"/>
    </w:rPr>
  </w:style>
  <w:style w:type="paragraph" w:styleId="FootnoteText">
    <w:name w:val="footnote text"/>
    <w:basedOn w:val="Normal"/>
    <w:link w:val="FootnoteTextChar"/>
    <w:uiPriority w:val="99"/>
    <w:semiHidden/>
    <w:unhideWhenUsed/>
    <w:rsid w:val="000549DD"/>
    <w:pPr>
      <w:spacing w:after="0" w:line="240" w:lineRule="auto"/>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0549DD"/>
    <w:rPr>
      <w:rFonts w:ascii="Calibri" w:eastAsiaTheme="minorHAnsi" w:hAnsi="Calibri" w:cs="Calibri"/>
      <w:sz w:val="20"/>
      <w:szCs w:val="20"/>
      <w:lang w:val="en-GB"/>
    </w:rPr>
  </w:style>
  <w:style w:type="character" w:styleId="FootnoteReference">
    <w:name w:val="footnote reference"/>
    <w:basedOn w:val="DefaultParagraphFont"/>
    <w:uiPriority w:val="99"/>
    <w:semiHidden/>
    <w:unhideWhenUsed/>
    <w:rsid w:val="00054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A7CF-08A8-490A-9E43-72DC14C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Catherine Blewett</cp:lastModifiedBy>
  <cp:revision>2</cp:revision>
  <cp:lastPrinted>2013-10-28T13:02:00Z</cp:lastPrinted>
  <dcterms:created xsi:type="dcterms:W3CDTF">2017-10-25T14:14:00Z</dcterms:created>
  <dcterms:modified xsi:type="dcterms:W3CDTF">2017-10-25T14:14:00Z</dcterms:modified>
</cp:coreProperties>
</file>