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30" w:rsidRDefault="00CE7F7A" w:rsidP="00682E30">
      <w:pPr>
        <w:pStyle w:val="NoSpacing"/>
        <w:jc w:val="right"/>
        <w:rPr>
          <w:rFonts w:ascii="Arial" w:hAnsi="Arial" w:cs="Arial"/>
          <w:b/>
          <w:noProof/>
          <w:lang w:val="en-GB" w:eastAsia="en-GB"/>
        </w:rPr>
      </w:pPr>
      <w:r>
        <w:rPr>
          <w:noProof/>
          <w:lang w:eastAsia="en-GB"/>
        </w:rPr>
        <w:drawing>
          <wp:anchor distT="0" distB="0" distL="114300" distR="114300" simplePos="0" relativeHeight="251658240" behindDoc="1" locked="0" layoutInCell="1" allowOverlap="1">
            <wp:simplePos x="0" y="0"/>
            <wp:positionH relativeFrom="column">
              <wp:posOffset>4625059</wp:posOffset>
            </wp:positionH>
            <wp:positionV relativeFrom="paragraph">
              <wp:posOffset>-574158</wp:posOffset>
            </wp:positionV>
            <wp:extent cx="1452689" cy="76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6" cstate="print">
                      <a:extLst>
                        <a:ext uri="{28A0092B-C50C-407E-A947-70E740481C1C}">
                          <a14:useLocalDpi xmlns:a14="http://schemas.microsoft.com/office/drawing/2010/main" val="0"/>
                        </a:ext>
                      </a:extLst>
                    </a:blip>
                    <a:srcRect l="44812" t="17406" r="7819" b="27031"/>
                    <a:stretch/>
                  </pic:blipFill>
                  <pic:spPr bwMode="auto">
                    <a:xfrm>
                      <a:off x="0" y="0"/>
                      <a:ext cx="1452689" cy="7655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2E30" w:rsidRPr="00FF7CBA" w:rsidRDefault="00682E30" w:rsidP="00682E30">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82E30" w:rsidTr="005B6B5F">
        <w:tc>
          <w:tcPr>
            <w:tcW w:w="3420" w:type="dxa"/>
          </w:tcPr>
          <w:p w:rsidR="00682E30" w:rsidRPr="001B0E16" w:rsidRDefault="00682E30" w:rsidP="005B6B5F">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682E30" w:rsidRPr="001B0E16" w:rsidRDefault="00CE7F7A" w:rsidP="005B6B5F">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682E30" w:rsidTr="005B6B5F">
        <w:tc>
          <w:tcPr>
            <w:tcW w:w="3420" w:type="dxa"/>
          </w:tcPr>
          <w:p w:rsidR="00682E30" w:rsidRPr="001B0E16" w:rsidRDefault="00682E30" w:rsidP="005B6B5F">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682E30" w:rsidRPr="001B0E16" w:rsidRDefault="00CE7F7A" w:rsidP="005B6B5F">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B</w:t>
            </w:r>
          </w:p>
        </w:tc>
      </w:tr>
    </w:tbl>
    <w:p w:rsidR="00682E30" w:rsidRPr="0000688A" w:rsidRDefault="00682E30" w:rsidP="00682E30">
      <w:pPr>
        <w:spacing w:after="0"/>
        <w:jc w:val="center"/>
        <w:rPr>
          <w:rFonts w:asciiTheme="minorHAnsi" w:hAnsiTheme="minorHAnsi" w:cstheme="minorHAnsi"/>
          <w:b/>
          <w:sz w:val="24"/>
          <w:szCs w:val="24"/>
        </w:rPr>
      </w:pPr>
    </w:p>
    <w:p w:rsidR="00682E30" w:rsidRDefault="00682E30" w:rsidP="00682E30">
      <w:pPr>
        <w:spacing w:after="0"/>
        <w:jc w:val="center"/>
        <w:rPr>
          <w:rFonts w:asciiTheme="minorHAnsi" w:hAnsiTheme="minorHAnsi" w:cstheme="minorHAnsi"/>
          <w:b/>
          <w:sz w:val="40"/>
          <w:szCs w:val="40"/>
        </w:rPr>
      </w:pPr>
    </w:p>
    <w:p w:rsidR="00682E30" w:rsidRDefault="00682E30" w:rsidP="00682E30">
      <w:pPr>
        <w:spacing w:after="0" w:line="240" w:lineRule="auto"/>
        <w:jc w:val="center"/>
        <w:rPr>
          <w:rFonts w:asciiTheme="minorHAnsi" w:hAnsiTheme="minorHAnsi" w:cstheme="minorHAnsi"/>
          <w:b/>
          <w:sz w:val="24"/>
          <w:szCs w:val="24"/>
        </w:rPr>
      </w:pPr>
    </w:p>
    <w:p w:rsidR="00682E30" w:rsidRPr="00CE7F7A" w:rsidRDefault="00682E30" w:rsidP="00682E30">
      <w:pPr>
        <w:spacing w:after="0" w:line="240" w:lineRule="auto"/>
        <w:jc w:val="center"/>
        <w:rPr>
          <w:rFonts w:asciiTheme="minorHAnsi" w:hAnsiTheme="minorHAnsi" w:cstheme="minorHAnsi"/>
          <w:b/>
          <w:sz w:val="12"/>
          <w:szCs w:val="24"/>
        </w:rPr>
      </w:pPr>
    </w:p>
    <w:p w:rsidR="00682E30" w:rsidRPr="00151DBF" w:rsidRDefault="00682E30" w:rsidP="00682E30">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682E30" w:rsidRPr="00CE7F7A" w:rsidRDefault="00682E30" w:rsidP="00682E30">
      <w:pPr>
        <w:spacing w:after="0"/>
        <w:jc w:val="center"/>
        <w:rPr>
          <w:rFonts w:asciiTheme="minorHAnsi" w:hAnsiTheme="minorHAnsi" w:cstheme="minorHAnsi"/>
          <w:b/>
          <w:sz w:val="12"/>
          <w:szCs w:val="24"/>
        </w:rPr>
      </w:pPr>
    </w:p>
    <w:tbl>
      <w:tblPr>
        <w:tblStyle w:val="TableGrid"/>
        <w:tblW w:w="0" w:type="auto"/>
        <w:tblLook w:val="04A0" w:firstRow="1" w:lastRow="0" w:firstColumn="1" w:lastColumn="0" w:noHBand="0" w:noVBand="1"/>
      </w:tblPr>
      <w:tblGrid>
        <w:gridCol w:w="2628"/>
        <w:gridCol w:w="1350"/>
        <w:gridCol w:w="3690"/>
        <w:gridCol w:w="1280"/>
      </w:tblGrid>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Date of Meeting:</w:t>
            </w:r>
          </w:p>
          <w:p w:rsidR="00682E30" w:rsidRPr="00CE7F7A" w:rsidRDefault="00682E30" w:rsidP="005B6B5F">
            <w:pPr>
              <w:rPr>
                <w:rFonts w:asciiTheme="minorHAnsi" w:hAnsiTheme="minorHAnsi" w:cs="Arial"/>
                <w:b/>
              </w:rPr>
            </w:pPr>
          </w:p>
        </w:tc>
        <w:tc>
          <w:tcPr>
            <w:tcW w:w="6320" w:type="dxa"/>
            <w:gridSpan w:val="3"/>
          </w:tcPr>
          <w:p w:rsidR="00682E30" w:rsidRPr="00CE7F7A" w:rsidRDefault="00682E30" w:rsidP="005B6B5F">
            <w:pPr>
              <w:rPr>
                <w:rFonts w:asciiTheme="minorHAnsi" w:hAnsiTheme="minorHAnsi" w:cs="Arial"/>
              </w:rPr>
            </w:pPr>
            <w:r w:rsidRPr="00CE7F7A">
              <w:rPr>
                <w:rFonts w:asciiTheme="minorHAnsi" w:hAnsiTheme="minorHAnsi" w:cs="Arial"/>
              </w:rPr>
              <w:t>17 January 2018</w:t>
            </w: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Title of Paper:</w:t>
            </w:r>
          </w:p>
          <w:p w:rsidR="00682E30" w:rsidRPr="00CE7F7A" w:rsidRDefault="00682E30" w:rsidP="005B6B5F">
            <w:pPr>
              <w:rPr>
                <w:rFonts w:asciiTheme="minorHAnsi" w:hAnsiTheme="minorHAnsi" w:cs="Arial"/>
                <w:b/>
              </w:rPr>
            </w:pPr>
          </w:p>
        </w:tc>
        <w:tc>
          <w:tcPr>
            <w:tcW w:w="6320" w:type="dxa"/>
            <w:gridSpan w:val="3"/>
          </w:tcPr>
          <w:p w:rsidR="00682E30" w:rsidRPr="00CE7F7A" w:rsidRDefault="00CE7F7A" w:rsidP="005B6B5F">
            <w:pPr>
              <w:rPr>
                <w:rFonts w:asciiTheme="minorHAnsi" w:hAnsiTheme="minorHAnsi" w:cs="Arial"/>
              </w:rPr>
            </w:pPr>
            <w:r w:rsidRPr="00CE7F7A">
              <w:rPr>
                <w:rFonts w:asciiTheme="minorHAnsi" w:hAnsiTheme="minorHAnsi" w:cs="Arial"/>
              </w:rPr>
              <w:t>HRA Staff Survey 2017</w:t>
            </w: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Purpose of Paper:</w:t>
            </w:r>
          </w:p>
          <w:p w:rsidR="00682E30" w:rsidRPr="00CE7F7A" w:rsidRDefault="00682E30" w:rsidP="005B6B5F">
            <w:pPr>
              <w:rPr>
                <w:rFonts w:asciiTheme="minorHAnsi" w:hAnsiTheme="minorHAnsi" w:cs="Arial"/>
                <w:b/>
              </w:rPr>
            </w:pPr>
          </w:p>
        </w:tc>
        <w:tc>
          <w:tcPr>
            <w:tcW w:w="6320" w:type="dxa"/>
            <w:gridSpan w:val="3"/>
          </w:tcPr>
          <w:p w:rsidR="00682E30" w:rsidRDefault="00682E30" w:rsidP="00B025CC">
            <w:pPr>
              <w:rPr>
                <w:rFonts w:asciiTheme="minorHAnsi" w:hAnsiTheme="minorHAnsi" w:cs="Arial"/>
              </w:rPr>
            </w:pPr>
            <w:r w:rsidRPr="00CE7F7A">
              <w:rPr>
                <w:rFonts w:asciiTheme="minorHAnsi" w:hAnsiTheme="minorHAnsi" w:cs="Arial"/>
              </w:rPr>
              <w:t>To offer the Board the opportunity to consider the key headlines resulting from the 2017 Staff Survey</w:t>
            </w:r>
            <w:r w:rsidR="00E43C4C" w:rsidRPr="00CE7F7A">
              <w:rPr>
                <w:rFonts w:asciiTheme="minorHAnsi" w:hAnsiTheme="minorHAnsi" w:cs="Arial"/>
              </w:rPr>
              <w:t xml:space="preserve"> (and reflect on progress against 2016 </w:t>
            </w:r>
            <w:r w:rsidR="00B025CC" w:rsidRPr="00CE7F7A">
              <w:rPr>
                <w:rFonts w:asciiTheme="minorHAnsi" w:hAnsiTheme="minorHAnsi" w:cs="Arial"/>
              </w:rPr>
              <w:t>action plan</w:t>
            </w:r>
            <w:r w:rsidR="00E43C4C" w:rsidRPr="00CE7F7A">
              <w:rPr>
                <w:rFonts w:asciiTheme="minorHAnsi" w:hAnsiTheme="minorHAnsi" w:cs="Arial"/>
              </w:rPr>
              <w:t>)</w:t>
            </w:r>
            <w:r w:rsidRPr="00CE7F7A">
              <w:rPr>
                <w:rFonts w:asciiTheme="minorHAnsi" w:hAnsiTheme="minorHAnsi" w:cs="Arial"/>
              </w:rPr>
              <w:t xml:space="preserve"> and identify </w:t>
            </w:r>
            <w:r w:rsidR="00E43C4C" w:rsidRPr="00CE7F7A">
              <w:rPr>
                <w:rFonts w:asciiTheme="minorHAnsi" w:hAnsiTheme="minorHAnsi" w:cs="Arial"/>
              </w:rPr>
              <w:t>any</w:t>
            </w:r>
            <w:r w:rsidRPr="00CE7F7A">
              <w:rPr>
                <w:rFonts w:asciiTheme="minorHAnsi" w:hAnsiTheme="minorHAnsi" w:cs="Arial"/>
              </w:rPr>
              <w:t xml:space="preserve"> further analysis that might be helpful to assist in developing the management response</w:t>
            </w:r>
            <w:r w:rsidR="00CE7F7A">
              <w:rPr>
                <w:rFonts w:asciiTheme="minorHAnsi" w:hAnsiTheme="minorHAnsi" w:cs="Arial"/>
              </w:rPr>
              <w:t>.</w:t>
            </w:r>
          </w:p>
          <w:p w:rsidR="00CE7F7A" w:rsidRPr="00CE7F7A" w:rsidRDefault="00CE7F7A" w:rsidP="00B025CC">
            <w:pPr>
              <w:rPr>
                <w:rFonts w:asciiTheme="minorHAnsi" w:hAnsiTheme="minorHAnsi" w:cs="Arial"/>
              </w:rPr>
            </w:pP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Reason for Submission:</w:t>
            </w:r>
          </w:p>
          <w:p w:rsidR="00682E30" w:rsidRPr="00CE7F7A" w:rsidRDefault="00682E30" w:rsidP="005B6B5F">
            <w:pPr>
              <w:rPr>
                <w:rFonts w:asciiTheme="minorHAnsi" w:hAnsiTheme="minorHAnsi" w:cs="Arial"/>
                <w:b/>
              </w:rPr>
            </w:pPr>
          </w:p>
          <w:p w:rsidR="00682E30" w:rsidRPr="00CE7F7A" w:rsidRDefault="00682E30" w:rsidP="005B6B5F">
            <w:pPr>
              <w:rPr>
                <w:rFonts w:asciiTheme="minorHAnsi" w:hAnsiTheme="minorHAnsi" w:cs="Arial"/>
                <w:b/>
              </w:rPr>
            </w:pPr>
          </w:p>
        </w:tc>
        <w:tc>
          <w:tcPr>
            <w:tcW w:w="6320" w:type="dxa"/>
            <w:gridSpan w:val="3"/>
          </w:tcPr>
          <w:p w:rsidR="00682E30" w:rsidRDefault="00682E30" w:rsidP="005B6B5F">
            <w:pPr>
              <w:rPr>
                <w:rFonts w:asciiTheme="minorHAnsi" w:hAnsiTheme="minorHAnsi" w:cs="Arial"/>
              </w:rPr>
            </w:pPr>
            <w:r w:rsidRPr="00CE7F7A">
              <w:rPr>
                <w:rFonts w:asciiTheme="minorHAnsi" w:hAnsiTheme="minorHAnsi" w:cs="Arial"/>
              </w:rPr>
              <w:t>The HRA carries out a staff survey each year to ensure that it has a comprehensive understanding of the views of its people, in order to maintain a high level of staff engagement, morale and job satisfaction</w:t>
            </w:r>
            <w:r w:rsidR="00CE7F7A">
              <w:rPr>
                <w:rFonts w:asciiTheme="minorHAnsi" w:hAnsiTheme="minorHAnsi" w:cs="Arial"/>
              </w:rPr>
              <w:t>.</w:t>
            </w:r>
          </w:p>
          <w:p w:rsidR="00CE7F7A" w:rsidRPr="00CE7F7A" w:rsidRDefault="00CE7F7A" w:rsidP="005B6B5F">
            <w:pPr>
              <w:rPr>
                <w:rFonts w:asciiTheme="minorHAnsi" w:hAnsiTheme="minorHAnsi" w:cs="Arial"/>
              </w:rPr>
            </w:pP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Lead reviewer:</w:t>
            </w:r>
          </w:p>
          <w:p w:rsidR="00682E30" w:rsidRPr="00CE7F7A" w:rsidRDefault="00682E30" w:rsidP="005B6B5F">
            <w:pPr>
              <w:rPr>
                <w:rFonts w:asciiTheme="minorHAnsi" w:hAnsiTheme="minorHAnsi" w:cs="Arial"/>
                <w:b/>
              </w:rPr>
            </w:pPr>
          </w:p>
        </w:tc>
        <w:tc>
          <w:tcPr>
            <w:tcW w:w="6320" w:type="dxa"/>
            <w:gridSpan w:val="3"/>
          </w:tcPr>
          <w:p w:rsidR="00682E30" w:rsidRPr="00CE7F7A" w:rsidRDefault="00682E30" w:rsidP="005B6B5F">
            <w:pPr>
              <w:rPr>
                <w:rFonts w:asciiTheme="minorHAnsi" w:hAnsiTheme="minorHAnsi" w:cs="Arial"/>
              </w:rPr>
            </w:pPr>
            <w:r w:rsidRPr="00CE7F7A">
              <w:rPr>
                <w:rFonts w:asciiTheme="minorHAnsi" w:hAnsiTheme="minorHAnsi" w:cs="Arial"/>
              </w:rPr>
              <w:t>N/A</w:t>
            </w: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Details:</w:t>
            </w:r>
          </w:p>
          <w:p w:rsidR="00682E30" w:rsidRPr="00CE7F7A" w:rsidRDefault="00682E30" w:rsidP="005B6B5F">
            <w:pPr>
              <w:rPr>
                <w:rFonts w:asciiTheme="minorHAnsi" w:hAnsiTheme="minorHAnsi" w:cs="Arial"/>
                <w:b/>
              </w:rPr>
            </w:pPr>
          </w:p>
          <w:p w:rsidR="00682E30" w:rsidRPr="00CE7F7A" w:rsidRDefault="00682E30" w:rsidP="005B6B5F">
            <w:pPr>
              <w:rPr>
                <w:rFonts w:asciiTheme="minorHAnsi" w:hAnsiTheme="minorHAnsi" w:cs="Arial"/>
                <w:b/>
              </w:rPr>
            </w:pPr>
          </w:p>
        </w:tc>
        <w:tc>
          <w:tcPr>
            <w:tcW w:w="6320" w:type="dxa"/>
            <w:gridSpan w:val="3"/>
          </w:tcPr>
          <w:p w:rsidR="004E5A41" w:rsidRPr="00CE7F7A" w:rsidRDefault="00682E30" w:rsidP="005B6B5F">
            <w:pPr>
              <w:rPr>
                <w:rFonts w:asciiTheme="minorHAnsi" w:hAnsiTheme="minorHAnsi" w:cs="Arial"/>
              </w:rPr>
            </w:pPr>
            <w:r w:rsidRPr="00CE7F7A">
              <w:rPr>
                <w:rFonts w:asciiTheme="minorHAnsi" w:hAnsiTheme="minorHAnsi" w:cs="Arial"/>
              </w:rPr>
              <w:t>Contained in attached paper.</w:t>
            </w:r>
            <w:r w:rsidR="009E25DA" w:rsidRPr="00CE7F7A">
              <w:rPr>
                <w:rFonts w:asciiTheme="minorHAnsi" w:hAnsiTheme="minorHAnsi" w:cs="Arial"/>
              </w:rPr>
              <w:t xml:space="preserve"> </w:t>
            </w:r>
            <w:r w:rsidR="0021759C" w:rsidRPr="00CE7F7A">
              <w:rPr>
                <w:rFonts w:asciiTheme="minorHAnsi" w:hAnsiTheme="minorHAnsi" w:cs="Arial"/>
              </w:rPr>
              <w:t xml:space="preserve">Though </w:t>
            </w:r>
            <w:r w:rsidR="00B025CC" w:rsidRPr="00CE7F7A">
              <w:rPr>
                <w:rFonts w:asciiTheme="minorHAnsi" w:hAnsiTheme="minorHAnsi" w:cs="Arial"/>
              </w:rPr>
              <w:t xml:space="preserve">overall </w:t>
            </w:r>
            <w:r w:rsidR="0021759C" w:rsidRPr="00CE7F7A">
              <w:rPr>
                <w:rFonts w:asciiTheme="minorHAnsi" w:hAnsiTheme="minorHAnsi" w:cs="Arial"/>
              </w:rPr>
              <w:t>results suggest a</w:t>
            </w:r>
            <w:r w:rsidR="00B025CC" w:rsidRPr="00CE7F7A">
              <w:rPr>
                <w:rFonts w:asciiTheme="minorHAnsi" w:hAnsiTheme="minorHAnsi" w:cs="Arial"/>
              </w:rPr>
              <w:t xml:space="preserve"> very positive outcome.</w:t>
            </w:r>
          </w:p>
          <w:p w:rsidR="004E5A41" w:rsidRPr="00CE7F7A" w:rsidRDefault="004E5A41" w:rsidP="005B6B5F">
            <w:pPr>
              <w:rPr>
                <w:rFonts w:asciiTheme="minorHAnsi" w:hAnsiTheme="minorHAnsi" w:cs="Arial"/>
              </w:rPr>
            </w:pPr>
          </w:p>
          <w:p w:rsidR="00682E30" w:rsidRPr="00CE7F7A" w:rsidRDefault="009E25DA" w:rsidP="005B6B5F">
            <w:pPr>
              <w:rPr>
                <w:rFonts w:asciiTheme="minorHAnsi" w:hAnsiTheme="minorHAnsi" w:cs="Arial"/>
              </w:rPr>
            </w:pPr>
            <w:r w:rsidRPr="00CE7F7A">
              <w:rPr>
                <w:rFonts w:asciiTheme="minorHAnsi" w:hAnsiTheme="minorHAnsi" w:cs="Arial"/>
              </w:rPr>
              <w:t>Timetable for further ‘roll out’</w:t>
            </w:r>
          </w:p>
          <w:p w:rsidR="00682E30" w:rsidRPr="00CE7F7A" w:rsidRDefault="00682E30" w:rsidP="005B6B5F">
            <w:pPr>
              <w:rPr>
                <w:rFonts w:asciiTheme="minorHAnsi" w:hAnsiTheme="minorHAnsi" w:cs="Arial"/>
              </w:rPr>
            </w:pPr>
          </w:p>
          <w:p w:rsidR="00682E30" w:rsidRPr="00CE7F7A" w:rsidRDefault="00682E30" w:rsidP="005B6B5F">
            <w:pPr>
              <w:jc w:val="both"/>
              <w:rPr>
                <w:rFonts w:asciiTheme="minorHAnsi" w:hAnsiTheme="minorHAnsi" w:cs="Arial"/>
              </w:rPr>
            </w:pPr>
            <w:r w:rsidRPr="00CE7F7A">
              <w:rPr>
                <w:rFonts w:asciiTheme="minorHAnsi" w:hAnsiTheme="minorHAnsi" w:cs="Arial"/>
              </w:rPr>
              <w:t>•</w:t>
            </w:r>
            <w:r w:rsidR="009E25DA" w:rsidRPr="00CE7F7A">
              <w:rPr>
                <w:rFonts w:asciiTheme="minorHAnsi" w:hAnsiTheme="minorHAnsi" w:cs="Arial"/>
              </w:rPr>
              <w:t xml:space="preserve"> </w:t>
            </w:r>
            <w:r w:rsidRPr="00CE7F7A">
              <w:rPr>
                <w:rFonts w:asciiTheme="minorHAnsi" w:hAnsiTheme="minorHAnsi" w:cs="Arial"/>
              </w:rPr>
              <w:t xml:space="preserve">17/1 - Summary to Board </w:t>
            </w:r>
          </w:p>
          <w:p w:rsidR="00682E30" w:rsidRPr="00CE7F7A" w:rsidRDefault="00682E30" w:rsidP="005B6B5F">
            <w:pPr>
              <w:jc w:val="both"/>
              <w:rPr>
                <w:rFonts w:asciiTheme="minorHAnsi" w:hAnsiTheme="minorHAnsi" w:cs="Arial"/>
              </w:rPr>
            </w:pPr>
            <w:r w:rsidRPr="00CE7F7A">
              <w:rPr>
                <w:rFonts w:asciiTheme="minorHAnsi" w:hAnsiTheme="minorHAnsi" w:cs="Arial"/>
              </w:rPr>
              <w:t>•</w:t>
            </w:r>
            <w:r w:rsidR="009E25DA" w:rsidRPr="00CE7F7A">
              <w:rPr>
                <w:rFonts w:asciiTheme="minorHAnsi" w:hAnsiTheme="minorHAnsi" w:cs="Arial"/>
              </w:rPr>
              <w:t xml:space="preserve"> 23/1 – All Staff VC</w:t>
            </w:r>
            <w:r w:rsidR="00224334" w:rsidRPr="00CE7F7A">
              <w:rPr>
                <w:rFonts w:asciiTheme="minorHAnsi" w:hAnsiTheme="minorHAnsi" w:cs="Arial"/>
              </w:rPr>
              <w:t xml:space="preserve"> &amp; full report available</w:t>
            </w:r>
          </w:p>
          <w:p w:rsidR="009E25DA" w:rsidRPr="00CE7F7A" w:rsidRDefault="00682E30" w:rsidP="005B6B5F">
            <w:pPr>
              <w:jc w:val="both"/>
              <w:rPr>
                <w:rFonts w:asciiTheme="minorHAnsi" w:hAnsiTheme="minorHAnsi" w:cs="Arial"/>
              </w:rPr>
            </w:pPr>
            <w:r w:rsidRPr="00CE7F7A">
              <w:rPr>
                <w:rFonts w:asciiTheme="minorHAnsi" w:hAnsiTheme="minorHAnsi" w:cs="Arial"/>
              </w:rPr>
              <w:t>•</w:t>
            </w:r>
            <w:r w:rsidR="009E25DA" w:rsidRPr="00CE7F7A">
              <w:rPr>
                <w:rFonts w:asciiTheme="minorHAnsi" w:hAnsiTheme="minorHAnsi" w:cs="Arial"/>
              </w:rPr>
              <w:t xml:space="preserve"> </w:t>
            </w:r>
            <w:r w:rsidRPr="00CE7F7A">
              <w:rPr>
                <w:rFonts w:asciiTheme="minorHAnsi" w:hAnsiTheme="minorHAnsi" w:cs="Arial"/>
              </w:rPr>
              <w:t>7/2 –</w:t>
            </w:r>
            <w:r w:rsidR="009E25DA" w:rsidRPr="00CE7F7A">
              <w:rPr>
                <w:rFonts w:asciiTheme="minorHAnsi" w:hAnsiTheme="minorHAnsi" w:cs="Arial"/>
              </w:rPr>
              <w:t xml:space="preserve"> </w:t>
            </w:r>
            <w:r w:rsidRPr="00CE7F7A">
              <w:rPr>
                <w:rFonts w:asciiTheme="minorHAnsi" w:hAnsiTheme="minorHAnsi" w:cs="Arial"/>
              </w:rPr>
              <w:t>L</w:t>
            </w:r>
            <w:r w:rsidR="009E25DA" w:rsidRPr="00CE7F7A">
              <w:rPr>
                <w:rFonts w:asciiTheme="minorHAnsi" w:hAnsiTheme="minorHAnsi" w:cs="Arial"/>
              </w:rPr>
              <w:t xml:space="preserve">eadership </w:t>
            </w:r>
            <w:r w:rsidRPr="00CE7F7A">
              <w:rPr>
                <w:rFonts w:asciiTheme="minorHAnsi" w:hAnsiTheme="minorHAnsi" w:cs="Arial"/>
              </w:rPr>
              <w:t>T</w:t>
            </w:r>
            <w:r w:rsidR="009E25DA" w:rsidRPr="00CE7F7A">
              <w:rPr>
                <w:rFonts w:asciiTheme="minorHAnsi" w:hAnsiTheme="minorHAnsi" w:cs="Arial"/>
              </w:rPr>
              <w:t xml:space="preserve">eam </w:t>
            </w:r>
            <w:r w:rsidRPr="00CE7F7A">
              <w:rPr>
                <w:rFonts w:asciiTheme="minorHAnsi" w:hAnsiTheme="minorHAnsi" w:cs="Arial"/>
              </w:rPr>
              <w:t xml:space="preserve"> </w:t>
            </w:r>
          </w:p>
          <w:p w:rsidR="00682E30" w:rsidRPr="00CE7F7A" w:rsidRDefault="00682E30" w:rsidP="005B6B5F">
            <w:pPr>
              <w:jc w:val="both"/>
              <w:rPr>
                <w:rFonts w:asciiTheme="minorHAnsi" w:hAnsiTheme="minorHAnsi" w:cs="Arial"/>
              </w:rPr>
            </w:pPr>
            <w:r w:rsidRPr="00CE7F7A">
              <w:rPr>
                <w:rFonts w:asciiTheme="minorHAnsi" w:hAnsiTheme="minorHAnsi" w:cs="Arial"/>
              </w:rPr>
              <w:t>•</w:t>
            </w:r>
            <w:r w:rsidR="009E25DA" w:rsidRPr="00CE7F7A">
              <w:rPr>
                <w:rFonts w:asciiTheme="minorHAnsi" w:hAnsiTheme="minorHAnsi" w:cs="Arial"/>
              </w:rPr>
              <w:t xml:space="preserve"> 7/2 – 28/</w:t>
            </w:r>
            <w:r w:rsidR="00B025CC" w:rsidRPr="00CE7F7A">
              <w:rPr>
                <w:rFonts w:asciiTheme="minorHAnsi" w:hAnsiTheme="minorHAnsi" w:cs="Arial"/>
              </w:rPr>
              <w:t xml:space="preserve">2: </w:t>
            </w:r>
            <w:r w:rsidRPr="00CE7F7A">
              <w:rPr>
                <w:rFonts w:asciiTheme="minorHAnsi" w:hAnsiTheme="minorHAnsi" w:cs="Arial"/>
              </w:rPr>
              <w:t>Develop action plan</w:t>
            </w:r>
          </w:p>
          <w:p w:rsidR="00682E30" w:rsidRPr="00CE7F7A" w:rsidRDefault="00682E30" w:rsidP="005B6B5F">
            <w:pPr>
              <w:jc w:val="both"/>
              <w:rPr>
                <w:rFonts w:asciiTheme="minorHAnsi" w:hAnsiTheme="minorHAnsi" w:cs="Arial"/>
              </w:rPr>
            </w:pPr>
            <w:r w:rsidRPr="00CE7F7A">
              <w:rPr>
                <w:rFonts w:asciiTheme="minorHAnsi" w:hAnsiTheme="minorHAnsi" w:cs="Arial"/>
              </w:rPr>
              <w:t>•</w:t>
            </w:r>
            <w:r w:rsidR="009E25DA" w:rsidRPr="00CE7F7A">
              <w:rPr>
                <w:rFonts w:asciiTheme="minorHAnsi" w:hAnsiTheme="minorHAnsi" w:cs="Arial"/>
              </w:rPr>
              <w:t xml:space="preserve"> </w:t>
            </w:r>
            <w:r w:rsidRPr="00CE7F7A">
              <w:rPr>
                <w:rFonts w:asciiTheme="minorHAnsi" w:hAnsiTheme="minorHAnsi" w:cs="Arial"/>
              </w:rPr>
              <w:t>7/3 – Staff Forum</w:t>
            </w:r>
          </w:p>
          <w:p w:rsidR="00682E30" w:rsidRPr="00CE7F7A" w:rsidRDefault="00682E30" w:rsidP="005B6B5F">
            <w:pPr>
              <w:jc w:val="both"/>
              <w:rPr>
                <w:rFonts w:asciiTheme="minorHAnsi" w:hAnsiTheme="minorHAnsi" w:cs="Arial"/>
              </w:rPr>
            </w:pPr>
            <w:r w:rsidRPr="00CE7F7A">
              <w:rPr>
                <w:rFonts w:asciiTheme="minorHAnsi" w:hAnsiTheme="minorHAnsi" w:cs="Arial"/>
              </w:rPr>
              <w:t>•</w:t>
            </w:r>
            <w:r w:rsidR="009E25DA" w:rsidRPr="00CE7F7A">
              <w:rPr>
                <w:rFonts w:asciiTheme="minorHAnsi" w:hAnsiTheme="minorHAnsi" w:cs="Arial"/>
              </w:rPr>
              <w:t xml:space="preserve"> </w:t>
            </w:r>
            <w:r w:rsidRPr="00CE7F7A">
              <w:rPr>
                <w:rFonts w:asciiTheme="minorHAnsi" w:hAnsiTheme="minorHAnsi" w:cs="Arial"/>
              </w:rPr>
              <w:t>21/3 – Board and Staff Reps – consider action plan</w:t>
            </w:r>
            <w:r w:rsidR="00EB1755" w:rsidRPr="00CE7F7A">
              <w:rPr>
                <w:rFonts w:asciiTheme="minorHAnsi" w:hAnsiTheme="minorHAnsi" w:cs="Arial"/>
              </w:rPr>
              <w:t xml:space="preserve"> to addresses areas of concern</w:t>
            </w: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 xml:space="preserve">Suitable for wider circulation? </w:t>
            </w:r>
          </w:p>
        </w:tc>
        <w:tc>
          <w:tcPr>
            <w:tcW w:w="6320" w:type="dxa"/>
            <w:gridSpan w:val="3"/>
          </w:tcPr>
          <w:p w:rsidR="00682E30" w:rsidRPr="00CE7F7A" w:rsidRDefault="00682E30" w:rsidP="005B6B5F">
            <w:pPr>
              <w:rPr>
                <w:rFonts w:asciiTheme="minorHAnsi" w:hAnsiTheme="minorHAnsi" w:cs="Arial"/>
              </w:rPr>
            </w:pPr>
            <w:r w:rsidRPr="00CE7F7A">
              <w:rPr>
                <w:rFonts w:asciiTheme="minorHAnsi" w:hAnsiTheme="minorHAnsi" w:cs="Arial"/>
              </w:rPr>
              <w:t xml:space="preserve"> Yes.</w:t>
            </w: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 xml:space="preserve">Time required for item: </w:t>
            </w:r>
          </w:p>
        </w:tc>
        <w:tc>
          <w:tcPr>
            <w:tcW w:w="6320" w:type="dxa"/>
            <w:gridSpan w:val="3"/>
          </w:tcPr>
          <w:p w:rsidR="00682E30" w:rsidRPr="00CE7F7A" w:rsidRDefault="00682E30" w:rsidP="005B6B5F">
            <w:pPr>
              <w:rPr>
                <w:rFonts w:asciiTheme="minorHAnsi" w:hAnsiTheme="minorHAnsi" w:cs="Arial"/>
              </w:rPr>
            </w:pPr>
            <w:r w:rsidRPr="00CE7F7A">
              <w:rPr>
                <w:rFonts w:asciiTheme="minorHAnsi" w:hAnsiTheme="minorHAnsi" w:cs="Arial"/>
              </w:rPr>
              <w:t>15 mins</w:t>
            </w:r>
          </w:p>
        </w:tc>
      </w:tr>
      <w:tr w:rsidR="00682E30" w:rsidRPr="00CE7F7A" w:rsidTr="005B6B5F">
        <w:tblPrEx>
          <w:shd w:val="clear" w:color="auto" w:fill="D9D9D9" w:themeFill="background1" w:themeFillShade="D9"/>
        </w:tblPrEx>
        <w:tc>
          <w:tcPr>
            <w:tcW w:w="2628" w:type="dxa"/>
            <w:vMerge w:val="restart"/>
            <w:shd w:val="clear" w:color="auto" w:fill="D9D9D9" w:themeFill="background1" w:themeFillShade="D9"/>
          </w:tcPr>
          <w:p w:rsidR="00682E30" w:rsidRPr="00CE7F7A" w:rsidRDefault="00682E30" w:rsidP="005B6B5F">
            <w:pPr>
              <w:rPr>
                <w:rFonts w:asciiTheme="minorHAnsi" w:hAnsiTheme="minorHAnsi" w:cs="Arial"/>
                <w:b/>
              </w:rPr>
            </w:pPr>
            <w:r w:rsidRPr="00CE7F7A">
              <w:rPr>
                <w:rFonts w:asciiTheme="minorHAnsi" w:hAnsiTheme="minorHAnsi" w:cs="Arial"/>
                <w:b/>
              </w:rPr>
              <w:t>Recommendation / Proposed Actions:</w:t>
            </w:r>
          </w:p>
          <w:p w:rsidR="00682E30" w:rsidRPr="00CE7F7A" w:rsidRDefault="00682E30" w:rsidP="005B6B5F">
            <w:pPr>
              <w:rPr>
                <w:rFonts w:asciiTheme="minorHAnsi" w:hAnsiTheme="minorHAnsi" w:cs="Arial"/>
                <w:b/>
              </w:rPr>
            </w:pPr>
          </w:p>
        </w:tc>
        <w:tc>
          <w:tcPr>
            <w:tcW w:w="5040" w:type="dxa"/>
            <w:gridSpan w:val="2"/>
            <w:shd w:val="clear" w:color="auto" w:fill="D9D9D9" w:themeFill="background1" w:themeFillShade="D9"/>
          </w:tcPr>
          <w:p w:rsidR="00682E30" w:rsidRPr="00CE7F7A" w:rsidRDefault="00682E30" w:rsidP="005B6B5F">
            <w:pPr>
              <w:rPr>
                <w:rFonts w:asciiTheme="minorHAnsi" w:hAnsiTheme="minorHAnsi" w:cs="Arial"/>
                <w:b/>
              </w:rPr>
            </w:pPr>
            <w:r w:rsidRPr="00CE7F7A">
              <w:rPr>
                <w:rFonts w:asciiTheme="minorHAnsi" w:hAnsiTheme="minorHAnsi" w:cs="Arial"/>
                <w:b/>
              </w:rPr>
              <w:t>To Approve</w:t>
            </w:r>
          </w:p>
        </w:tc>
        <w:tc>
          <w:tcPr>
            <w:tcW w:w="1280" w:type="dxa"/>
            <w:shd w:val="clear" w:color="auto" w:fill="auto"/>
          </w:tcPr>
          <w:p w:rsidR="00682E30" w:rsidRPr="00CE7F7A" w:rsidRDefault="00682E30" w:rsidP="005B6B5F">
            <w:pPr>
              <w:rPr>
                <w:rFonts w:asciiTheme="minorHAnsi" w:hAnsiTheme="minorHAnsi" w:cs="Arial"/>
                <w:b/>
              </w:rPr>
            </w:pPr>
          </w:p>
        </w:tc>
      </w:tr>
      <w:tr w:rsidR="00682E30" w:rsidRPr="00CE7F7A" w:rsidTr="005B6B5F">
        <w:tblPrEx>
          <w:shd w:val="clear" w:color="auto" w:fill="D9D9D9" w:themeFill="background1" w:themeFillShade="D9"/>
        </w:tblPrEx>
        <w:tc>
          <w:tcPr>
            <w:tcW w:w="2628" w:type="dxa"/>
            <w:vMerge/>
            <w:shd w:val="clear" w:color="auto" w:fill="D9D9D9" w:themeFill="background1" w:themeFillShade="D9"/>
          </w:tcPr>
          <w:p w:rsidR="00682E30" w:rsidRPr="00CE7F7A" w:rsidRDefault="00682E30" w:rsidP="005B6B5F">
            <w:pPr>
              <w:rPr>
                <w:rFonts w:asciiTheme="minorHAnsi" w:hAnsiTheme="minorHAnsi" w:cs="Arial"/>
                <w:b/>
              </w:rPr>
            </w:pPr>
          </w:p>
        </w:tc>
        <w:tc>
          <w:tcPr>
            <w:tcW w:w="5040" w:type="dxa"/>
            <w:gridSpan w:val="2"/>
            <w:shd w:val="clear" w:color="auto" w:fill="D9D9D9" w:themeFill="background1" w:themeFillShade="D9"/>
          </w:tcPr>
          <w:p w:rsidR="00682E30" w:rsidRPr="00CE7F7A" w:rsidRDefault="00682E30" w:rsidP="005B6B5F">
            <w:pPr>
              <w:rPr>
                <w:rFonts w:asciiTheme="minorHAnsi" w:hAnsiTheme="minorHAnsi" w:cs="Arial"/>
                <w:b/>
              </w:rPr>
            </w:pPr>
            <w:r w:rsidRPr="00CE7F7A">
              <w:rPr>
                <w:rFonts w:asciiTheme="minorHAnsi" w:hAnsiTheme="minorHAnsi" w:cs="Arial"/>
                <w:b/>
              </w:rPr>
              <w:t>To Note</w:t>
            </w:r>
          </w:p>
        </w:tc>
        <w:tc>
          <w:tcPr>
            <w:tcW w:w="1280" w:type="dxa"/>
            <w:shd w:val="clear" w:color="auto" w:fill="auto"/>
          </w:tcPr>
          <w:p w:rsidR="00682E30" w:rsidRPr="00CE7F7A" w:rsidRDefault="00682E30" w:rsidP="005B6B5F">
            <w:pPr>
              <w:rPr>
                <w:rFonts w:asciiTheme="minorHAnsi" w:hAnsiTheme="minorHAnsi" w:cs="Arial"/>
                <w:b/>
              </w:rPr>
            </w:pPr>
            <w:r w:rsidRPr="00CE7F7A">
              <w:rPr>
                <w:rFonts w:asciiTheme="minorHAnsi" w:hAnsiTheme="minorHAnsi" w:cs="Arial"/>
                <w:b/>
              </w:rPr>
              <w:t>Yes</w:t>
            </w:r>
          </w:p>
        </w:tc>
      </w:tr>
      <w:tr w:rsidR="00682E30" w:rsidRPr="00CE7F7A" w:rsidTr="005B6B5F">
        <w:tblPrEx>
          <w:shd w:val="clear" w:color="auto" w:fill="D9D9D9" w:themeFill="background1" w:themeFillShade="D9"/>
        </w:tblPrEx>
        <w:tc>
          <w:tcPr>
            <w:tcW w:w="2628" w:type="dxa"/>
            <w:vMerge/>
            <w:shd w:val="clear" w:color="auto" w:fill="D9D9D9" w:themeFill="background1" w:themeFillShade="D9"/>
          </w:tcPr>
          <w:p w:rsidR="00682E30" w:rsidRPr="00CE7F7A" w:rsidRDefault="00682E30" w:rsidP="005B6B5F">
            <w:pPr>
              <w:rPr>
                <w:rFonts w:asciiTheme="minorHAnsi" w:hAnsiTheme="minorHAnsi" w:cs="Arial"/>
                <w:b/>
              </w:rPr>
            </w:pPr>
          </w:p>
        </w:tc>
        <w:tc>
          <w:tcPr>
            <w:tcW w:w="5040" w:type="dxa"/>
            <w:gridSpan w:val="2"/>
            <w:shd w:val="clear" w:color="auto" w:fill="D9D9D9" w:themeFill="background1" w:themeFillShade="D9"/>
          </w:tcPr>
          <w:p w:rsidR="00682E30" w:rsidRPr="00CE7F7A" w:rsidRDefault="00682E30" w:rsidP="005B6B5F">
            <w:pPr>
              <w:rPr>
                <w:rFonts w:asciiTheme="minorHAnsi" w:hAnsiTheme="minorHAnsi" w:cs="Arial"/>
                <w:b/>
              </w:rPr>
            </w:pPr>
            <w:r w:rsidRPr="00CE7F7A">
              <w:rPr>
                <w:rFonts w:asciiTheme="minorHAnsi" w:hAnsiTheme="minorHAnsi" w:cs="Arial"/>
                <w:b/>
              </w:rPr>
              <w:t>For Discussion</w:t>
            </w:r>
          </w:p>
        </w:tc>
        <w:tc>
          <w:tcPr>
            <w:tcW w:w="1280" w:type="dxa"/>
            <w:shd w:val="clear" w:color="auto" w:fill="auto"/>
          </w:tcPr>
          <w:p w:rsidR="00682E30" w:rsidRPr="00CE7F7A" w:rsidRDefault="00682E30" w:rsidP="005B6B5F">
            <w:pPr>
              <w:rPr>
                <w:rFonts w:asciiTheme="minorHAnsi" w:hAnsiTheme="minorHAnsi" w:cs="Arial"/>
                <w:b/>
              </w:rPr>
            </w:pPr>
            <w:r w:rsidRPr="00CE7F7A">
              <w:rPr>
                <w:rFonts w:asciiTheme="minorHAnsi" w:hAnsiTheme="minorHAnsi" w:cs="Arial"/>
                <w:b/>
              </w:rPr>
              <w:t>Yes</w:t>
            </w:r>
          </w:p>
        </w:tc>
      </w:tr>
      <w:tr w:rsidR="00682E30" w:rsidRPr="00CE7F7A" w:rsidTr="005B6B5F">
        <w:tblPrEx>
          <w:shd w:val="clear" w:color="auto" w:fill="D9D9D9" w:themeFill="background1" w:themeFillShade="D9"/>
        </w:tblPrEx>
        <w:tc>
          <w:tcPr>
            <w:tcW w:w="2628" w:type="dxa"/>
            <w:vMerge/>
            <w:shd w:val="clear" w:color="auto" w:fill="D9D9D9" w:themeFill="background1" w:themeFillShade="D9"/>
          </w:tcPr>
          <w:p w:rsidR="00682E30" w:rsidRPr="00CE7F7A" w:rsidRDefault="00682E30" w:rsidP="005B6B5F">
            <w:pPr>
              <w:rPr>
                <w:rFonts w:asciiTheme="minorHAnsi" w:hAnsiTheme="minorHAnsi" w:cs="Arial"/>
                <w:b/>
              </w:rPr>
            </w:pPr>
          </w:p>
        </w:tc>
        <w:tc>
          <w:tcPr>
            <w:tcW w:w="1350" w:type="dxa"/>
            <w:shd w:val="clear" w:color="auto" w:fill="D9D9D9" w:themeFill="background1" w:themeFillShade="D9"/>
          </w:tcPr>
          <w:p w:rsidR="00682E30" w:rsidRPr="00CE7F7A" w:rsidRDefault="00682E30" w:rsidP="005B6B5F">
            <w:pPr>
              <w:rPr>
                <w:rFonts w:asciiTheme="minorHAnsi" w:hAnsiTheme="minorHAnsi" w:cs="Arial"/>
                <w:b/>
              </w:rPr>
            </w:pPr>
            <w:r w:rsidRPr="00CE7F7A">
              <w:rPr>
                <w:rFonts w:asciiTheme="minorHAnsi" w:hAnsiTheme="minorHAnsi" w:cs="Arial"/>
                <w:b/>
              </w:rPr>
              <w:t>Comments</w:t>
            </w:r>
          </w:p>
        </w:tc>
        <w:tc>
          <w:tcPr>
            <w:tcW w:w="4970" w:type="dxa"/>
            <w:gridSpan w:val="2"/>
            <w:shd w:val="clear" w:color="auto" w:fill="auto"/>
          </w:tcPr>
          <w:p w:rsidR="00682E30" w:rsidRPr="00CE7F7A" w:rsidRDefault="00682E30" w:rsidP="005B6B5F">
            <w:pPr>
              <w:rPr>
                <w:rFonts w:asciiTheme="minorHAnsi" w:hAnsiTheme="minorHAnsi" w:cs="Arial"/>
                <w:b/>
              </w:rPr>
            </w:pP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Name:</w:t>
            </w:r>
          </w:p>
          <w:p w:rsidR="00682E30" w:rsidRPr="00CE7F7A" w:rsidRDefault="00682E30" w:rsidP="005B6B5F">
            <w:pPr>
              <w:rPr>
                <w:rFonts w:asciiTheme="minorHAnsi" w:hAnsiTheme="minorHAnsi" w:cs="Arial"/>
                <w:b/>
              </w:rPr>
            </w:pPr>
          </w:p>
        </w:tc>
        <w:tc>
          <w:tcPr>
            <w:tcW w:w="6320" w:type="dxa"/>
            <w:gridSpan w:val="3"/>
          </w:tcPr>
          <w:p w:rsidR="00682E30" w:rsidRPr="00CE7F7A" w:rsidRDefault="00682E30" w:rsidP="005B6B5F">
            <w:pPr>
              <w:rPr>
                <w:rFonts w:asciiTheme="minorHAnsi" w:hAnsiTheme="minorHAnsi" w:cs="Arial"/>
              </w:rPr>
            </w:pPr>
            <w:r w:rsidRPr="00CE7F7A">
              <w:rPr>
                <w:rFonts w:asciiTheme="minorHAnsi" w:hAnsiTheme="minorHAnsi" w:cs="Arial"/>
              </w:rPr>
              <w:t>Ian Cook</w:t>
            </w:r>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 xml:space="preserve">Job Title: </w:t>
            </w:r>
          </w:p>
        </w:tc>
        <w:tc>
          <w:tcPr>
            <w:tcW w:w="6320" w:type="dxa"/>
            <w:gridSpan w:val="3"/>
          </w:tcPr>
          <w:p w:rsidR="00682E30" w:rsidRDefault="00682E30" w:rsidP="005B6B5F">
            <w:pPr>
              <w:rPr>
                <w:rFonts w:asciiTheme="minorHAnsi" w:hAnsiTheme="minorHAnsi" w:cs="Arial"/>
              </w:rPr>
            </w:pPr>
            <w:r w:rsidRPr="00CE7F7A">
              <w:rPr>
                <w:rFonts w:asciiTheme="minorHAnsi" w:hAnsiTheme="minorHAnsi" w:cs="Arial"/>
              </w:rPr>
              <w:t>Director Transformation and Corporate Services</w:t>
            </w:r>
          </w:p>
          <w:p w:rsidR="00CE7F7A" w:rsidRPr="00CE7F7A" w:rsidRDefault="00CE7F7A" w:rsidP="005B6B5F">
            <w:pPr>
              <w:rPr>
                <w:rFonts w:asciiTheme="minorHAnsi" w:hAnsiTheme="minorHAnsi" w:cs="Arial"/>
              </w:rPr>
            </w:pPr>
            <w:bookmarkStart w:id="0" w:name="_GoBack"/>
            <w:bookmarkEnd w:id="0"/>
          </w:p>
        </w:tc>
      </w:tr>
      <w:tr w:rsidR="00682E30" w:rsidRPr="00CE7F7A" w:rsidTr="005B6B5F">
        <w:tc>
          <w:tcPr>
            <w:tcW w:w="2628" w:type="dxa"/>
          </w:tcPr>
          <w:p w:rsidR="00682E30" w:rsidRPr="00CE7F7A" w:rsidRDefault="00682E30" w:rsidP="005B6B5F">
            <w:pPr>
              <w:rPr>
                <w:rFonts w:asciiTheme="minorHAnsi" w:hAnsiTheme="minorHAnsi" w:cs="Arial"/>
                <w:b/>
              </w:rPr>
            </w:pPr>
            <w:r w:rsidRPr="00CE7F7A">
              <w:rPr>
                <w:rFonts w:asciiTheme="minorHAnsi" w:hAnsiTheme="minorHAnsi" w:cs="Arial"/>
                <w:b/>
              </w:rPr>
              <w:t>Date:</w:t>
            </w:r>
          </w:p>
        </w:tc>
        <w:tc>
          <w:tcPr>
            <w:tcW w:w="6320" w:type="dxa"/>
            <w:gridSpan w:val="3"/>
          </w:tcPr>
          <w:p w:rsidR="00682E30" w:rsidRDefault="00682E30" w:rsidP="005B6B5F">
            <w:pPr>
              <w:rPr>
                <w:rFonts w:asciiTheme="minorHAnsi" w:hAnsiTheme="minorHAnsi" w:cs="Arial"/>
              </w:rPr>
            </w:pPr>
            <w:r w:rsidRPr="00CE7F7A">
              <w:rPr>
                <w:rFonts w:asciiTheme="minorHAnsi" w:hAnsiTheme="minorHAnsi" w:cs="Arial"/>
              </w:rPr>
              <w:t>12th January 2018</w:t>
            </w:r>
          </w:p>
          <w:p w:rsidR="00CE7F7A" w:rsidRPr="00CE7F7A" w:rsidRDefault="00CE7F7A" w:rsidP="005B6B5F">
            <w:pPr>
              <w:rPr>
                <w:rFonts w:asciiTheme="minorHAnsi" w:hAnsiTheme="minorHAnsi" w:cs="Arial"/>
              </w:rPr>
            </w:pPr>
          </w:p>
        </w:tc>
      </w:tr>
    </w:tbl>
    <w:p w:rsidR="00CC1E09" w:rsidRPr="00CC1E09" w:rsidRDefault="009441AA" w:rsidP="001C2441">
      <w:pPr>
        <w:pStyle w:val="Default"/>
        <w:numPr>
          <w:ilvl w:val="0"/>
          <w:numId w:val="5"/>
        </w:numPr>
        <w:jc w:val="both"/>
        <w:rPr>
          <w:sz w:val="22"/>
          <w:szCs w:val="22"/>
        </w:rPr>
      </w:pPr>
      <w:r>
        <w:rPr>
          <w:b/>
          <w:bCs/>
          <w:sz w:val="22"/>
          <w:szCs w:val="22"/>
        </w:rPr>
        <w:lastRenderedPageBreak/>
        <w:t>Head</w:t>
      </w:r>
      <w:r w:rsidR="005D31F6">
        <w:rPr>
          <w:b/>
          <w:bCs/>
          <w:sz w:val="22"/>
          <w:szCs w:val="22"/>
        </w:rPr>
        <w:t>lines</w:t>
      </w:r>
    </w:p>
    <w:p w:rsidR="00CC1E09" w:rsidRPr="00CC1E09" w:rsidRDefault="00CC1E09" w:rsidP="00CC1E09">
      <w:pPr>
        <w:pStyle w:val="Default"/>
        <w:jc w:val="both"/>
        <w:rPr>
          <w:sz w:val="22"/>
          <w:szCs w:val="22"/>
        </w:rPr>
      </w:pPr>
    </w:p>
    <w:p w:rsidR="00DD4A16" w:rsidRDefault="00CC1E09" w:rsidP="001C2441">
      <w:pPr>
        <w:pStyle w:val="Default"/>
        <w:numPr>
          <w:ilvl w:val="1"/>
          <w:numId w:val="5"/>
        </w:numPr>
        <w:jc w:val="both"/>
        <w:rPr>
          <w:sz w:val="22"/>
          <w:szCs w:val="22"/>
        </w:rPr>
      </w:pPr>
      <w:r w:rsidRPr="00CC1E09">
        <w:rPr>
          <w:sz w:val="22"/>
          <w:szCs w:val="22"/>
        </w:rPr>
        <w:t xml:space="preserve">The following </w:t>
      </w:r>
      <w:r>
        <w:rPr>
          <w:sz w:val="22"/>
          <w:szCs w:val="22"/>
        </w:rPr>
        <w:t>offer</w:t>
      </w:r>
      <w:r w:rsidR="001C2441">
        <w:rPr>
          <w:sz w:val="22"/>
          <w:szCs w:val="22"/>
        </w:rPr>
        <w:t>s</w:t>
      </w:r>
      <w:r>
        <w:rPr>
          <w:sz w:val="22"/>
          <w:szCs w:val="22"/>
        </w:rPr>
        <w:t xml:space="preserve"> a high level</w:t>
      </w:r>
      <w:r w:rsidRPr="00CC1E09">
        <w:rPr>
          <w:sz w:val="22"/>
          <w:szCs w:val="22"/>
        </w:rPr>
        <w:t xml:space="preserve"> summary of the key findings derived from the </w:t>
      </w:r>
      <w:r w:rsidR="005C4BA7">
        <w:rPr>
          <w:sz w:val="22"/>
          <w:szCs w:val="22"/>
        </w:rPr>
        <w:t xml:space="preserve">2017 </w:t>
      </w:r>
      <w:r w:rsidRPr="00CC1E09">
        <w:rPr>
          <w:sz w:val="22"/>
          <w:szCs w:val="22"/>
        </w:rPr>
        <w:t>survey undertaken</w:t>
      </w:r>
      <w:r>
        <w:rPr>
          <w:sz w:val="22"/>
          <w:szCs w:val="22"/>
        </w:rPr>
        <w:t xml:space="preserve"> during November/December 2017</w:t>
      </w:r>
      <w:r w:rsidR="00AC4BDF">
        <w:rPr>
          <w:sz w:val="22"/>
          <w:szCs w:val="22"/>
        </w:rPr>
        <w:t xml:space="preserve"> (the full report is still in development)</w:t>
      </w:r>
      <w:r>
        <w:rPr>
          <w:sz w:val="22"/>
          <w:szCs w:val="22"/>
        </w:rPr>
        <w:t xml:space="preserve">. </w:t>
      </w:r>
      <w:r w:rsidRPr="00CC1E09">
        <w:rPr>
          <w:sz w:val="22"/>
          <w:szCs w:val="22"/>
        </w:rPr>
        <w:t>A total of 169 res</w:t>
      </w:r>
      <w:r w:rsidR="001C2441">
        <w:rPr>
          <w:sz w:val="22"/>
          <w:szCs w:val="22"/>
        </w:rPr>
        <w:t xml:space="preserve">ponses were received, giving a </w:t>
      </w:r>
      <w:r w:rsidRPr="00CC1E09">
        <w:rPr>
          <w:sz w:val="22"/>
          <w:szCs w:val="22"/>
        </w:rPr>
        <w:t xml:space="preserve">response rate of 78%. This is an increase on the rate recorded in 2016 (73%). </w:t>
      </w:r>
    </w:p>
    <w:p w:rsidR="005D31F6" w:rsidRDefault="005D31F6" w:rsidP="00CC1E09">
      <w:pPr>
        <w:pStyle w:val="Default"/>
        <w:jc w:val="both"/>
        <w:rPr>
          <w:sz w:val="22"/>
          <w:szCs w:val="22"/>
        </w:rPr>
      </w:pPr>
    </w:p>
    <w:p w:rsidR="005D31F6" w:rsidRPr="00D9793C" w:rsidRDefault="005D31F6" w:rsidP="001C2441">
      <w:pPr>
        <w:pStyle w:val="Default"/>
        <w:numPr>
          <w:ilvl w:val="0"/>
          <w:numId w:val="3"/>
        </w:numPr>
        <w:ind w:left="1418" w:hanging="284"/>
        <w:jc w:val="both"/>
        <w:rPr>
          <w:sz w:val="22"/>
          <w:szCs w:val="22"/>
        </w:rPr>
      </w:pPr>
      <w:r w:rsidRPr="00D9793C">
        <w:rPr>
          <w:sz w:val="22"/>
          <w:szCs w:val="22"/>
        </w:rPr>
        <w:t>The HRA achieved 40 out of 45 results above the BMG benchmark and 67 improved (or the same) results compared to</w:t>
      </w:r>
      <w:r w:rsidR="00C34416" w:rsidRPr="00D9793C">
        <w:rPr>
          <w:sz w:val="22"/>
          <w:szCs w:val="22"/>
        </w:rPr>
        <w:t xml:space="preserve"> 2016 and</w:t>
      </w:r>
      <w:r w:rsidRPr="00D9793C">
        <w:rPr>
          <w:sz w:val="22"/>
          <w:szCs w:val="22"/>
        </w:rPr>
        <w:t xml:space="preserve"> 41 that had deteriorated since </w:t>
      </w:r>
      <w:r w:rsidR="00A5577B" w:rsidRPr="00D9793C">
        <w:rPr>
          <w:sz w:val="22"/>
          <w:szCs w:val="22"/>
        </w:rPr>
        <w:t>the previous survey</w:t>
      </w:r>
    </w:p>
    <w:p w:rsidR="005D31F6" w:rsidRDefault="005D31F6" w:rsidP="001C2441">
      <w:pPr>
        <w:pStyle w:val="Default"/>
        <w:numPr>
          <w:ilvl w:val="0"/>
          <w:numId w:val="3"/>
        </w:numPr>
        <w:ind w:left="1418" w:hanging="284"/>
        <w:jc w:val="both"/>
        <w:rPr>
          <w:sz w:val="22"/>
          <w:szCs w:val="22"/>
        </w:rPr>
      </w:pPr>
      <w:r>
        <w:rPr>
          <w:sz w:val="22"/>
          <w:szCs w:val="22"/>
        </w:rPr>
        <w:t>Responses regarding communication were extremely positive – particularly in relation to the Web, Intranet and staff having a clearer understanding of ‘what’s going on’</w:t>
      </w:r>
    </w:p>
    <w:p w:rsidR="005D31F6" w:rsidRDefault="005D31F6" w:rsidP="001C2441">
      <w:pPr>
        <w:pStyle w:val="Default"/>
        <w:numPr>
          <w:ilvl w:val="0"/>
          <w:numId w:val="3"/>
        </w:numPr>
        <w:ind w:left="1418" w:hanging="284"/>
        <w:jc w:val="both"/>
        <w:rPr>
          <w:sz w:val="22"/>
          <w:szCs w:val="22"/>
        </w:rPr>
      </w:pPr>
      <w:r>
        <w:rPr>
          <w:sz w:val="22"/>
          <w:szCs w:val="22"/>
        </w:rPr>
        <w:t>Overall ‘new starters’ and those at more senior levels were more positive in their responses</w:t>
      </w:r>
    </w:p>
    <w:p w:rsidR="005D31F6" w:rsidRPr="005D31F6" w:rsidRDefault="005D31F6" w:rsidP="001C2441">
      <w:pPr>
        <w:pStyle w:val="Default"/>
        <w:numPr>
          <w:ilvl w:val="0"/>
          <w:numId w:val="3"/>
        </w:numPr>
        <w:ind w:left="1418" w:hanging="284"/>
        <w:jc w:val="both"/>
        <w:rPr>
          <w:sz w:val="22"/>
          <w:szCs w:val="22"/>
        </w:rPr>
      </w:pPr>
      <w:r>
        <w:rPr>
          <w:sz w:val="22"/>
          <w:szCs w:val="22"/>
        </w:rPr>
        <w:t>All indicators linked to the management of change had improved</w:t>
      </w:r>
    </w:p>
    <w:p w:rsidR="005D31F6" w:rsidRPr="005D31F6" w:rsidRDefault="005D31F6" w:rsidP="001C2441">
      <w:pPr>
        <w:pStyle w:val="Default"/>
        <w:numPr>
          <w:ilvl w:val="0"/>
          <w:numId w:val="3"/>
        </w:numPr>
        <w:ind w:left="1418" w:hanging="284"/>
        <w:jc w:val="both"/>
        <w:rPr>
          <w:sz w:val="22"/>
          <w:szCs w:val="22"/>
        </w:rPr>
      </w:pPr>
      <w:r>
        <w:rPr>
          <w:sz w:val="22"/>
          <w:szCs w:val="22"/>
        </w:rPr>
        <w:t xml:space="preserve">Responses around </w:t>
      </w:r>
      <w:r w:rsidRPr="005D31F6">
        <w:rPr>
          <w:sz w:val="22"/>
          <w:szCs w:val="22"/>
        </w:rPr>
        <w:t>IT</w:t>
      </w:r>
      <w:r>
        <w:rPr>
          <w:sz w:val="22"/>
          <w:szCs w:val="22"/>
        </w:rPr>
        <w:t xml:space="preserve"> haven’t  improved as was hoped </w:t>
      </w:r>
    </w:p>
    <w:p w:rsidR="005D31F6" w:rsidRDefault="009441AA" w:rsidP="001C2441">
      <w:pPr>
        <w:pStyle w:val="Default"/>
        <w:numPr>
          <w:ilvl w:val="0"/>
          <w:numId w:val="3"/>
        </w:numPr>
        <w:ind w:left="1418" w:hanging="284"/>
        <w:jc w:val="both"/>
        <w:rPr>
          <w:sz w:val="22"/>
          <w:szCs w:val="22"/>
        </w:rPr>
      </w:pPr>
      <w:r>
        <w:rPr>
          <w:sz w:val="22"/>
          <w:szCs w:val="22"/>
        </w:rPr>
        <w:t>Career development and pay were the characteristics that people were most concerned about improving</w:t>
      </w:r>
    </w:p>
    <w:p w:rsidR="000938D9" w:rsidRDefault="000938D9" w:rsidP="001C2441">
      <w:pPr>
        <w:pStyle w:val="Default"/>
        <w:numPr>
          <w:ilvl w:val="0"/>
          <w:numId w:val="3"/>
        </w:numPr>
        <w:ind w:left="1418" w:hanging="284"/>
        <w:jc w:val="both"/>
        <w:rPr>
          <w:sz w:val="22"/>
          <w:szCs w:val="22"/>
        </w:rPr>
      </w:pPr>
      <w:r>
        <w:rPr>
          <w:sz w:val="22"/>
          <w:szCs w:val="22"/>
        </w:rPr>
        <w:t xml:space="preserve">A new question around health and well-being was added this year which showed that more than 1- 4 people (who were affected by a H&amp;WB issue) were dissatisfied with the way it as handled </w:t>
      </w:r>
    </w:p>
    <w:p w:rsidR="00D00607" w:rsidRDefault="00D00607" w:rsidP="001C2441">
      <w:pPr>
        <w:pStyle w:val="Default"/>
        <w:numPr>
          <w:ilvl w:val="0"/>
          <w:numId w:val="3"/>
        </w:numPr>
        <w:ind w:left="1418" w:hanging="284"/>
        <w:jc w:val="both"/>
        <w:rPr>
          <w:sz w:val="22"/>
          <w:szCs w:val="22"/>
        </w:rPr>
      </w:pPr>
      <w:r>
        <w:rPr>
          <w:sz w:val="22"/>
          <w:szCs w:val="22"/>
        </w:rPr>
        <w:t>Workload remains an area of concern for many</w:t>
      </w:r>
    </w:p>
    <w:p w:rsidR="00261373" w:rsidRDefault="00261373" w:rsidP="001C2441">
      <w:pPr>
        <w:pStyle w:val="Default"/>
        <w:numPr>
          <w:ilvl w:val="0"/>
          <w:numId w:val="3"/>
        </w:numPr>
        <w:ind w:left="1418" w:hanging="284"/>
        <w:jc w:val="both"/>
        <w:rPr>
          <w:sz w:val="22"/>
          <w:szCs w:val="22"/>
        </w:rPr>
      </w:pPr>
      <w:r>
        <w:rPr>
          <w:sz w:val="22"/>
          <w:szCs w:val="22"/>
        </w:rPr>
        <w:t>Perception of management of poor performance still less than positive</w:t>
      </w:r>
    </w:p>
    <w:p w:rsidR="009441AA" w:rsidRPr="005D31F6" w:rsidRDefault="000938D9" w:rsidP="001C2441">
      <w:pPr>
        <w:pStyle w:val="Default"/>
        <w:numPr>
          <w:ilvl w:val="0"/>
          <w:numId w:val="3"/>
        </w:numPr>
        <w:ind w:left="1418" w:hanging="284"/>
        <w:jc w:val="both"/>
        <w:rPr>
          <w:sz w:val="22"/>
          <w:szCs w:val="22"/>
        </w:rPr>
      </w:pPr>
      <w:r>
        <w:rPr>
          <w:sz w:val="22"/>
          <w:szCs w:val="22"/>
        </w:rPr>
        <w:t xml:space="preserve">9 out of 10 people indicated that they would support a partnership agreement with UNISON </w:t>
      </w:r>
    </w:p>
    <w:p w:rsidR="00D00607" w:rsidRDefault="00D00607" w:rsidP="001C2441">
      <w:pPr>
        <w:pStyle w:val="Default"/>
        <w:numPr>
          <w:ilvl w:val="0"/>
          <w:numId w:val="3"/>
        </w:numPr>
        <w:ind w:left="1418" w:hanging="284"/>
        <w:jc w:val="both"/>
        <w:rPr>
          <w:sz w:val="22"/>
          <w:szCs w:val="22"/>
        </w:rPr>
      </w:pPr>
      <w:r w:rsidRPr="00D00607">
        <w:rPr>
          <w:sz w:val="22"/>
          <w:szCs w:val="22"/>
        </w:rPr>
        <w:t>Across directorates and locations there were variable results</w:t>
      </w:r>
    </w:p>
    <w:p w:rsidR="005D31F6" w:rsidRDefault="005D31F6" w:rsidP="001C2441">
      <w:pPr>
        <w:pStyle w:val="Default"/>
        <w:numPr>
          <w:ilvl w:val="0"/>
          <w:numId w:val="3"/>
        </w:numPr>
        <w:ind w:left="1418" w:hanging="284"/>
        <w:jc w:val="both"/>
        <w:rPr>
          <w:sz w:val="22"/>
          <w:szCs w:val="22"/>
        </w:rPr>
      </w:pPr>
      <w:r w:rsidRPr="00D00607">
        <w:rPr>
          <w:sz w:val="22"/>
          <w:szCs w:val="22"/>
        </w:rPr>
        <w:t>57% (59%</w:t>
      </w:r>
      <w:r w:rsidR="00D00607">
        <w:rPr>
          <w:sz w:val="22"/>
          <w:szCs w:val="22"/>
        </w:rPr>
        <w:t xml:space="preserve"> in 2016</w:t>
      </w:r>
      <w:r w:rsidRPr="00D00607">
        <w:rPr>
          <w:sz w:val="22"/>
          <w:szCs w:val="22"/>
        </w:rPr>
        <w:t>) know who NEDS are</w:t>
      </w:r>
    </w:p>
    <w:p w:rsidR="00BE3409" w:rsidRDefault="00BE3409" w:rsidP="00BE3409">
      <w:pPr>
        <w:pStyle w:val="Default"/>
        <w:jc w:val="both"/>
        <w:rPr>
          <w:sz w:val="22"/>
          <w:szCs w:val="22"/>
        </w:rPr>
      </w:pPr>
    </w:p>
    <w:p w:rsidR="00BE3409" w:rsidRPr="00BE3409" w:rsidRDefault="00BE3409" w:rsidP="001C2441">
      <w:pPr>
        <w:pStyle w:val="Default"/>
        <w:numPr>
          <w:ilvl w:val="0"/>
          <w:numId w:val="5"/>
        </w:numPr>
        <w:jc w:val="both"/>
        <w:rPr>
          <w:b/>
          <w:sz w:val="22"/>
          <w:szCs w:val="22"/>
        </w:rPr>
      </w:pPr>
      <w:r w:rsidRPr="00BE3409">
        <w:rPr>
          <w:b/>
          <w:sz w:val="22"/>
          <w:szCs w:val="22"/>
        </w:rPr>
        <w:t>Progress against areas for improvement identified from 2016 Survey</w:t>
      </w:r>
    </w:p>
    <w:p w:rsidR="00BE3409" w:rsidRDefault="00BE3409" w:rsidP="00BE3409">
      <w:pPr>
        <w:pStyle w:val="Default"/>
        <w:jc w:val="both"/>
        <w:rPr>
          <w:sz w:val="22"/>
          <w:szCs w:val="22"/>
        </w:rPr>
      </w:pPr>
    </w:p>
    <w:p w:rsidR="00BE3409" w:rsidRPr="00BE3409" w:rsidRDefault="00EC2BD3" w:rsidP="001C2441">
      <w:pPr>
        <w:pStyle w:val="Default"/>
        <w:numPr>
          <w:ilvl w:val="1"/>
          <w:numId w:val="5"/>
        </w:numPr>
        <w:jc w:val="both"/>
        <w:rPr>
          <w:sz w:val="22"/>
          <w:szCs w:val="22"/>
        </w:rPr>
      </w:pPr>
      <w:r>
        <w:rPr>
          <w:sz w:val="22"/>
          <w:szCs w:val="22"/>
        </w:rPr>
        <w:t>Th</w:t>
      </w:r>
      <w:r w:rsidR="001C2441">
        <w:rPr>
          <w:sz w:val="22"/>
          <w:szCs w:val="22"/>
        </w:rPr>
        <w:t>is</w:t>
      </w:r>
      <w:r>
        <w:rPr>
          <w:sz w:val="22"/>
          <w:szCs w:val="22"/>
        </w:rPr>
        <w:t xml:space="preserve"> meeting also presents an opportunity to reflect on progress made against </w:t>
      </w:r>
      <w:r w:rsidR="001C2441">
        <w:rPr>
          <w:sz w:val="22"/>
          <w:szCs w:val="22"/>
        </w:rPr>
        <w:t>2016</w:t>
      </w:r>
      <w:r>
        <w:rPr>
          <w:sz w:val="22"/>
          <w:szCs w:val="22"/>
        </w:rPr>
        <w:t xml:space="preserve"> priorities. </w:t>
      </w:r>
    </w:p>
    <w:p w:rsidR="00BE3409" w:rsidRPr="00BE3409" w:rsidRDefault="00BE3409" w:rsidP="00BE3409">
      <w:pPr>
        <w:pStyle w:val="Default"/>
        <w:jc w:val="both"/>
        <w:rPr>
          <w:sz w:val="22"/>
          <w:szCs w:val="22"/>
        </w:rPr>
      </w:pPr>
    </w:p>
    <w:tbl>
      <w:tblPr>
        <w:tblStyle w:val="TableGrid"/>
        <w:tblW w:w="0" w:type="auto"/>
        <w:tblInd w:w="1242" w:type="dxa"/>
        <w:tblLook w:val="04A0" w:firstRow="1" w:lastRow="0" w:firstColumn="1" w:lastColumn="0" w:noHBand="0" w:noVBand="1"/>
      </w:tblPr>
      <w:tblGrid>
        <w:gridCol w:w="1987"/>
        <w:gridCol w:w="1119"/>
        <w:gridCol w:w="4894"/>
      </w:tblGrid>
      <w:tr w:rsidR="003B19F4" w:rsidRPr="001C2441" w:rsidTr="001C2441">
        <w:tc>
          <w:tcPr>
            <w:tcW w:w="1843" w:type="dxa"/>
            <w:shd w:val="clear" w:color="auto" w:fill="002060"/>
          </w:tcPr>
          <w:p w:rsidR="00F6009E" w:rsidRPr="001C2441" w:rsidRDefault="00F6009E" w:rsidP="00D85575">
            <w:pPr>
              <w:pStyle w:val="Default"/>
              <w:jc w:val="both"/>
              <w:rPr>
                <w:b/>
                <w:color w:val="FFFFFF" w:themeColor="background1"/>
                <w:sz w:val="18"/>
                <w:szCs w:val="18"/>
              </w:rPr>
            </w:pPr>
            <w:r w:rsidRPr="001C2441">
              <w:rPr>
                <w:b/>
                <w:color w:val="FFFFFF" w:themeColor="background1"/>
                <w:sz w:val="18"/>
                <w:szCs w:val="18"/>
              </w:rPr>
              <w:t>Area</w:t>
            </w:r>
          </w:p>
        </w:tc>
        <w:tc>
          <w:tcPr>
            <w:tcW w:w="1134" w:type="dxa"/>
            <w:shd w:val="clear" w:color="auto" w:fill="002060"/>
          </w:tcPr>
          <w:p w:rsidR="00F6009E" w:rsidRPr="001C2441" w:rsidRDefault="00F6009E" w:rsidP="00916113">
            <w:pPr>
              <w:pStyle w:val="Default"/>
              <w:jc w:val="center"/>
              <w:rPr>
                <w:b/>
                <w:color w:val="FFFFFF" w:themeColor="background1"/>
                <w:sz w:val="18"/>
                <w:szCs w:val="18"/>
              </w:rPr>
            </w:pPr>
            <w:r w:rsidRPr="001C2441">
              <w:rPr>
                <w:b/>
                <w:color w:val="FFFFFF" w:themeColor="background1"/>
                <w:sz w:val="18"/>
                <w:szCs w:val="18"/>
              </w:rPr>
              <w:t>Trend</w:t>
            </w:r>
          </w:p>
        </w:tc>
        <w:tc>
          <w:tcPr>
            <w:tcW w:w="5023" w:type="dxa"/>
            <w:shd w:val="clear" w:color="auto" w:fill="002060"/>
          </w:tcPr>
          <w:p w:rsidR="00F6009E" w:rsidRPr="001C2441" w:rsidRDefault="00F6009E" w:rsidP="00916113">
            <w:pPr>
              <w:pStyle w:val="Default"/>
              <w:jc w:val="center"/>
              <w:rPr>
                <w:b/>
                <w:color w:val="FFFFFF" w:themeColor="background1"/>
                <w:sz w:val="18"/>
                <w:szCs w:val="18"/>
              </w:rPr>
            </w:pPr>
            <w:r w:rsidRPr="001C2441">
              <w:rPr>
                <w:b/>
                <w:color w:val="FFFFFF" w:themeColor="background1"/>
                <w:sz w:val="18"/>
                <w:szCs w:val="18"/>
              </w:rPr>
              <w:t>Comment</w:t>
            </w:r>
          </w:p>
        </w:tc>
      </w:tr>
      <w:tr w:rsidR="00EC2BD3" w:rsidRPr="001C2441" w:rsidTr="001C2441">
        <w:tc>
          <w:tcPr>
            <w:tcW w:w="1843" w:type="dxa"/>
          </w:tcPr>
          <w:p w:rsidR="00F6009E" w:rsidRPr="001C2441" w:rsidRDefault="00F6009E" w:rsidP="00D85575">
            <w:pPr>
              <w:pStyle w:val="Default"/>
              <w:jc w:val="both"/>
              <w:rPr>
                <w:sz w:val="18"/>
                <w:szCs w:val="18"/>
              </w:rPr>
            </w:pPr>
            <w:r w:rsidRPr="001C2441">
              <w:rPr>
                <w:sz w:val="18"/>
                <w:szCs w:val="18"/>
              </w:rPr>
              <w:t>Concerns over ability to manage change</w:t>
            </w:r>
          </w:p>
        </w:tc>
        <w:tc>
          <w:tcPr>
            <w:tcW w:w="1134" w:type="dxa"/>
          </w:tcPr>
          <w:p w:rsidR="00F6009E" w:rsidRPr="001C2441" w:rsidRDefault="00F6009E" w:rsidP="00916113">
            <w:pPr>
              <w:pStyle w:val="Default"/>
              <w:jc w:val="center"/>
              <w:rPr>
                <w:sz w:val="18"/>
                <w:szCs w:val="18"/>
              </w:rPr>
            </w:pPr>
            <w:r w:rsidRPr="001C2441">
              <w:rPr>
                <w:sz w:val="18"/>
                <w:szCs w:val="18"/>
              </w:rPr>
              <w:sym w:font="Wingdings" w:char="F0FC"/>
            </w:r>
          </w:p>
        </w:tc>
        <w:tc>
          <w:tcPr>
            <w:tcW w:w="5023" w:type="dxa"/>
          </w:tcPr>
          <w:p w:rsidR="00F6009E" w:rsidRPr="001C2441" w:rsidRDefault="003B19F4" w:rsidP="003B19F4">
            <w:pPr>
              <w:pStyle w:val="Default"/>
              <w:rPr>
                <w:sz w:val="18"/>
                <w:szCs w:val="18"/>
              </w:rPr>
            </w:pPr>
            <w:r w:rsidRPr="001C2441">
              <w:rPr>
                <w:sz w:val="18"/>
                <w:szCs w:val="18"/>
              </w:rPr>
              <w:t>Improvement in all areas</w:t>
            </w:r>
            <w:r w:rsidR="00A227DE" w:rsidRPr="001C2441">
              <w:rPr>
                <w:sz w:val="18"/>
                <w:szCs w:val="18"/>
              </w:rPr>
              <w:t xml:space="preserve"> – reflection on collaborative approach to change</w:t>
            </w:r>
          </w:p>
        </w:tc>
      </w:tr>
      <w:tr w:rsidR="002B0841" w:rsidRPr="001C2441" w:rsidTr="001C2441">
        <w:tc>
          <w:tcPr>
            <w:tcW w:w="1843" w:type="dxa"/>
          </w:tcPr>
          <w:p w:rsidR="002B0841" w:rsidRPr="001C2441" w:rsidRDefault="002B0841" w:rsidP="005B6B5F">
            <w:pPr>
              <w:pStyle w:val="Default"/>
              <w:jc w:val="both"/>
              <w:rPr>
                <w:sz w:val="18"/>
                <w:szCs w:val="18"/>
              </w:rPr>
            </w:pPr>
            <w:r w:rsidRPr="001C2441">
              <w:rPr>
                <w:sz w:val="18"/>
                <w:szCs w:val="18"/>
              </w:rPr>
              <w:t>Appraisals (drop in completion rate and format)</w:t>
            </w:r>
          </w:p>
        </w:tc>
        <w:tc>
          <w:tcPr>
            <w:tcW w:w="1134" w:type="dxa"/>
          </w:tcPr>
          <w:p w:rsidR="002B0841" w:rsidRPr="001C2441" w:rsidRDefault="002B0841" w:rsidP="005B6B5F">
            <w:pPr>
              <w:pStyle w:val="Default"/>
              <w:jc w:val="center"/>
              <w:rPr>
                <w:sz w:val="18"/>
                <w:szCs w:val="18"/>
              </w:rPr>
            </w:pPr>
            <w:r w:rsidRPr="001C2441">
              <w:rPr>
                <w:sz w:val="18"/>
                <w:szCs w:val="18"/>
              </w:rPr>
              <w:sym w:font="Wingdings" w:char="F0FC"/>
            </w:r>
          </w:p>
        </w:tc>
        <w:tc>
          <w:tcPr>
            <w:tcW w:w="5023" w:type="dxa"/>
          </w:tcPr>
          <w:p w:rsidR="002B0841" w:rsidRPr="001C2441" w:rsidRDefault="002B0841" w:rsidP="00A227DE">
            <w:pPr>
              <w:pStyle w:val="Default"/>
              <w:rPr>
                <w:sz w:val="18"/>
                <w:szCs w:val="18"/>
              </w:rPr>
            </w:pPr>
            <w:r w:rsidRPr="001C2441">
              <w:rPr>
                <w:sz w:val="18"/>
                <w:szCs w:val="18"/>
              </w:rPr>
              <w:t xml:space="preserve">Completion rate at 98% satisfaction up </w:t>
            </w:r>
            <w:r w:rsidR="00A227DE" w:rsidRPr="001C2441">
              <w:rPr>
                <w:sz w:val="18"/>
                <w:szCs w:val="18"/>
              </w:rPr>
              <w:t>as well</w:t>
            </w:r>
          </w:p>
        </w:tc>
      </w:tr>
      <w:tr w:rsidR="002B0841" w:rsidRPr="001C2441" w:rsidTr="001C2441">
        <w:tc>
          <w:tcPr>
            <w:tcW w:w="1843" w:type="dxa"/>
          </w:tcPr>
          <w:p w:rsidR="002B0841" w:rsidRPr="001C2441" w:rsidRDefault="002B0841" w:rsidP="005B6B5F">
            <w:pPr>
              <w:pStyle w:val="Default"/>
              <w:jc w:val="both"/>
              <w:rPr>
                <w:sz w:val="18"/>
                <w:szCs w:val="18"/>
              </w:rPr>
            </w:pPr>
            <w:r w:rsidRPr="001C2441">
              <w:rPr>
                <w:sz w:val="18"/>
                <w:szCs w:val="18"/>
              </w:rPr>
              <w:t>Confidence to speak up</w:t>
            </w:r>
          </w:p>
        </w:tc>
        <w:tc>
          <w:tcPr>
            <w:tcW w:w="1134" w:type="dxa"/>
          </w:tcPr>
          <w:p w:rsidR="002B0841" w:rsidRPr="001C2441" w:rsidRDefault="002B0841" w:rsidP="005B6B5F">
            <w:pPr>
              <w:pStyle w:val="Default"/>
              <w:jc w:val="center"/>
              <w:rPr>
                <w:sz w:val="18"/>
                <w:szCs w:val="18"/>
              </w:rPr>
            </w:pPr>
            <w:r w:rsidRPr="001C2441">
              <w:rPr>
                <w:sz w:val="18"/>
                <w:szCs w:val="18"/>
              </w:rPr>
              <w:sym w:font="Wingdings" w:char="F0FC"/>
            </w:r>
          </w:p>
        </w:tc>
        <w:tc>
          <w:tcPr>
            <w:tcW w:w="5023" w:type="dxa"/>
          </w:tcPr>
          <w:p w:rsidR="002B0841" w:rsidRPr="001C2441" w:rsidRDefault="002B0841" w:rsidP="005B6B5F">
            <w:pPr>
              <w:pStyle w:val="Default"/>
              <w:rPr>
                <w:sz w:val="18"/>
                <w:szCs w:val="18"/>
              </w:rPr>
            </w:pPr>
            <w:r w:rsidRPr="001C2441">
              <w:rPr>
                <w:sz w:val="18"/>
                <w:szCs w:val="18"/>
              </w:rPr>
              <w:t>6% improvement on 2016</w:t>
            </w:r>
          </w:p>
        </w:tc>
      </w:tr>
      <w:tr w:rsidR="00EC2BD3" w:rsidRPr="001C2441" w:rsidTr="001C2441">
        <w:tc>
          <w:tcPr>
            <w:tcW w:w="1843" w:type="dxa"/>
          </w:tcPr>
          <w:p w:rsidR="00F6009E" w:rsidRPr="001C2441" w:rsidRDefault="00F6009E" w:rsidP="0026373A">
            <w:pPr>
              <w:pStyle w:val="Default"/>
              <w:jc w:val="both"/>
              <w:rPr>
                <w:sz w:val="18"/>
                <w:szCs w:val="18"/>
              </w:rPr>
            </w:pPr>
            <w:r w:rsidRPr="001C2441">
              <w:rPr>
                <w:sz w:val="18"/>
                <w:szCs w:val="18"/>
              </w:rPr>
              <w:t>Visibility/Effectiveness of Staff Forum</w:t>
            </w:r>
          </w:p>
        </w:tc>
        <w:tc>
          <w:tcPr>
            <w:tcW w:w="1134" w:type="dxa"/>
          </w:tcPr>
          <w:p w:rsidR="00F6009E" w:rsidRPr="001C2441" w:rsidRDefault="00F6009E" w:rsidP="00916113">
            <w:pPr>
              <w:pStyle w:val="Default"/>
              <w:jc w:val="center"/>
              <w:rPr>
                <w:sz w:val="18"/>
                <w:szCs w:val="18"/>
              </w:rPr>
            </w:pPr>
            <w:r w:rsidRPr="001C2441">
              <w:rPr>
                <w:sz w:val="18"/>
                <w:szCs w:val="18"/>
              </w:rPr>
              <w:t>±</w:t>
            </w:r>
          </w:p>
        </w:tc>
        <w:tc>
          <w:tcPr>
            <w:tcW w:w="5023" w:type="dxa"/>
          </w:tcPr>
          <w:p w:rsidR="00F6009E" w:rsidRPr="001C2441" w:rsidRDefault="003B19F4" w:rsidP="001C2441">
            <w:pPr>
              <w:pStyle w:val="Default"/>
              <w:rPr>
                <w:sz w:val="18"/>
                <w:szCs w:val="18"/>
              </w:rPr>
            </w:pPr>
            <w:r w:rsidRPr="001C2441">
              <w:rPr>
                <w:sz w:val="18"/>
                <w:szCs w:val="18"/>
              </w:rPr>
              <w:t>Similar scores to last year</w:t>
            </w:r>
            <w:r w:rsidR="001C2441">
              <w:rPr>
                <w:sz w:val="18"/>
                <w:szCs w:val="18"/>
              </w:rPr>
              <w:t xml:space="preserve">, </w:t>
            </w:r>
            <w:r w:rsidRPr="001C2441">
              <w:rPr>
                <w:sz w:val="18"/>
                <w:szCs w:val="18"/>
              </w:rPr>
              <w:t xml:space="preserve">though increase </w:t>
            </w:r>
            <w:r w:rsidR="001C2441">
              <w:rPr>
                <w:sz w:val="18"/>
                <w:szCs w:val="18"/>
              </w:rPr>
              <w:t>in</w:t>
            </w:r>
            <w:r w:rsidRPr="001C2441">
              <w:rPr>
                <w:sz w:val="18"/>
                <w:szCs w:val="18"/>
              </w:rPr>
              <w:t xml:space="preserve"> </w:t>
            </w:r>
            <w:r w:rsidR="001C2441">
              <w:rPr>
                <w:sz w:val="18"/>
                <w:szCs w:val="18"/>
              </w:rPr>
              <w:t>‘</w:t>
            </w:r>
            <w:r w:rsidRPr="001C2441">
              <w:rPr>
                <w:sz w:val="18"/>
                <w:szCs w:val="18"/>
              </w:rPr>
              <w:t>knowing who reps are</w:t>
            </w:r>
            <w:r w:rsidR="001C2441">
              <w:rPr>
                <w:sz w:val="18"/>
                <w:szCs w:val="18"/>
              </w:rPr>
              <w:t>’</w:t>
            </w:r>
            <w:r w:rsidRPr="001C2441">
              <w:rPr>
                <w:sz w:val="18"/>
                <w:szCs w:val="18"/>
              </w:rPr>
              <w:t xml:space="preserve"> and </w:t>
            </w:r>
            <w:r w:rsidR="001C2441">
              <w:rPr>
                <w:sz w:val="18"/>
                <w:szCs w:val="18"/>
              </w:rPr>
              <w:t>‘</w:t>
            </w:r>
            <w:r w:rsidRPr="001C2441">
              <w:rPr>
                <w:sz w:val="18"/>
                <w:szCs w:val="18"/>
              </w:rPr>
              <w:t>communicating news well</w:t>
            </w:r>
            <w:r w:rsidR="001C2441">
              <w:rPr>
                <w:sz w:val="18"/>
                <w:szCs w:val="18"/>
              </w:rPr>
              <w:t>’</w:t>
            </w:r>
          </w:p>
        </w:tc>
      </w:tr>
      <w:tr w:rsidR="00EC2BD3" w:rsidRPr="001C2441" w:rsidTr="001C2441">
        <w:tc>
          <w:tcPr>
            <w:tcW w:w="1843" w:type="dxa"/>
          </w:tcPr>
          <w:p w:rsidR="00F6009E" w:rsidRPr="001C2441" w:rsidRDefault="00F6009E" w:rsidP="00F6009E">
            <w:pPr>
              <w:pStyle w:val="Default"/>
              <w:rPr>
                <w:sz w:val="18"/>
                <w:szCs w:val="18"/>
              </w:rPr>
            </w:pPr>
            <w:r w:rsidRPr="001C2441">
              <w:rPr>
                <w:sz w:val="18"/>
                <w:szCs w:val="18"/>
              </w:rPr>
              <w:t>Learning and Development (</w:t>
            </w:r>
            <w:r w:rsidR="005159BD" w:rsidRPr="001C2441">
              <w:rPr>
                <w:sz w:val="18"/>
                <w:szCs w:val="18"/>
              </w:rPr>
              <w:t>Inc.</w:t>
            </w:r>
            <w:r w:rsidRPr="001C2441">
              <w:rPr>
                <w:sz w:val="18"/>
                <w:szCs w:val="18"/>
              </w:rPr>
              <w:t xml:space="preserve"> Career development)</w:t>
            </w:r>
          </w:p>
        </w:tc>
        <w:tc>
          <w:tcPr>
            <w:tcW w:w="1134" w:type="dxa"/>
          </w:tcPr>
          <w:p w:rsidR="00F6009E" w:rsidRPr="001C2441" w:rsidRDefault="00F6009E" w:rsidP="00916113">
            <w:pPr>
              <w:pStyle w:val="Default"/>
              <w:jc w:val="center"/>
              <w:rPr>
                <w:sz w:val="18"/>
                <w:szCs w:val="18"/>
              </w:rPr>
            </w:pPr>
            <w:r w:rsidRPr="001C2441">
              <w:rPr>
                <w:sz w:val="18"/>
                <w:szCs w:val="18"/>
              </w:rPr>
              <w:t>±</w:t>
            </w:r>
          </w:p>
        </w:tc>
        <w:tc>
          <w:tcPr>
            <w:tcW w:w="5023" w:type="dxa"/>
          </w:tcPr>
          <w:p w:rsidR="00F6009E" w:rsidRPr="001C2441" w:rsidRDefault="00A227DE" w:rsidP="003B19F4">
            <w:pPr>
              <w:pStyle w:val="Default"/>
              <w:rPr>
                <w:sz w:val="18"/>
                <w:szCs w:val="18"/>
              </w:rPr>
            </w:pPr>
            <w:r w:rsidRPr="001C2441">
              <w:rPr>
                <w:sz w:val="18"/>
                <w:szCs w:val="18"/>
              </w:rPr>
              <w:t>Significant time has been focussed on developing a more comprehensive programme of work and it’s likely that this work will be recognised more in next year’s survey</w:t>
            </w:r>
          </w:p>
        </w:tc>
      </w:tr>
      <w:tr w:rsidR="00EC2BD3" w:rsidRPr="001C2441" w:rsidTr="001C2441">
        <w:tc>
          <w:tcPr>
            <w:tcW w:w="1843" w:type="dxa"/>
          </w:tcPr>
          <w:p w:rsidR="00F6009E" w:rsidRPr="001C2441" w:rsidRDefault="00F6009E" w:rsidP="0026373A">
            <w:pPr>
              <w:pStyle w:val="Default"/>
              <w:jc w:val="both"/>
              <w:rPr>
                <w:sz w:val="18"/>
                <w:szCs w:val="18"/>
              </w:rPr>
            </w:pPr>
            <w:r w:rsidRPr="001C2441">
              <w:rPr>
                <w:sz w:val="18"/>
                <w:szCs w:val="18"/>
              </w:rPr>
              <w:t>Concern about survey confidentiality</w:t>
            </w:r>
          </w:p>
        </w:tc>
        <w:tc>
          <w:tcPr>
            <w:tcW w:w="1134" w:type="dxa"/>
          </w:tcPr>
          <w:p w:rsidR="00F6009E" w:rsidRPr="001C2441" w:rsidRDefault="00F6009E" w:rsidP="00916113">
            <w:pPr>
              <w:pStyle w:val="Default"/>
              <w:jc w:val="center"/>
              <w:rPr>
                <w:sz w:val="18"/>
                <w:szCs w:val="18"/>
              </w:rPr>
            </w:pPr>
            <w:r w:rsidRPr="001C2441">
              <w:rPr>
                <w:sz w:val="18"/>
                <w:szCs w:val="18"/>
              </w:rPr>
              <w:t>±</w:t>
            </w:r>
          </w:p>
        </w:tc>
        <w:tc>
          <w:tcPr>
            <w:tcW w:w="5023" w:type="dxa"/>
          </w:tcPr>
          <w:p w:rsidR="00F6009E" w:rsidRPr="001C2441" w:rsidRDefault="00A227DE" w:rsidP="003B19F4">
            <w:pPr>
              <w:pStyle w:val="Default"/>
              <w:rPr>
                <w:sz w:val="18"/>
                <w:szCs w:val="18"/>
              </w:rPr>
            </w:pPr>
            <w:r w:rsidRPr="001C2441">
              <w:rPr>
                <w:sz w:val="18"/>
                <w:szCs w:val="18"/>
              </w:rPr>
              <w:t>Response rate up, however still a significant number reluctant to identify their directorate or office</w:t>
            </w:r>
          </w:p>
        </w:tc>
      </w:tr>
      <w:tr w:rsidR="001C2441" w:rsidRPr="001C2441" w:rsidTr="001C2441">
        <w:tc>
          <w:tcPr>
            <w:tcW w:w="1843" w:type="dxa"/>
          </w:tcPr>
          <w:p w:rsidR="001C2441" w:rsidRPr="001C2441" w:rsidRDefault="001C2441" w:rsidP="005B6B5F">
            <w:pPr>
              <w:pStyle w:val="Default"/>
              <w:jc w:val="both"/>
              <w:rPr>
                <w:sz w:val="18"/>
                <w:szCs w:val="18"/>
              </w:rPr>
            </w:pPr>
            <w:r w:rsidRPr="001C2441">
              <w:rPr>
                <w:sz w:val="18"/>
                <w:szCs w:val="18"/>
              </w:rPr>
              <w:t>Manageable workload</w:t>
            </w:r>
          </w:p>
        </w:tc>
        <w:tc>
          <w:tcPr>
            <w:tcW w:w="1134" w:type="dxa"/>
          </w:tcPr>
          <w:p w:rsidR="001C2441" w:rsidRPr="001C2441" w:rsidRDefault="001C2441" w:rsidP="005B6B5F">
            <w:pPr>
              <w:pStyle w:val="Default"/>
              <w:jc w:val="center"/>
              <w:rPr>
                <w:sz w:val="18"/>
                <w:szCs w:val="18"/>
              </w:rPr>
            </w:pPr>
            <w:r w:rsidRPr="001C2441">
              <w:rPr>
                <w:sz w:val="18"/>
                <w:szCs w:val="18"/>
              </w:rPr>
              <w:t>×</w:t>
            </w:r>
          </w:p>
        </w:tc>
        <w:tc>
          <w:tcPr>
            <w:tcW w:w="5023" w:type="dxa"/>
          </w:tcPr>
          <w:p w:rsidR="001C2441" w:rsidRPr="001C2441" w:rsidRDefault="001C2441" w:rsidP="005B6B5F">
            <w:pPr>
              <w:pStyle w:val="Default"/>
              <w:rPr>
                <w:sz w:val="18"/>
                <w:szCs w:val="18"/>
              </w:rPr>
            </w:pPr>
            <w:r w:rsidRPr="001C2441">
              <w:rPr>
                <w:sz w:val="18"/>
                <w:szCs w:val="18"/>
              </w:rPr>
              <w:t>The question was changed slightly however there remains work to do</w:t>
            </w:r>
          </w:p>
        </w:tc>
      </w:tr>
      <w:tr w:rsidR="001C2441" w:rsidRPr="001C2441" w:rsidTr="001C2441">
        <w:tc>
          <w:tcPr>
            <w:tcW w:w="1843" w:type="dxa"/>
          </w:tcPr>
          <w:p w:rsidR="001C2441" w:rsidRPr="001C2441" w:rsidRDefault="001C2441" w:rsidP="005B6B5F">
            <w:pPr>
              <w:pStyle w:val="Default"/>
              <w:jc w:val="both"/>
              <w:rPr>
                <w:sz w:val="18"/>
                <w:szCs w:val="18"/>
              </w:rPr>
            </w:pPr>
            <w:r w:rsidRPr="001C2441">
              <w:rPr>
                <w:sz w:val="18"/>
                <w:szCs w:val="18"/>
              </w:rPr>
              <w:t>Reliability of IT</w:t>
            </w:r>
          </w:p>
        </w:tc>
        <w:tc>
          <w:tcPr>
            <w:tcW w:w="1134" w:type="dxa"/>
          </w:tcPr>
          <w:p w:rsidR="001C2441" w:rsidRPr="001C2441" w:rsidRDefault="001C2441" w:rsidP="005B6B5F">
            <w:pPr>
              <w:pStyle w:val="Default"/>
              <w:jc w:val="center"/>
              <w:rPr>
                <w:sz w:val="18"/>
                <w:szCs w:val="18"/>
              </w:rPr>
            </w:pPr>
            <w:r w:rsidRPr="001C2441">
              <w:rPr>
                <w:sz w:val="18"/>
                <w:szCs w:val="18"/>
              </w:rPr>
              <w:t>×</w:t>
            </w:r>
          </w:p>
        </w:tc>
        <w:tc>
          <w:tcPr>
            <w:tcW w:w="5023" w:type="dxa"/>
          </w:tcPr>
          <w:p w:rsidR="001C2441" w:rsidRPr="001C2441" w:rsidRDefault="001C2441" w:rsidP="005B3D00">
            <w:pPr>
              <w:pStyle w:val="Default"/>
              <w:rPr>
                <w:sz w:val="18"/>
                <w:szCs w:val="18"/>
              </w:rPr>
            </w:pPr>
            <w:r w:rsidRPr="001C2441">
              <w:rPr>
                <w:sz w:val="18"/>
                <w:szCs w:val="18"/>
              </w:rPr>
              <w:t xml:space="preserve">Still remain at very much at 2016 level </w:t>
            </w:r>
            <w:r w:rsidR="005B3D00">
              <w:rPr>
                <w:sz w:val="18"/>
                <w:szCs w:val="18"/>
              </w:rPr>
              <w:t xml:space="preserve">- </w:t>
            </w:r>
            <w:r w:rsidRPr="001C2441">
              <w:rPr>
                <w:sz w:val="18"/>
                <w:szCs w:val="18"/>
              </w:rPr>
              <w:t>resource has been invested in improving service – though still remain</w:t>
            </w:r>
            <w:r w:rsidR="005B3D00">
              <w:rPr>
                <w:sz w:val="18"/>
                <w:szCs w:val="18"/>
              </w:rPr>
              <w:t>s</w:t>
            </w:r>
            <w:r w:rsidRPr="001C2441">
              <w:rPr>
                <w:sz w:val="18"/>
                <w:szCs w:val="18"/>
              </w:rPr>
              <w:t xml:space="preserve"> technical problems with ATOS Service</w:t>
            </w:r>
          </w:p>
        </w:tc>
      </w:tr>
    </w:tbl>
    <w:p w:rsidR="001C2441" w:rsidRDefault="001C2441" w:rsidP="001C2441">
      <w:pPr>
        <w:pStyle w:val="Default"/>
        <w:jc w:val="both"/>
        <w:rPr>
          <w:sz w:val="22"/>
          <w:szCs w:val="22"/>
        </w:rPr>
      </w:pPr>
    </w:p>
    <w:p w:rsidR="001C2441" w:rsidRDefault="001C2441" w:rsidP="001C2441">
      <w:pPr>
        <w:pStyle w:val="Default"/>
        <w:numPr>
          <w:ilvl w:val="1"/>
          <w:numId w:val="5"/>
        </w:numPr>
        <w:jc w:val="both"/>
        <w:rPr>
          <w:sz w:val="22"/>
          <w:szCs w:val="22"/>
        </w:rPr>
      </w:pPr>
      <w:r>
        <w:rPr>
          <w:sz w:val="22"/>
          <w:szCs w:val="22"/>
        </w:rPr>
        <w:t>Further consideration on additional actions needed will be considered as part of the developing action plan for 18/19</w:t>
      </w:r>
    </w:p>
    <w:p w:rsidR="001C2441" w:rsidRDefault="001C2441" w:rsidP="001C2441">
      <w:pPr>
        <w:pStyle w:val="Default"/>
        <w:jc w:val="both"/>
        <w:rPr>
          <w:sz w:val="22"/>
          <w:szCs w:val="22"/>
        </w:rPr>
      </w:pPr>
    </w:p>
    <w:p w:rsidR="001C2441" w:rsidRDefault="001C2441" w:rsidP="001C2441">
      <w:pPr>
        <w:pStyle w:val="Default"/>
        <w:numPr>
          <w:ilvl w:val="0"/>
          <w:numId w:val="5"/>
        </w:numPr>
        <w:jc w:val="both"/>
        <w:rPr>
          <w:b/>
          <w:sz w:val="22"/>
          <w:szCs w:val="22"/>
        </w:rPr>
      </w:pPr>
      <w:r>
        <w:rPr>
          <w:b/>
          <w:sz w:val="22"/>
          <w:szCs w:val="22"/>
        </w:rPr>
        <w:t>Further detailed analysis</w:t>
      </w:r>
    </w:p>
    <w:p w:rsidR="001C2441" w:rsidRDefault="001C2441" w:rsidP="00CC1E09">
      <w:pPr>
        <w:pStyle w:val="Default"/>
        <w:jc w:val="both"/>
        <w:rPr>
          <w:b/>
          <w:sz w:val="22"/>
          <w:szCs w:val="22"/>
        </w:rPr>
      </w:pPr>
    </w:p>
    <w:p w:rsidR="00CC1E09" w:rsidRDefault="005C4BA7" w:rsidP="001C2441">
      <w:pPr>
        <w:pStyle w:val="Default"/>
        <w:numPr>
          <w:ilvl w:val="1"/>
          <w:numId w:val="5"/>
        </w:numPr>
        <w:jc w:val="both"/>
        <w:rPr>
          <w:b/>
          <w:sz w:val="22"/>
          <w:szCs w:val="22"/>
        </w:rPr>
      </w:pPr>
      <w:r>
        <w:rPr>
          <w:b/>
          <w:sz w:val="22"/>
          <w:szCs w:val="22"/>
        </w:rPr>
        <w:t xml:space="preserve">Highest scoring areas: </w:t>
      </w:r>
      <w:r w:rsidR="00CC1E09">
        <w:rPr>
          <w:sz w:val="22"/>
          <w:szCs w:val="22"/>
        </w:rPr>
        <w:t>The indicator scoring the most positively in the survey is staff understanding the need for change (96%), which has improved since 2016 by 5% point. Agreement on this issue is 16% points higher than the BMG benchmark (BM). Similarly, nine in ten (93%) HRA staff indicate that they support the need for change; 7% points higher than in 2016 and 21% higher than the BMG benchmark. Another particularly positive finding is that 93% of staff state that they are committed to helping the HRA be successful, suggesting that both staff motivation and the desire to strive for the organisation are high.</w:t>
      </w:r>
    </w:p>
    <w:p w:rsidR="00CC1E09" w:rsidRDefault="00CC1E09" w:rsidP="00CC1E09">
      <w:pPr>
        <w:pStyle w:val="Default"/>
        <w:jc w:val="both"/>
        <w:rPr>
          <w:b/>
          <w:sz w:val="22"/>
          <w:szCs w:val="22"/>
        </w:rPr>
      </w:pPr>
    </w:p>
    <w:p w:rsidR="00CC1E09" w:rsidRDefault="00CC1E09" w:rsidP="00737329">
      <w:pPr>
        <w:pStyle w:val="Default"/>
        <w:jc w:val="center"/>
        <w:rPr>
          <w:b/>
          <w:sz w:val="22"/>
          <w:szCs w:val="22"/>
        </w:rPr>
      </w:pPr>
      <w:r>
        <w:rPr>
          <w:noProof/>
          <w:sz w:val="22"/>
          <w:szCs w:val="22"/>
          <w:lang w:eastAsia="en-GB"/>
        </w:rPr>
        <w:drawing>
          <wp:inline distT="0" distB="0" distL="0" distR="0" wp14:anchorId="462EFCE6" wp14:editId="13A8D96D">
            <wp:extent cx="4744528" cy="2515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8113" cy="2517859"/>
                    </a:xfrm>
                    <a:prstGeom prst="rect">
                      <a:avLst/>
                    </a:prstGeom>
                    <a:noFill/>
                    <a:ln>
                      <a:noFill/>
                    </a:ln>
                  </pic:spPr>
                </pic:pic>
              </a:graphicData>
            </a:graphic>
          </wp:inline>
        </w:drawing>
      </w:r>
    </w:p>
    <w:p w:rsidR="00EB1755" w:rsidRDefault="00EB1755" w:rsidP="00EB1755">
      <w:pPr>
        <w:pStyle w:val="Default"/>
        <w:ind w:left="1080"/>
        <w:jc w:val="both"/>
        <w:rPr>
          <w:sz w:val="22"/>
          <w:szCs w:val="22"/>
        </w:rPr>
      </w:pPr>
    </w:p>
    <w:p w:rsidR="00EB1755" w:rsidRPr="00EB1755" w:rsidRDefault="00EB1755" w:rsidP="00EB1755">
      <w:pPr>
        <w:pStyle w:val="Default"/>
        <w:ind w:left="1080"/>
        <w:jc w:val="both"/>
        <w:rPr>
          <w:sz w:val="22"/>
          <w:szCs w:val="22"/>
        </w:rPr>
      </w:pPr>
    </w:p>
    <w:p w:rsidR="00CC1E09" w:rsidRDefault="005C4BA7" w:rsidP="001C2441">
      <w:pPr>
        <w:pStyle w:val="Default"/>
        <w:numPr>
          <w:ilvl w:val="1"/>
          <w:numId w:val="5"/>
        </w:numPr>
        <w:jc w:val="both"/>
        <w:rPr>
          <w:sz w:val="22"/>
          <w:szCs w:val="22"/>
        </w:rPr>
      </w:pPr>
      <w:r w:rsidRPr="005C4BA7">
        <w:rPr>
          <w:b/>
          <w:sz w:val="22"/>
          <w:szCs w:val="22"/>
        </w:rPr>
        <w:t>Lowest</w:t>
      </w:r>
      <w:r>
        <w:rPr>
          <w:b/>
          <w:sz w:val="22"/>
          <w:szCs w:val="22"/>
        </w:rPr>
        <w:t xml:space="preserve"> scoring areas</w:t>
      </w:r>
      <w:r>
        <w:rPr>
          <w:sz w:val="22"/>
          <w:szCs w:val="22"/>
        </w:rPr>
        <w:t xml:space="preserve">: </w:t>
      </w:r>
      <w:r w:rsidR="00CC1E09">
        <w:rPr>
          <w:sz w:val="22"/>
          <w:szCs w:val="22"/>
        </w:rPr>
        <w:t xml:space="preserve">In terms of the lowest scoring indicators in the research, only 38% of HRA employees agree that their workload rarely causes them to feel overworked, with 40% actively disagreeing that this is the case. This finding suggests that workload pressures are being experienced within the organisation. Alongside this, the extent to which line managers effectively deal with poor performance remains amongst the least positive scores in 2017. Two in five (40%) that agree that poor performance is managed effectively, which is 7% points lower than in 2016 and is significantly below the BMG benchmark (-9% points). </w:t>
      </w:r>
    </w:p>
    <w:p w:rsidR="00CC1E09" w:rsidRDefault="00CC1E09" w:rsidP="00CC1E09">
      <w:pPr>
        <w:pStyle w:val="Default"/>
        <w:jc w:val="both"/>
        <w:rPr>
          <w:sz w:val="22"/>
          <w:szCs w:val="22"/>
        </w:rPr>
      </w:pPr>
    </w:p>
    <w:p w:rsidR="00CC1E09" w:rsidRDefault="00CC1E09" w:rsidP="001C2441">
      <w:pPr>
        <w:pStyle w:val="Default"/>
        <w:numPr>
          <w:ilvl w:val="1"/>
          <w:numId w:val="5"/>
        </w:numPr>
        <w:jc w:val="both"/>
        <w:rPr>
          <w:sz w:val="22"/>
          <w:szCs w:val="22"/>
        </w:rPr>
      </w:pPr>
      <w:r>
        <w:rPr>
          <w:sz w:val="22"/>
          <w:szCs w:val="22"/>
        </w:rPr>
        <w:t xml:space="preserve">Agreement that employees have opportunities to develop their careers has decreased significantly since 2016 (-16% points). As only 45% of staff agree that they have opportunities to develop their career with HRA, this means that this now features among the lowest scoring indicators overall. </w:t>
      </w:r>
    </w:p>
    <w:p w:rsidR="00CC1E09" w:rsidRDefault="00CC1E09" w:rsidP="00CC1E09">
      <w:pPr>
        <w:pStyle w:val="Default"/>
        <w:jc w:val="both"/>
        <w:rPr>
          <w:sz w:val="22"/>
          <w:szCs w:val="22"/>
        </w:rPr>
      </w:pPr>
    </w:p>
    <w:p w:rsidR="00CC1E09" w:rsidRDefault="00CC1E09" w:rsidP="001C2441">
      <w:pPr>
        <w:pStyle w:val="Default"/>
        <w:numPr>
          <w:ilvl w:val="1"/>
          <w:numId w:val="5"/>
        </w:numPr>
        <w:jc w:val="both"/>
        <w:rPr>
          <w:sz w:val="22"/>
          <w:szCs w:val="22"/>
        </w:rPr>
      </w:pPr>
      <w:r>
        <w:rPr>
          <w:sz w:val="22"/>
          <w:szCs w:val="22"/>
        </w:rPr>
        <w:t xml:space="preserve">Only half of those aware of the Governing Board agree that the current Executive Directors are approachable (49%). However, it should be noted that only 10% disagree this is the case, whilst 42% neither agree nor disagree, which suggests that some staff may be aware of the Executive Directors, but do not have much contact with them. </w:t>
      </w:r>
    </w:p>
    <w:p w:rsidR="005C4BA7" w:rsidRDefault="005C4BA7" w:rsidP="005C4BA7">
      <w:pPr>
        <w:pStyle w:val="ListParagraph"/>
      </w:pPr>
    </w:p>
    <w:p w:rsidR="005C4BA7" w:rsidRDefault="005C4BA7" w:rsidP="005C4BA7">
      <w:pPr>
        <w:pStyle w:val="Default"/>
        <w:jc w:val="both"/>
        <w:rPr>
          <w:sz w:val="22"/>
          <w:szCs w:val="22"/>
        </w:rPr>
      </w:pPr>
    </w:p>
    <w:p w:rsidR="00CC1E09" w:rsidRDefault="001C2441" w:rsidP="001C2441">
      <w:pPr>
        <w:pStyle w:val="Default"/>
        <w:jc w:val="center"/>
        <w:rPr>
          <w:sz w:val="22"/>
          <w:szCs w:val="22"/>
        </w:rPr>
      </w:pPr>
      <w:r>
        <w:rPr>
          <w:noProof/>
          <w:sz w:val="22"/>
          <w:szCs w:val="22"/>
          <w:lang w:eastAsia="en-GB"/>
        </w:rPr>
        <w:lastRenderedPageBreak/>
        <w:drawing>
          <wp:inline distT="0" distB="0" distL="0" distR="0" wp14:anchorId="0EF95F6F" wp14:editId="0FCEDE20">
            <wp:extent cx="4735902" cy="362309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0333" cy="3626485"/>
                    </a:xfrm>
                    <a:prstGeom prst="rect">
                      <a:avLst/>
                    </a:prstGeom>
                    <a:noFill/>
                    <a:ln>
                      <a:noFill/>
                    </a:ln>
                  </pic:spPr>
                </pic:pic>
              </a:graphicData>
            </a:graphic>
          </wp:inline>
        </w:drawing>
      </w:r>
    </w:p>
    <w:p w:rsidR="00302BC0" w:rsidRDefault="00302BC0" w:rsidP="001C2441">
      <w:pPr>
        <w:pStyle w:val="Default"/>
        <w:jc w:val="center"/>
        <w:rPr>
          <w:b/>
          <w:bCs/>
          <w:sz w:val="26"/>
          <w:szCs w:val="26"/>
        </w:rPr>
      </w:pPr>
    </w:p>
    <w:p w:rsidR="00302BC0" w:rsidRDefault="00302BC0" w:rsidP="00302BC0">
      <w:pPr>
        <w:pStyle w:val="Default"/>
        <w:rPr>
          <w:b/>
          <w:bCs/>
          <w:sz w:val="26"/>
          <w:szCs w:val="26"/>
        </w:rPr>
      </w:pPr>
    </w:p>
    <w:p w:rsidR="00302BC0" w:rsidRDefault="00302BC0" w:rsidP="001C2441">
      <w:pPr>
        <w:pStyle w:val="Default"/>
        <w:numPr>
          <w:ilvl w:val="1"/>
          <w:numId w:val="5"/>
        </w:numPr>
        <w:rPr>
          <w:sz w:val="22"/>
          <w:szCs w:val="22"/>
        </w:rPr>
      </w:pPr>
      <w:r w:rsidRPr="001C2441">
        <w:rPr>
          <w:b/>
          <w:bCs/>
          <w:sz w:val="22"/>
          <w:szCs w:val="22"/>
        </w:rPr>
        <w:t>Trends since 2016</w:t>
      </w:r>
      <w:r w:rsidR="001C2441" w:rsidRPr="001C2441">
        <w:rPr>
          <w:b/>
          <w:bCs/>
          <w:sz w:val="22"/>
          <w:szCs w:val="22"/>
        </w:rPr>
        <w:t>:</w:t>
      </w:r>
      <w:r w:rsidR="001C2441">
        <w:rPr>
          <w:b/>
          <w:bCs/>
          <w:sz w:val="26"/>
          <w:szCs w:val="26"/>
        </w:rPr>
        <w:t xml:space="preserve"> </w:t>
      </w:r>
      <w:r>
        <w:rPr>
          <w:sz w:val="22"/>
          <w:szCs w:val="22"/>
        </w:rPr>
        <w:t xml:space="preserve">The table </w:t>
      </w:r>
      <w:r w:rsidR="001E5D63">
        <w:rPr>
          <w:sz w:val="22"/>
          <w:szCs w:val="22"/>
        </w:rPr>
        <w:t xml:space="preserve">below </w:t>
      </w:r>
      <w:r>
        <w:rPr>
          <w:sz w:val="22"/>
          <w:szCs w:val="22"/>
        </w:rPr>
        <w:t>shows the indicators that have seen t</w:t>
      </w:r>
      <w:r w:rsidR="001E5D63">
        <w:rPr>
          <w:sz w:val="22"/>
          <w:szCs w:val="22"/>
        </w:rPr>
        <w:t>he most improvement since 2016 and the following one shows those that have deteriorated the most</w:t>
      </w:r>
    </w:p>
    <w:p w:rsidR="001E5D63" w:rsidRDefault="001E5D63" w:rsidP="00302BC0">
      <w:pPr>
        <w:pStyle w:val="Default"/>
        <w:rPr>
          <w:sz w:val="22"/>
          <w:szCs w:val="22"/>
        </w:rPr>
      </w:pPr>
    </w:p>
    <w:p w:rsidR="001E5D63" w:rsidRDefault="001E5D63" w:rsidP="001C2441">
      <w:pPr>
        <w:pStyle w:val="Default"/>
        <w:jc w:val="right"/>
        <w:rPr>
          <w:sz w:val="22"/>
          <w:szCs w:val="22"/>
        </w:rPr>
      </w:pPr>
      <w:r>
        <w:rPr>
          <w:b/>
          <w:bCs/>
          <w:noProof/>
          <w:sz w:val="22"/>
          <w:szCs w:val="22"/>
          <w:lang w:eastAsia="en-GB"/>
        </w:rPr>
        <w:drawing>
          <wp:inline distT="0" distB="0" distL="0" distR="0" wp14:anchorId="04E869BF" wp14:editId="632D7829">
            <wp:extent cx="5068955" cy="226012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470" cy="2259459"/>
                    </a:xfrm>
                    <a:prstGeom prst="rect">
                      <a:avLst/>
                    </a:prstGeom>
                    <a:noFill/>
                    <a:ln>
                      <a:noFill/>
                    </a:ln>
                  </pic:spPr>
                </pic:pic>
              </a:graphicData>
            </a:graphic>
          </wp:inline>
        </w:drawing>
      </w:r>
    </w:p>
    <w:p w:rsidR="001E5D63" w:rsidRDefault="001E5D63" w:rsidP="00302BC0">
      <w:pPr>
        <w:pStyle w:val="Default"/>
        <w:rPr>
          <w:sz w:val="22"/>
          <w:szCs w:val="22"/>
        </w:rPr>
      </w:pPr>
    </w:p>
    <w:p w:rsidR="001E5D63" w:rsidRDefault="001E5D63" w:rsidP="00302BC0">
      <w:pPr>
        <w:pStyle w:val="Default"/>
        <w:rPr>
          <w:sz w:val="22"/>
          <w:szCs w:val="22"/>
        </w:rPr>
      </w:pPr>
    </w:p>
    <w:p w:rsidR="001E5D63" w:rsidRDefault="001E5D63" w:rsidP="001C2441">
      <w:pPr>
        <w:pStyle w:val="Default"/>
        <w:jc w:val="right"/>
        <w:rPr>
          <w:sz w:val="22"/>
          <w:szCs w:val="22"/>
        </w:rPr>
      </w:pPr>
      <w:r>
        <w:rPr>
          <w:noProof/>
          <w:sz w:val="22"/>
          <w:szCs w:val="22"/>
          <w:lang w:eastAsia="en-GB"/>
        </w:rPr>
        <w:lastRenderedPageBreak/>
        <w:drawing>
          <wp:inline distT="0" distB="0" distL="0" distR="0">
            <wp:extent cx="5209954" cy="2732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465" cy="2732681"/>
                    </a:xfrm>
                    <a:prstGeom prst="rect">
                      <a:avLst/>
                    </a:prstGeom>
                    <a:noFill/>
                    <a:ln>
                      <a:noFill/>
                    </a:ln>
                  </pic:spPr>
                </pic:pic>
              </a:graphicData>
            </a:graphic>
          </wp:inline>
        </w:drawing>
      </w:r>
    </w:p>
    <w:p w:rsidR="001E5D63" w:rsidRDefault="001E5D63" w:rsidP="00302BC0">
      <w:pPr>
        <w:pStyle w:val="Default"/>
        <w:rPr>
          <w:sz w:val="22"/>
          <w:szCs w:val="22"/>
        </w:rPr>
      </w:pPr>
    </w:p>
    <w:p w:rsidR="0050498B" w:rsidRPr="001C2441" w:rsidRDefault="0050498B" w:rsidP="00CC1E09">
      <w:pPr>
        <w:pStyle w:val="Default"/>
        <w:numPr>
          <w:ilvl w:val="1"/>
          <w:numId w:val="5"/>
        </w:numPr>
        <w:jc w:val="both"/>
        <w:rPr>
          <w:sz w:val="22"/>
          <w:szCs w:val="22"/>
        </w:rPr>
      </w:pPr>
      <w:r w:rsidRPr="001C2441">
        <w:rPr>
          <w:b/>
          <w:sz w:val="22"/>
          <w:szCs w:val="22"/>
        </w:rPr>
        <w:t>Engagement Index</w:t>
      </w:r>
      <w:r w:rsidR="001C2441" w:rsidRPr="001C2441">
        <w:rPr>
          <w:b/>
          <w:sz w:val="22"/>
          <w:szCs w:val="22"/>
        </w:rPr>
        <w:t xml:space="preserve">: </w:t>
      </w:r>
      <w:r w:rsidRPr="001C2441">
        <w:rPr>
          <w:sz w:val="22"/>
          <w:szCs w:val="22"/>
        </w:rPr>
        <w:t>The following table shows that employee engagement, at 78%, has remained consistent with 2016, and is substantially higher than BMG’s public sector benchmark figure of 67%. However the ‘Stay’ element has notably r</w:t>
      </w:r>
      <w:r w:rsidR="00EB1755">
        <w:rPr>
          <w:sz w:val="22"/>
          <w:szCs w:val="22"/>
        </w:rPr>
        <w:t>educed since 2016 (-11% points)</w:t>
      </w:r>
      <w:r w:rsidRPr="001C2441">
        <w:rPr>
          <w:sz w:val="22"/>
          <w:szCs w:val="22"/>
        </w:rPr>
        <w:t>.</w:t>
      </w:r>
    </w:p>
    <w:p w:rsidR="0050498B" w:rsidRDefault="0050498B" w:rsidP="00CC1E09">
      <w:pPr>
        <w:pStyle w:val="Default"/>
        <w:jc w:val="both"/>
        <w:rPr>
          <w:sz w:val="22"/>
          <w:szCs w:val="22"/>
        </w:rPr>
      </w:pPr>
    </w:p>
    <w:p w:rsidR="007735E1" w:rsidRDefault="007735E1" w:rsidP="001C2441">
      <w:pPr>
        <w:pStyle w:val="Default"/>
        <w:jc w:val="right"/>
        <w:rPr>
          <w:b/>
          <w:noProof/>
          <w:sz w:val="22"/>
          <w:szCs w:val="22"/>
          <w:lang w:eastAsia="en-GB"/>
        </w:rPr>
      </w:pPr>
      <w:r>
        <w:rPr>
          <w:noProof/>
          <w:sz w:val="22"/>
          <w:szCs w:val="22"/>
          <w:lang w:eastAsia="en-GB"/>
        </w:rPr>
        <w:drawing>
          <wp:inline distT="0" distB="0" distL="0" distR="0" wp14:anchorId="58133B26" wp14:editId="74D0F6BF">
            <wp:extent cx="5209954" cy="31985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9954" cy="3198525"/>
                    </a:xfrm>
                    <a:prstGeom prst="rect">
                      <a:avLst/>
                    </a:prstGeom>
                    <a:noFill/>
                    <a:ln>
                      <a:noFill/>
                    </a:ln>
                  </pic:spPr>
                </pic:pic>
              </a:graphicData>
            </a:graphic>
          </wp:inline>
        </w:drawing>
      </w:r>
    </w:p>
    <w:p w:rsidR="00FB2BD0" w:rsidRDefault="00FB2BD0" w:rsidP="001C2441">
      <w:pPr>
        <w:pStyle w:val="Default"/>
        <w:jc w:val="right"/>
        <w:rPr>
          <w:b/>
          <w:noProof/>
          <w:sz w:val="22"/>
          <w:szCs w:val="22"/>
          <w:lang w:eastAsia="en-GB"/>
        </w:rPr>
      </w:pPr>
    </w:p>
    <w:p w:rsidR="00FB2BD0" w:rsidRDefault="00FB2BD0" w:rsidP="00FB2BD0">
      <w:pPr>
        <w:pStyle w:val="Default"/>
        <w:numPr>
          <w:ilvl w:val="0"/>
          <w:numId w:val="5"/>
        </w:numPr>
        <w:rPr>
          <w:b/>
          <w:noProof/>
          <w:sz w:val="22"/>
          <w:szCs w:val="22"/>
          <w:lang w:eastAsia="en-GB"/>
        </w:rPr>
      </w:pPr>
      <w:r>
        <w:rPr>
          <w:b/>
          <w:noProof/>
          <w:sz w:val="22"/>
          <w:szCs w:val="22"/>
          <w:lang w:eastAsia="en-GB"/>
        </w:rPr>
        <w:t>Conclusion</w:t>
      </w:r>
    </w:p>
    <w:p w:rsidR="00FB2BD0" w:rsidRDefault="00FB2BD0" w:rsidP="00FB2BD0">
      <w:pPr>
        <w:pStyle w:val="Default"/>
        <w:rPr>
          <w:b/>
          <w:noProof/>
          <w:sz w:val="22"/>
          <w:szCs w:val="22"/>
          <w:lang w:eastAsia="en-GB"/>
        </w:rPr>
      </w:pPr>
    </w:p>
    <w:p w:rsidR="00FB2BD0" w:rsidRPr="00FB2BD0" w:rsidRDefault="00FB2BD0" w:rsidP="00FB2BD0">
      <w:pPr>
        <w:pStyle w:val="Default"/>
        <w:ind w:left="720"/>
        <w:rPr>
          <w:noProof/>
          <w:sz w:val="22"/>
          <w:szCs w:val="22"/>
          <w:lang w:eastAsia="en-GB"/>
        </w:rPr>
      </w:pPr>
      <w:r w:rsidRPr="00FB2BD0">
        <w:rPr>
          <w:noProof/>
          <w:sz w:val="22"/>
          <w:szCs w:val="22"/>
          <w:lang w:eastAsia="en-GB"/>
        </w:rPr>
        <w:t xml:space="preserve">This paper represents a summary </w:t>
      </w:r>
      <w:r>
        <w:rPr>
          <w:noProof/>
          <w:sz w:val="22"/>
          <w:szCs w:val="22"/>
          <w:lang w:eastAsia="en-GB"/>
        </w:rPr>
        <w:t xml:space="preserve">of the developing full report which </w:t>
      </w:r>
      <w:r w:rsidR="006B383D">
        <w:rPr>
          <w:noProof/>
          <w:sz w:val="22"/>
          <w:szCs w:val="22"/>
          <w:lang w:eastAsia="en-GB"/>
        </w:rPr>
        <w:t>is due to be completed by w/c 22</w:t>
      </w:r>
      <w:r>
        <w:rPr>
          <w:noProof/>
          <w:sz w:val="22"/>
          <w:szCs w:val="22"/>
          <w:lang w:eastAsia="en-GB"/>
        </w:rPr>
        <w:t xml:space="preserve"> Jan</w:t>
      </w:r>
      <w:r w:rsidR="004703D7">
        <w:rPr>
          <w:noProof/>
          <w:sz w:val="22"/>
          <w:szCs w:val="22"/>
          <w:lang w:eastAsia="en-GB"/>
        </w:rPr>
        <w:t>. An action plan will be presented to the Board at its March meeting where staff reps will be in attendance.</w:t>
      </w:r>
    </w:p>
    <w:p w:rsidR="00FB2BD0" w:rsidRDefault="00FB2BD0" w:rsidP="00FB2BD0">
      <w:pPr>
        <w:pStyle w:val="Default"/>
        <w:rPr>
          <w:b/>
          <w:noProof/>
          <w:sz w:val="22"/>
          <w:szCs w:val="22"/>
          <w:lang w:eastAsia="en-GB"/>
        </w:rPr>
      </w:pPr>
    </w:p>
    <w:sectPr w:rsidR="00FB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AB7"/>
    <w:multiLevelType w:val="hybridMultilevel"/>
    <w:tmpl w:val="387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4798A"/>
    <w:multiLevelType w:val="hybridMultilevel"/>
    <w:tmpl w:val="E582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D4CBB"/>
    <w:multiLevelType w:val="hybridMultilevel"/>
    <w:tmpl w:val="B47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D0EB4"/>
    <w:multiLevelType w:val="hybridMultilevel"/>
    <w:tmpl w:val="7AC2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064F2"/>
    <w:multiLevelType w:val="multilevel"/>
    <w:tmpl w:val="C94CE5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09"/>
    <w:rsid w:val="000938D9"/>
    <w:rsid w:val="000F3E46"/>
    <w:rsid w:val="001638E9"/>
    <w:rsid w:val="001C2441"/>
    <w:rsid w:val="001E5D63"/>
    <w:rsid w:val="0021759C"/>
    <w:rsid w:val="00224334"/>
    <w:rsid w:val="00261373"/>
    <w:rsid w:val="002B0841"/>
    <w:rsid w:val="00302BC0"/>
    <w:rsid w:val="003B19F4"/>
    <w:rsid w:val="004703D7"/>
    <w:rsid w:val="004E5A41"/>
    <w:rsid w:val="0050498B"/>
    <w:rsid w:val="005159BD"/>
    <w:rsid w:val="005B3D00"/>
    <w:rsid w:val="005C4BA7"/>
    <w:rsid w:val="005D31F6"/>
    <w:rsid w:val="00682E30"/>
    <w:rsid w:val="006B383D"/>
    <w:rsid w:val="00737329"/>
    <w:rsid w:val="007735E1"/>
    <w:rsid w:val="00866FC4"/>
    <w:rsid w:val="008B4BC7"/>
    <w:rsid w:val="00916113"/>
    <w:rsid w:val="009441AA"/>
    <w:rsid w:val="009E25DA"/>
    <w:rsid w:val="00A227DE"/>
    <w:rsid w:val="00A5577B"/>
    <w:rsid w:val="00AC4BDF"/>
    <w:rsid w:val="00AD4F3E"/>
    <w:rsid w:val="00B025CC"/>
    <w:rsid w:val="00B23D06"/>
    <w:rsid w:val="00B349AB"/>
    <w:rsid w:val="00B85D71"/>
    <w:rsid w:val="00BE3409"/>
    <w:rsid w:val="00C34416"/>
    <w:rsid w:val="00C765A5"/>
    <w:rsid w:val="00CC1E09"/>
    <w:rsid w:val="00CE7F7A"/>
    <w:rsid w:val="00D00607"/>
    <w:rsid w:val="00D9793C"/>
    <w:rsid w:val="00E43C4C"/>
    <w:rsid w:val="00EB1755"/>
    <w:rsid w:val="00EC2BD3"/>
    <w:rsid w:val="00F6009E"/>
    <w:rsid w:val="00FB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3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E0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09"/>
    <w:rPr>
      <w:rFonts w:ascii="Tahoma" w:hAnsi="Tahoma" w:cs="Tahoma"/>
      <w:sz w:val="16"/>
      <w:szCs w:val="16"/>
    </w:rPr>
  </w:style>
  <w:style w:type="table" w:styleId="TableGrid">
    <w:name w:val="Table Grid"/>
    <w:basedOn w:val="TableNormal"/>
    <w:uiPriority w:val="59"/>
    <w:rsid w:val="00BE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82E3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5C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3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E0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09"/>
    <w:rPr>
      <w:rFonts w:ascii="Tahoma" w:hAnsi="Tahoma" w:cs="Tahoma"/>
      <w:sz w:val="16"/>
      <w:szCs w:val="16"/>
    </w:rPr>
  </w:style>
  <w:style w:type="table" w:styleId="TableGrid">
    <w:name w:val="Table Grid"/>
    <w:basedOn w:val="TableNormal"/>
    <w:uiPriority w:val="59"/>
    <w:rsid w:val="00BE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82E3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5C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dc:creator>
  <cp:lastModifiedBy>Steve Tebbutt</cp:lastModifiedBy>
  <cp:revision>40</cp:revision>
  <dcterms:created xsi:type="dcterms:W3CDTF">2018-01-11T07:36:00Z</dcterms:created>
  <dcterms:modified xsi:type="dcterms:W3CDTF">2018-01-11T13:57:00Z</dcterms:modified>
</cp:coreProperties>
</file>