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A4F66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8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7A4F66" w:rsidP="007A4F6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40EF1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636C32" w:rsidP="0063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Pr="00636C32">
              <w:rPr>
                <w:rFonts w:asciiTheme="minorHAnsi" w:hAnsiTheme="minorHAnsi" w:cstheme="minorHAnsi"/>
                <w:vertAlign w:val="superscript"/>
              </w:rPr>
              <w:t>st</w:t>
            </w:r>
            <w:r w:rsidR="00512E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September</w:t>
            </w:r>
            <w:r w:rsidR="00EE7815">
              <w:rPr>
                <w:rFonts w:asciiTheme="minorHAnsi" w:hAnsiTheme="minorHAnsi" w:cstheme="minorHAnsi"/>
              </w:rPr>
              <w:t xml:space="preserve"> 2016</w:t>
            </w:r>
          </w:p>
        </w:tc>
      </w:tr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35C41" w:rsidP="0063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KPI </w:t>
            </w:r>
            <w:r w:rsidR="00636C32">
              <w:rPr>
                <w:rFonts w:asciiTheme="minorHAnsi" w:hAnsiTheme="minorHAnsi" w:cstheme="minorHAnsi"/>
              </w:rPr>
              <w:t xml:space="preserve">Q1 </w:t>
            </w:r>
            <w:r>
              <w:rPr>
                <w:rFonts w:asciiTheme="minorHAnsi" w:hAnsiTheme="minorHAnsi" w:cstheme="minorHAnsi"/>
              </w:rPr>
              <w:t xml:space="preserve">Report 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78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</w:t>
            </w:r>
            <w:r w:rsidR="00636C32">
              <w:rPr>
                <w:rFonts w:asciiTheme="minorHAnsi" w:hAnsiTheme="minorHAnsi" w:cstheme="minorHAnsi"/>
              </w:rPr>
              <w:t xml:space="preserve"> for Q1</w:t>
            </w:r>
            <w:r w:rsidR="009C133C">
              <w:rPr>
                <w:rFonts w:asciiTheme="minorHAnsi" w:hAnsiTheme="minorHAnsi" w:cstheme="minorHAnsi"/>
              </w:rPr>
              <w:t xml:space="preserve"> </w:t>
            </w:r>
            <w:r w:rsidR="00783405">
              <w:rPr>
                <w:rFonts w:asciiTheme="minorHAnsi" w:hAnsiTheme="minorHAnsi" w:cstheme="minorHAnsi"/>
              </w:rPr>
              <w:t xml:space="preserve">(as it was available </w:t>
            </w:r>
            <w:bookmarkStart w:id="0" w:name="_GoBack"/>
            <w:bookmarkEnd w:id="0"/>
            <w:r w:rsidR="00783405">
              <w:rPr>
                <w:rFonts w:asciiTheme="minorHAnsi" w:hAnsiTheme="minorHAnsi" w:cstheme="minorHAnsi"/>
              </w:rPr>
              <w:t>it also includes data for July)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00688A" w:rsidRPr="00C90060" w:rsidRDefault="00B13FC0" w:rsidP="001448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HRA is committed to </w:t>
            </w:r>
            <w:r w:rsidR="00144864">
              <w:rPr>
                <w:rFonts w:asciiTheme="minorHAnsi" w:hAnsiTheme="minorHAnsi" w:cstheme="minorHAnsi"/>
              </w:rPr>
              <w:t>improving performance and has developed a comprehensive suite of indicators that enable it to both make necessary interventions when data suggests performance is dipping, and to highlight and celebrate areas of high performance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90060" w:rsidRPr="00C90060" w:rsidRDefault="0014486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Directors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Pr="00024663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024663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024663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C1135D" w:rsidRDefault="00783405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This represents the first report using the reduced number of indicators as agreed at the Board in March 2016. </w:t>
            </w:r>
            <w:r w:rsidR="00C1135D">
              <w:rPr>
                <w:rFonts w:asciiTheme="minorHAnsi" w:hAnsiTheme="minorHAnsi" w:cstheme="minorHAnsi"/>
              </w:rPr>
              <w:t>The information consist of the usual month by month spreadsheet format along with graphs indicating performance against target and 15/16 results. Attached to this cover sheet is a brief review of ‘red’ scores.</w:t>
            </w:r>
          </w:p>
          <w:p w:rsidR="00C1135D" w:rsidRDefault="00C1135D" w:rsidP="00061BFD">
            <w:pPr>
              <w:rPr>
                <w:rFonts w:asciiTheme="minorHAnsi" w:hAnsiTheme="minorHAnsi" w:cstheme="minorHAnsi"/>
              </w:rPr>
            </w:pPr>
          </w:p>
          <w:p w:rsidR="00C5051D" w:rsidRDefault="00783405" w:rsidP="00061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Board are also asked to note the following information related to those areas where data is currently not </w:t>
            </w:r>
            <w:r w:rsidR="00C33ABA">
              <w:rPr>
                <w:rFonts w:asciiTheme="minorHAnsi" w:hAnsiTheme="minorHAnsi" w:cstheme="minorHAnsi"/>
              </w:rPr>
              <w:t>presented.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783405" w:rsidRDefault="00783405" w:rsidP="00061BFD">
            <w:pPr>
              <w:rPr>
                <w:rFonts w:asciiTheme="minorHAnsi" w:hAnsiTheme="minorHAnsi" w:cstheme="minorHAnsi"/>
              </w:rPr>
            </w:pPr>
          </w:p>
          <w:p w:rsidR="006729B0" w:rsidRP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  <w:r w:rsidRPr="006729B0">
              <w:rPr>
                <w:rFonts w:asciiTheme="minorHAnsi" w:hAnsiTheme="minorHAnsi" w:cstheme="minorHAnsi"/>
                <w:b/>
                <w:i/>
              </w:rPr>
              <w:t>A13</w:t>
            </w:r>
            <w:r w:rsidRPr="006729B0">
              <w:rPr>
                <w:rFonts w:asciiTheme="minorHAnsi" w:hAnsiTheme="minorHAnsi" w:cstheme="minorHAnsi"/>
                <w:b/>
                <w:i/>
              </w:rPr>
              <w:tab/>
              <w:t xml:space="preserve">Reduction in the number of Queries </w:t>
            </w:r>
            <w:proofErr w:type="gramStart"/>
            <w:r w:rsidRPr="006729B0">
              <w:rPr>
                <w:rFonts w:asciiTheme="minorHAnsi" w:hAnsiTheme="minorHAnsi" w:cstheme="minorHAnsi"/>
                <w:b/>
                <w:i/>
              </w:rPr>
              <w:t>raised</w:t>
            </w:r>
            <w:proofErr w:type="gramEnd"/>
            <w:r w:rsidRPr="006729B0">
              <w:rPr>
                <w:rFonts w:asciiTheme="minorHAnsi" w:hAnsiTheme="minorHAnsi" w:cstheme="minorHAnsi"/>
                <w:b/>
                <w:i/>
              </w:rPr>
              <w:t xml:space="preserve"> as a result of REC Review.</w:t>
            </w:r>
          </w:p>
          <w:p w:rsidR="00A1197F" w:rsidRP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  <w:r w:rsidRPr="006729B0">
              <w:rPr>
                <w:rFonts w:asciiTheme="minorHAnsi" w:hAnsiTheme="minorHAnsi" w:cstheme="minorHAnsi"/>
                <w:b/>
                <w:i/>
              </w:rPr>
              <w:t>A14</w:t>
            </w:r>
            <w:r w:rsidRPr="006729B0">
              <w:rPr>
                <w:rFonts w:asciiTheme="minorHAnsi" w:hAnsiTheme="minorHAnsi" w:cstheme="minorHAnsi"/>
                <w:b/>
                <w:i/>
              </w:rPr>
              <w:tab/>
              <w:t>Reduction in the number of Amendments being processed before a study recruits its first participant.</w:t>
            </w:r>
          </w:p>
          <w:p w:rsidR="006729B0" w:rsidRDefault="006729B0" w:rsidP="006729B0">
            <w:pPr>
              <w:rPr>
                <w:rFonts w:asciiTheme="minorHAnsi" w:hAnsiTheme="minorHAnsi" w:cstheme="minorHAnsi"/>
                <w:i/>
              </w:rPr>
            </w:pPr>
          </w:p>
          <w:p w:rsidR="006729B0" w:rsidRDefault="00704956" w:rsidP="006729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are some challenges in pulling together this data and further update on progress will be circulated prior to the October Board</w:t>
            </w:r>
          </w:p>
          <w:p w:rsidR="006729B0" w:rsidRDefault="006729B0" w:rsidP="006729B0">
            <w:pPr>
              <w:rPr>
                <w:rFonts w:asciiTheme="minorHAnsi" w:hAnsiTheme="minorHAnsi" w:cstheme="minorHAnsi"/>
              </w:rPr>
            </w:pPr>
          </w:p>
          <w:p w:rsid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  <w:r w:rsidRPr="006729B0">
              <w:rPr>
                <w:rFonts w:asciiTheme="minorHAnsi" w:hAnsiTheme="minorHAnsi" w:cstheme="minorHAnsi"/>
                <w:b/>
                <w:i/>
              </w:rPr>
              <w:t>I1</w:t>
            </w:r>
            <w:r w:rsidRPr="006729B0">
              <w:rPr>
                <w:rFonts w:asciiTheme="minorHAnsi" w:hAnsiTheme="minorHAnsi" w:cstheme="minorHAnsi"/>
                <w:b/>
                <w:i/>
              </w:rPr>
              <w:tab/>
              <w:t xml:space="preserve">Increase in the number of Applications which have clearly involved patients, service users and the public in </w:t>
            </w:r>
            <w:r>
              <w:rPr>
                <w:rFonts w:asciiTheme="minorHAnsi" w:hAnsiTheme="minorHAnsi" w:cstheme="minorHAnsi"/>
                <w:b/>
                <w:i/>
              </w:rPr>
              <w:t>their development fr</w:t>
            </w:r>
            <w:r w:rsidR="000D6C8E">
              <w:rPr>
                <w:rFonts w:asciiTheme="minorHAnsi" w:hAnsiTheme="minorHAnsi" w:cstheme="minorHAnsi"/>
                <w:b/>
                <w:i/>
              </w:rPr>
              <w:t>om a 2010</w:t>
            </w:r>
            <w:r w:rsidRPr="006729B0">
              <w:rPr>
                <w:rFonts w:asciiTheme="minorHAnsi" w:hAnsiTheme="minorHAnsi" w:cstheme="minorHAnsi"/>
                <w:b/>
                <w:i/>
              </w:rPr>
              <w:t xml:space="preserve"> baseline.</w:t>
            </w:r>
          </w:p>
          <w:p w:rsidR="006729B0" w:rsidRDefault="006729B0" w:rsidP="006729B0">
            <w:pPr>
              <w:rPr>
                <w:rFonts w:asciiTheme="minorHAnsi" w:hAnsiTheme="minorHAnsi" w:cstheme="minorHAnsi"/>
                <w:b/>
                <w:i/>
              </w:rPr>
            </w:pPr>
          </w:p>
          <w:p w:rsidR="000D6C8E" w:rsidRDefault="000D6C8E" w:rsidP="006729B0">
            <w:pPr>
              <w:rPr>
                <w:rFonts w:asciiTheme="minorHAnsi" w:hAnsiTheme="minorHAnsi" w:cstheme="minorHAnsi"/>
              </w:rPr>
            </w:pPr>
            <w:r w:rsidRPr="000D6C8E">
              <w:rPr>
                <w:rFonts w:asciiTheme="minorHAnsi" w:hAnsiTheme="minorHAnsi" w:cstheme="minorHAnsi"/>
              </w:rPr>
              <w:t>The monitoring is based on the work to analyse answers to the public involvement question in IRAS (A14-1)</w:t>
            </w:r>
          </w:p>
          <w:p w:rsidR="000D6C8E" w:rsidRDefault="000D6C8E" w:rsidP="006729B0">
            <w:pPr>
              <w:rPr>
                <w:rFonts w:asciiTheme="minorHAnsi" w:hAnsiTheme="minorHAnsi" w:cstheme="minorHAnsi"/>
              </w:rPr>
            </w:pPr>
          </w:p>
          <w:p w:rsidR="006729B0" w:rsidRPr="006729B0" w:rsidRDefault="000D6C8E" w:rsidP="006729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has been produced for 2010 and 2012 in the form of an annual report. Work is being finalised on 2014 data and it’s planned to produce a further</w:t>
            </w:r>
            <w:r w:rsidR="005D0D2D">
              <w:rPr>
                <w:rFonts w:asciiTheme="minorHAnsi" w:hAnsiTheme="minorHAnsi" w:cstheme="minorHAnsi"/>
              </w:rPr>
              <w:t xml:space="preserve"> full</w:t>
            </w:r>
            <w:r>
              <w:rPr>
                <w:rFonts w:asciiTheme="minorHAnsi" w:hAnsiTheme="minorHAnsi" w:cstheme="minorHAnsi"/>
              </w:rPr>
              <w:t xml:space="preserve"> report on 2016 data </w:t>
            </w:r>
            <w:r w:rsidR="005D0D2D">
              <w:rPr>
                <w:rFonts w:asciiTheme="minorHAnsi" w:hAnsiTheme="minorHAnsi" w:cstheme="minorHAnsi"/>
              </w:rPr>
              <w:t xml:space="preserve">early </w:t>
            </w:r>
            <w:r>
              <w:rPr>
                <w:rFonts w:asciiTheme="minorHAnsi" w:hAnsiTheme="minorHAnsi" w:cstheme="minorHAnsi"/>
              </w:rPr>
              <w:t xml:space="preserve">in 2017. The ambition to produce more regular reports requires work </w:t>
            </w:r>
            <w:r w:rsidR="005D0D2D">
              <w:rPr>
                <w:rFonts w:asciiTheme="minorHAnsi" w:hAnsiTheme="minorHAnsi" w:cstheme="minorHAnsi"/>
              </w:rPr>
              <w:t xml:space="preserve">on the HARP system, which due to other greater priorities has yet to start. </w:t>
            </w:r>
            <w:r w:rsidR="005D0D2D">
              <w:rPr>
                <w:rFonts w:asciiTheme="minorHAnsi" w:hAnsiTheme="minorHAnsi" w:cstheme="minorHAnsi"/>
              </w:rPr>
              <w:lastRenderedPageBreak/>
              <w:t xml:space="preserve">We are looking at alternatives to capture the data (through manual intervention) in order to offer the board a more regular report. </w:t>
            </w:r>
          </w:p>
          <w:p w:rsidR="00024663" w:rsidRDefault="00024663" w:rsidP="005D0D2D">
            <w:pPr>
              <w:rPr>
                <w:rFonts w:asciiTheme="minorHAnsi" w:hAnsiTheme="minorHAnsi" w:cstheme="minorHAnsi"/>
              </w:rPr>
            </w:pPr>
          </w:p>
          <w:p w:rsidR="005D0D2D" w:rsidRPr="00024663" w:rsidRDefault="002E1034" w:rsidP="00890133">
            <w:pPr>
              <w:rPr>
                <w:rFonts w:asciiTheme="minorHAnsi" w:hAnsiTheme="minorHAnsi" w:cstheme="minorHAnsi"/>
              </w:rPr>
            </w:pPr>
            <w:r w:rsidRPr="00C33ABA">
              <w:rPr>
                <w:rFonts w:asciiTheme="minorHAnsi" w:hAnsiTheme="minorHAnsi" w:cstheme="minorHAnsi"/>
                <w:b/>
              </w:rPr>
              <w:t>In relation to A15-18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5D0D2D">
              <w:rPr>
                <w:rFonts w:asciiTheme="minorHAnsi" w:hAnsiTheme="minorHAnsi" w:cstheme="minorHAnsi"/>
              </w:rPr>
              <w:t xml:space="preserve">The Board are also asked to note that </w:t>
            </w:r>
            <w:r>
              <w:rPr>
                <w:rFonts w:asciiTheme="minorHAnsi" w:hAnsiTheme="minorHAnsi" w:cstheme="minorHAnsi"/>
              </w:rPr>
              <w:t>it will</w:t>
            </w:r>
            <w:r w:rsidR="005D0D2D" w:rsidRPr="005D0D2D">
              <w:rPr>
                <w:rFonts w:asciiTheme="minorHAnsi" w:hAnsiTheme="minorHAnsi" w:cstheme="minorHAnsi"/>
              </w:rPr>
              <w:t xml:space="preserve"> receive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="005D0D2D" w:rsidRPr="005D0D2D">
              <w:rPr>
                <w:rFonts w:asciiTheme="minorHAnsi" w:hAnsiTheme="minorHAnsi" w:cstheme="minorHAnsi"/>
              </w:rPr>
              <w:t xml:space="preserve">full programme board report on </w:t>
            </w:r>
            <w:r w:rsidR="005D0D2D" w:rsidRPr="002E1034">
              <w:rPr>
                <w:rFonts w:asciiTheme="minorHAnsi" w:hAnsiTheme="minorHAnsi" w:cstheme="minorHAnsi"/>
                <w:b/>
              </w:rPr>
              <w:t>HRA Approval data</w:t>
            </w:r>
            <w:r w:rsidR="005D0D2D" w:rsidRPr="005D0D2D">
              <w:rPr>
                <w:rFonts w:asciiTheme="minorHAnsi" w:hAnsiTheme="minorHAnsi" w:cstheme="minorHAnsi"/>
              </w:rPr>
              <w:t xml:space="preserve"> and progress on recovery plans for amendments at </w:t>
            </w:r>
            <w:r w:rsidR="00890133">
              <w:rPr>
                <w:rFonts w:asciiTheme="minorHAnsi" w:hAnsiTheme="minorHAnsi" w:cstheme="minorHAnsi"/>
              </w:rPr>
              <w:t>this</w:t>
            </w:r>
            <w:r w:rsidR="005D0D2D" w:rsidRPr="005D0D2D">
              <w:rPr>
                <w:rFonts w:asciiTheme="minorHAnsi" w:hAnsiTheme="minorHAnsi" w:cstheme="minorHAnsi"/>
              </w:rPr>
              <w:t xml:space="preserve"> meeting</w:t>
            </w:r>
            <w:r w:rsidR="00F47C78">
              <w:rPr>
                <w:rFonts w:asciiTheme="minorHAnsi" w:hAnsiTheme="minorHAnsi" w:cstheme="minorHAnsi"/>
              </w:rPr>
              <w:t>.</w:t>
            </w:r>
            <w:r w:rsidR="00F47C78">
              <w:t xml:space="preserve"> </w:t>
            </w:r>
            <w:r w:rsidR="00F47C78" w:rsidRPr="00F47C78">
              <w:rPr>
                <w:rFonts w:asciiTheme="minorHAnsi" w:hAnsiTheme="minorHAnsi" w:cstheme="minorHAnsi"/>
              </w:rPr>
              <w:t>When boar</w:t>
            </w:r>
            <w:r w:rsidR="00F47C78">
              <w:rPr>
                <w:rFonts w:asciiTheme="minorHAnsi" w:hAnsiTheme="minorHAnsi" w:cstheme="minorHAnsi"/>
              </w:rPr>
              <w:t>d agrees that HRA Approval proc</w:t>
            </w:r>
            <w:r w:rsidR="00F47C78" w:rsidRPr="00F47C78">
              <w:rPr>
                <w:rFonts w:asciiTheme="minorHAnsi" w:hAnsiTheme="minorHAnsi" w:cstheme="minorHAnsi"/>
              </w:rPr>
              <w:t>ess has reached steady stat</w:t>
            </w:r>
            <w:r w:rsidR="00F47C78">
              <w:rPr>
                <w:rFonts w:asciiTheme="minorHAnsi" w:hAnsiTheme="minorHAnsi" w:cstheme="minorHAnsi"/>
              </w:rPr>
              <w:t>e these indicators will be repor</w:t>
            </w:r>
            <w:r w:rsidR="00F47C78" w:rsidRPr="00F47C78">
              <w:rPr>
                <w:rFonts w:asciiTheme="minorHAnsi" w:hAnsiTheme="minorHAnsi" w:cstheme="minorHAnsi"/>
              </w:rPr>
              <w:t>ted on a monthly basis</w:t>
            </w:r>
          </w:p>
        </w:tc>
      </w:tr>
      <w:tr w:rsidR="0000688A" w:rsidRPr="00C90060" w:rsidTr="00151DBF">
        <w:tc>
          <w:tcPr>
            <w:tcW w:w="2628" w:type="dxa"/>
          </w:tcPr>
          <w:p w:rsidR="00C90060" w:rsidRPr="00C90060" w:rsidRDefault="0000688A" w:rsidP="008006C2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lastRenderedPageBreak/>
              <w:t>Suitable for wider circulation?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00688A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Yes.</w:t>
            </w:r>
          </w:p>
        </w:tc>
      </w:tr>
      <w:tr w:rsidR="00C90060" w:rsidRPr="00C90060" w:rsidTr="00151DBF">
        <w:tc>
          <w:tcPr>
            <w:tcW w:w="2628" w:type="dxa"/>
          </w:tcPr>
          <w:p w:rsidR="00C90060" w:rsidRPr="00C90060" w:rsidRDefault="00C90060" w:rsidP="008006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  <w:r w:rsidR="008006C2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C90060" w:rsidRPr="004E2270" w:rsidRDefault="00F0393C" w:rsidP="00B86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FF6BB6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4E227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Yes</w:t>
            </w:r>
          </w:p>
        </w:tc>
      </w:tr>
      <w:tr w:rsidR="00E93D47" w:rsidRPr="00C90060" w:rsidTr="00BD0800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  <w:r w:rsidR="00C5051D" w:rsidRPr="00C9006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20" w:type="dxa"/>
            <w:gridSpan w:val="3"/>
          </w:tcPr>
          <w:p w:rsidR="00151DBF" w:rsidRPr="00C90060" w:rsidRDefault="006E695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C5051D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151DBF" w:rsidRPr="00C90060" w:rsidRDefault="00783405" w:rsidP="0078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FF6BB6" w:rsidRPr="00FF6BB6">
              <w:rPr>
                <w:rFonts w:asciiTheme="minorHAnsi" w:hAnsiTheme="minorHAnsi" w:cstheme="minorHAnsi"/>
                <w:vertAlign w:val="superscript"/>
              </w:rPr>
              <w:t>th</w:t>
            </w:r>
            <w:r w:rsidR="00FF6B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September</w:t>
            </w:r>
            <w:r w:rsidR="008D71C8">
              <w:rPr>
                <w:rFonts w:asciiTheme="minorHAnsi" w:hAnsiTheme="minorHAnsi" w:cstheme="minorHAnsi"/>
              </w:rPr>
              <w:t xml:space="preserve"> 2016</w:t>
            </w: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783405" w:rsidRDefault="00783405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D6C8E" w:rsidRDefault="000D6C8E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A840DB" w:rsidRDefault="00A873B2" w:rsidP="00F47C78">
      <w:pPr>
        <w:tabs>
          <w:tab w:val="left" w:pos="1980"/>
        </w:tabs>
        <w:spacing w:after="0" w:line="240" w:lineRule="auto"/>
        <w:jc w:val="center"/>
        <w:rPr>
          <w:rFonts w:cs="Arial"/>
          <w:b/>
        </w:rPr>
      </w:pPr>
      <w:r w:rsidRPr="00C22E08">
        <w:rPr>
          <w:rFonts w:cs="Arial"/>
          <w:b/>
        </w:rPr>
        <w:t xml:space="preserve">KPI </w:t>
      </w:r>
      <w:r w:rsidR="00C5051D">
        <w:rPr>
          <w:rFonts w:cs="Arial"/>
          <w:b/>
        </w:rPr>
        <w:t xml:space="preserve">‘Red’ </w:t>
      </w:r>
      <w:r w:rsidRPr="00C22E08">
        <w:rPr>
          <w:rFonts w:cs="Arial"/>
          <w:b/>
        </w:rPr>
        <w:t>Summary</w:t>
      </w:r>
    </w:p>
    <w:p w:rsidR="00BC4834" w:rsidRDefault="00BC4834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</w:p>
    <w:p w:rsidR="00061BFD" w:rsidRPr="00061BFD" w:rsidRDefault="00997A8D" w:rsidP="00151DBF">
      <w:pPr>
        <w:tabs>
          <w:tab w:val="left" w:pos="1980"/>
        </w:tabs>
        <w:spacing w:after="0" w:line="240" w:lineRule="auto"/>
        <w:rPr>
          <w:rFonts w:cs="Arial"/>
        </w:rPr>
      </w:pPr>
      <w:r>
        <w:rPr>
          <w:rFonts w:cs="Arial"/>
        </w:rPr>
        <w:lastRenderedPageBreak/>
        <w:t>What follows</w:t>
      </w:r>
      <w:r w:rsidR="00BC4834">
        <w:rPr>
          <w:rFonts w:cs="Arial"/>
        </w:rPr>
        <w:t xml:space="preserve"> is a brief </w:t>
      </w:r>
      <w:r w:rsidR="00061BFD">
        <w:rPr>
          <w:rFonts w:cs="Arial"/>
        </w:rPr>
        <w:t xml:space="preserve">summary </w:t>
      </w:r>
      <w:r w:rsidR="00BC4834">
        <w:rPr>
          <w:rFonts w:cs="Arial"/>
        </w:rPr>
        <w:t>of</w:t>
      </w:r>
      <w:r w:rsidR="00061BFD">
        <w:rPr>
          <w:rFonts w:cs="Arial"/>
        </w:rPr>
        <w:t xml:space="preserve"> those KPI’s that have returned a ‘Red’ score and</w:t>
      </w:r>
      <w:r>
        <w:rPr>
          <w:rFonts w:cs="Arial"/>
        </w:rPr>
        <w:t xml:space="preserve"> describe</w:t>
      </w:r>
      <w:r w:rsidR="0079070E">
        <w:rPr>
          <w:rFonts w:cs="Arial"/>
        </w:rPr>
        <w:t>s</w:t>
      </w:r>
      <w:r>
        <w:rPr>
          <w:rFonts w:cs="Arial"/>
        </w:rPr>
        <w:t xml:space="preserve"> </w:t>
      </w:r>
      <w:r w:rsidR="00061BFD">
        <w:rPr>
          <w:rFonts w:cs="Arial"/>
        </w:rPr>
        <w:t xml:space="preserve">the cause/s of those results and </w:t>
      </w:r>
      <w:r w:rsidR="00CF6E0E">
        <w:rPr>
          <w:rFonts w:cs="Arial"/>
        </w:rPr>
        <w:t xml:space="preserve">any organisational response that has </w:t>
      </w:r>
      <w:r w:rsidR="00BC4834">
        <w:rPr>
          <w:rFonts w:cs="Arial"/>
        </w:rPr>
        <w:t>or will be</w:t>
      </w:r>
      <w:r w:rsidR="00CF6E0E">
        <w:rPr>
          <w:rFonts w:cs="Arial"/>
        </w:rPr>
        <w:t xml:space="preserve"> taken.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92482" w:rsidRPr="00477F03" w:rsidRDefault="00477F03" w:rsidP="00151DBF">
      <w:pPr>
        <w:tabs>
          <w:tab w:val="left" w:pos="1980"/>
        </w:tabs>
        <w:spacing w:after="0" w:line="240" w:lineRule="auto"/>
        <w:rPr>
          <w:rFonts w:cs="Arial"/>
          <w:b/>
        </w:rPr>
      </w:pPr>
      <w:r w:rsidRPr="00477F03">
        <w:rPr>
          <w:rFonts w:cs="Arial"/>
          <w:b/>
        </w:rPr>
        <w:t>Areas returning ‘Red’ scores</w:t>
      </w:r>
    </w:p>
    <w:p w:rsidR="00092482" w:rsidRDefault="0009248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1120"/>
        <w:gridCol w:w="7960"/>
      </w:tblGrid>
      <w:tr w:rsidR="00092482" w:rsidRPr="00092482" w:rsidTr="00783405">
        <w:trPr>
          <w:trHeight w:val="4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82" w:rsidRPr="00092482" w:rsidRDefault="0088212A" w:rsidP="000924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82" w:rsidRPr="00092482" w:rsidRDefault="0088212A" w:rsidP="00092482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8212A">
              <w:rPr>
                <w:rFonts w:eastAsia="Times New Roman" w:cs="Arial"/>
                <w:color w:val="000000"/>
                <w:lang w:eastAsia="en-GB"/>
              </w:rPr>
              <w:t>95% of applications to full research ethics committee meetings to receive final decision within 40 calendar days (stretch target)</w:t>
            </w:r>
          </w:p>
        </w:tc>
      </w:tr>
    </w:tbl>
    <w:p w:rsidR="008006C2" w:rsidRDefault="008006C2" w:rsidP="00C34A0F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8006C2" w:rsidRPr="008006C2" w:rsidRDefault="00092482" w:rsidP="008006C2">
      <w:pPr>
        <w:rPr>
          <w:rFonts w:eastAsia="Times New Roman" w:cs="Arial"/>
          <w:color w:val="000000"/>
          <w:sz w:val="16"/>
          <w:szCs w:val="16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Cause</w:t>
      </w:r>
      <w:r>
        <w:rPr>
          <w:rFonts w:eastAsia="Times New Roman" w:cs="Arial"/>
          <w:color w:val="000000"/>
          <w:lang w:eastAsia="en-GB"/>
        </w:rPr>
        <w:t>:</w:t>
      </w:r>
      <w:r w:rsidRPr="00092482">
        <w:rPr>
          <w:rFonts w:eastAsia="Times New Roman" w:cs="Arial"/>
          <w:color w:val="000000"/>
          <w:lang w:eastAsia="en-GB"/>
        </w:rPr>
        <w:t xml:space="preserve"> </w:t>
      </w:r>
      <w:r w:rsidR="0088212A" w:rsidRPr="0088212A">
        <w:rPr>
          <w:rFonts w:eastAsia="Times New Roman" w:cs="Arial"/>
          <w:color w:val="000000"/>
          <w:lang w:eastAsia="en-GB"/>
        </w:rPr>
        <w:t>Amendment work commenced in June and staff diverted to assist</w:t>
      </w:r>
    </w:p>
    <w:p w:rsidR="00092482" w:rsidRDefault="00092482" w:rsidP="00092482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Response</w:t>
      </w:r>
      <w:r w:rsidRPr="00092482">
        <w:rPr>
          <w:rFonts w:eastAsia="Times New Roman" w:cs="Arial"/>
          <w:color w:val="000000"/>
          <w:lang w:eastAsia="en-GB"/>
        </w:rPr>
        <w:t xml:space="preserve">: </w:t>
      </w:r>
      <w:r w:rsidR="000F0F40">
        <w:rPr>
          <w:rFonts w:eastAsia="Times New Roman" w:cs="Arial"/>
          <w:color w:val="000000"/>
          <w:lang w:eastAsia="en-GB"/>
        </w:rPr>
        <w:t>These pressures will reduce as amendment work is completed</w:t>
      </w:r>
    </w:p>
    <w:p w:rsidR="008006C2" w:rsidRDefault="008006C2" w:rsidP="00092482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092482" w:rsidRPr="00092482" w:rsidTr="00783405">
        <w:trPr>
          <w:trHeight w:val="771"/>
        </w:trPr>
        <w:tc>
          <w:tcPr>
            <w:tcW w:w="1120" w:type="dxa"/>
            <w:shd w:val="clear" w:color="auto" w:fill="auto"/>
            <w:vAlign w:val="center"/>
          </w:tcPr>
          <w:p w:rsidR="00092482" w:rsidRPr="00092482" w:rsidRDefault="0088212A" w:rsidP="0024385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A3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092482" w:rsidRPr="00092482" w:rsidRDefault="0088212A" w:rsidP="0024385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88212A">
              <w:rPr>
                <w:rFonts w:eastAsia="Times New Roman" w:cs="Arial"/>
                <w:color w:val="000000"/>
                <w:lang w:eastAsia="en-GB"/>
              </w:rPr>
              <w:t>95% of applications to research ethics proportionate review service to receive decision within 14 calendar days</w:t>
            </w:r>
          </w:p>
        </w:tc>
      </w:tr>
    </w:tbl>
    <w:p w:rsidR="008006C2" w:rsidRDefault="008006C2" w:rsidP="00477F03">
      <w:pPr>
        <w:spacing w:after="0" w:line="240" w:lineRule="auto"/>
        <w:rPr>
          <w:rFonts w:eastAsia="Times New Roman" w:cs="Arial"/>
          <w:b/>
          <w:color w:val="000000"/>
          <w:lang w:eastAsia="en-GB"/>
        </w:rPr>
      </w:pPr>
    </w:p>
    <w:p w:rsidR="0088212A" w:rsidRDefault="00477F03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Cause</w:t>
      </w:r>
      <w:r w:rsidRPr="00092482">
        <w:rPr>
          <w:rFonts w:eastAsia="Times New Roman" w:cs="Arial"/>
          <w:color w:val="000000"/>
          <w:lang w:eastAsia="en-GB"/>
        </w:rPr>
        <w:t xml:space="preserve">: </w:t>
      </w:r>
      <w:r w:rsidR="0088212A" w:rsidRPr="0088212A">
        <w:rPr>
          <w:rFonts w:eastAsia="Times New Roman" w:cs="Arial"/>
          <w:color w:val="000000"/>
          <w:lang w:eastAsia="en-GB"/>
        </w:rPr>
        <w:t>Problems with booking applications a long way ahead of closing dates due to volume/bank holidays in Ap</w:t>
      </w:r>
      <w:r w:rsidR="000F0F40">
        <w:rPr>
          <w:rFonts w:eastAsia="Times New Roman" w:cs="Arial"/>
          <w:color w:val="000000"/>
          <w:lang w:eastAsia="en-GB"/>
        </w:rPr>
        <w:t>r</w:t>
      </w:r>
      <w:r w:rsidR="0088212A" w:rsidRPr="0088212A">
        <w:rPr>
          <w:rFonts w:eastAsia="Times New Roman" w:cs="Arial"/>
          <w:color w:val="000000"/>
          <w:lang w:eastAsia="en-GB"/>
        </w:rPr>
        <w:t xml:space="preserve">il and May. </w:t>
      </w:r>
    </w:p>
    <w:p w:rsidR="00477F03" w:rsidRDefault="0088212A" w:rsidP="00477F03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88212A">
        <w:rPr>
          <w:rFonts w:eastAsia="Times New Roman" w:cs="Arial"/>
          <w:color w:val="000000"/>
          <w:lang w:eastAsia="en-GB"/>
        </w:rPr>
        <w:t xml:space="preserve"> </w:t>
      </w:r>
    </w:p>
    <w:p w:rsidR="008006C2" w:rsidRPr="008006C2" w:rsidRDefault="00477F03" w:rsidP="008006C2">
      <w:pPr>
        <w:rPr>
          <w:rFonts w:eastAsia="Times New Roman" w:cs="Arial"/>
          <w:color w:val="000000"/>
          <w:sz w:val="16"/>
          <w:szCs w:val="16"/>
          <w:lang w:eastAsia="en-GB"/>
        </w:rPr>
      </w:pPr>
      <w:r w:rsidRPr="00092482">
        <w:rPr>
          <w:rFonts w:eastAsia="Times New Roman" w:cs="Arial"/>
          <w:b/>
          <w:color w:val="000000"/>
          <w:lang w:eastAsia="en-GB"/>
        </w:rPr>
        <w:t>Response</w:t>
      </w:r>
      <w:r w:rsidRPr="008006C2">
        <w:rPr>
          <w:rFonts w:eastAsia="Times New Roman" w:cs="Arial"/>
          <w:b/>
          <w:color w:val="000000"/>
          <w:lang w:eastAsia="en-GB"/>
        </w:rPr>
        <w:t xml:space="preserve">: </w:t>
      </w:r>
      <w:r w:rsidR="0088212A" w:rsidRPr="0088212A">
        <w:rPr>
          <w:rFonts w:eastAsia="Times New Roman" w:cs="Arial"/>
          <w:color w:val="000000"/>
          <w:lang w:eastAsia="en-GB"/>
        </w:rPr>
        <w:t>Work ongoing with UK colleagues to increase proportionate review workload</w:t>
      </w: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88212A" w:rsidRPr="00092482" w:rsidTr="00C33ABA">
        <w:trPr>
          <w:trHeight w:val="531"/>
        </w:trPr>
        <w:tc>
          <w:tcPr>
            <w:tcW w:w="1120" w:type="dxa"/>
            <w:shd w:val="clear" w:color="auto" w:fill="auto"/>
            <w:vAlign w:val="center"/>
          </w:tcPr>
          <w:p w:rsidR="0088212A" w:rsidRPr="001E05EA" w:rsidRDefault="0088212A" w:rsidP="00C33ABA">
            <w:pPr>
              <w:spacing w:after="0" w:line="240" w:lineRule="auto"/>
              <w:jc w:val="center"/>
            </w:pPr>
            <w:r w:rsidRPr="001E05EA">
              <w:t>A8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88212A" w:rsidRDefault="0088212A" w:rsidP="00C33ABA">
            <w:pPr>
              <w:spacing w:after="0" w:line="240" w:lineRule="auto"/>
            </w:pPr>
            <w:r w:rsidRPr="001E05EA">
              <w:t>CAG/CAT 75% of Precedent Set review applications to be completed in 30 days FIG 7</w:t>
            </w:r>
          </w:p>
          <w:p w:rsidR="000F0F40" w:rsidRDefault="000F0F40" w:rsidP="00C33ABA">
            <w:pPr>
              <w:spacing w:after="0" w:line="240" w:lineRule="auto"/>
              <w:jc w:val="center"/>
            </w:pPr>
          </w:p>
        </w:tc>
      </w:tr>
    </w:tbl>
    <w:p w:rsidR="008006C2" w:rsidRDefault="008006C2" w:rsidP="00C34A0F">
      <w:pPr>
        <w:spacing w:after="0" w:line="240" w:lineRule="auto"/>
        <w:jc w:val="both"/>
        <w:rPr>
          <w:b/>
        </w:rPr>
      </w:pPr>
    </w:p>
    <w:p w:rsidR="008006C2" w:rsidRPr="00E34398" w:rsidRDefault="008006C2" w:rsidP="008006C2">
      <w:pPr>
        <w:jc w:val="both"/>
        <w:rPr>
          <w:b/>
        </w:rPr>
      </w:pPr>
      <w:r w:rsidRPr="00E34398">
        <w:rPr>
          <w:b/>
        </w:rPr>
        <w:t>Cause:</w:t>
      </w:r>
      <w:r w:rsidRPr="00E34398">
        <w:t xml:space="preserve"> </w:t>
      </w:r>
      <w:r w:rsidR="0088212A" w:rsidRPr="0088212A">
        <w:t xml:space="preserve">Small number of PS applications reached final approval in July-16; one application considered in 39 days which led to drop in KPI. </w:t>
      </w:r>
    </w:p>
    <w:p w:rsidR="00C22E08" w:rsidRDefault="008006C2" w:rsidP="001E55D4">
      <w:pPr>
        <w:jc w:val="both"/>
      </w:pPr>
      <w:r>
        <w:rPr>
          <w:b/>
        </w:rPr>
        <w:t>Response</w:t>
      </w:r>
      <w:r w:rsidRPr="00E34398">
        <w:rPr>
          <w:b/>
        </w:rPr>
        <w:t>:</w:t>
      </w:r>
      <w:r>
        <w:rPr>
          <w:b/>
        </w:rPr>
        <w:t xml:space="preserve"> </w:t>
      </w:r>
      <w:r w:rsidR="0088212A" w:rsidRPr="0088212A">
        <w:t>To be raised with CAG to identify improved efficiencies in member responses to follow-up</w:t>
      </w:r>
    </w:p>
    <w:tbl>
      <w:tblPr>
        <w:tblW w:w="90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960"/>
      </w:tblGrid>
      <w:tr w:rsidR="000F0F40" w:rsidRPr="00092482" w:rsidTr="00C33ABA">
        <w:trPr>
          <w:trHeight w:val="531"/>
        </w:trPr>
        <w:tc>
          <w:tcPr>
            <w:tcW w:w="1120" w:type="dxa"/>
            <w:shd w:val="clear" w:color="auto" w:fill="auto"/>
            <w:vAlign w:val="center"/>
          </w:tcPr>
          <w:p w:rsidR="000F0F40" w:rsidRPr="001E05EA" w:rsidRDefault="000F0F40" w:rsidP="00C33ABA">
            <w:pPr>
              <w:spacing w:after="0" w:line="240" w:lineRule="auto"/>
              <w:jc w:val="center"/>
            </w:pPr>
            <w:r>
              <w:t>A9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0F0F40" w:rsidRDefault="00C33ABA" w:rsidP="00C33ABA">
            <w:pPr>
              <w:spacing w:after="0" w:line="240" w:lineRule="auto"/>
            </w:pPr>
            <w:r w:rsidRPr="00C33ABA">
              <w:t>CAG/CAT 75% of amendments to be completed in 30 days</w:t>
            </w:r>
          </w:p>
        </w:tc>
      </w:tr>
    </w:tbl>
    <w:p w:rsidR="000F0F40" w:rsidRDefault="000F0F40" w:rsidP="000F0F40">
      <w:pPr>
        <w:spacing w:after="0" w:line="240" w:lineRule="auto"/>
        <w:jc w:val="both"/>
        <w:rPr>
          <w:b/>
        </w:rPr>
      </w:pPr>
    </w:p>
    <w:p w:rsidR="00540318" w:rsidRDefault="000F0F40" w:rsidP="000F0F40">
      <w:pPr>
        <w:jc w:val="both"/>
      </w:pPr>
      <w:r w:rsidRPr="00E34398">
        <w:rPr>
          <w:b/>
        </w:rPr>
        <w:t>Cause:</w:t>
      </w:r>
      <w:r w:rsidRPr="00E34398">
        <w:t xml:space="preserve"> </w:t>
      </w:r>
      <w:r w:rsidR="00540318" w:rsidRPr="00540318">
        <w:t xml:space="preserve">Figures are due to data quality issues which require significant work to improve mechanisms of data collection. </w:t>
      </w:r>
    </w:p>
    <w:p w:rsidR="000F0F40" w:rsidRPr="00540318" w:rsidRDefault="000F0F40" w:rsidP="000F0F40">
      <w:pPr>
        <w:jc w:val="both"/>
      </w:pPr>
      <w:r>
        <w:rPr>
          <w:b/>
        </w:rPr>
        <w:t>Response</w:t>
      </w:r>
      <w:r w:rsidRPr="00E34398">
        <w:rPr>
          <w:b/>
        </w:rPr>
        <w:t>:</w:t>
      </w:r>
      <w:r>
        <w:rPr>
          <w:b/>
        </w:rPr>
        <w:t xml:space="preserve"> </w:t>
      </w:r>
      <w:r w:rsidR="00540318" w:rsidRPr="00540318">
        <w:t>Staffing resource not available until appointment to vacant posts (October).</w:t>
      </w:r>
    </w:p>
    <w:p w:rsidR="000F0F40" w:rsidRDefault="000F0F40" w:rsidP="001E55D4">
      <w:pPr>
        <w:jc w:val="both"/>
      </w:pPr>
    </w:p>
    <w:p w:rsidR="000F0F40" w:rsidRDefault="000F0F40" w:rsidP="001E55D4">
      <w:pPr>
        <w:jc w:val="both"/>
      </w:pPr>
    </w:p>
    <w:sectPr w:rsidR="000F0F4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DB" w:rsidRDefault="00876EDB" w:rsidP="006B5376">
      <w:pPr>
        <w:spacing w:after="0" w:line="240" w:lineRule="auto"/>
      </w:pPr>
      <w:r>
        <w:separator/>
      </w:r>
    </w:p>
  </w:endnote>
  <w:endnote w:type="continuationSeparator" w:id="0">
    <w:p w:rsidR="00876EDB" w:rsidRDefault="00876EDB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17F8E24" wp14:editId="257CD5E5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66B5D" wp14:editId="79F198F6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FF6BB6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DB" w:rsidRDefault="00876EDB" w:rsidP="006B5376">
      <w:pPr>
        <w:spacing w:after="0" w:line="240" w:lineRule="auto"/>
      </w:pPr>
      <w:r>
        <w:separator/>
      </w:r>
    </w:p>
  </w:footnote>
  <w:footnote w:type="continuationSeparator" w:id="0">
    <w:p w:rsidR="00876EDB" w:rsidRDefault="00876EDB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173B1EBC" wp14:editId="5216D894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80FA6"/>
    <w:multiLevelType w:val="hybridMultilevel"/>
    <w:tmpl w:val="27FEBE8A"/>
    <w:lvl w:ilvl="0" w:tplc="8B6C2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36875"/>
    <w:multiLevelType w:val="hybridMultilevel"/>
    <w:tmpl w:val="78329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22E7D"/>
    <w:multiLevelType w:val="hybridMultilevel"/>
    <w:tmpl w:val="E78EBFDC"/>
    <w:lvl w:ilvl="0" w:tplc="7AE4F392">
      <w:numFmt w:val="bullet"/>
      <w:lvlText w:val="-"/>
      <w:lvlJc w:val="left"/>
      <w:pPr>
        <w:ind w:left="720" w:hanging="360"/>
      </w:pPr>
      <w:rPr>
        <w:rFonts w:ascii="Bliss 2 Light" w:eastAsiaTheme="minorHAnsi" w:hAnsi="Bliss 2 Light" w:cs="Bliss 2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8320E"/>
    <w:multiLevelType w:val="hybridMultilevel"/>
    <w:tmpl w:val="0C5EC80C"/>
    <w:lvl w:ilvl="0" w:tplc="1F7C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C2B03"/>
    <w:multiLevelType w:val="hybridMultilevel"/>
    <w:tmpl w:val="5030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13"/>
  </w:num>
  <w:num w:numId="5">
    <w:abstractNumId w:val="26"/>
  </w:num>
  <w:num w:numId="6">
    <w:abstractNumId w:val="2"/>
  </w:num>
  <w:num w:numId="7">
    <w:abstractNumId w:val="32"/>
  </w:num>
  <w:num w:numId="8">
    <w:abstractNumId w:val="34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1"/>
  </w:num>
  <w:num w:numId="15">
    <w:abstractNumId w:val="9"/>
  </w:num>
  <w:num w:numId="16">
    <w:abstractNumId w:val="24"/>
  </w:num>
  <w:num w:numId="17">
    <w:abstractNumId w:val="29"/>
  </w:num>
  <w:num w:numId="18">
    <w:abstractNumId w:val="1"/>
  </w:num>
  <w:num w:numId="19">
    <w:abstractNumId w:val="17"/>
  </w:num>
  <w:num w:numId="20">
    <w:abstractNumId w:val="27"/>
  </w:num>
  <w:num w:numId="21">
    <w:abstractNumId w:val="38"/>
  </w:num>
  <w:num w:numId="22">
    <w:abstractNumId w:val="19"/>
  </w:num>
  <w:num w:numId="23">
    <w:abstractNumId w:val="23"/>
  </w:num>
  <w:num w:numId="24">
    <w:abstractNumId w:val="7"/>
  </w:num>
  <w:num w:numId="25">
    <w:abstractNumId w:val="28"/>
  </w:num>
  <w:num w:numId="26">
    <w:abstractNumId w:val="41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40"/>
  </w:num>
  <w:num w:numId="32">
    <w:abstractNumId w:val="15"/>
  </w:num>
  <w:num w:numId="33">
    <w:abstractNumId w:val="25"/>
  </w:num>
  <w:num w:numId="34">
    <w:abstractNumId w:val="46"/>
  </w:num>
  <w:num w:numId="35">
    <w:abstractNumId w:val="6"/>
  </w:num>
  <w:num w:numId="36">
    <w:abstractNumId w:val="8"/>
  </w:num>
  <w:num w:numId="37">
    <w:abstractNumId w:val="3"/>
  </w:num>
  <w:num w:numId="38">
    <w:abstractNumId w:val="18"/>
  </w:num>
  <w:num w:numId="39">
    <w:abstractNumId w:val="11"/>
  </w:num>
  <w:num w:numId="40">
    <w:abstractNumId w:val="14"/>
  </w:num>
  <w:num w:numId="41">
    <w:abstractNumId w:val="45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5"/>
  </w:num>
  <w:num w:numId="45">
    <w:abstractNumId w:val="37"/>
  </w:num>
  <w:num w:numId="46">
    <w:abstractNumId w:val="42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4663"/>
    <w:rsid w:val="00031E55"/>
    <w:rsid w:val="00032018"/>
    <w:rsid w:val="00034690"/>
    <w:rsid w:val="00061BFD"/>
    <w:rsid w:val="00067801"/>
    <w:rsid w:val="00077FB8"/>
    <w:rsid w:val="000805FF"/>
    <w:rsid w:val="00080CB0"/>
    <w:rsid w:val="00082E02"/>
    <w:rsid w:val="00087C21"/>
    <w:rsid w:val="00092482"/>
    <w:rsid w:val="000A13D1"/>
    <w:rsid w:val="000A7224"/>
    <w:rsid w:val="000A7C2C"/>
    <w:rsid w:val="000C027C"/>
    <w:rsid w:val="000C44EF"/>
    <w:rsid w:val="000C6B29"/>
    <w:rsid w:val="000D0F34"/>
    <w:rsid w:val="000D6A51"/>
    <w:rsid w:val="000D6C8E"/>
    <w:rsid w:val="000E55E7"/>
    <w:rsid w:val="000E5A1B"/>
    <w:rsid w:val="000E6A39"/>
    <w:rsid w:val="000F0F40"/>
    <w:rsid w:val="000F2666"/>
    <w:rsid w:val="000F40ED"/>
    <w:rsid w:val="000F5FA5"/>
    <w:rsid w:val="00100687"/>
    <w:rsid w:val="0011564E"/>
    <w:rsid w:val="00122C95"/>
    <w:rsid w:val="00125E43"/>
    <w:rsid w:val="00144864"/>
    <w:rsid w:val="001459D0"/>
    <w:rsid w:val="00151DBF"/>
    <w:rsid w:val="00156D64"/>
    <w:rsid w:val="00161566"/>
    <w:rsid w:val="00162E33"/>
    <w:rsid w:val="00162EEA"/>
    <w:rsid w:val="00170438"/>
    <w:rsid w:val="00170E54"/>
    <w:rsid w:val="001801B8"/>
    <w:rsid w:val="001803BF"/>
    <w:rsid w:val="00187B85"/>
    <w:rsid w:val="001B0E16"/>
    <w:rsid w:val="001C0074"/>
    <w:rsid w:val="001C0E64"/>
    <w:rsid w:val="001C3388"/>
    <w:rsid w:val="001C3D40"/>
    <w:rsid w:val="001C3FF9"/>
    <w:rsid w:val="001C5EE1"/>
    <w:rsid w:val="001D0C9D"/>
    <w:rsid w:val="001D339E"/>
    <w:rsid w:val="001D41F3"/>
    <w:rsid w:val="001D451F"/>
    <w:rsid w:val="001D4C53"/>
    <w:rsid w:val="001E55D4"/>
    <w:rsid w:val="001E7FBA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318B"/>
    <w:rsid w:val="002551D9"/>
    <w:rsid w:val="00255B6D"/>
    <w:rsid w:val="0026003B"/>
    <w:rsid w:val="00267CD4"/>
    <w:rsid w:val="0027131C"/>
    <w:rsid w:val="00274C92"/>
    <w:rsid w:val="0027616F"/>
    <w:rsid w:val="0028249D"/>
    <w:rsid w:val="002A389A"/>
    <w:rsid w:val="002B1574"/>
    <w:rsid w:val="002B20F2"/>
    <w:rsid w:val="002D06F6"/>
    <w:rsid w:val="002E1034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6166"/>
    <w:rsid w:val="00360E64"/>
    <w:rsid w:val="003620D2"/>
    <w:rsid w:val="00362136"/>
    <w:rsid w:val="0036304E"/>
    <w:rsid w:val="00363763"/>
    <w:rsid w:val="00372EDD"/>
    <w:rsid w:val="00374989"/>
    <w:rsid w:val="0038407F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E62C3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62D31"/>
    <w:rsid w:val="00472A5C"/>
    <w:rsid w:val="00475E0A"/>
    <w:rsid w:val="00477F03"/>
    <w:rsid w:val="004806AB"/>
    <w:rsid w:val="00482B2C"/>
    <w:rsid w:val="00491A07"/>
    <w:rsid w:val="0049433E"/>
    <w:rsid w:val="004960CF"/>
    <w:rsid w:val="004968A5"/>
    <w:rsid w:val="004B078F"/>
    <w:rsid w:val="004B3B6C"/>
    <w:rsid w:val="004E2270"/>
    <w:rsid w:val="004E5A9A"/>
    <w:rsid w:val="004F58E8"/>
    <w:rsid w:val="004F7AF1"/>
    <w:rsid w:val="00502585"/>
    <w:rsid w:val="00510C14"/>
    <w:rsid w:val="00512EC9"/>
    <w:rsid w:val="00512FBB"/>
    <w:rsid w:val="00520466"/>
    <w:rsid w:val="00521B16"/>
    <w:rsid w:val="00540318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1C07"/>
    <w:rsid w:val="005C5A53"/>
    <w:rsid w:val="005C7E23"/>
    <w:rsid w:val="005D0C13"/>
    <w:rsid w:val="005D0D2D"/>
    <w:rsid w:val="005D7F75"/>
    <w:rsid w:val="005E241C"/>
    <w:rsid w:val="005F4D7F"/>
    <w:rsid w:val="00611EC3"/>
    <w:rsid w:val="00631534"/>
    <w:rsid w:val="00632573"/>
    <w:rsid w:val="0063397F"/>
    <w:rsid w:val="00636C32"/>
    <w:rsid w:val="006501B4"/>
    <w:rsid w:val="00650770"/>
    <w:rsid w:val="0065384C"/>
    <w:rsid w:val="00661712"/>
    <w:rsid w:val="00662C00"/>
    <w:rsid w:val="006727FE"/>
    <w:rsid w:val="006729B0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E695A"/>
    <w:rsid w:val="006F0655"/>
    <w:rsid w:val="006F3C06"/>
    <w:rsid w:val="00703B1A"/>
    <w:rsid w:val="00704956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83405"/>
    <w:rsid w:val="0079070E"/>
    <w:rsid w:val="0079459F"/>
    <w:rsid w:val="007958A5"/>
    <w:rsid w:val="0079675F"/>
    <w:rsid w:val="00797B27"/>
    <w:rsid w:val="007A4F66"/>
    <w:rsid w:val="007A5239"/>
    <w:rsid w:val="007B7BA3"/>
    <w:rsid w:val="007C07BD"/>
    <w:rsid w:val="007C181C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006C2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76EDB"/>
    <w:rsid w:val="0088212A"/>
    <w:rsid w:val="008835B9"/>
    <w:rsid w:val="00890133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D71C8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650AA"/>
    <w:rsid w:val="009708DE"/>
    <w:rsid w:val="00973512"/>
    <w:rsid w:val="0098103F"/>
    <w:rsid w:val="00986DBB"/>
    <w:rsid w:val="00987871"/>
    <w:rsid w:val="00995D46"/>
    <w:rsid w:val="00996564"/>
    <w:rsid w:val="00997A8D"/>
    <w:rsid w:val="009A1D17"/>
    <w:rsid w:val="009A35FA"/>
    <w:rsid w:val="009B7ADC"/>
    <w:rsid w:val="009C133C"/>
    <w:rsid w:val="009D119A"/>
    <w:rsid w:val="009D6D73"/>
    <w:rsid w:val="009E5183"/>
    <w:rsid w:val="009F234C"/>
    <w:rsid w:val="009F3946"/>
    <w:rsid w:val="009F44FD"/>
    <w:rsid w:val="00A0218A"/>
    <w:rsid w:val="00A06B20"/>
    <w:rsid w:val="00A10A0A"/>
    <w:rsid w:val="00A1179A"/>
    <w:rsid w:val="00A1197F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40DB"/>
    <w:rsid w:val="00A85692"/>
    <w:rsid w:val="00A86564"/>
    <w:rsid w:val="00A86755"/>
    <w:rsid w:val="00A873B2"/>
    <w:rsid w:val="00A912C0"/>
    <w:rsid w:val="00A9292C"/>
    <w:rsid w:val="00A95157"/>
    <w:rsid w:val="00AA288A"/>
    <w:rsid w:val="00AA5F0C"/>
    <w:rsid w:val="00AB7764"/>
    <w:rsid w:val="00AC2BA5"/>
    <w:rsid w:val="00AC3ED9"/>
    <w:rsid w:val="00AC7807"/>
    <w:rsid w:val="00AE500E"/>
    <w:rsid w:val="00AF2B98"/>
    <w:rsid w:val="00AF3C6E"/>
    <w:rsid w:val="00B101D8"/>
    <w:rsid w:val="00B1110F"/>
    <w:rsid w:val="00B12EAF"/>
    <w:rsid w:val="00B13FC0"/>
    <w:rsid w:val="00B16BC1"/>
    <w:rsid w:val="00B35C41"/>
    <w:rsid w:val="00B371BD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777A2"/>
    <w:rsid w:val="00B83C5D"/>
    <w:rsid w:val="00BA15CF"/>
    <w:rsid w:val="00BB19A7"/>
    <w:rsid w:val="00BB245B"/>
    <w:rsid w:val="00BB6571"/>
    <w:rsid w:val="00BC0B48"/>
    <w:rsid w:val="00BC3A08"/>
    <w:rsid w:val="00BC4834"/>
    <w:rsid w:val="00BF5379"/>
    <w:rsid w:val="00C04153"/>
    <w:rsid w:val="00C1135D"/>
    <w:rsid w:val="00C15CC6"/>
    <w:rsid w:val="00C22E08"/>
    <w:rsid w:val="00C24C6C"/>
    <w:rsid w:val="00C265FE"/>
    <w:rsid w:val="00C330A2"/>
    <w:rsid w:val="00C33ABA"/>
    <w:rsid w:val="00C34A0F"/>
    <w:rsid w:val="00C36837"/>
    <w:rsid w:val="00C40072"/>
    <w:rsid w:val="00C42D0D"/>
    <w:rsid w:val="00C458CC"/>
    <w:rsid w:val="00C5051D"/>
    <w:rsid w:val="00C528B2"/>
    <w:rsid w:val="00C53126"/>
    <w:rsid w:val="00C566DC"/>
    <w:rsid w:val="00C56E47"/>
    <w:rsid w:val="00C5789F"/>
    <w:rsid w:val="00C60EC1"/>
    <w:rsid w:val="00C665C4"/>
    <w:rsid w:val="00C7490C"/>
    <w:rsid w:val="00C8111C"/>
    <w:rsid w:val="00C815C1"/>
    <w:rsid w:val="00C81AD5"/>
    <w:rsid w:val="00C81FBF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CF6E0E"/>
    <w:rsid w:val="00D244E5"/>
    <w:rsid w:val="00D506D1"/>
    <w:rsid w:val="00D53754"/>
    <w:rsid w:val="00D556A7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32CD"/>
    <w:rsid w:val="00E34398"/>
    <w:rsid w:val="00E348B8"/>
    <w:rsid w:val="00E36F0A"/>
    <w:rsid w:val="00E40EF1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2E8F"/>
    <w:rsid w:val="00EC6545"/>
    <w:rsid w:val="00ED05D5"/>
    <w:rsid w:val="00ED723B"/>
    <w:rsid w:val="00ED7497"/>
    <w:rsid w:val="00EE200F"/>
    <w:rsid w:val="00EE3EEA"/>
    <w:rsid w:val="00EE4784"/>
    <w:rsid w:val="00EE7815"/>
    <w:rsid w:val="00EE7888"/>
    <w:rsid w:val="00EF1675"/>
    <w:rsid w:val="00EF1E64"/>
    <w:rsid w:val="00EF3A3D"/>
    <w:rsid w:val="00EF727C"/>
    <w:rsid w:val="00F001A2"/>
    <w:rsid w:val="00F00C2E"/>
    <w:rsid w:val="00F0393C"/>
    <w:rsid w:val="00F126A6"/>
    <w:rsid w:val="00F13444"/>
    <w:rsid w:val="00F1491D"/>
    <w:rsid w:val="00F207D7"/>
    <w:rsid w:val="00F227F0"/>
    <w:rsid w:val="00F47C78"/>
    <w:rsid w:val="00F5469A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BB6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A2802-CCE2-4ACD-A4E3-F9F1B926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2016-09-15T11:34:00Z</dcterms:created>
  <dcterms:modified xsi:type="dcterms:W3CDTF">2016-09-15T11:42:00Z</dcterms:modified>
</cp:coreProperties>
</file>