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Key summary points from the Audit and Risk Committ</w:t>
      </w:r>
      <w:r w:rsidR="00382649">
        <w:rPr>
          <w:rFonts w:cs="Arial"/>
          <w:b/>
          <w:sz w:val="28"/>
          <w:szCs w:val="28"/>
        </w:rPr>
        <w:t xml:space="preserve">ee meeting held on </w:t>
      </w:r>
      <w:r w:rsidR="0097136F">
        <w:rPr>
          <w:rFonts w:cs="Arial"/>
          <w:b/>
          <w:sz w:val="28"/>
          <w:szCs w:val="28"/>
        </w:rPr>
        <w:t xml:space="preserve">01 November </w:t>
      </w:r>
      <w:r w:rsidR="00AB4AAE">
        <w:rPr>
          <w:rFonts w:cs="Arial"/>
          <w:b/>
          <w:sz w:val="28"/>
          <w:szCs w:val="28"/>
        </w:rPr>
        <w:t>2017</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589"/>
        <w:gridCol w:w="8335"/>
      </w:tblGrid>
      <w:tr w:rsidR="00917849" w:rsidTr="00215CFE">
        <w:tc>
          <w:tcPr>
            <w:tcW w:w="1702"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222" w:type="dxa"/>
          </w:tcPr>
          <w:p w:rsidR="000E5951" w:rsidRPr="000E5951" w:rsidRDefault="0097136F" w:rsidP="009C098E">
            <w:pPr>
              <w:shd w:val="clear" w:color="auto" w:fill="FBD4B4" w:themeFill="accent6" w:themeFillTint="66"/>
              <w:ind w:right="-46"/>
              <w:rPr>
                <w:rFonts w:cs="Arial"/>
                <w:b/>
                <w:szCs w:val="28"/>
              </w:rPr>
            </w:pPr>
            <w:r>
              <w:rPr>
                <w:rFonts w:cs="Arial"/>
                <w:b/>
                <w:szCs w:val="28"/>
              </w:rPr>
              <w:t>01 November</w:t>
            </w:r>
            <w:r w:rsidR="00382649">
              <w:rPr>
                <w:rFonts w:cs="Arial"/>
                <w:b/>
                <w:szCs w:val="28"/>
              </w:rPr>
              <w:t xml:space="preserve"> </w:t>
            </w:r>
            <w:r w:rsidR="000E5951" w:rsidRPr="000E5951">
              <w:rPr>
                <w:rFonts w:cs="Arial"/>
                <w:b/>
                <w:szCs w:val="28"/>
              </w:rPr>
              <w:t>2017, HRA 1, Skipton House</w:t>
            </w:r>
          </w:p>
          <w:p w:rsidR="000E5951" w:rsidRDefault="000E5951" w:rsidP="00917849">
            <w:pPr>
              <w:ind w:right="-46"/>
              <w:rPr>
                <w:rFonts w:cs="Arial"/>
                <w:szCs w:val="28"/>
              </w:rPr>
            </w:pPr>
          </w:p>
          <w:p w:rsidR="00AB4AAE" w:rsidRPr="009C098E" w:rsidRDefault="00917849" w:rsidP="009C098E">
            <w:pPr>
              <w:pStyle w:val="ListParagraph"/>
              <w:numPr>
                <w:ilvl w:val="0"/>
                <w:numId w:val="4"/>
              </w:numPr>
              <w:ind w:right="-46"/>
              <w:rPr>
                <w:rFonts w:cs="Arial"/>
                <w:szCs w:val="28"/>
              </w:rPr>
            </w:pPr>
            <w:r w:rsidRPr="009C098E">
              <w:rPr>
                <w:rFonts w:cs="Arial"/>
                <w:szCs w:val="28"/>
              </w:rPr>
              <w:t>Quorate</w:t>
            </w:r>
          </w:p>
          <w:p w:rsidR="00917849" w:rsidRPr="009C098E" w:rsidRDefault="00917849" w:rsidP="009C098E">
            <w:pPr>
              <w:pStyle w:val="ListParagraph"/>
              <w:numPr>
                <w:ilvl w:val="0"/>
                <w:numId w:val="4"/>
              </w:numPr>
              <w:ind w:right="-46"/>
              <w:rPr>
                <w:rFonts w:cs="Arial"/>
                <w:szCs w:val="28"/>
              </w:rPr>
            </w:pPr>
            <w:r w:rsidRPr="009C098E">
              <w:rPr>
                <w:rFonts w:cs="Arial"/>
                <w:szCs w:val="28"/>
              </w:rPr>
              <w:t xml:space="preserve">Attendance (membership) – </w:t>
            </w:r>
            <w:r w:rsidR="00382649">
              <w:rPr>
                <w:rFonts w:cs="Arial"/>
                <w:szCs w:val="28"/>
              </w:rPr>
              <w:t>4</w:t>
            </w:r>
            <w:r w:rsidRPr="009C098E">
              <w:rPr>
                <w:rFonts w:cs="Arial"/>
                <w:szCs w:val="28"/>
              </w:rPr>
              <w:t>/4</w:t>
            </w:r>
          </w:p>
          <w:p w:rsidR="000E5951" w:rsidRDefault="000E5951" w:rsidP="00AB4AAE">
            <w:pPr>
              <w:ind w:right="-46"/>
              <w:rPr>
                <w:rFonts w:cs="Arial"/>
                <w:szCs w:val="28"/>
              </w:rPr>
            </w:pPr>
          </w:p>
        </w:tc>
      </w:tr>
      <w:tr w:rsidR="00EB35E3" w:rsidTr="00215CFE">
        <w:tc>
          <w:tcPr>
            <w:tcW w:w="1702" w:type="dxa"/>
            <w:vMerge w:val="restart"/>
            <w:shd w:val="clear" w:color="auto" w:fill="FBD4B4" w:themeFill="accent6" w:themeFillTint="66"/>
          </w:tcPr>
          <w:p w:rsidR="00EB35E3" w:rsidRDefault="00EB35E3" w:rsidP="00215CFE">
            <w:pPr>
              <w:shd w:val="clear" w:color="auto" w:fill="FBD4B4" w:themeFill="accent6" w:themeFillTint="66"/>
              <w:ind w:right="-46"/>
              <w:rPr>
                <w:rFonts w:cs="Arial"/>
                <w:b/>
                <w:szCs w:val="28"/>
              </w:rPr>
            </w:pPr>
            <w:r>
              <w:rPr>
                <w:rFonts w:cs="Arial"/>
                <w:b/>
                <w:szCs w:val="28"/>
              </w:rPr>
              <w:t>KEY BUSINESS CONDUCTED</w:t>
            </w: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Default="00215CFE" w:rsidP="00215CFE">
            <w:pPr>
              <w:shd w:val="clear" w:color="auto" w:fill="FBD4B4" w:themeFill="accent6" w:themeFillTint="66"/>
              <w:ind w:right="-46"/>
              <w:rPr>
                <w:rFonts w:cs="Arial"/>
                <w:b/>
                <w:szCs w:val="28"/>
              </w:rPr>
            </w:pPr>
          </w:p>
          <w:p w:rsidR="00215CFE" w:rsidRPr="00AB4AAE" w:rsidRDefault="00215CFE" w:rsidP="00215CFE">
            <w:pPr>
              <w:shd w:val="clear" w:color="auto" w:fill="FBD4B4" w:themeFill="accent6" w:themeFillTint="66"/>
              <w:ind w:right="-46"/>
              <w:rPr>
                <w:rFonts w:cs="Arial"/>
                <w:b/>
                <w:szCs w:val="28"/>
              </w:rPr>
            </w:pPr>
          </w:p>
        </w:tc>
        <w:tc>
          <w:tcPr>
            <w:tcW w:w="8222" w:type="dxa"/>
          </w:tcPr>
          <w:p w:rsidR="00EB35E3" w:rsidRDefault="00215CFE" w:rsidP="009C098E">
            <w:pPr>
              <w:shd w:val="clear" w:color="auto" w:fill="FBD4B4" w:themeFill="accent6" w:themeFillTint="66"/>
              <w:ind w:right="-46"/>
              <w:rPr>
                <w:rFonts w:cs="Arial"/>
                <w:b/>
                <w:szCs w:val="28"/>
              </w:rPr>
            </w:pPr>
            <w:r>
              <w:rPr>
                <w:rFonts w:cs="Arial"/>
                <w:b/>
                <w:szCs w:val="28"/>
              </w:rPr>
              <w:t>External Audit plan for 2017/18 financial statement</w:t>
            </w:r>
          </w:p>
          <w:p w:rsidR="00EB35E3" w:rsidRDefault="00EB35E3" w:rsidP="006B5B32">
            <w:pPr>
              <w:ind w:right="-46"/>
              <w:rPr>
                <w:rFonts w:cs="Arial"/>
                <w:b/>
                <w:szCs w:val="28"/>
              </w:rPr>
            </w:pPr>
          </w:p>
          <w:p w:rsidR="00EB35E3" w:rsidRPr="00215CFE" w:rsidRDefault="00215CFE" w:rsidP="00215CFE">
            <w:pPr>
              <w:ind w:right="-46"/>
              <w:rPr>
                <w:rFonts w:cs="Arial"/>
                <w:szCs w:val="28"/>
              </w:rPr>
            </w:pPr>
            <w:r>
              <w:rPr>
                <w:rFonts w:cs="Arial"/>
                <w:szCs w:val="28"/>
              </w:rPr>
              <w:t>The Committee noted the plan from Mazars, External Auditors</w:t>
            </w:r>
            <w:r w:rsidR="000E22AB">
              <w:rPr>
                <w:rFonts w:cs="Arial"/>
                <w:szCs w:val="28"/>
              </w:rPr>
              <w:t>,</w:t>
            </w:r>
            <w:r>
              <w:rPr>
                <w:rFonts w:cs="Arial"/>
                <w:szCs w:val="28"/>
              </w:rPr>
              <w:t xml:space="preserve"> for the 2017/18 financial statement. The </w:t>
            </w:r>
            <w:r>
              <w:t xml:space="preserve">only significant risk identified was the management override of controls </w:t>
            </w:r>
            <w:r>
              <w:t>(</w:t>
            </w:r>
            <w:r>
              <w:t>which is always a presumed risk</w:t>
            </w:r>
            <w:r>
              <w:t>).</w:t>
            </w:r>
          </w:p>
          <w:p w:rsidR="00EB35E3" w:rsidRDefault="00EB35E3" w:rsidP="00382649">
            <w:pPr>
              <w:ind w:right="-46"/>
              <w:rPr>
                <w:rFonts w:cs="Arial"/>
                <w:szCs w:val="28"/>
              </w:rPr>
            </w:pPr>
          </w:p>
        </w:tc>
      </w:tr>
      <w:tr w:rsidR="00EB35E3" w:rsidTr="00215CFE">
        <w:trPr>
          <w:trHeight w:val="699"/>
        </w:trPr>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EB35E3" w:rsidP="009C098E">
            <w:pPr>
              <w:shd w:val="clear" w:color="auto" w:fill="FBD4B4" w:themeFill="accent6" w:themeFillTint="66"/>
              <w:rPr>
                <w:b/>
              </w:rPr>
            </w:pPr>
            <w:r>
              <w:rPr>
                <w:b/>
              </w:rPr>
              <w:t>HGIAS Assurance reports and delivery of audit plan</w:t>
            </w:r>
          </w:p>
          <w:p w:rsidR="00EB35E3" w:rsidRDefault="00EB35E3" w:rsidP="00FD791B">
            <w:pPr>
              <w:jc w:val="both"/>
            </w:pPr>
          </w:p>
          <w:tbl>
            <w:tblPr>
              <w:tblStyle w:val="TableGrid"/>
              <w:tblW w:w="8109" w:type="dxa"/>
              <w:tblLook w:val="04A0" w:firstRow="1" w:lastRow="0" w:firstColumn="1" w:lastColumn="0" w:noHBand="0" w:noVBand="1"/>
            </w:tblPr>
            <w:tblGrid>
              <w:gridCol w:w="1439"/>
              <w:gridCol w:w="1282"/>
              <w:gridCol w:w="571"/>
              <w:gridCol w:w="571"/>
              <w:gridCol w:w="571"/>
              <w:gridCol w:w="3675"/>
            </w:tblGrid>
            <w:tr w:rsidR="00EB35E3" w:rsidTr="00215CFE">
              <w:tc>
                <w:tcPr>
                  <w:tcW w:w="1439" w:type="dxa"/>
                  <w:vMerge w:val="restart"/>
                </w:tcPr>
                <w:p w:rsidR="00EB35E3" w:rsidRDefault="00EB35E3" w:rsidP="00520A87">
                  <w:pPr>
                    <w:rPr>
                      <w:b/>
                    </w:rPr>
                  </w:pPr>
                  <w:r>
                    <w:rPr>
                      <w:b/>
                    </w:rPr>
                    <w:t>Review</w:t>
                  </w:r>
                </w:p>
              </w:tc>
              <w:tc>
                <w:tcPr>
                  <w:tcW w:w="1282" w:type="dxa"/>
                  <w:vMerge w:val="restart"/>
                </w:tcPr>
                <w:p w:rsidR="00EB35E3" w:rsidRDefault="00EB35E3" w:rsidP="00E621F0">
                  <w:pPr>
                    <w:jc w:val="center"/>
                    <w:rPr>
                      <w:b/>
                    </w:rPr>
                  </w:pPr>
                  <w:r>
                    <w:rPr>
                      <w:b/>
                    </w:rPr>
                    <w:t>Assurance level</w:t>
                  </w:r>
                </w:p>
              </w:tc>
              <w:tc>
                <w:tcPr>
                  <w:tcW w:w="1713" w:type="dxa"/>
                  <w:gridSpan w:val="3"/>
                </w:tcPr>
                <w:p w:rsidR="00EB35E3" w:rsidRDefault="00EB35E3" w:rsidP="00E621F0">
                  <w:pPr>
                    <w:jc w:val="center"/>
                    <w:rPr>
                      <w:b/>
                    </w:rPr>
                  </w:pPr>
                  <w:r>
                    <w:rPr>
                      <w:b/>
                    </w:rPr>
                    <w:t>Findings</w:t>
                  </w:r>
                </w:p>
              </w:tc>
              <w:tc>
                <w:tcPr>
                  <w:tcW w:w="3675" w:type="dxa"/>
                  <w:vMerge w:val="restart"/>
                </w:tcPr>
                <w:p w:rsidR="00EB35E3" w:rsidRDefault="00EB35E3" w:rsidP="00520A87">
                  <w:pPr>
                    <w:rPr>
                      <w:b/>
                    </w:rPr>
                  </w:pPr>
                  <w:r>
                    <w:rPr>
                      <w:b/>
                    </w:rPr>
                    <w:t>Comments</w:t>
                  </w:r>
                </w:p>
              </w:tc>
            </w:tr>
            <w:tr w:rsidR="00EB35E3" w:rsidTr="00215CFE">
              <w:tc>
                <w:tcPr>
                  <w:tcW w:w="1439" w:type="dxa"/>
                  <w:vMerge/>
                </w:tcPr>
                <w:p w:rsidR="00EB35E3" w:rsidRDefault="00EB35E3" w:rsidP="00520A87">
                  <w:pPr>
                    <w:rPr>
                      <w:b/>
                    </w:rPr>
                  </w:pPr>
                </w:p>
              </w:tc>
              <w:tc>
                <w:tcPr>
                  <w:tcW w:w="1282" w:type="dxa"/>
                  <w:vMerge/>
                  <w:tcBorders>
                    <w:bottom w:val="single" w:sz="4" w:space="0" w:color="auto"/>
                  </w:tcBorders>
                </w:tcPr>
                <w:p w:rsidR="00EB35E3" w:rsidRDefault="00EB35E3" w:rsidP="00E621F0">
                  <w:pPr>
                    <w:jc w:val="center"/>
                    <w:rPr>
                      <w:b/>
                    </w:rPr>
                  </w:pPr>
                </w:p>
              </w:tc>
              <w:tc>
                <w:tcPr>
                  <w:tcW w:w="571" w:type="dxa"/>
                </w:tcPr>
                <w:p w:rsidR="00EB35E3" w:rsidRDefault="00EB35E3" w:rsidP="00E621F0">
                  <w:pPr>
                    <w:jc w:val="center"/>
                    <w:rPr>
                      <w:b/>
                    </w:rPr>
                  </w:pPr>
                  <w:r>
                    <w:rPr>
                      <w:b/>
                    </w:rPr>
                    <w:t>H</w:t>
                  </w:r>
                </w:p>
              </w:tc>
              <w:tc>
                <w:tcPr>
                  <w:tcW w:w="571" w:type="dxa"/>
                </w:tcPr>
                <w:p w:rsidR="00EB35E3" w:rsidRDefault="00EB35E3" w:rsidP="00E621F0">
                  <w:pPr>
                    <w:jc w:val="center"/>
                    <w:rPr>
                      <w:b/>
                    </w:rPr>
                  </w:pPr>
                  <w:r>
                    <w:rPr>
                      <w:b/>
                    </w:rPr>
                    <w:t>M</w:t>
                  </w:r>
                </w:p>
              </w:tc>
              <w:tc>
                <w:tcPr>
                  <w:tcW w:w="571" w:type="dxa"/>
                </w:tcPr>
                <w:p w:rsidR="00EB35E3" w:rsidRDefault="00EB35E3" w:rsidP="00E621F0">
                  <w:pPr>
                    <w:jc w:val="center"/>
                    <w:rPr>
                      <w:b/>
                    </w:rPr>
                  </w:pPr>
                  <w:r>
                    <w:rPr>
                      <w:b/>
                    </w:rPr>
                    <w:t>L</w:t>
                  </w:r>
                </w:p>
              </w:tc>
              <w:tc>
                <w:tcPr>
                  <w:tcW w:w="3675" w:type="dxa"/>
                  <w:vMerge/>
                </w:tcPr>
                <w:p w:rsidR="00EB35E3" w:rsidRDefault="00EB35E3" w:rsidP="00520A87">
                  <w:pPr>
                    <w:rPr>
                      <w:b/>
                    </w:rPr>
                  </w:pPr>
                </w:p>
              </w:tc>
            </w:tr>
            <w:tr w:rsidR="00215CFE" w:rsidTr="00215CFE">
              <w:tc>
                <w:tcPr>
                  <w:tcW w:w="1439" w:type="dxa"/>
                </w:tcPr>
                <w:p w:rsidR="00EB35E3" w:rsidRPr="0097136F" w:rsidRDefault="0097136F" w:rsidP="00F14976">
                  <w:pPr>
                    <w:rPr>
                      <w:b/>
                    </w:rPr>
                  </w:pPr>
                  <w:r w:rsidRPr="0097136F">
                    <w:rPr>
                      <w:rFonts w:cstheme="minorHAnsi"/>
                      <w:szCs w:val="24"/>
                    </w:rPr>
                    <w:t>HRA Service Improvement Programme</w:t>
                  </w:r>
                  <w:r w:rsidR="00F14976">
                    <w:rPr>
                      <w:rFonts w:cstheme="minorHAnsi"/>
                      <w:szCs w:val="24"/>
                    </w:rPr>
                    <w:t xml:space="preserve"> (SIP) </w:t>
                  </w:r>
                  <w:r w:rsidRPr="0097136F">
                    <w:rPr>
                      <w:rFonts w:cstheme="minorHAnsi"/>
                      <w:szCs w:val="24"/>
                    </w:rPr>
                    <w:t>Development of Strategy and Objectives</w:t>
                  </w:r>
                </w:p>
              </w:tc>
              <w:tc>
                <w:tcPr>
                  <w:tcW w:w="1282" w:type="dxa"/>
                  <w:tcBorders>
                    <w:bottom w:val="single" w:sz="4" w:space="0" w:color="auto"/>
                  </w:tcBorders>
                  <w:shd w:val="clear" w:color="auto" w:fill="BFBFBF" w:themeFill="background1" w:themeFillShade="BF"/>
                </w:tcPr>
                <w:p w:rsidR="00EB35E3" w:rsidRDefault="0097136F" w:rsidP="00E621F0">
                  <w:pPr>
                    <w:jc w:val="center"/>
                    <w:rPr>
                      <w:b/>
                    </w:rPr>
                  </w:pPr>
                  <w:r>
                    <w:rPr>
                      <w:b/>
                    </w:rPr>
                    <w:t>ADVISORY</w:t>
                  </w:r>
                </w:p>
              </w:tc>
              <w:tc>
                <w:tcPr>
                  <w:tcW w:w="571" w:type="dxa"/>
                </w:tcPr>
                <w:p w:rsidR="00EB35E3" w:rsidRPr="00AB4AAE" w:rsidRDefault="0097136F" w:rsidP="00E621F0">
                  <w:pPr>
                    <w:jc w:val="center"/>
                  </w:pPr>
                  <w:r>
                    <w:t>N/A</w:t>
                  </w:r>
                </w:p>
              </w:tc>
              <w:tc>
                <w:tcPr>
                  <w:tcW w:w="571" w:type="dxa"/>
                </w:tcPr>
                <w:p w:rsidR="00EB35E3" w:rsidRPr="00AB4AAE" w:rsidRDefault="0097136F" w:rsidP="00E621F0">
                  <w:pPr>
                    <w:jc w:val="center"/>
                  </w:pPr>
                  <w:r>
                    <w:t>N/A</w:t>
                  </w:r>
                </w:p>
              </w:tc>
              <w:tc>
                <w:tcPr>
                  <w:tcW w:w="571" w:type="dxa"/>
                </w:tcPr>
                <w:p w:rsidR="00EB35E3" w:rsidRPr="00AB4AAE" w:rsidRDefault="0097136F" w:rsidP="00E621F0">
                  <w:pPr>
                    <w:jc w:val="center"/>
                  </w:pPr>
                  <w:r>
                    <w:t>N/A</w:t>
                  </w:r>
                </w:p>
              </w:tc>
              <w:tc>
                <w:tcPr>
                  <w:tcW w:w="3675" w:type="dxa"/>
                </w:tcPr>
                <w:p w:rsidR="00F14976" w:rsidRDefault="00F14976" w:rsidP="000E22AB">
                  <w:pPr>
                    <w:rPr>
                      <w:bCs/>
                      <w:szCs w:val="20"/>
                    </w:rPr>
                  </w:pPr>
                  <w:r w:rsidRPr="00F14976">
                    <w:t xml:space="preserve">The findings </w:t>
                  </w:r>
                  <w:r w:rsidRPr="00F14976">
                    <w:t xml:space="preserve">from the review </w:t>
                  </w:r>
                  <w:r w:rsidRPr="00F14976">
                    <w:t xml:space="preserve">were largely positive </w:t>
                  </w:r>
                  <w:r w:rsidRPr="00F14976">
                    <w:t>with good progress made in</w:t>
                  </w:r>
                  <w:r w:rsidRPr="00F14976">
                    <w:t xml:space="preserve"> defining </w:t>
                  </w:r>
                  <w:r>
                    <w:t>the SIP’s</w:t>
                  </w:r>
                  <w:r w:rsidRPr="00F14976">
                    <w:t xml:space="preserve"> high-level objectives with a particular strength of the work-to-date being the engagement with the HRA stakeholder community</w:t>
                  </w:r>
                  <w:r w:rsidRPr="00F14976">
                    <w:t>.</w:t>
                  </w:r>
                  <w:r w:rsidRPr="00F14976">
                    <w:rPr>
                      <w:sz w:val="24"/>
                    </w:rPr>
                    <w:t xml:space="preserve"> </w:t>
                  </w:r>
                  <w:r>
                    <w:t xml:space="preserve">The suggested improvements related to refining / improving the governance arrangements across SIP, HRA Approval and Research Systems and ensuring any interdependencies are managed appropriately. </w:t>
                  </w:r>
                  <w:r w:rsidRPr="00F14976">
                    <w:rPr>
                      <w:bCs/>
                      <w:szCs w:val="20"/>
                    </w:rPr>
                    <w:t xml:space="preserve">Ensuring </w:t>
                  </w:r>
                  <w:r w:rsidR="000E22AB">
                    <w:rPr>
                      <w:bCs/>
                      <w:szCs w:val="20"/>
                    </w:rPr>
                    <w:t>s</w:t>
                  </w:r>
                  <w:r>
                    <w:rPr>
                      <w:bCs/>
                      <w:szCs w:val="20"/>
                    </w:rPr>
                    <w:t>taff have the capacity and capability to respond to SIP was another suggested area for further consideration.</w:t>
                  </w:r>
                </w:p>
                <w:p w:rsidR="000E22AB" w:rsidRPr="00AB4AAE" w:rsidRDefault="000E22AB" w:rsidP="000E22AB"/>
              </w:tc>
            </w:tr>
            <w:tr w:rsidR="0097136F" w:rsidTr="00215CFE">
              <w:tc>
                <w:tcPr>
                  <w:tcW w:w="1439" w:type="dxa"/>
                </w:tcPr>
                <w:p w:rsidR="0097136F" w:rsidRPr="0097136F" w:rsidRDefault="0097136F" w:rsidP="0097136F">
                  <w:pPr>
                    <w:rPr>
                      <w:rFonts w:cstheme="minorHAnsi"/>
                      <w:szCs w:val="24"/>
                    </w:rPr>
                  </w:pPr>
                  <w:r>
                    <w:rPr>
                      <w:rFonts w:cstheme="minorHAnsi"/>
                      <w:szCs w:val="24"/>
                    </w:rPr>
                    <w:t>HRA Business Continuity Planning</w:t>
                  </w:r>
                  <w:r w:rsidR="00A05A3D">
                    <w:rPr>
                      <w:rFonts w:cstheme="minorHAnsi"/>
                      <w:szCs w:val="24"/>
                    </w:rPr>
                    <w:t xml:space="preserve"> (BCP)</w:t>
                  </w:r>
                </w:p>
              </w:tc>
              <w:tc>
                <w:tcPr>
                  <w:tcW w:w="1282" w:type="dxa"/>
                  <w:tcBorders>
                    <w:bottom w:val="single" w:sz="4" w:space="0" w:color="auto"/>
                  </w:tcBorders>
                  <w:shd w:val="clear" w:color="auto" w:fill="92D050"/>
                </w:tcPr>
                <w:p w:rsidR="0097136F" w:rsidRDefault="0097136F" w:rsidP="00E621F0">
                  <w:pPr>
                    <w:jc w:val="center"/>
                    <w:rPr>
                      <w:b/>
                    </w:rPr>
                  </w:pPr>
                  <w:r>
                    <w:rPr>
                      <w:b/>
                    </w:rPr>
                    <w:t>MODERATE</w:t>
                  </w:r>
                </w:p>
              </w:tc>
              <w:tc>
                <w:tcPr>
                  <w:tcW w:w="571" w:type="dxa"/>
                </w:tcPr>
                <w:p w:rsidR="0097136F" w:rsidRDefault="0097136F" w:rsidP="00E621F0">
                  <w:pPr>
                    <w:jc w:val="center"/>
                  </w:pPr>
                  <w:r>
                    <w:t>1</w:t>
                  </w:r>
                </w:p>
              </w:tc>
              <w:tc>
                <w:tcPr>
                  <w:tcW w:w="571" w:type="dxa"/>
                </w:tcPr>
                <w:p w:rsidR="0097136F" w:rsidRDefault="0097136F" w:rsidP="00E621F0">
                  <w:pPr>
                    <w:jc w:val="center"/>
                  </w:pPr>
                  <w:r>
                    <w:t>3</w:t>
                  </w:r>
                </w:p>
              </w:tc>
              <w:tc>
                <w:tcPr>
                  <w:tcW w:w="571" w:type="dxa"/>
                </w:tcPr>
                <w:p w:rsidR="0097136F" w:rsidRDefault="0097136F" w:rsidP="00E621F0">
                  <w:pPr>
                    <w:jc w:val="center"/>
                  </w:pPr>
                  <w:r>
                    <w:t>0</w:t>
                  </w:r>
                </w:p>
              </w:tc>
              <w:tc>
                <w:tcPr>
                  <w:tcW w:w="3675" w:type="dxa"/>
                </w:tcPr>
                <w:p w:rsidR="0097136F" w:rsidRDefault="00352AE4" w:rsidP="000E22AB">
                  <w:pPr>
                    <w:autoSpaceDE w:val="0"/>
                    <w:autoSpaceDN w:val="0"/>
                    <w:adjustRightInd w:val="0"/>
                  </w:pPr>
                  <w:r>
                    <w:t xml:space="preserve">The review found an adequate </w:t>
                  </w:r>
                  <w:r w:rsidR="00A05A3D">
                    <w:t xml:space="preserve">BCP </w:t>
                  </w:r>
                  <w:r>
                    <w:t xml:space="preserve">framework to be in place with roles, responsibilities and documents clearly </w:t>
                  </w:r>
                  <w:r w:rsidR="00A05A3D">
                    <w:t>defined and embedded</w:t>
                  </w:r>
                  <w:r>
                    <w:t>.</w:t>
                  </w:r>
                  <w:r w:rsidR="00A05A3D">
                    <w:t xml:space="preserve"> Minor improvements to the process were suggested with the high level recommendation relating to the testing of BCPs. Management has agreed to undertake test </w:t>
                  </w:r>
                  <w:r w:rsidR="00A05A3D">
                    <w:t>scenarios on two key risks; systems and people.</w:t>
                  </w:r>
                </w:p>
                <w:p w:rsidR="000E22AB" w:rsidRPr="00AB4AAE" w:rsidRDefault="000E22AB" w:rsidP="000E22AB">
                  <w:pPr>
                    <w:autoSpaceDE w:val="0"/>
                    <w:autoSpaceDN w:val="0"/>
                    <w:adjustRightInd w:val="0"/>
                  </w:pPr>
                </w:p>
              </w:tc>
            </w:tr>
          </w:tbl>
          <w:p w:rsidR="00EB35E3" w:rsidRPr="00FD791B" w:rsidRDefault="00EB35E3" w:rsidP="00416A35">
            <w:pPr>
              <w:rPr>
                <w:i/>
                <w:sz w:val="18"/>
              </w:rPr>
            </w:pPr>
            <w:r>
              <w:rPr>
                <w:i/>
                <w:sz w:val="18"/>
              </w:rPr>
              <w:t>S</w:t>
            </w:r>
            <w:r w:rsidRPr="00FD791B">
              <w:rPr>
                <w:i/>
                <w:sz w:val="18"/>
              </w:rPr>
              <w:t xml:space="preserve">ubstantial </w:t>
            </w:r>
            <w:r>
              <w:rPr>
                <w:i/>
                <w:sz w:val="18"/>
              </w:rPr>
              <w:t>–</w:t>
            </w:r>
            <w:r w:rsidRPr="00FD791B">
              <w:rPr>
                <w:i/>
                <w:sz w:val="18"/>
              </w:rPr>
              <w:t xml:space="preserve"> </w:t>
            </w:r>
            <w:r>
              <w:rPr>
                <w:i/>
                <w:sz w:val="18"/>
              </w:rPr>
              <w:t xml:space="preserve">the </w:t>
            </w:r>
            <w:r w:rsidRPr="00FD791B">
              <w:rPr>
                <w:i/>
                <w:sz w:val="18"/>
              </w:rPr>
              <w:t>framework of governance, risk management and co</w:t>
            </w:r>
            <w:r>
              <w:rPr>
                <w:i/>
                <w:sz w:val="18"/>
              </w:rPr>
              <w:t xml:space="preserve">ntrol </w:t>
            </w:r>
            <w:r w:rsidRPr="00FD791B">
              <w:rPr>
                <w:i/>
                <w:sz w:val="18"/>
              </w:rPr>
              <w:t xml:space="preserve">is adequate </w:t>
            </w:r>
            <w:r>
              <w:rPr>
                <w:i/>
                <w:sz w:val="18"/>
              </w:rPr>
              <w:t>&amp; effective</w:t>
            </w:r>
          </w:p>
          <w:p w:rsidR="00EB35E3" w:rsidRPr="00FD791B" w:rsidRDefault="00EB35E3" w:rsidP="00416A35">
            <w:pPr>
              <w:rPr>
                <w:i/>
                <w:sz w:val="18"/>
              </w:rPr>
            </w:pPr>
            <w:r w:rsidRPr="00FD791B">
              <w:rPr>
                <w:i/>
                <w:sz w:val="18"/>
              </w:rPr>
              <w:t>Moderate - some improvements are required to enhance the adequacy and</w:t>
            </w:r>
            <w:r>
              <w:rPr>
                <w:i/>
                <w:sz w:val="18"/>
              </w:rPr>
              <w:t xml:space="preserve"> effectiveness of the framework</w:t>
            </w:r>
          </w:p>
          <w:p w:rsidR="00EB35E3" w:rsidRPr="00FD791B" w:rsidRDefault="00EB35E3" w:rsidP="00416A35">
            <w:pPr>
              <w:rPr>
                <w:i/>
                <w:sz w:val="18"/>
              </w:rPr>
            </w:pPr>
            <w:r w:rsidRPr="00FD791B">
              <w:rPr>
                <w:i/>
                <w:sz w:val="18"/>
              </w:rPr>
              <w:t xml:space="preserve">Limited - significant weaknesses in the framework </w:t>
            </w:r>
            <w:r>
              <w:rPr>
                <w:i/>
                <w:sz w:val="18"/>
              </w:rPr>
              <w:t xml:space="preserve">- it could be / </w:t>
            </w:r>
            <w:r w:rsidRPr="00FD791B">
              <w:rPr>
                <w:i/>
                <w:sz w:val="18"/>
              </w:rPr>
              <w:t>could become inadequate and ineffective</w:t>
            </w:r>
          </w:p>
          <w:p w:rsidR="00EB35E3" w:rsidRDefault="00EB35E3" w:rsidP="002A59FC">
            <w:pPr>
              <w:rPr>
                <w:i/>
                <w:sz w:val="18"/>
              </w:rPr>
            </w:pPr>
            <w:r w:rsidRPr="00FD791B">
              <w:rPr>
                <w:i/>
                <w:sz w:val="18"/>
              </w:rPr>
              <w:t xml:space="preserve">Unsatisfactory - fundamental weaknesses in the framework </w:t>
            </w:r>
            <w:r>
              <w:rPr>
                <w:i/>
                <w:sz w:val="18"/>
              </w:rPr>
              <w:t xml:space="preserve">- </w:t>
            </w:r>
            <w:r w:rsidRPr="00FD791B">
              <w:rPr>
                <w:i/>
                <w:sz w:val="18"/>
              </w:rPr>
              <w:t>it is inadequate and ineffective or is likely to fail</w:t>
            </w:r>
          </w:p>
          <w:p w:rsidR="00EB35E3" w:rsidRDefault="00EB35E3" w:rsidP="002A59FC">
            <w:pPr>
              <w:rPr>
                <w:i/>
                <w:sz w:val="18"/>
              </w:rPr>
            </w:pPr>
          </w:p>
          <w:p w:rsidR="00EB35E3" w:rsidRPr="00DA67AA" w:rsidRDefault="00EB35E3" w:rsidP="002A59FC">
            <w:r w:rsidRPr="00DA67AA">
              <w:t>The Committee was assured the delivery of the HRA Audit plan was on track for 2017/18 and the recommendations from audits conducted in 2016/17 were in the process of being implemented as required.</w:t>
            </w:r>
          </w:p>
          <w:p w:rsidR="00EB35E3" w:rsidRPr="00DA67AA" w:rsidRDefault="00EB35E3" w:rsidP="002A59FC">
            <w:pPr>
              <w:rPr>
                <w:sz w:val="18"/>
              </w:rPr>
            </w:pPr>
          </w:p>
        </w:tc>
      </w:tr>
      <w:tr w:rsidR="00EB35E3" w:rsidTr="00215CF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97136F" w:rsidP="009C098E">
            <w:pPr>
              <w:shd w:val="clear" w:color="auto" w:fill="FBD4B4" w:themeFill="accent6" w:themeFillTint="66"/>
              <w:rPr>
                <w:b/>
              </w:rPr>
            </w:pPr>
            <w:r>
              <w:rPr>
                <w:b/>
              </w:rPr>
              <w:t>Assurance Mapping Framework</w:t>
            </w:r>
          </w:p>
          <w:p w:rsidR="00EB35E3" w:rsidRDefault="00EB35E3" w:rsidP="00382649"/>
          <w:p w:rsidR="00FB4A6E" w:rsidRDefault="00FB4A6E" w:rsidP="00382649">
            <w:r>
              <w:t>The Committee reviewed the assurance map for the first time and agreed it was a good work in progress. The map would display a baseline measure of assurance in place across the HRA and should be finalised by March 2018. The map would support the management consideration of assurance requirements in business areas and help define audit activity by HGIAS and HRA Quality Assurance in the future.</w:t>
            </w:r>
          </w:p>
          <w:p w:rsidR="00EB35E3" w:rsidRPr="00A36BD7" w:rsidRDefault="00EB35E3" w:rsidP="00382649"/>
        </w:tc>
      </w:tr>
      <w:tr w:rsidR="00EB35E3" w:rsidTr="00215CF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EB35E3" w:rsidRDefault="0097136F" w:rsidP="009C098E">
            <w:pPr>
              <w:shd w:val="clear" w:color="auto" w:fill="FBD4B4" w:themeFill="accent6" w:themeFillTint="66"/>
              <w:rPr>
                <w:b/>
              </w:rPr>
            </w:pPr>
            <w:r>
              <w:rPr>
                <w:b/>
              </w:rPr>
              <w:t xml:space="preserve">Volunteer membership </w:t>
            </w:r>
          </w:p>
          <w:p w:rsidR="00EB35E3" w:rsidRDefault="00EB35E3" w:rsidP="00520A87"/>
          <w:p w:rsidR="00EB35E3" w:rsidRDefault="00245072" w:rsidP="00245072">
            <w:r>
              <w:t xml:space="preserve">The Committee reviewed a paper which set out the </w:t>
            </w:r>
            <w:r>
              <w:t>current levels of volunteer membership and the avenues available to the HRA to understand views of its volunteers</w:t>
            </w:r>
            <w:r>
              <w:t xml:space="preserve">. </w:t>
            </w:r>
          </w:p>
          <w:p w:rsidR="00C05EAF" w:rsidRDefault="00C05EAF" w:rsidP="00245072">
            <w:r>
              <w:t xml:space="preserve">The Committee was reassured </w:t>
            </w:r>
            <w:r>
              <w:t xml:space="preserve">that </w:t>
            </w:r>
            <w:r>
              <w:t>the HRA ha</w:t>
            </w:r>
            <w:r>
              <w:t>s</w:t>
            </w:r>
            <w:r>
              <w:t xml:space="preserve"> a good grasp o</w:t>
            </w:r>
            <w:r>
              <w:t xml:space="preserve">n issues affecting its members </w:t>
            </w:r>
            <w:r>
              <w:t>however agreed further work to understand the views of members and greater engagement would be beneficial for the organisation</w:t>
            </w:r>
            <w:r>
              <w:t xml:space="preserve">. </w:t>
            </w:r>
            <w:r>
              <w:t>The Committee noted the Corporate SIP</w:t>
            </w:r>
            <w:r>
              <w:t xml:space="preserve"> has a V</w:t>
            </w:r>
            <w:r>
              <w:t>olunteer</w:t>
            </w:r>
            <w:r>
              <w:t xml:space="preserve"> arm which would be exploring these issues further and agreed an update should come to the Committee in 6 months’ time.</w:t>
            </w:r>
          </w:p>
          <w:p w:rsidR="00C05EAF" w:rsidRPr="00A36BD7" w:rsidRDefault="00C05EAF" w:rsidP="00245072"/>
        </w:tc>
      </w:tr>
      <w:tr w:rsidR="00EB35E3" w:rsidTr="00215CFE">
        <w:tc>
          <w:tcPr>
            <w:tcW w:w="1702" w:type="dxa"/>
            <w:vMerge/>
            <w:shd w:val="clear" w:color="auto" w:fill="FBD4B4" w:themeFill="accent6" w:themeFillTint="66"/>
          </w:tcPr>
          <w:p w:rsidR="00EB35E3" w:rsidRDefault="00EB35E3" w:rsidP="00AB4AAE">
            <w:pPr>
              <w:ind w:right="-46"/>
              <w:rPr>
                <w:rFonts w:cs="Arial"/>
                <w:szCs w:val="28"/>
              </w:rPr>
            </w:pPr>
          </w:p>
        </w:tc>
        <w:tc>
          <w:tcPr>
            <w:tcW w:w="8222" w:type="dxa"/>
          </w:tcPr>
          <w:p w:rsidR="0097136F" w:rsidRDefault="0097136F" w:rsidP="0097136F">
            <w:pPr>
              <w:shd w:val="clear" w:color="auto" w:fill="FBD4B4" w:themeFill="accent6" w:themeFillTint="66"/>
              <w:rPr>
                <w:b/>
              </w:rPr>
            </w:pPr>
            <w:r>
              <w:rPr>
                <w:b/>
              </w:rPr>
              <w:t>Risk deep dive : Social Care</w:t>
            </w:r>
          </w:p>
          <w:p w:rsidR="00EB35E3" w:rsidRDefault="00EB35E3" w:rsidP="00520A87">
            <w:pPr>
              <w:rPr>
                <w:b/>
              </w:rPr>
            </w:pPr>
          </w:p>
          <w:p w:rsidR="00FB4A6E" w:rsidRDefault="00C05EAF" w:rsidP="00520A87">
            <w:r>
              <w:t xml:space="preserve">Amanda Hunn, Joint Head of Policy, gave a presentation to the Committee which explored some of the issues and uncertainties with regard to social care research. </w:t>
            </w:r>
            <w:r>
              <w:t>Martin Stevens</w:t>
            </w:r>
            <w:r>
              <w:tab/>
            </w:r>
            <w:r>
              <w:t xml:space="preserve">, Social Care REC Chair / </w:t>
            </w:r>
            <w:r w:rsidRPr="002E6387">
              <w:t>Senior Research Fellow, King’s College London</w:t>
            </w:r>
            <w:r>
              <w:t xml:space="preserve"> (KCL) and John </w:t>
            </w:r>
            <w:proofErr w:type="spellStart"/>
            <w:r>
              <w:t>Woolham</w:t>
            </w:r>
            <w:proofErr w:type="spellEnd"/>
            <w:r>
              <w:t>, KCL also joined to aid the Committee’s understanding of relevant issues.</w:t>
            </w:r>
          </w:p>
          <w:p w:rsidR="00C05EAF" w:rsidRDefault="00C05EAF" w:rsidP="00520A87"/>
          <w:p w:rsidR="00C05EAF" w:rsidRPr="00FB4A6E" w:rsidRDefault="00C05EAF" w:rsidP="00520A87">
            <w:r>
              <w:t xml:space="preserve">The Committee </w:t>
            </w:r>
            <w:r w:rsidR="00E20B18">
              <w:t>noted</w:t>
            </w:r>
            <w:r w:rsidR="006E043F">
              <w:t xml:space="preserve"> there are considerable </w:t>
            </w:r>
            <w:r w:rsidR="00352AE4">
              <w:t xml:space="preserve">unknowns, such as the level of research activity and the understanding of responsibilities of various parties, alongside known issues such as duplication of review between parties. The Committee agreed </w:t>
            </w:r>
            <w:r w:rsidR="006E043F">
              <w:t xml:space="preserve">further </w:t>
            </w:r>
            <w:r w:rsidR="00352AE4">
              <w:t xml:space="preserve">in-depth </w:t>
            </w:r>
            <w:r w:rsidR="006E043F">
              <w:t xml:space="preserve">exploration </w:t>
            </w:r>
            <w:r w:rsidR="00352AE4">
              <w:t>is required however recommended the iss</w:t>
            </w:r>
            <w:bookmarkStart w:id="0" w:name="_GoBack"/>
            <w:bookmarkEnd w:id="0"/>
            <w:r w:rsidR="00352AE4">
              <w:t xml:space="preserve">ue be escalated to the HRA Board </w:t>
            </w:r>
            <w:r w:rsidR="006E043F">
              <w:t>for further consideration</w:t>
            </w:r>
            <w:r w:rsidR="00352AE4">
              <w:t xml:space="preserve"> and prioritisation of action.</w:t>
            </w:r>
          </w:p>
          <w:p w:rsidR="00EB35E3" w:rsidRPr="00520A87" w:rsidRDefault="00EB35E3" w:rsidP="0097136F"/>
        </w:tc>
      </w:tr>
      <w:tr w:rsidR="00EB35E3" w:rsidTr="00215CFE">
        <w:tc>
          <w:tcPr>
            <w:tcW w:w="1702" w:type="dxa"/>
            <w:vMerge/>
            <w:tcBorders>
              <w:bottom w:val="single" w:sz="4" w:space="0" w:color="auto"/>
            </w:tcBorders>
            <w:shd w:val="clear" w:color="auto" w:fill="FBD4B4" w:themeFill="accent6" w:themeFillTint="66"/>
          </w:tcPr>
          <w:p w:rsidR="00EB35E3" w:rsidRDefault="00EB35E3" w:rsidP="00AB4AAE">
            <w:pPr>
              <w:ind w:right="-46"/>
              <w:rPr>
                <w:rFonts w:cs="Arial"/>
                <w:szCs w:val="28"/>
              </w:rPr>
            </w:pPr>
          </w:p>
        </w:tc>
        <w:tc>
          <w:tcPr>
            <w:tcW w:w="8222" w:type="dxa"/>
          </w:tcPr>
          <w:p w:rsidR="00EB35E3" w:rsidRDefault="0097136F" w:rsidP="00DA67AA">
            <w:pPr>
              <w:shd w:val="clear" w:color="auto" w:fill="FBD4B4" w:themeFill="accent6" w:themeFillTint="66"/>
              <w:rPr>
                <w:b/>
              </w:rPr>
            </w:pPr>
            <w:r>
              <w:rPr>
                <w:b/>
              </w:rPr>
              <w:t>HRA Corporate Risk Register Quarter 2 2017/18</w:t>
            </w:r>
          </w:p>
          <w:p w:rsidR="00EB35E3" w:rsidRDefault="00EB35E3" w:rsidP="00DA67AA">
            <w:pPr>
              <w:rPr>
                <w:b/>
              </w:rPr>
            </w:pPr>
          </w:p>
          <w:p w:rsidR="00374B9B" w:rsidRDefault="0097136F" w:rsidP="0097136F">
            <w:r>
              <w:t>The Committee noted the risk register for Q2 2017/18. The Committee questioned whether any steps could be undertaken to improve the impact scores as only the likelihood scores had moved in recent quarters.</w:t>
            </w:r>
          </w:p>
          <w:p w:rsidR="0097136F" w:rsidRPr="00DA67AA" w:rsidRDefault="0097136F" w:rsidP="0097136F"/>
        </w:tc>
      </w:tr>
      <w:tr w:rsidR="00917849" w:rsidTr="009C098E">
        <w:tc>
          <w:tcPr>
            <w:tcW w:w="1702" w:type="dxa"/>
            <w:shd w:val="clear" w:color="auto" w:fill="FBD4B4" w:themeFill="accent6" w:themeFillTint="66"/>
          </w:tcPr>
          <w:p w:rsidR="00917849" w:rsidRPr="00A36BD7" w:rsidRDefault="009C098E" w:rsidP="00AB4AAE">
            <w:pPr>
              <w:ind w:right="-46"/>
              <w:rPr>
                <w:rFonts w:cs="Arial"/>
                <w:b/>
                <w:szCs w:val="28"/>
              </w:rPr>
            </w:pPr>
            <w:r>
              <w:rPr>
                <w:rFonts w:cs="Arial"/>
                <w:b/>
                <w:szCs w:val="28"/>
              </w:rPr>
              <w:t xml:space="preserve">UPCOMING MEETING </w:t>
            </w:r>
            <w:r w:rsidR="00374B9B">
              <w:rPr>
                <w:rFonts w:cs="Arial"/>
                <w:b/>
                <w:szCs w:val="28"/>
              </w:rPr>
              <w:t>TOPICS</w:t>
            </w:r>
          </w:p>
          <w:p w:rsidR="006B5B32" w:rsidRDefault="006B5B32" w:rsidP="00AB4AAE">
            <w:pPr>
              <w:ind w:right="-46"/>
              <w:rPr>
                <w:rFonts w:cs="Arial"/>
                <w:szCs w:val="28"/>
              </w:rPr>
            </w:pPr>
          </w:p>
        </w:tc>
        <w:tc>
          <w:tcPr>
            <w:tcW w:w="8222" w:type="dxa"/>
          </w:tcPr>
          <w:p w:rsidR="00374B9B" w:rsidRDefault="00374B9B" w:rsidP="00374B9B">
            <w:pPr>
              <w:pStyle w:val="ListParagraph"/>
              <w:rPr>
                <w:rFonts w:cs="Arial"/>
                <w:szCs w:val="28"/>
              </w:rPr>
            </w:pPr>
          </w:p>
          <w:p w:rsidR="00EB35E3" w:rsidRDefault="00FB4A6E" w:rsidP="00FB4A6E">
            <w:pPr>
              <w:pStyle w:val="ListParagraph"/>
              <w:numPr>
                <w:ilvl w:val="0"/>
                <w:numId w:val="2"/>
              </w:numPr>
              <w:rPr>
                <w:rFonts w:cs="Arial"/>
                <w:szCs w:val="28"/>
              </w:rPr>
            </w:pPr>
            <w:r>
              <w:rPr>
                <w:rFonts w:cs="Arial"/>
                <w:szCs w:val="28"/>
              </w:rPr>
              <w:t>Review draft HGIAS Audit Plan 2018/19</w:t>
            </w:r>
          </w:p>
          <w:p w:rsidR="00FB4A6E" w:rsidRDefault="00FB4A6E" w:rsidP="00FB4A6E">
            <w:pPr>
              <w:pStyle w:val="ListParagraph"/>
              <w:numPr>
                <w:ilvl w:val="0"/>
                <w:numId w:val="2"/>
              </w:numPr>
              <w:rPr>
                <w:rFonts w:cs="Arial"/>
                <w:szCs w:val="28"/>
              </w:rPr>
            </w:pPr>
            <w:r>
              <w:rPr>
                <w:rFonts w:cs="Arial"/>
                <w:szCs w:val="28"/>
              </w:rPr>
              <w:t>Forward plan of risk deep dive topics</w:t>
            </w:r>
          </w:p>
          <w:p w:rsidR="00FB4A6E" w:rsidRDefault="00FB4A6E" w:rsidP="00FB4A6E">
            <w:pPr>
              <w:pStyle w:val="ListParagraph"/>
              <w:numPr>
                <w:ilvl w:val="0"/>
                <w:numId w:val="2"/>
              </w:numPr>
              <w:rPr>
                <w:rFonts w:cs="Arial"/>
                <w:szCs w:val="28"/>
              </w:rPr>
            </w:pPr>
            <w:r>
              <w:rPr>
                <w:rFonts w:cs="Arial"/>
                <w:szCs w:val="28"/>
              </w:rPr>
              <w:t>Update on potential additional Committee members</w:t>
            </w:r>
          </w:p>
          <w:p w:rsidR="00FB4A6E" w:rsidRPr="00FB4A6E" w:rsidRDefault="00FB4A6E" w:rsidP="00FB4A6E">
            <w:pPr>
              <w:ind w:left="360"/>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0E22AB">
      <w:footerReference w:type="default" r:id="rId8"/>
      <w:headerReference w:type="first" r:id="rId9"/>
      <w:foot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9B" w:rsidRPr="00382649" w:rsidRDefault="00E20B18" w:rsidP="00374B9B">
    <w:pPr>
      <w:pStyle w:val="Footer"/>
      <w:rPr>
        <w:sz w:val="18"/>
      </w:rPr>
    </w:pPr>
    <w:r>
      <w:rPr>
        <w:sz w:val="18"/>
      </w:rPr>
      <w:t>2017.11.01</w:t>
    </w:r>
    <w:r w:rsidR="00374B9B">
      <w:rPr>
        <w:sz w:val="18"/>
      </w:rPr>
      <w:t xml:space="preserve"> Audit and Risk Committee meeting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Pr="00382649" w:rsidRDefault="0097136F" w:rsidP="00382649">
    <w:pPr>
      <w:pStyle w:val="Footer"/>
      <w:rPr>
        <w:sz w:val="18"/>
      </w:rPr>
    </w:pPr>
    <w:r>
      <w:rPr>
        <w:sz w:val="18"/>
      </w:rPr>
      <w:t>2017.11.01</w:t>
    </w:r>
    <w:r w:rsidR="00382649">
      <w:rPr>
        <w:sz w:val="18"/>
      </w:rPr>
      <w:t xml:space="preserve"> Audit and Risk Committee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14:anchorId="3FBE8649" wp14:editId="0B3275D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E22AB"/>
    <w:rsid w:val="000E5951"/>
    <w:rsid w:val="001228DF"/>
    <w:rsid w:val="00215CFE"/>
    <w:rsid w:val="00245072"/>
    <w:rsid w:val="002A59FC"/>
    <w:rsid w:val="00352AE4"/>
    <w:rsid w:val="00367375"/>
    <w:rsid w:val="00374B9B"/>
    <w:rsid w:val="00382649"/>
    <w:rsid w:val="00416A35"/>
    <w:rsid w:val="00520A87"/>
    <w:rsid w:val="006B5B32"/>
    <w:rsid w:val="006E043F"/>
    <w:rsid w:val="00917849"/>
    <w:rsid w:val="0097136F"/>
    <w:rsid w:val="009C098E"/>
    <w:rsid w:val="00A05A3D"/>
    <w:rsid w:val="00A36BD7"/>
    <w:rsid w:val="00AB4AAE"/>
    <w:rsid w:val="00C05EAF"/>
    <w:rsid w:val="00DA67AA"/>
    <w:rsid w:val="00E20B18"/>
    <w:rsid w:val="00E621F0"/>
    <w:rsid w:val="00EB35E3"/>
    <w:rsid w:val="00F14976"/>
    <w:rsid w:val="00FB4A6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8</cp:revision>
  <dcterms:created xsi:type="dcterms:W3CDTF">2017-07-11T12:26:00Z</dcterms:created>
  <dcterms:modified xsi:type="dcterms:W3CDTF">2017-11-14T15:41:00Z</dcterms:modified>
</cp:coreProperties>
</file>