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594C9B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594C9B" w:rsidP="006A06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40EF1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CD04B1" w:rsidP="00253C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November 2017</w:t>
            </w:r>
          </w:p>
        </w:tc>
      </w:tr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253C09" w:rsidP="006B2B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Service Improvement Programme </w:t>
            </w:r>
            <w:r w:rsidR="006B2B17">
              <w:rPr>
                <w:rFonts w:asciiTheme="minorHAnsi" w:hAnsiTheme="minorHAnsi" w:cstheme="minorHAnsi"/>
              </w:rPr>
              <w:t xml:space="preserve"> (SIP)</w:t>
            </w:r>
            <w:r w:rsidR="00CD04B1">
              <w:rPr>
                <w:rFonts w:asciiTheme="minorHAnsi" w:hAnsiTheme="minorHAnsi" w:cstheme="minorHAnsi"/>
              </w:rPr>
              <w:t xml:space="preserve"> Progress report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C712BC" w:rsidP="006B2B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update Board on SIP Progress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C712BC" w:rsidP="00144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 assurance requirement for Board to have a clear understanding of progress against plan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C712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Team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Pr="00024663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024663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FF0075" w:rsidRDefault="00C712BC" w:rsidP="00C712B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attached slide set represents a summary of key information related to SIP (taken from the more detailed reporting collated by the programme team). </w:t>
            </w:r>
            <w:r w:rsidR="00D05267">
              <w:rPr>
                <w:rFonts w:asciiTheme="minorHAnsi" w:hAnsiTheme="minorHAnsi" w:cstheme="minorHAnsi"/>
              </w:rPr>
              <w:t>The headlines are;</w:t>
            </w:r>
          </w:p>
          <w:p w:rsidR="00FF0075" w:rsidRDefault="00FF0075" w:rsidP="00C712BC">
            <w:pPr>
              <w:jc w:val="both"/>
              <w:rPr>
                <w:rFonts w:asciiTheme="minorHAnsi" w:hAnsiTheme="minorHAnsi" w:cstheme="minorHAnsi"/>
              </w:rPr>
            </w:pPr>
          </w:p>
          <w:p w:rsidR="00D05267" w:rsidRPr="00D05267" w:rsidRDefault="00D05267" w:rsidP="00D0526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D05267">
              <w:rPr>
                <w:rFonts w:asciiTheme="minorHAnsi" w:hAnsiTheme="minorHAnsi" w:cstheme="minorHAnsi"/>
              </w:rPr>
              <w:t xml:space="preserve">SIP primarily in process improvement stage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D05267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a</w:t>
            </w:r>
            <w:r w:rsidRPr="00D05267">
              <w:rPr>
                <w:rFonts w:asciiTheme="minorHAnsi" w:hAnsiTheme="minorHAnsi" w:cstheme="minorHAnsi"/>
              </w:rPr>
              <w:t>pproach is to pilot, evaluate and roll out (where applicable)</w:t>
            </w:r>
          </w:p>
          <w:p w:rsidR="00D05267" w:rsidRPr="00D05267" w:rsidRDefault="00D05267" w:rsidP="00D0526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D05267">
              <w:rPr>
                <w:rFonts w:asciiTheme="minorHAnsi" w:hAnsiTheme="minorHAnsi" w:cstheme="minorHAnsi"/>
              </w:rPr>
              <w:t>Timeline for benefits being realised dependent on speed of process changes being implemented (most are timetabled for 18/19)</w:t>
            </w:r>
            <w:r w:rsidR="004B22B8">
              <w:rPr>
                <w:rFonts w:asciiTheme="minorHAnsi" w:hAnsiTheme="minorHAnsi" w:cstheme="minorHAnsi"/>
              </w:rPr>
              <w:t xml:space="preserve"> – identified as a key risk </w:t>
            </w:r>
            <w:r w:rsidR="00BF48A7">
              <w:rPr>
                <w:rFonts w:asciiTheme="minorHAnsi" w:hAnsiTheme="minorHAnsi" w:cstheme="minorHAnsi"/>
              </w:rPr>
              <w:t>(linked to HRA capacity for change)</w:t>
            </w:r>
          </w:p>
          <w:p w:rsidR="00D05267" w:rsidRPr="00D05267" w:rsidRDefault="00D05267" w:rsidP="00D0526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D05267">
              <w:rPr>
                <w:rFonts w:asciiTheme="minorHAnsi" w:hAnsiTheme="minorHAnsi" w:cstheme="minorHAnsi"/>
              </w:rPr>
              <w:t>Benefit profiles being finalised (to Programme Board end Nov)</w:t>
            </w:r>
          </w:p>
          <w:p w:rsidR="00D05267" w:rsidRPr="00D05267" w:rsidRDefault="00D05267" w:rsidP="00D0526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D05267">
              <w:rPr>
                <w:rFonts w:asciiTheme="minorHAnsi" w:hAnsiTheme="minorHAnsi" w:cstheme="minorHAnsi"/>
              </w:rPr>
              <w:t xml:space="preserve">Will need to realign programme to ensure compatibility and connectivity with Research Systems development </w:t>
            </w:r>
          </w:p>
          <w:p w:rsidR="00D05267" w:rsidRPr="00D05267" w:rsidRDefault="00D05267" w:rsidP="00D0526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</w:rPr>
            </w:pPr>
            <w:r w:rsidRPr="00D05267">
              <w:rPr>
                <w:rFonts w:asciiTheme="minorHAnsi" w:hAnsiTheme="minorHAnsi" w:cstheme="minorHAnsi"/>
              </w:rPr>
              <w:t>Lessons from process improvement should be used to inform research systems development</w:t>
            </w:r>
          </w:p>
          <w:p w:rsidR="00D05267" w:rsidRDefault="00D05267" w:rsidP="00C712BC">
            <w:pPr>
              <w:jc w:val="both"/>
              <w:rPr>
                <w:rFonts w:asciiTheme="minorHAnsi" w:hAnsiTheme="minorHAnsi" w:cstheme="minorHAnsi"/>
              </w:rPr>
            </w:pPr>
          </w:p>
          <w:p w:rsidR="00EF2E32" w:rsidRDefault="00C712BC" w:rsidP="00C712B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Board were </w:t>
            </w:r>
            <w:r w:rsidR="00FF0075">
              <w:rPr>
                <w:rFonts w:asciiTheme="minorHAnsi" w:hAnsiTheme="minorHAnsi" w:cstheme="minorHAnsi"/>
              </w:rPr>
              <w:t xml:space="preserve">particularly </w:t>
            </w:r>
            <w:r>
              <w:rPr>
                <w:rFonts w:asciiTheme="minorHAnsi" w:hAnsiTheme="minorHAnsi" w:cstheme="minorHAnsi"/>
              </w:rPr>
              <w:t>keen to understand the relationship between activity and benefits. Future reports will use the format initiated here</w:t>
            </w:r>
            <w:r w:rsidR="00D43ABA">
              <w:rPr>
                <w:rFonts w:asciiTheme="minorHAnsi" w:hAnsiTheme="minorHAnsi" w:cstheme="minorHAnsi"/>
              </w:rPr>
              <w:t xml:space="preserve"> </w:t>
            </w:r>
            <w:r w:rsidR="00FF0075" w:rsidRPr="00FF0075">
              <w:rPr>
                <w:rFonts w:asciiTheme="minorHAnsi" w:hAnsiTheme="minorHAnsi" w:cstheme="minorHAnsi"/>
              </w:rPr>
              <w:t xml:space="preserve">(see benefit slides) </w:t>
            </w:r>
            <w:r>
              <w:rPr>
                <w:rFonts w:asciiTheme="minorHAnsi" w:hAnsiTheme="minorHAnsi" w:cstheme="minorHAnsi"/>
              </w:rPr>
              <w:t xml:space="preserve">to update the Board on progress in delivering </w:t>
            </w:r>
            <w:r w:rsidR="00FF0075">
              <w:rPr>
                <w:rFonts w:asciiTheme="minorHAnsi" w:hAnsiTheme="minorHAnsi" w:cstheme="minorHAnsi"/>
              </w:rPr>
              <w:t>agreed benefits</w:t>
            </w:r>
            <w:r w:rsidR="004B22B8">
              <w:rPr>
                <w:rFonts w:asciiTheme="minorHAnsi" w:hAnsiTheme="minorHAnsi" w:cstheme="minorHAnsi"/>
              </w:rPr>
              <w:t>.</w:t>
            </w:r>
          </w:p>
          <w:p w:rsidR="004B22B8" w:rsidRDefault="004B22B8" w:rsidP="00C712BC">
            <w:pPr>
              <w:jc w:val="both"/>
              <w:rPr>
                <w:rFonts w:asciiTheme="minorHAnsi" w:hAnsiTheme="minorHAnsi" w:cstheme="minorHAnsi"/>
              </w:rPr>
            </w:pPr>
          </w:p>
          <w:p w:rsidR="004931AF" w:rsidRPr="00EF2E32" w:rsidRDefault="004B22B8" w:rsidP="0032598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Board are invited to comment on format and content with a view to creating a standard template for future reports.</w:t>
            </w:r>
            <w:r w:rsidR="0032598B" w:rsidRPr="00EF2E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688A" w:rsidRPr="00C90060" w:rsidTr="00151DBF">
        <w:tc>
          <w:tcPr>
            <w:tcW w:w="2628" w:type="dxa"/>
          </w:tcPr>
          <w:p w:rsidR="00C90060" w:rsidRPr="00C90060" w:rsidRDefault="0000688A" w:rsidP="008006C2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00688A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Yes.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Pr="00C90060" w:rsidRDefault="00C90060" w:rsidP="008006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C90060" w:rsidRPr="004E2270" w:rsidRDefault="00BF48A7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</w:t>
            </w:r>
            <w:r w:rsidR="00F0393C">
              <w:rPr>
                <w:rFonts w:asciiTheme="minorHAnsi" w:hAnsiTheme="minorHAnsi" w:cstheme="minorHAnsi"/>
              </w:rPr>
              <w:t>mins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 xml:space="preserve">Recommendation / </w:t>
            </w:r>
            <w:r w:rsidRPr="00C90060">
              <w:rPr>
                <w:rFonts w:asciiTheme="minorHAnsi" w:hAnsiTheme="minorHAnsi" w:cstheme="minorHAnsi"/>
                <w:b/>
              </w:rPr>
              <w:lastRenderedPageBreak/>
              <w:t>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lastRenderedPageBreak/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253C0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8B043D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4E227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Cook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  <w:r w:rsidR="00C5051D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Director </w:t>
            </w:r>
            <w:r w:rsidR="00253C09">
              <w:rPr>
                <w:rFonts w:asciiTheme="minorHAnsi" w:hAnsiTheme="minorHAnsi" w:cstheme="minorHAnsi"/>
              </w:rPr>
              <w:t xml:space="preserve">Transformation and </w:t>
            </w:r>
            <w:r>
              <w:rPr>
                <w:rFonts w:asciiTheme="minorHAnsi" w:hAnsiTheme="minorHAnsi" w:cstheme="minorHAnsi"/>
              </w:rPr>
              <w:t>Corporate Services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151DBF" w:rsidRPr="00C90060" w:rsidRDefault="00A93966" w:rsidP="00A939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253C09" w:rsidRPr="00253C09">
              <w:rPr>
                <w:rFonts w:asciiTheme="minorHAnsi" w:hAnsiTheme="minorHAnsi" w:cstheme="minorHAnsi"/>
                <w:vertAlign w:val="superscript"/>
              </w:rPr>
              <w:t>th</w:t>
            </w:r>
            <w:r w:rsidR="00253C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November</w:t>
            </w:r>
            <w:r w:rsidR="00253C09">
              <w:rPr>
                <w:rFonts w:asciiTheme="minorHAnsi" w:hAnsiTheme="minorHAnsi" w:cstheme="minorHAnsi"/>
              </w:rPr>
              <w:t xml:space="preserve"> 2017</w:t>
            </w: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71" w:rsidRDefault="00041471" w:rsidP="006B5376">
      <w:pPr>
        <w:spacing w:after="0" w:line="240" w:lineRule="auto"/>
      </w:pPr>
      <w:r>
        <w:separator/>
      </w:r>
    </w:p>
  </w:endnote>
  <w:endnote w:type="continuationSeparator" w:id="0">
    <w:p w:rsidR="00041471" w:rsidRDefault="00041471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6627824B" wp14:editId="14BE5AAE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A97A1C" wp14:editId="31BE672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FF6BB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71" w:rsidRDefault="00041471" w:rsidP="006B5376">
      <w:pPr>
        <w:spacing w:after="0" w:line="240" w:lineRule="auto"/>
      </w:pPr>
      <w:r>
        <w:separator/>
      </w:r>
    </w:p>
  </w:footnote>
  <w:footnote w:type="continuationSeparator" w:id="0">
    <w:p w:rsidR="00041471" w:rsidRDefault="00041471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01FD607E" wp14:editId="706B79AB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80FA6"/>
    <w:multiLevelType w:val="hybridMultilevel"/>
    <w:tmpl w:val="27FEBE8A"/>
    <w:lvl w:ilvl="0" w:tplc="8B6C2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36875"/>
    <w:multiLevelType w:val="hybridMultilevel"/>
    <w:tmpl w:val="78329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239A4"/>
    <w:multiLevelType w:val="hybridMultilevel"/>
    <w:tmpl w:val="FC280D5C"/>
    <w:lvl w:ilvl="0" w:tplc="5C5252E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22E7D"/>
    <w:multiLevelType w:val="hybridMultilevel"/>
    <w:tmpl w:val="E78EBFDC"/>
    <w:lvl w:ilvl="0" w:tplc="7AE4F392">
      <w:numFmt w:val="bullet"/>
      <w:lvlText w:val="-"/>
      <w:lvlJc w:val="left"/>
      <w:pPr>
        <w:ind w:left="720" w:hanging="360"/>
      </w:pPr>
      <w:rPr>
        <w:rFonts w:ascii="Bliss 2 Light" w:eastAsiaTheme="minorHAnsi" w:hAnsi="Bliss 2 Light" w:cs="Bliss 2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8320E"/>
    <w:multiLevelType w:val="hybridMultilevel"/>
    <w:tmpl w:val="0C5EC80C"/>
    <w:lvl w:ilvl="0" w:tplc="1F7C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9C2B03"/>
    <w:multiLevelType w:val="hybridMultilevel"/>
    <w:tmpl w:val="5030B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5266F"/>
    <w:multiLevelType w:val="hybridMultilevel"/>
    <w:tmpl w:val="5038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0"/>
  </w:num>
  <w:num w:numId="4">
    <w:abstractNumId w:val="13"/>
  </w:num>
  <w:num w:numId="5">
    <w:abstractNumId w:val="26"/>
  </w:num>
  <w:num w:numId="6">
    <w:abstractNumId w:val="2"/>
  </w:num>
  <w:num w:numId="7">
    <w:abstractNumId w:val="33"/>
  </w:num>
  <w:num w:numId="8">
    <w:abstractNumId w:val="35"/>
  </w:num>
  <w:num w:numId="9">
    <w:abstractNumId w:val="37"/>
  </w:num>
  <w:num w:numId="10">
    <w:abstractNumId w:val="3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1"/>
  </w:num>
  <w:num w:numId="15">
    <w:abstractNumId w:val="9"/>
  </w:num>
  <w:num w:numId="16">
    <w:abstractNumId w:val="24"/>
  </w:num>
  <w:num w:numId="17">
    <w:abstractNumId w:val="29"/>
  </w:num>
  <w:num w:numId="18">
    <w:abstractNumId w:val="1"/>
  </w:num>
  <w:num w:numId="19">
    <w:abstractNumId w:val="17"/>
  </w:num>
  <w:num w:numId="20">
    <w:abstractNumId w:val="27"/>
  </w:num>
  <w:num w:numId="21">
    <w:abstractNumId w:val="39"/>
  </w:num>
  <w:num w:numId="22">
    <w:abstractNumId w:val="19"/>
  </w:num>
  <w:num w:numId="23">
    <w:abstractNumId w:val="23"/>
  </w:num>
  <w:num w:numId="24">
    <w:abstractNumId w:val="7"/>
  </w:num>
  <w:num w:numId="25">
    <w:abstractNumId w:val="28"/>
  </w:num>
  <w:num w:numId="26">
    <w:abstractNumId w:val="42"/>
  </w:num>
  <w:num w:numId="27">
    <w:abstractNumId w:val="16"/>
  </w:num>
  <w:num w:numId="28">
    <w:abstractNumId w:val="36"/>
  </w:num>
  <w:num w:numId="29">
    <w:abstractNumId w:val="30"/>
  </w:num>
  <w:num w:numId="30">
    <w:abstractNumId w:val="12"/>
  </w:num>
  <w:num w:numId="31">
    <w:abstractNumId w:val="41"/>
  </w:num>
  <w:num w:numId="32">
    <w:abstractNumId w:val="15"/>
  </w:num>
  <w:num w:numId="33">
    <w:abstractNumId w:val="25"/>
  </w:num>
  <w:num w:numId="34">
    <w:abstractNumId w:val="47"/>
  </w:num>
  <w:num w:numId="35">
    <w:abstractNumId w:val="6"/>
  </w:num>
  <w:num w:numId="36">
    <w:abstractNumId w:val="8"/>
  </w:num>
  <w:num w:numId="37">
    <w:abstractNumId w:val="3"/>
  </w:num>
  <w:num w:numId="38">
    <w:abstractNumId w:val="18"/>
  </w:num>
  <w:num w:numId="39">
    <w:abstractNumId w:val="11"/>
  </w:num>
  <w:num w:numId="40">
    <w:abstractNumId w:val="14"/>
  </w:num>
  <w:num w:numId="41">
    <w:abstractNumId w:val="46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5"/>
  </w:num>
  <w:num w:numId="45">
    <w:abstractNumId w:val="38"/>
  </w:num>
  <w:num w:numId="46">
    <w:abstractNumId w:val="43"/>
  </w:num>
  <w:num w:numId="47">
    <w:abstractNumId w:val="34"/>
  </w:num>
  <w:num w:numId="48">
    <w:abstractNumId w:val="22"/>
  </w:num>
  <w:num w:numId="49">
    <w:abstractNumId w:val="3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24663"/>
    <w:rsid w:val="00031E55"/>
    <w:rsid w:val="00032018"/>
    <w:rsid w:val="00034690"/>
    <w:rsid w:val="00041471"/>
    <w:rsid w:val="00061BFD"/>
    <w:rsid w:val="00067801"/>
    <w:rsid w:val="00077FB8"/>
    <w:rsid w:val="000805FF"/>
    <w:rsid w:val="00080CB0"/>
    <w:rsid w:val="00082E02"/>
    <w:rsid w:val="00087C21"/>
    <w:rsid w:val="00092482"/>
    <w:rsid w:val="000A13D1"/>
    <w:rsid w:val="000A7224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25E43"/>
    <w:rsid w:val="00144864"/>
    <w:rsid w:val="001459D0"/>
    <w:rsid w:val="00151DBF"/>
    <w:rsid w:val="00156D64"/>
    <w:rsid w:val="00161566"/>
    <w:rsid w:val="00162E33"/>
    <w:rsid w:val="00162EEA"/>
    <w:rsid w:val="00170438"/>
    <w:rsid w:val="00170E54"/>
    <w:rsid w:val="001801B8"/>
    <w:rsid w:val="001803BF"/>
    <w:rsid w:val="00187B85"/>
    <w:rsid w:val="001B0E16"/>
    <w:rsid w:val="001C0074"/>
    <w:rsid w:val="001C0E64"/>
    <w:rsid w:val="001C3388"/>
    <w:rsid w:val="001C3D40"/>
    <w:rsid w:val="001C3FF9"/>
    <w:rsid w:val="001C5EE1"/>
    <w:rsid w:val="001D0C9D"/>
    <w:rsid w:val="001D339E"/>
    <w:rsid w:val="001D41F3"/>
    <w:rsid w:val="001D451F"/>
    <w:rsid w:val="001D4C53"/>
    <w:rsid w:val="001E55D4"/>
    <w:rsid w:val="001E7FBA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318B"/>
    <w:rsid w:val="00253C09"/>
    <w:rsid w:val="002551D9"/>
    <w:rsid w:val="00255B6D"/>
    <w:rsid w:val="0026003B"/>
    <w:rsid w:val="00267CD4"/>
    <w:rsid w:val="0027131C"/>
    <w:rsid w:val="00274C92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2598B"/>
    <w:rsid w:val="0033263A"/>
    <w:rsid w:val="00336062"/>
    <w:rsid w:val="003447CD"/>
    <w:rsid w:val="00346669"/>
    <w:rsid w:val="00356166"/>
    <w:rsid w:val="00360E64"/>
    <w:rsid w:val="003620D2"/>
    <w:rsid w:val="00362136"/>
    <w:rsid w:val="0036304E"/>
    <w:rsid w:val="00363763"/>
    <w:rsid w:val="00372EDD"/>
    <w:rsid w:val="00374989"/>
    <w:rsid w:val="0038407F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E62C3"/>
    <w:rsid w:val="003F6CC2"/>
    <w:rsid w:val="003F7BB4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62D31"/>
    <w:rsid w:val="00472A5C"/>
    <w:rsid w:val="004747F9"/>
    <w:rsid w:val="00475E0A"/>
    <w:rsid w:val="00477F03"/>
    <w:rsid w:val="004806AB"/>
    <w:rsid w:val="00482B2C"/>
    <w:rsid w:val="00491A07"/>
    <w:rsid w:val="004931AF"/>
    <w:rsid w:val="0049433E"/>
    <w:rsid w:val="004960CF"/>
    <w:rsid w:val="004968A5"/>
    <w:rsid w:val="004B078F"/>
    <w:rsid w:val="004B22B8"/>
    <w:rsid w:val="004B3B6C"/>
    <w:rsid w:val="004E2270"/>
    <w:rsid w:val="004E5A9A"/>
    <w:rsid w:val="004F58E8"/>
    <w:rsid w:val="004F7AF1"/>
    <w:rsid w:val="00502585"/>
    <w:rsid w:val="00510C14"/>
    <w:rsid w:val="00512EC9"/>
    <w:rsid w:val="00512FBB"/>
    <w:rsid w:val="00520466"/>
    <w:rsid w:val="00521B16"/>
    <w:rsid w:val="00542C0A"/>
    <w:rsid w:val="00544B20"/>
    <w:rsid w:val="005476DE"/>
    <w:rsid w:val="00547B8B"/>
    <w:rsid w:val="00564BD1"/>
    <w:rsid w:val="005714D1"/>
    <w:rsid w:val="00575297"/>
    <w:rsid w:val="00580C3F"/>
    <w:rsid w:val="0058409E"/>
    <w:rsid w:val="00594C9B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1C07"/>
    <w:rsid w:val="005C5A53"/>
    <w:rsid w:val="005C7E23"/>
    <w:rsid w:val="005D0C13"/>
    <w:rsid w:val="005D7F75"/>
    <w:rsid w:val="005E241C"/>
    <w:rsid w:val="005F4D7F"/>
    <w:rsid w:val="005F6511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06D7"/>
    <w:rsid w:val="006A3631"/>
    <w:rsid w:val="006A7595"/>
    <w:rsid w:val="006B2B17"/>
    <w:rsid w:val="006B5376"/>
    <w:rsid w:val="006B7A8D"/>
    <w:rsid w:val="006C5258"/>
    <w:rsid w:val="006D039A"/>
    <w:rsid w:val="006D1922"/>
    <w:rsid w:val="006D37A9"/>
    <w:rsid w:val="006D515A"/>
    <w:rsid w:val="006E07C7"/>
    <w:rsid w:val="006E695A"/>
    <w:rsid w:val="006F0655"/>
    <w:rsid w:val="006F3C06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070E"/>
    <w:rsid w:val="0079459F"/>
    <w:rsid w:val="007958A5"/>
    <w:rsid w:val="0079675F"/>
    <w:rsid w:val="00797B27"/>
    <w:rsid w:val="007A5239"/>
    <w:rsid w:val="007B7BA3"/>
    <w:rsid w:val="007C07BD"/>
    <w:rsid w:val="007C181C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006C2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D71C8"/>
    <w:rsid w:val="008E32BA"/>
    <w:rsid w:val="008E46BD"/>
    <w:rsid w:val="008E5A91"/>
    <w:rsid w:val="0090068A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650AA"/>
    <w:rsid w:val="009708DE"/>
    <w:rsid w:val="00973512"/>
    <w:rsid w:val="0098103F"/>
    <w:rsid w:val="00986DBB"/>
    <w:rsid w:val="00987871"/>
    <w:rsid w:val="00995D46"/>
    <w:rsid w:val="00996564"/>
    <w:rsid w:val="00997A8D"/>
    <w:rsid w:val="009A1D17"/>
    <w:rsid w:val="009A35FA"/>
    <w:rsid w:val="009B7ADC"/>
    <w:rsid w:val="009C133C"/>
    <w:rsid w:val="009D119A"/>
    <w:rsid w:val="009D6D73"/>
    <w:rsid w:val="009E5183"/>
    <w:rsid w:val="009F234C"/>
    <w:rsid w:val="009F3946"/>
    <w:rsid w:val="009F44FD"/>
    <w:rsid w:val="00A0218A"/>
    <w:rsid w:val="00A06B20"/>
    <w:rsid w:val="00A10A0A"/>
    <w:rsid w:val="00A1179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22EF"/>
    <w:rsid w:val="00A732F1"/>
    <w:rsid w:val="00A73CFB"/>
    <w:rsid w:val="00A840DB"/>
    <w:rsid w:val="00A85692"/>
    <w:rsid w:val="00A86755"/>
    <w:rsid w:val="00A873B2"/>
    <w:rsid w:val="00A912C0"/>
    <w:rsid w:val="00A9292C"/>
    <w:rsid w:val="00A93966"/>
    <w:rsid w:val="00A95157"/>
    <w:rsid w:val="00AA288A"/>
    <w:rsid w:val="00AA5F0C"/>
    <w:rsid w:val="00AB7764"/>
    <w:rsid w:val="00AC2BA5"/>
    <w:rsid w:val="00AC3ED9"/>
    <w:rsid w:val="00AC7807"/>
    <w:rsid w:val="00AE1A8B"/>
    <w:rsid w:val="00AE500E"/>
    <w:rsid w:val="00AF2B98"/>
    <w:rsid w:val="00AF3C6E"/>
    <w:rsid w:val="00B101D8"/>
    <w:rsid w:val="00B1110F"/>
    <w:rsid w:val="00B12EAF"/>
    <w:rsid w:val="00B13FC0"/>
    <w:rsid w:val="00B16BC1"/>
    <w:rsid w:val="00B35C41"/>
    <w:rsid w:val="00B371BD"/>
    <w:rsid w:val="00B42EAA"/>
    <w:rsid w:val="00B43424"/>
    <w:rsid w:val="00B463BC"/>
    <w:rsid w:val="00B50AE2"/>
    <w:rsid w:val="00B53863"/>
    <w:rsid w:val="00B560AF"/>
    <w:rsid w:val="00B62482"/>
    <w:rsid w:val="00B671AF"/>
    <w:rsid w:val="00B711BA"/>
    <w:rsid w:val="00B71708"/>
    <w:rsid w:val="00B75CDC"/>
    <w:rsid w:val="00B777A2"/>
    <w:rsid w:val="00B83C5D"/>
    <w:rsid w:val="00BA15CF"/>
    <w:rsid w:val="00BB19A7"/>
    <w:rsid w:val="00BB245B"/>
    <w:rsid w:val="00BB6571"/>
    <w:rsid w:val="00BC0B48"/>
    <w:rsid w:val="00BC3A08"/>
    <w:rsid w:val="00BC4834"/>
    <w:rsid w:val="00BF48A7"/>
    <w:rsid w:val="00BF5379"/>
    <w:rsid w:val="00C04153"/>
    <w:rsid w:val="00C15CC6"/>
    <w:rsid w:val="00C22E08"/>
    <w:rsid w:val="00C24C6C"/>
    <w:rsid w:val="00C265FE"/>
    <w:rsid w:val="00C330A2"/>
    <w:rsid w:val="00C34A0F"/>
    <w:rsid w:val="00C36837"/>
    <w:rsid w:val="00C40072"/>
    <w:rsid w:val="00C42D0D"/>
    <w:rsid w:val="00C458CC"/>
    <w:rsid w:val="00C5051D"/>
    <w:rsid w:val="00C528B2"/>
    <w:rsid w:val="00C53126"/>
    <w:rsid w:val="00C566DC"/>
    <w:rsid w:val="00C56E47"/>
    <w:rsid w:val="00C5789F"/>
    <w:rsid w:val="00C60EC1"/>
    <w:rsid w:val="00C665C4"/>
    <w:rsid w:val="00C712BC"/>
    <w:rsid w:val="00C7490C"/>
    <w:rsid w:val="00C8111C"/>
    <w:rsid w:val="00C815C1"/>
    <w:rsid w:val="00C81AD5"/>
    <w:rsid w:val="00C81FBF"/>
    <w:rsid w:val="00C90060"/>
    <w:rsid w:val="00C91983"/>
    <w:rsid w:val="00C928CF"/>
    <w:rsid w:val="00C941B8"/>
    <w:rsid w:val="00CA28BD"/>
    <w:rsid w:val="00CA3A21"/>
    <w:rsid w:val="00CB16AC"/>
    <w:rsid w:val="00CB32FA"/>
    <w:rsid w:val="00CC7EC2"/>
    <w:rsid w:val="00CC7F68"/>
    <w:rsid w:val="00CD04B1"/>
    <w:rsid w:val="00CD103F"/>
    <w:rsid w:val="00CD6526"/>
    <w:rsid w:val="00CD7943"/>
    <w:rsid w:val="00CE51E2"/>
    <w:rsid w:val="00CE7EDE"/>
    <w:rsid w:val="00CF6E0E"/>
    <w:rsid w:val="00D05267"/>
    <w:rsid w:val="00D053C7"/>
    <w:rsid w:val="00D244E5"/>
    <w:rsid w:val="00D43ABA"/>
    <w:rsid w:val="00D506D1"/>
    <w:rsid w:val="00D53754"/>
    <w:rsid w:val="00D556A7"/>
    <w:rsid w:val="00D605E8"/>
    <w:rsid w:val="00D63E02"/>
    <w:rsid w:val="00D64CB6"/>
    <w:rsid w:val="00D87EE4"/>
    <w:rsid w:val="00DA1005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32CD"/>
    <w:rsid w:val="00E34398"/>
    <w:rsid w:val="00E348B8"/>
    <w:rsid w:val="00E36F0A"/>
    <w:rsid w:val="00E40EF1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2E8F"/>
    <w:rsid w:val="00EC6545"/>
    <w:rsid w:val="00ED05D5"/>
    <w:rsid w:val="00ED723B"/>
    <w:rsid w:val="00ED7497"/>
    <w:rsid w:val="00EE200F"/>
    <w:rsid w:val="00EE3EEA"/>
    <w:rsid w:val="00EE4784"/>
    <w:rsid w:val="00EE7815"/>
    <w:rsid w:val="00EE7888"/>
    <w:rsid w:val="00EF1675"/>
    <w:rsid w:val="00EF1E64"/>
    <w:rsid w:val="00EF2E32"/>
    <w:rsid w:val="00EF3A3D"/>
    <w:rsid w:val="00EF727C"/>
    <w:rsid w:val="00F001A2"/>
    <w:rsid w:val="00F00C2E"/>
    <w:rsid w:val="00F0393C"/>
    <w:rsid w:val="00F126A6"/>
    <w:rsid w:val="00F13444"/>
    <w:rsid w:val="00F1491D"/>
    <w:rsid w:val="00F207D7"/>
    <w:rsid w:val="00F227F0"/>
    <w:rsid w:val="00F5469A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0075"/>
    <w:rsid w:val="00FF5B6E"/>
    <w:rsid w:val="00FF6BB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EE66EB-F32F-4701-B957-D9E35357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10</cp:revision>
  <cp:lastPrinted>2013-01-08T15:55:00Z</cp:lastPrinted>
  <dcterms:created xsi:type="dcterms:W3CDTF">2017-11-15T13:06:00Z</dcterms:created>
  <dcterms:modified xsi:type="dcterms:W3CDTF">2017-11-16T14:21:00Z</dcterms:modified>
</cp:coreProperties>
</file>