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3E210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3E210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F77052">
        <w:rPr>
          <w:rFonts w:asciiTheme="minorHAnsi" w:hAnsiTheme="minorHAnsi" w:cstheme="minorHAnsi"/>
          <w:b/>
          <w:sz w:val="44"/>
          <w:szCs w:val="44"/>
        </w:rPr>
        <w:t>BOARD</w:t>
      </w:r>
      <w:r w:rsidR="00C073D9">
        <w:rPr>
          <w:rFonts w:asciiTheme="minorHAnsi" w:hAnsiTheme="minorHAnsi" w:cstheme="minorHAnsi"/>
          <w:b/>
          <w:sz w:val="44"/>
          <w:szCs w:val="44"/>
        </w:rPr>
        <w:t xml:space="preserve"> </w:t>
      </w:r>
      <w:r w:rsidRPr="00151DBF">
        <w:rPr>
          <w:rFonts w:asciiTheme="minorHAnsi" w:hAnsiTheme="minorHAnsi" w:cstheme="minorHAnsi"/>
          <w:b/>
          <w:sz w:val="44"/>
          <w:szCs w:val="44"/>
        </w:rPr>
        <w:t>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3E210A" w:rsidRDefault="00151DBF" w:rsidP="00AE2C5E">
            <w:pPr>
              <w:rPr>
                <w:rFonts w:asciiTheme="minorHAnsi" w:hAnsiTheme="minorHAnsi" w:cstheme="minorHAnsi"/>
                <w:b/>
              </w:rPr>
            </w:pPr>
            <w:r w:rsidRPr="003E210A">
              <w:rPr>
                <w:rFonts w:asciiTheme="minorHAnsi" w:hAnsiTheme="minorHAnsi" w:cstheme="minorHAnsi"/>
                <w:b/>
              </w:rPr>
              <w:t>Date of Meeting:</w:t>
            </w:r>
          </w:p>
          <w:p w:rsidR="00151DBF" w:rsidRPr="003E210A" w:rsidRDefault="00151DBF" w:rsidP="00AE2C5E">
            <w:pPr>
              <w:rPr>
                <w:rFonts w:asciiTheme="minorHAnsi" w:hAnsiTheme="minorHAnsi" w:cstheme="minorHAnsi"/>
                <w:b/>
              </w:rPr>
            </w:pPr>
          </w:p>
        </w:tc>
        <w:tc>
          <w:tcPr>
            <w:tcW w:w="6320" w:type="dxa"/>
          </w:tcPr>
          <w:p w:rsidR="00C90060" w:rsidRPr="003E210A" w:rsidRDefault="003E210A" w:rsidP="00AE2C5E">
            <w:pPr>
              <w:rPr>
                <w:rFonts w:asciiTheme="minorHAnsi" w:hAnsiTheme="minorHAnsi" w:cstheme="minorHAnsi"/>
              </w:rPr>
            </w:pPr>
            <w:r w:rsidRPr="003E210A">
              <w:rPr>
                <w:rFonts w:asciiTheme="minorHAnsi" w:hAnsiTheme="minorHAnsi" w:cstheme="minorHAnsi"/>
              </w:rPr>
              <w:t>20</w:t>
            </w:r>
            <w:r w:rsidR="00094DFA" w:rsidRPr="003E210A">
              <w:rPr>
                <w:rFonts w:asciiTheme="minorHAnsi" w:hAnsiTheme="minorHAnsi" w:cstheme="minorHAnsi"/>
              </w:rPr>
              <w:t>/07/2016</w:t>
            </w:r>
          </w:p>
          <w:p w:rsidR="00C90060" w:rsidRPr="003E210A"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6320" w:type="dxa"/>
          </w:tcPr>
          <w:p w:rsidR="0000688A" w:rsidRPr="00C90060" w:rsidRDefault="001C701D" w:rsidP="00B3116C">
            <w:pPr>
              <w:rPr>
                <w:rFonts w:asciiTheme="minorHAnsi" w:hAnsiTheme="minorHAnsi" w:cstheme="minorHAnsi"/>
              </w:rPr>
            </w:pPr>
            <w:r>
              <w:rPr>
                <w:rFonts w:asciiTheme="minorHAnsi" w:hAnsiTheme="minorHAnsi" w:cstheme="minorHAnsi"/>
              </w:rPr>
              <w:t xml:space="preserve">Summary of </w:t>
            </w:r>
            <w:r w:rsidR="00C073D9">
              <w:rPr>
                <w:rFonts w:asciiTheme="minorHAnsi" w:hAnsiTheme="minorHAnsi" w:cstheme="minorHAnsi"/>
              </w:rPr>
              <w:t>Freedom of Information requests 201</w:t>
            </w:r>
            <w:r w:rsidR="00094DFA">
              <w:rPr>
                <w:rFonts w:asciiTheme="minorHAnsi" w:hAnsiTheme="minorHAnsi" w:cstheme="minorHAnsi"/>
              </w:rPr>
              <w:t>5</w:t>
            </w:r>
            <w:r w:rsidR="00C073D9">
              <w:rPr>
                <w:rFonts w:asciiTheme="minorHAnsi" w:hAnsiTheme="minorHAnsi" w:cstheme="minorHAnsi"/>
              </w:rPr>
              <w:t>/1</w:t>
            </w:r>
            <w:r w:rsidR="00094DFA">
              <w:rPr>
                <w:rFonts w:asciiTheme="minorHAnsi" w:hAnsiTheme="minorHAnsi" w:cstheme="minorHAnsi"/>
              </w:rPr>
              <w:t>6</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C073D9" w:rsidP="00AE2C5E">
            <w:pPr>
              <w:rPr>
                <w:rFonts w:asciiTheme="minorHAnsi" w:hAnsiTheme="minorHAnsi" w:cstheme="minorHAnsi"/>
              </w:rPr>
            </w:pPr>
            <w:r>
              <w:rPr>
                <w:rFonts w:asciiTheme="minorHAnsi" w:hAnsiTheme="minorHAnsi" w:cstheme="minorHAnsi"/>
              </w:rPr>
              <w:t>To provide the Board with an overview of Freedom of Information requests received during the period 01 April 201</w:t>
            </w:r>
            <w:r w:rsidR="00094DFA">
              <w:rPr>
                <w:rFonts w:asciiTheme="minorHAnsi" w:hAnsiTheme="minorHAnsi" w:cstheme="minorHAnsi"/>
              </w:rPr>
              <w:t>5 – 31 March 2016</w:t>
            </w:r>
            <w:r>
              <w:rPr>
                <w:rFonts w:asciiTheme="minorHAnsi" w:hAnsiTheme="minorHAnsi" w:cstheme="minorHAnsi"/>
              </w:rPr>
              <w:t xml:space="preserve">. </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094DFA" w:rsidP="00F77052">
            <w:pPr>
              <w:rPr>
                <w:rFonts w:asciiTheme="minorHAnsi" w:hAnsiTheme="minorHAnsi" w:cstheme="minorHAnsi"/>
              </w:rPr>
            </w:pPr>
            <w:r>
              <w:rPr>
                <w:rFonts w:asciiTheme="minorHAnsi" w:hAnsiTheme="minorHAnsi" w:cstheme="minorHAnsi"/>
              </w:rPr>
              <w:t xml:space="preserve">For information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00688A" w:rsidRDefault="00C073D9" w:rsidP="00AE2C5E">
            <w:pPr>
              <w:rPr>
                <w:rFonts w:asciiTheme="minorHAnsi" w:hAnsiTheme="minorHAnsi" w:cstheme="minorHAnsi"/>
              </w:rPr>
            </w:pPr>
            <w:r>
              <w:rPr>
                <w:rFonts w:asciiTheme="minorHAnsi" w:hAnsiTheme="minorHAnsi" w:cstheme="minorHAnsi"/>
              </w:rPr>
              <w:t>Please see the FOI register 201</w:t>
            </w:r>
            <w:r w:rsidR="00355612">
              <w:rPr>
                <w:rFonts w:asciiTheme="minorHAnsi" w:hAnsiTheme="minorHAnsi" w:cstheme="minorHAnsi"/>
              </w:rPr>
              <w:t>5</w:t>
            </w:r>
            <w:r>
              <w:rPr>
                <w:rFonts w:asciiTheme="minorHAnsi" w:hAnsiTheme="minorHAnsi" w:cstheme="minorHAnsi"/>
              </w:rPr>
              <w:t>/1</w:t>
            </w:r>
            <w:r w:rsidR="00355612">
              <w:rPr>
                <w:rFonts w:asciiTheme="minorHAnsi" w:hAnsiTheme="minorHAnsi" w:cstheme="minorHAnsi"/>
              </w:rPr>
              <w:t>6</w:t>
            </w:r>
            <w:r w:rsidR="00862ACB">
              <w:rPr>
                <w:rFonts w:asciiTheme="minorHAnsi" w:hAnsiTheme="minorHAnsi" w:cstheme="minorHAnsi"/>
              </w:rPr>
              <w:t xml:space="preserve"> and </w:t>
            </w:r>
            <w:r w:rsidR="00737A25">
              <w:rPr>
                <w:rFonts w:asciiTheme="minorHAnsi" w:hAnsiTheme="minorHAnsi" w:cstheme="minorHAnsi"/>
              </w:rPr>
              <w:t>comparison with last year</w:t>
            </w:r>
            <w:r w:rsidR="001C701D">
              <w:rPr>
                <w:rFonts w:asciiTheme="minorHAnsi" w:hAnsiTheme="minorHAnsi" w:cstheme="minorHAnsi"/>
              </w:rPr>
              <w:t>.</w:t>
            </w:r>
          </w:p>
          <w:p w:rsidR="006A0699" w:rsidRDefault="006A0699" w:rsidP="00AE2C5E">
            <w:pPr>
              <w:rPr>
                <w:rFonts w:asciiTheme="minorHAnsi" w:hAnsiTheme="minorHAnsi" w:cstheme="minorHAnsi"/>
              </w:rPr>
            </w:pPr>
          </w:p>
          <w:p w:rsidR="006A0699" w:rsidRDefault="006A0699" w:rsidP="00AE2C5E">
            <w:pPr>
              <w:rPr>
                <w:rFonts w:asciiTheme="minorHAnsi" w:hAnsiTheme="minorHAnsi" w:cstheme="minorHAnsi"/>
              </w:rPr>
            </w:pPr>
            <w:r>
              <w:rPr>
                <w:rFonts w:asciiTheme="minorHAnsi" w:hAnsiTheme="minorHAnsi" w:cstheme="minorHAnsi"/>
              </w:rPr>
              <w:t>Th</w:t>
            </w:r>
            <w:r w:rsidR="00094DFA">
              <w:rPr>
                <w:rFonts w:asciiTheme="minorHAnsi" w:hAnsiTheme="minorHAnsi" w:cstheme="minorHAnsi"/>
              </w:rPr>
              <w:t xml:space="preserve">e pie chart shows the highest proportion of FOIs received for 2015/16 relate to the HRA’s IT provision and IT contracts. Other contracts are also frequently requested – e.g. for estates. </w:t>
            </w:r>
          </w:p>
          <w:p w:rsidR="00F77052" w:rsidRDefault="00F77052" w:rsidP="00AE2C5E">
            <w:pPr>
              <w:rPr>
                <w:rFonts w:asciiTheme="minorHAnsi" w:hAnsiTheme="minorHAnsi" w:cstheme="minorHAnsi"/>
              </w:rPr>
            </w:pPr>
          </w:p>
          <w:p w:rsidR="00094DFA" w:rsidRDefault="00F77052" w:rsidP="00AE2C5E">
            <w:pPr>
              <w:rPr>
                <w:rFonts w:asciiTheme="minorHAnsi" w:hAnsiTheme="minorHAnsi" w:cstheme="minorHAnsi"/>
              </w:rPr>
            </w:pPr>
            <w:r>
              <w:rPr>
                <w:rFonts w:asciiTheme="minorHAnsi" w:hAnsiTheme="minorHAnsi" w:cstheme="minorHAnsi"/>
              </w:rPr>
              <w:t xml:space="preserve">The HRA currently meets its obligations under the Freedom of Information Act publication scheme requirements however we are in the process of considering if there are further proactive measures to be taken to make more information available on the HRA website and thus reduce the time taken to respond to FOI requests. This </w:t>
            </w:r>
            <w:r w:rsidR="003E210A">
              <w:rPr>
                <w:rFonts w:asciiTheme="minorHAnsi" w:hAnsiTheme="minorHAnsi" w:cstheme="minorHAnsi"/>
              </w:rPr>
              <w:t xml:space="preserve">would include the </w:t>
            </w:r>
            <w:bookmarkStart w:id="0" w:name="_GoBack"/>
            <w:bookmarkEnd w:id="0"/>
            <w:r>
              <w:rPr>
                <w:rFonts w:asciiTheme="minorHAnsi" w:hAnsiTheme="minorHAnsi" w:cstheme="minorHAnsi"/>
              </w:rPr>
              <w:t xml:space="preserve">publication of certain previous FOI requests relating to IT or the publication of certain contract information. </w:t>
            </w:r>
            <w:r w:rsidR="00B3116C">
              <w:rPr>
                <w:rFonts w:asciiTheme="minorHAnsi" w:hAnsiTheme="minorHAnsi" w:cstheme="minorHAnsi"/>
              </w:rPr>
              <w:t>This option however may not be suitable for all FOI request</w:t>
            </w:r>
            <w:r w:rsidR="00737A25">
              <w:rPr>
                <w:rFonts w:asciiTheme="minorHAnsi" w:hAnsiTheme="minorHAnsi" w:cstheme="minorHAnsi"/>
              </w:rPr>
              <w:t>s</w:t>
            </w:r>
            <w:r w:rsidR="00B3116C">
              <w:rPr>
                <w:rFonts w:asciiTheme="minorHAnsi" w:hAnsiTheme="minorHAnsi" w:cstheme="minorHAnsi"/>
              </w:rPr>
              <w:t xml:space="preserve"> – e.g. publication of a REC application on the website may not be considered appropriate.</w:t>
            </w:r>
          </w:p>
          <w:p w:rsidR="0000688A" w:rsidRPr="00C90060" w:rsidRDefault="0000688A" w:rsidP="00AE2C5E">
            <w:pPr>
              <w:rPr>
                <w:rFonts w:asciiTheme="minorHAnsi" w:hAnsiTheme="minorHAnsi" w:cstheme="minorHAnsi"/>
              </w:rPr>
            </w:pPr>
          </w:p>
        </w:tc>
      </w:tr>
      <w:tr w:rsidR="00C55CA3" w:rsidRPr="00C90060" w:rsidTr="00151DBF">
        <w:tc>
          <w:tcPr>
            <w:tcW w:w="2628" w:type="dxa"/>
          </w:tcPr>
          <w:p w:rsidR="00C55CA3" w:rsidRDefault="00C55CA3" w:rsidP="00AE2C5E">
            <w:pPr>
              <w:rPr>
                <w:rFonts w:asciiTheme="minorHAnsi" w:hAnsiTheme="minorHAnsi" w:cstheme="minorHAnsi"/>
                <w:b/>
              </w:rPr>
            </w:pPr>
            <w:r>
              <w:rPr>
                <w:rFonts w:asciiTheme="minorHAnsi" w:hAnsiTheme="minorHAnsi" w:cstheme="minorHAnsi"/>
                <w:b/>
              </w:rPr>
              <w:t>Suitable for wider circulation?</w:t>
            </w:r>
          </w:p>
        </w:tc>
        <w:tc>
          <w:tcPr>
            <w:tcW w:w="6320" w:type="dxa"/>
          </w:tcPr>
          <w:p w:rsidR="00C55CA3" w:rsidRDefault="00C55CA3" w:rsidP="00AE2C5E">
            <w:pPr>
              <w:rPr>
                <w:rFonts w:asciiTheme="minorHAnsi" w:hAnsiTheme="minorHAnsi" w:cstheme="minorHAnsi"/>
              </w:rPr>
            </w:pPr>
            <w:r>
              <w:rPr>
                <w:rFonts w:asciiTheme="minorHAnsi" w:hAnsiTheme="minorHAnsi" w:cstheme="minorHAnsi"/>
              </w:rPr>
              <w:t>Yes – to be published following Board</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F77052" w:rsidP="00B86C50">
            <w:pPr>
              <w:rPr>
                <w:rFonts w:asciiTheme="minorHAnsi" w:hAnsiTheme="minorHAnsi" w:cstheme="minorHAnsi"/>
                <w:b/>
              </w:rPr>
            </w:pPr>
            <w:r>
              <w:rPr>
                <w:rFonts w:asciiTheme="minorHAnsi" w:hAnsiTheme="minorHAnsi" w:cstheme="minorHAnsi"/>
                <w:b/>
              </w:rPr>
              <w:t>5</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C55CA3" w:rsidP="00BD0800">
            <w:pPr>
              <w:rPr>
                <w:rFonts w:asciiTheme="minorHAnsi" w:hAnsiTheme="minorHAnsi" w:cstheme="minorHAnsi"/>
                <w:b/>
              </w:rPr>
            </w:pPr>
            <w:r>
              <w:rPr>
                <w:rFonts w:asciiTheme="minorHAnsi" w:hAnsiTheme="minorHAnsi" w:cstheme="minorHAnsi"/>
                <w:b/>
              </w:rPr>
              <w:t>To a</w:t>
            </w:r>
            <w:r w:rsidR="00E93D47" w:rsidRPr="00C90060">
              <w:rPr>
                <w:rFonts w:asciiTheme="minorHAnsi" w:hAnsiTheme="minorHAnsi" w:cstheme="minorHAnsi"/>
                <w:b/>
              </w:rPr>
              <w:t>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C55CA3" w:rsidP="00C55CA3">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o Note</w:t>
            </w:r>
          </w:p>
        </w:tc>
        <w:tc>
          <w:tcPr>
            <w:tcW w:w="1280" w:type="dxa"/>
            <w:shd w:val="clear" w:color="auto" w:fill="auto"/>
          </w:tcPr>
          <w:p w:rsidR="00E93D47" w:rsidRPr="00C90060" w:rsidRDefault="00C55CA3"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C55CA3"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lastRenderedPageBreak/>
              <w:t>Name:</w:t>
            </w:r>
          </w:p>
          <w:p w:rsidR="00151DBF" w:rsidRPr="00C90060" w:rsidRDefault="00151DBF" w:rsidP="00AE2C5E">
            <w:pPr>
              <w:rPr>
                <w:rFonts w:asciiTheme="minorHAnsi" w:hAnsiTheme="minorHAnsi" w:cstheme="minorHAnsi"/>
                <w:b/>
              </w:rPr>
            </w:pPr>
          </w:p>
        </w:tc>
        <w:tc>
          <w:tcPr>
            <w:tcW w:w="6320" w:type="dxa"/>
          </w:tcPr>
          <w:p w:rsidR="00151DBF" w:rsidRPr="00C90060" w:rsidRDefault="00862ACB" w:rsidP="00AE2C5E">
            <w:pPr>
              <w:rPr>
                <w:rFonts w:asciiTheme="minorHAnsi" w:hAnsiTheme="minorHAnsi" w:cstheme="minorHAnsi"/>
              </w:rPr>
            </w:pPr>
            <w:r>
              <w:rPr>
                <w:rFonts w:asciiTheme="minorHAnsi" w:hAnsiTheme="minorHAnsi" w:cstheme="minorHAnsi"/>
              </w:rPr>
              <w:t>Stephen Tebbutt</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862ACB" w:rsidP="00AE2C5E">
            <w:pPr>
              <w:rPr>
                <w:rFonts w:asciiTheme="minorHAnsi" w:hAnsiTheme="minorHAnsi" w:cstheme="minorHAnsi"/>
              </w:rPr>
            </w:pPr>
            <w:r>
              <w:rPr>
                <w:rFonts w:asciiTheme="minorHAnsi" w:hAnsiTheme="minorHAnsi" w:cstheme="minorHAnsi"/>
              </w:rPr>
              <w:t>H</w:t>
            </w:r>
            <w:r w:rsidR="00A864BB">
              <w:rPr>
                <w:rFonts w:asciiTheme="minorHAnsi" w:hAnsiTheme="minorHAnsi" w:cstheme="minorHAnsi"/>
              </w:rPr>
              <w:t>ead of Corporate Governance</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F77052" w:rsidP="00AE2C5E">
            <w:pPr>
              <w:rPr>
                <w:rFonts w:asciiTheme="minorHAnsi" w:hAnsiTheme="minorHAnsi" w:cstheme="minorHAnsi"/>
              </w:rPr>
            </w:pPr>
            <w:r>
              <w:rPr>
                <w:rFonts w:asciiTheme="minorHAnsi" w:hAnsiTheme="minorHAnsi" w:cstheme="minorHAnsi"/>
              </w:rPr>
              <w:t>07</w:t>
            </w:r>
            <w:r w:rsidR="00A864BB">
              <w:rPr>
                <w:rFonts w:asciiTheme="minorHAnsi" w:hAnsiTheme="minorHAnsi" w:cstheme="minorHAnsi"/>
              </w:rPr>
              <w:t>/0</w:t>
            </w:r>
            <w:r>
              <w:rPr>
                <w:rFonts w:asciiTheme="minorHAnsi" w:hAnsiTheme="minorHAnsi" w:cstheme="minorHAnsi"/>
              </w:rPr>
              <w:t>7</w:t>
            </w:r>
            <w:r w:rsidR="00A864BB">
              <w:rPr>
                <w:rFonts w:asciiTheme="minorHAnsi" w:hAnsiTheme="minorHAnsi" w:cstheme="minorHAnsi"/>
              </w:rPr>
              <w:t>/2016</w:t>
            </w:r>
          </w:p>
          <w:p w:rsidR="00151DBF" w:rsidRPr="00C90060" w:rsidRDefault="00151DBF" w:rsidP="00AE2C5E">
            <w:pPr>
              <w:rPr>
                <w:rFonts w:asciiTheme="minorHAnsi" w:hAnsiTheme="minorHAnsi" w:cstheme="minorHAnsi"/>
              </w:rPr>
            </w:pPr>
          </w:p>
        </w:tc>
      </w:tr>
    </w:tbl>
    <w:p w:rsidR="00862ACB" w:rsidRDefault="00862ACB" w:rsidP="00151DBF">
      <w:pPr>
        <w:tabs>
          <w:tab w:val="left" w:pos="1980"/>
        </w:tabs>
        <w:spacing w:after="0" w:line="240" w:lineRule="auto"/>
        <w:rPr>
          <w:rFonts w:asciiTheme="minorHAnsi" w:hAnsiTheme="minorHAnsi" w:cstheme="minorHAnsi"/>
          <w:b/>
        </w:rPr>
      </w:pPr>
    </w:p>
    <w:p w:rsidR="00862ACB" w:rsidRDefault="00862ACB">
      <w:pPr>
        <w:rPr>
          <w:rFonts w:asciiTheme="minorHAnsi" w:hAnsiTheme="minorHAnsi" w:cstheme="minorHAnsi"/>
          <w:b/>
        </w:rPr>
      </w:pPr>
      <w:r>
        <w:rPr>
          <w:rFonts w:asciiTheme="minorHAnsi" w:hAnsiTheme="minorHAnsi" w:cstheme="minorHAnsi"/>
          <w:b/>
        </w:rPr>
        <w:br w:type="page"/>
      </w:r>
    </w:p>
    <w:p w:rsidR="00151DBF" w:rsidRPr="00862ACB" w:rsidRDefault="00862ACB" w:rsidP="00151DBF">
      <w:pPr>
        <w:tabs>
          <w:tab w:val="left" w:pos="1980"/>
        </w:tabs>
        <w:spacing w:after="0" w:line="240" w:lineRule="auto"/>
        <w:rPr>
          <w:rFonts w:asciiTheme="minorHAnsi" w:hAnsiTheme="minorHAnsi" w:cstheme="minorHAnsi"/>
          <w:b/>
          <w:u w:val="single"/>
        </w:rPr>
      </w:pPr>
      <w:r w:rsidRPr="00862ACB">
        <w:rPr>
          <w:rFonts w:asciiTheme="minorHAnsi" w:hAnsiTheme="minorHAnsi" w:cstheme="minorHAnsi"/>
          <w:b/>
          <w:u w:val="single"/>
        </w:rPr>
        <w:lastRenderedPageBreak/>
        <w:t xml:space="preserve">Comparison </w:t>
      </w:r>
      <w:r w:rsidR="00A864BB">
        <w:rPr>
          <w:rFonts w:asciiTheme="minorHAnsi" w:hAnsiTheme="minorHAnsi" w:cstheme="minorHAnsi"/>
          <w:b/>
          <w:u w:val="single"/>
        </w:rPr>
        <w:t>of FOIs</w:t>
      </w:r>
    </w:p>
    <w:p w:rsidR="00862ACB" w:rsidRDefault="00862ACB" w:rsidP="00151DBF">
      <w:pPr>
        <w:tabs>
          <w:tab w:val="left" w:pos="1980"/>
        </w:tabs>
        <w:spacing w:after="0" w:line="240" w:lineRule="auto"/>
        <w:rPr>
          <w:rFonts w:asciiTheme="minorHAnsi" w:hAnsiTheme="minorHAnsi" w:cstheme="minorHAnsi"/>
          <w:b/>
        </w:rPr>
      </w:pPr>
    </w:p>
    <w:p w:rsidR="00862ACB" w:rsidRPr="003516EE" w:rsidRDefault="00A864BB" w:rsidP="003516EE">
      <w:pPr>
        <w:pStyle w:val="ListParagraph"/>
        <w:numPr>
          <w:ilvl w:val="0"/>
          <w:numId w:val="44"/>
        </w:numPr>
        <w:tabs>
          <w:tab w:val="left" w:pos="1980"/>
        </w:tabs>
        <w:spacing w:line="240" w:lineRule="auto"/>
        <w:rPr>
          <w:rFonts w:asciiTheme="minorHAnsi" w:hAnsiTheme="minorHAnsi" w:cstheme="minorHAnsi"/>
        </w:rPr>
      </w:pPr>
      <w:r>
        <w:rPr>
          <w:rFonts w:asciiTheme="minorHAnsi" w:hAnsiTheme="minorHAnsi" w:cstheme="minorHAnsi"/>
        </w:rPr>
        <w:t>A total of 54 FOI requests were received in 2015/16. This is a slight decrease in comparison with 2014/15.</w:t>
      </w:r>
    </w:p>
    <w:p w:rsidR="00862ACB" w:rsidRDefault="00862ACB" w:rsidP="00151DBF">
      <w:pPr>
        <w:tabs>
          <w:tab w:val="left" w:pos="1980"/>
        </w:tabs>
        <w:spacing w:after="0" w:line="240" w:lineRule="auto"/>
        <w:rPr>
          <w:rFonts w:asciiTheme="minorHAnsi" w:hAnsiTheme="minorHAnsi" w:cstheme="minorHAnsi"/>
          <w:b/>
        </w:rPr>
      </w:pPr>
    </w:p>
    <w:p w:rsidR="00862ACB" w:rsidRDefault="000F7391" w:rsidP="00F77052">
      <w:pPr>
        <w:tabs>
          <w:tab w:val="left" w:pos="1980"/>
        </w:tabs>
        <w:spacing w:after="0" w:line="240" w:lineRule="auto"/>
        <w:ind w:left="-709"/>
        <w:rPr>
          <w:rFonts w:asciiTheme="minorHAnsi" w:hAnsiTheme="minorHAnsi" w:cstheme="minorHAnsi"/>
          <w:b/>
        </w:rPr>
      </w:pPr>
      <w:r>
        <w:rPr>
          <w:noProof/>
          <w:lang w:eastAsia="en-GB"/>
        </w:rPr>
        <w:drawing>
          <wp:inline distT="0" distB="0" distL="0" distR="0" wp14:anchorId="5BD3EA53" wp14:editId="6BD1592D">
            <wp:extent cx="6496050" cy="2638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62ACB">
        <w:rPr>
          <w:rFonts w:asciiTheme="minorHAnsi" w:hAnsiTheme="minorHAnsi" w:cstheme="minorHAnsi"/>
          <w:b/>
        </w:rPr>
        <w:t xml:space="preserve"> </w:t>
      </w:r>
    </w:p>
    <w:p w:rsidR="001C701D" w:rsidRPr="003516EE" w:rsidRDefault="00862ACB" w:rsidP="003516EE">
      <w:pPr>
        <w:pStyle w:val="ListParagraph"/>
        <w:numPr>
          <w:ilvl w:val="0"/>
          <w:numId w:val="44"/>
        </w:numPr>
        <w:tabs>
          <w:tab w:val="left" w:pos="1980"/>
        </w:tabs>
        <w:spacing w:line="240" w:lineRule="auto"/>
        <w:rPr>
          <w:rFonts w:asciiTheme="minorHAnsi" w:hAnsiTheme="minorHAnsi" w:cstheme="minorHAnsi"/>
        </w:rPr>
      </w:pPr>
      <w:r w:rsidRPr="003516EE">
        <w:rPr>
          <w:rFonts w:asciiTheme="minorHAnsi" w:hAnsiTheme="minorHAnsi" w:cstheme="minorHAnsi"/>
        </w:rPr>
        <w:t xml:space="preserve">For </w:t>
      </w:r>
      <w:r w:rsidR="0081637D">
        <w:rPr>
          <w:rFonts w:asciiTheme="minorHAnsi" w:hAnsiTheme="minorHAnsi" w:cstheme="minorHAnsi"/>
        </w:rPr>
        <w:t xml:space="preserve">2015/16 the greatest number of FOI requests received related to IT (21) (IT contracts, IT services, IT staff </w:t>
      </w:r>
      <w:proofErr w:type="spellStart"/>
      <w:r w:rsidR="0081637D">
        <w:rPr>
          <w:rFonts w:asciiTheme="minorHAnsi" w:hAnsiTheme="minorHAnsi" w:cstheme="minorHAnsi"/>
        </w:rPr>
        <w:t>etc</w:t>
      </w:r>
      <w:proofErr w:type="spellEnd"/>
      <w:r w:rsidR="0081637D">
        <w:rPr>
          <w:rFonts w:asciiTheme="minorHAnsi" w:hAnsiTheme="minorHAnsi" w:cstheme="minorHAnsi"/>
        </w:rPr>
        <w:t>). T</w:t>
      </w:r>
      <w:r w:rsidR="00D47CA4">
        <w:rPr>
          <w:rFonts w:asciiTheme="minorHAnsi" w:hAnsiTheme="minorHAnsi" w:cstheme="minorHAnsi"/>
        </w:rPr>
        <w:t>his is an increase from 2014/15 w</w:t>
      </w:r>
      <w:r w:rsidR="0081637D">
        <w:rPr>
          <w:rFonts w:asciiTheme="minorHAnsi" w:hAnsiTheme="minorHAnsi" w:cstheme="minorHAnsi"/>
        </w:rPr>
        <w:t>hen 8 IT requests were received.</w:t>
      </w:r>
      <w:r w:rsidRPr="003516EE">
        <w:rPr>
          <w:rFonts w:asciiTheme="minorHAnsi" w:hAnsiTheme="minorHAnsi" w:cstheme="minorHAnsi"/>
        </w:rPr>
        <w:t xml:space="preserve"> </w:t>
      </w:r>
    </w:p>
    <w:p w:rsidR="001C701D" w:rsidRPr="003516EE" w:rsidRDefault="0081637D" w:rsidP="003516EE">
      <w:pPr>
        <w:pStyle w:val="ListParagraph"/>
        <w:numPr>
          <w:ilvl w:val="0"/>
          <w:numId w:val="44"/>
        </w:numPr>
        <w:tabs>
          <w:tab w:val="left" w:pos="1980"/>
        </w:tabs>
        <w:spacing w:line="240" w:lineRule="auto"/>
        <w:rPr>
          <w:rFonts w:asciiTheme="minorHAnsi" w:hAnsiTheme="minorHAnsi" w:cstheme="minorHAnsi"/>
        </w:rPr>
      </w:pPr>
      <w:r>
        <w:rPr>
          <w:rFonts w:asciiTheme="minorHAnsi" w:hAnsiTheme="minorHAnsi" w:cstheme="minorHAnsi"/>
        </w:rPr>
        <w:t>10 requests relating to RECs were received for 2015/16 in comparison with 29 in 2014/15.</w:t>
      </w:r>
      <w:r w:rsidR="001C701D" w:rsidRPr="003516EE">
        <w:rPr>
          <w:rFonts w:asciiTheme="minorHAnsi" w:hAnsiTheme="minorHAnsi" w:cstheme="minorHAnsi"/>
        </w:rPr>
        <w:t xml:space="preserve"> </w:t>
      </w:r>
      <w:r>
        <w:rPr>
          <w:rFonts w:asciiTheme="minorHAnsi" w:hAnsiTheme="minorHAnsi" w:cstheme="minorHAnsi"/>
        </w:rPr>
        <w:t>2 requests relating to CAG and 1 relating to TOPS were also received in 2015/16.</w:t>
      </w:r>
      <w:r w:rsidR="001E62B7">
        <w:rPr>
          <w:rFonts w:asciiTheme="minorHAnsi" w:hAnsiTheme="minorHAnsi" w:cstheme="minorHAnsi"/>
        </w:rPr>
        <w:t xml:space="preserve"> The high proportion of requests relating to RECs in 2014/15 in comparison with 2015/16 was largely due to multiple repeated requests relating to a particular REC</w:t>
      </w:r>
      <w:r w:rsidR="00F77052">
        <w:rPr>
          <w:rFonts w:asciiTheme="minorHAnsi" w:hAnsiTheme="minorHAnsi" w:cstheme="minorHAnsi"/>
        </w:rPr>
        <w:t xml:space="preserve"> application</w:t>
      </w:r>
      <w:r w:rsidR="001E62B7">
        <w:rPr>
          <w:rFonts w:asciiTheme="minorHAnsi" w:hAnsiTheme="minorHAnsi" w:cstheme="minorHAnsi"/>
        </w:rPr>
        <w:t>.</w:t>
      </w:r>
    </w:p>
    <w:p w:rsidR="00862ACB" w:rsidRDefault="001C701D" w:rsidP="003516EE">
      <w:pPr>
        <w:pStyle w:val="ListParagraph"/>
        <w:numPr>
          <w:ilvl w:val="0"/>
          <w:numId w:val="44"/>
        </w:numPr>
        <w:tabs>
          <w:tab w:val="left" w:pos="1980"/>
        </w:tabs>
        <w:spacing w:line="240" w:lineRule="auto"/>
        <w:rPr>
          <w:rFonts w:asciiTheme="minorHAnsi" w:hAnsiTheme="minorHAnsi" w:cstheme="minorHAnsi"/>
        </w:rPr>
      </w:pPr>
      <w:r w:rsidRPr="003516EE">
        <w:rPr>
          <w:rFonts w:asciiTheme="minorHAnsi" w:hAnsiTheme="minorHAnsi" w:cstheme="minorHAnsi"/>
        </w:rPr>
        <w:t xml:space="preserve">For both years ‘Other’ (generally information not held by the HRA) </w:t>
      </w:r>
      <w:r w:rsidR="00D47CA4">
        <w:rPr>
          <w:rFonts w:asciiTheme="minorHAnsi" w:hAnsiTheme="minorHAnsi" w:cstheme="minorHAnsi"/>
        </w:rPr>
        <w:t>received a number of requests (5 for 2014</w:t>
      </w:r>
      <w:r w:rsidRPr="003516EE">
        <w:rPr>
          <w:rFonts w:asciiTheme="minorHAnsi" w:hAnsiTheme="minorHAnsi" w:cstheme="minorHAnsi"/>
        </w:rPr>
        <w:t>/1</w:t>
      </w:r>
      <w:r w:rsidR="00D47CA4">
        <w:rPr>
          <w:rFonts w:asciiTheme="minorHAnsi" w:hAnsiTheme="minorHAnsi" w:cstheme="minorHAnsi"/>
        </w:rPr>
        <w:t>5</w:t>
      </w:r>
      <w:r w:rsidRPr="003516EE">
        <w:rPr>
          <w:rFonts w:asciiTheme="minorHAnsi" w:hAnsiTheme="minorHAnsi" w:cstheme="minorHAnsi"/>
        </w:rPr>
        <w:t xml:space="preserve"> and </w:t>
      </w:r>
      <w:r w:rsidR="00D47CA4">
        <w:rPr>
          <w:rFonts w:asciiTheme="minorHAnsi" w:hAnsiTheme="minorHAnsi" w:cstheme="minorHAnsi"/>
        </w:rPr>
        <w:t>4</w:t>
      </w:r>
      <w:r w:rsidRPr="003516EE">
        <w:rPr>
          <w:rFonts w:asciiTheme="minorHAnsi" w:hAnsiTheme="minorHAnsi" w:cstheme="minorHAnsi"/>
        </w:rPr>
        <w:t xml:space="preserve"> for 201</w:t>
      </w:r>
      <w:r w:rsidR="00D47CA4">
        <w:rPr>
          <w:rFonts w:asciiTheme="minorHAnsi" w:hAnsiTheme="minorHAnsi" w:cstheme="minorHAnsi"/>
        </w:rPr>
        <w:t>5</w:t>
      </w:r>
      <w:r w:rsidRPr="003516EE">
        <w:rPr>
          <w:rFonts w:asciiTheme="minorHAnsi" w:hAnsiTheme="minorHAnsi" w:cstheme="minorHAnsi"/>
        </w:rPr>
        <w:t>/1</w:t>
      </w:r>
      <w:r w:rsidR="00D47CA4">
        <w:rPr>
          <w:rFonts w:asciiTheme="minorHAnsi" w:hAnsiTheme="minorHAnsi" w:cstheme="minorHAnsi"/>
        </w:rPr>
        <w:t>6</w:t>
      </w:r>
      <w:r w:rsidRPr="003516EE">
        <w:rPr>
          <w:rFonts w:asciiTheme="minorHAnsi" w:hAnsiTheme="minorHAnsi" w:cstheme="minorHAnsi"/>
        </w:rPr>
        <w:t>).</w:t>
      </w:r>
    </w:p>
    <w:p w:rsidR="00862ACB" w:rsidRDefault="00862ACB" w:rsidP="00151DBF">
      <w:pPr>
        <w:tabs>
          <w:tab w:val="left" w:pos="1980"/>
        </w:tabs>
        <w:spacing w:after="0" w:line="240" w:lineRule="auto"/>
        <w:rPr>
          <w:rFonts w:asciiTheme="minorHAnsi" w:hAnsiTheme="minorHAnsi" w:cstheme="minorHAnsi"/>
          <w:b/>
        </w:rPr>
      </w:pPr>
    </w:p>
    <w:p w:rsidR="003516EE" w:rsidRPr="00F77052" w:rsidRDefault="0081637D" w:rsidP="00F77052">
      <w:pPr>
        <w:tabs>
          <w:tab w:val="left" w:pos="1980"/>
        </w:tabs>
        <w:spacing w:after="0" w:line="240" w:lineRule="auto"/>
        <w:ind w:left="-709" w:right="-567"/>
        <w:rPr>
          <w:rFonts w:asciiTheme="minorHAnsi" w:hAnsiTheme="minorHAnsi" w:cstheme="minorHAnsi"/>
          <w:b/>
        </w:rPr>
      </w:pPr>
      <w:r>
        <w:rPr>
          <w:noProof/>
          <w:lang w:eastAsia="en-GB"/>
        </w:rPr>
        <w:drawing>
          <wp:inline distT="0" distB="0" distL="0" distR="0" wp14:anchorId="6ADA1E56" wp14:editId="4CCAACBF">
            <wp:extent cx="3124200" cy="34004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GB"/>
        </w:rPr>
        <w:drawing>
          <wp:inline distT="0" distB="0" distL="0" distR="0" wp14:anchorId="1651FD9F" wp14:editId="627B7542">
            <wp:extent cx="3352800" cy="34004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3516EE" w:rsidRPr="00F77052" w:rsidSect="00C90060">
      <w:headerReference w:type="default" r:id="rId12"/>
      <w:footerReference w:type="default" r:id="rId13"/>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0649C37E" wp14:editId="56DD6AE6">
          <wp:simplePos x="0" y="0"/>
          <wp:positionH relativeFrom="column">
            <wp:posOffset>-122237</wp:posOffset>
          </wp:positionH>
          <wp:positionV relativeFrom="paragraph">
            <wp:posOffset>-84773</wp:posOffset>
          </wp:positionV>
          <wp:extent cx="361950" cy="358775"/>
          <wp:effectExtent l="77787" t="74613" r="77788" b="7778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5AE741" wp14:editId="45665918">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5715A0"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 xml:space="preserve">Summary of </w:t>
    </w:r>
    <w:r w:rsidR="001C701D">
      <w:rPr>
        <w:rFonts w:asciiTheme="minorHAnsi" w:hAnsiTheme="minorHAnsi" w:cstheme="minorHAnsi"/>
        <w:sz w:val="18"/>
        <w:szCs w:val="18"/>
      </w:rPr>
      <w:t>FOI</w:t>
    </w:r>
    <w:r w:rsidR="00D47CA4">
      <w:rPr>
        <w:rFonts w:asciiTheme="minorHAnsi" w:hAnsiTheme="minorHAnsi" w:cstheme="minorHAnsi"/>
        <w:sz w:val="18"/>
        <w:szCs w:val="18"/>
      </w:rPr>
      <w:t xml:space="preserve"> request 201</w:t>
    </w:r>
    <w:r>
      <w:rPr>
        <w:rFonts w:asciiTheme="minorHAnsi" w:hAnsiTheme="minorHAnsi" w:cstheme="minorHAnsi"/>
        <w:sz w:val="18"/>
        <w:szCs w:val="18"/>
      </w:rPr>
      <w:t>5</w:t>
    </w:r>
    <w:r w:rsidR="00D47CA4">
      <w:rPr>
        <w:rFonts w:asciiTheme="minorHAnsi" w:hAnsiTheme="minorHAnsi" w:cstheme="minorHAnsi"/>
        <w:sz w:val="18"/>
        <w:szCs w:val="18"/>
      </w:rPr>
      <w:t>/16 and comparison with 20</w:t>
    </w:r>
    <w:r>
      <w:rPr>
        <w:rFonts w:asciiTheme="minorHAnsi" w:hAnsiTheme="minorHAnsi" w:cstheme="minorHAnsi"/>
        <w:sz w:val="18"/>
        <w:szCs w:val="18"/>
      </w:rPr>
      <w:t>14</w:t>
    </w:r>
    <w:r w:rsidR="00D47CA4">
      <w:rPr>
        <w:rFonts w:asciiTheme="minorHAnsi" w:hAnsiTheme="minorHAnsi" w:cstheme="minorHAnsi"/>
        <w:sz w:val="18"/>
        <w:szCs w:val="18"/>
      </w:rPr>
      <w:t>/15</w:t>
    </w:r>
    <w:r>
      <w:rPr>
        <w:rFonts w:asciiTheme="minorHAnsi" w:hAnsiTheme="minorHAnsi" w:cs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19F8407C" wp14:editId="63CE8ED1">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16A8B"/>
    <w:multiLevelType w:val="hybridMultilevel"/>
    <w:tmpl w:val="925A0D82"/>
    <w:lvl w:ilvl="0" w:tplc="C8EC7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94DFA"/>
    <w:rsid w:val="000A13D1"/>
    <w:rsid w:val="000A7C2C"/>
    <w:rsid w:val="000C027C"/>
    <w:rsid w:val="000C44EF"/>
    <w:rsid w:val="000C6B29"/>
    <w:rsid w:val="000D0F34"/>
    <w:rsid w:val="000D6A51"/>
    <w:rsid w:val="000E55E7"/>
    <w:rsid w:val="000E5A1B"/>
    <w:rsid w:val="000E6A39"/>
    <w:rsid w:val="000F2666"/>
    <w:rsid w:val="000F40ED"/>
    <w:rsid w:val="000F5FA5"/>
    <w:rsid w:val="000F7391"/>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C701D"/>
    <w:rsid w:val="001D0C9D"/>
    <w:rsid w:val="001D339E"/>
    <w:rsid w:val="001D41F3"/>
    <w:rsid w:val="001D451F"/>
    <w:rsid w:val="001D4C53"/>
    <w:rsid w:val="001E62B7"/>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16EE"/>
    <w:rsid w:val="00355612"/>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E210A"/>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15A0"/>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0699"/>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37A25"/>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37D"/>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2ACB"/>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1B80"/>
    <w:rsid w:val="00A732F1"/>
    <w:rsid w:val="00A73CFB"/>
    <w:rsid w:val="00A85692"/>
    <w:rsid w:val="00A864BB"/>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3116C"/>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073D9"/>
    <w:rsid w:val="00C15CC6"/>
    <w:rsid w:val="00C24C6C"/>
    <w:rsid w:val="00C265FE"/>
    <w:rsid w:val="00C36837"/>
    <w:rsid w:val="00C40072"/>
    <w:rsid w:val="00C42D0D"/>
    <w:rsid w:val="00C458CC"/>
    <w:rsid w:val="00C53126"/>
    <w:rsid w:val="00C55CA3"/>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47CA4"/>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77052"/>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Data\Desktop\FOI\HRA%20FOI%20Register%2001%20Apr%2015%20-%2031%20March%2016%20(For%20Boa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Data\Desktop\FOI\HRA%20FOI%20Register%2001%20Apr%2015%20-%2031%20March%2016%20(For%20Boa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3\STebbutt\Data\Desktop\FOI\HRA%20FOI%20Register%2001%20Apr%2015%20-%2031%20March%2016%20(For%20Boa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Comparison of total number of FOIs received by year</a:t>
            </a:r>
          </a:p>
        </c:rich>
      </c:tx>
      <c:layout/>
      <c:overlay val="0"/>
    </c:title>
    <c:autoTitleDeleted val="0"/>
    <c:plotArea>
      <c:layout/>
      <c:barChart>
        <c:barDir val="col"/>
        <c:grouping val="clustered"/>
        <c:varyColors val="0"/>
        <c:ser>
          <c:idx val="0"/>
          <c:order val="0"/>
          <c:spPr>
            <a:ln>
              <a:solidFill>
                <a:schemeClr val="tx1"/>
              </a:solidFill>
            </a:ln>
          </c:spPr>
          <c:invertIfNegative val="0"/>
          <c:dPt>
            <c:idx val="1"/>
            <c:invertIfNegative val="0"/>
            <c:bubble3D val="0"/>
            <c:spPr>
              <a:solidFill>
                <a:schemeClr val="accent2"/>
              </a:solidFill>
              <a:ln>
                <a:solidFill>
                  <a:schemeClr val="tx1"/>
                </a:solidFill>
              </a:ln>
            </c:spPr>
          </c:dPt>
          <c:dLbls>
            <c:dLblPos val="ctr"/>
            <c:showLegendKey val="0"/>
            <c:showVal val="1"/>
            <c:showCatName val="0"/>
            <c:showSerName val="0"/>
            <c:showPercent val="0"/>
            <c:showBubbleSize val="0"/>
            <c:showLeaderLines val="0"/>
          </c:dLbls>
          <c:cat>
            <c:strRef>
              <c:f>Sheet2!$M$3:$N$3</c:f>
              <c:strCache>
                <c:ptCount val="2"/>
                <c:pt idx="0">
                  <c:v>2014/15</c:v>
                </c:pt>
                <c:pt idx="1">
                  <c:v>2015/16</c:v>
                </c:pt>
              </c:strCache>
            </c:strRef>
          </c:cat>
          <c:val>
            <c:numRef>
              <c:f>Sheet2!$M$14:$N$14</c:f>
              <c:numCache>
                <c:formatCode>General</c:formatCode>
                <c:ptCount val="2"/>
                <c:pt idx="0">
                  <c:v>59</c:v>
                </c:pt>
                <c:pt idx="1">
                  <c:v>54</c:v>
                </c:pt>
              </c:numCache>
            </c:numRef>
          </c:val>
        </c:ser>
        <c:dLbls>
          <c:showLegendKey val="0"/>
          <c:showVal val="0"/>
          <c:showCatName val="0"/>
          <c:showSerName val="0"/>
          <c:showPercent val="0"/>
          <c:showBubbleSize val="0"/>
        </c:dLbls>
        <c:gapWidth val="150"/>
        <c:axId val="78052352"/>
        <c:axId val="84547840"/>
      </c:barChart>
      <c:catAx>
        <c:axId val="78052352"/>
        <c:scaling>
          <c:orientation val="minMax"/>
        </c:scaling>
        <c:delete val="0"/>
        <c:axPos val="b"/>
        <c:title>
          <c:tx>
            <c:rich>
              <a:bodyPr/>
              <a:lstStyle/>
              <a:p>
                <a:pPr>
                  <a:defRPr/>
                </a:pPr>
                <a:r>
                  <a:rPr lang="en-US"/>
                  <a:t>Year</a:t>
                </a:r>
              </a:p>
            </c:rich>
          </c:tx>
          <c:layout/>
          <c:overlay val="0"/>
        </c:title>
        <c:majorTickMark val="none"/>
        <c:minorTickMark val="none"/>
        <c:tickLblPos val="nextTo"/>
        <c:crossAx val="84547840"/>
        <c:crosses val="autoZero"/>
        <c:auto val="1"/>
        <c:lblAlgn val="ctr"/>
        <c:lblOffset val="100"/>
        <c:noMultiLvlLbl val="0"/>
      </c:catAx>
      <c:valAx>
        <c:axId val="84547840"/>
        <c:scaling>
          <c:orientation val="minMax"/>
          <c:min val="0"/>
        </c:scaling>
        <c:delete val="0"/>
        <c:axPos val="l"/>
        <c:majorGridlines/>
        <c:title>
          <c:tx>
            <c:rich>
              <a:bodyPr/>
              <a:lstStyle/>
              <a:p>
                <a:pPr>
                  <a:defRPr/>
                </a:pPr>
                <a:r>
                  <a:rPr lang="en-US"/>
                  <a:t>Number of FOIs</a:t>
                </a:r>
              </a:p>
            </c:rich>
          </c:tx>
          <c:layout/>
          <c:overlay val="0"/>
        </c:title>
        <c:numFmt formatCode="General" sourceLinked="1"/>
        <c:majorTickMark val="out"/>
        <c:minorTickMark val="none"/>
        <c:tickLblPos val="nextTo"/>
        <c:crossAx val="78052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Breakdown of FOIs recevied by category (2014/15)</a:t>
            </a:r>
          </a:p>
        </c:rich>
      </c:tx>
      <c:layout/>
      <c:overlay val="0"/>
    </c:title>
    <c:autoTitleDeleted val="0"/>
    <c:plotArea>
      <c:layout/>
      <c:pieChart>
        <c:varyColors val="1"/>
        <c:ser>
          <c:idx val="0"/>
          <c:order val="0"/>
          <c:tx>
            <c:strRef>
              <c:f>Sheet2!$M$3</c:f>
              <c:strCache>
                <c:ptCount val="1"/>
                <c:pt idx="0">
                  <c:v>2014/15</c:v>
                </c:pt>
              </c:strCache>
            </c:strRef>
          </c:tx>
          <c:spPr>
            <a:ln>
              <a:solidFill>
                <a:schemeClr val="tx1"/>
              </a:solidFill>
            </a:ln>
          </c:spPr>
          <c:dLbls>
            <c:showLegendKey val="0"/>
            <c:showVal val="1"/>
            <c:showCatName val="0"/>
            <c:showSerName val="0"/>
            <c:showPercent val="0"/>
            <c:showBubbleSize val="0"/>
            <c:showLeaderLines val="1"/>
          </c:dLbls>
          <c:cat>
            <c:strRef>
              <c:f>Sheet2!$L$4:$L$13</c:f>
              <c:strCache>
                <c:ptCount val="10"/>
                <c:pt idx="0">
                  <c:v>IT</c:v>
                </c:pt>
                <c:pt idx="1">
                  <c:v>REC</c:v>
                </c:pt>
                <c:pt idx="2">
                  <c:v>Comms</c:v>
                </c:pt>
                <c:pt idx="3">
                  <c:v>Finance</c:v>
                </c:pt>
                <c:pt idx="4">
                  <c:v>Estates</c:v>
                </c:pt>
                <c:pt idx="5">
                  <c:v>Corp</c:v>
                </c:pt>
                <c:pt idx="6">
                  <c:v>Other</c:v>
                </c:pt>
                <c:pt idx="7">
                  <c:v>CAG</c:v>
                </c:pt>
                <c:pt idx="8">
                  <c:v>TOPS</c:v>
                </c:pt>
                <c:pt idx="9">
                  <c:v>Policy</c:v>
                </c:pt>
              </c:strCache>
            </c:strRef>
          </c:cat>
          <c:val>
            <c:numRef>
              <c:f>Sheet2!$M$4:$M$13</c:f>
              <c:numCache>
                <c:formatCode>General</c:formatCode>
                <c:ptCount val="10"/>
                <c:pt idx="0">
                  <c:v>8</c:v>
                </c:pt>
                <c:pt idx="1">
                  <c:v>29</c:v>
                </c:pt>
                <c:pt idx="2">
                  <c:v>2</c:v>
                </c:pt>
                <c:pt idx="3">
                  <c:v>2</c:v>
                </c:pt>
                <c:pt idx="4">
                  <c:v>0</c:v>
                </c:pt>
                <c:pt idx="5">
                  <c:v>8</c:v>
                </c:pt>
                <c:pt idx="6">
                  <c:v>5</c:v>
                </c:pt>
                <c:pt idx="7">
                  <c:v>0</c:v>
                </c:pt>
                <c:pt idx="8">
                  <c:v>0</c:v>
                </c:pt>
                <c:pt idx="9">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Breakdown of FOIs received by category (2015/16)</a:t>
            </a:r>
          </a:p>
        </c:rich>
      </c:tx>
      <c:layout/>
      <c:overlay val="0"/>
    </c:title>
    <c:autoTitleDeleted val="0"/>
    <c:plotArea>
      <c:layout/>
      <c:pieChart>
        <c:varyColors val="1"/>
        <c:ser>
          <c:idx val="0"/>
          <c:order val="0"/>
          <c:tx>
            <c:strRef>
              <c:f>Sheet2!$N$3</c:f>
              <c:strCache>
                <c:ptCount val="1"/>
                <c:pt idx="0">
                  <c:v>2015/16</c:v>
                </c:pt>
              </c:strCache>
            </c:strRef>
          </c:tx>
          <c:spPr>
            <a:ln>
              <a:solidFill>
                <a:schemeClr val="tx1"/>
              </a:solidFill>
            </a:ln>
          </c:spPr>
          <c:dLbls>
            <c:showLegendKey val="0"/>
            <c:showVal val="1"/>
            <c:showCatName val="0"/>
            <c:showSerName val="0"/>
            <c:showPercent val="0"/>
            <c:showBubbleSize val="0"/>
            <c:showLeaderLines val="1"/>
          </c:dLbls>
          <c:cat>
            <c:strRef>
              <c:f>Sheet2!$L$4:$L$13</c:f>
              <c:strCache>
                <c:ptCount val="10"/>
                <c:pt idx="0">
                  <c:v>IT</c:v>
                </c:pt>
                <c:pt idx="1">
                  <c:v>REC</c:v>
                </c:pt>
                <c:pt idx="2">
                  <c:v>Comms</c:v>
                </c:pt>
                <c:pt idx="3">
                  <c:v>Finance</c:v>
                </c:pt>
                <c:pt idx="4">
                  <c:v>Estates</c:v>
                </c:pt>
                <c:pt idx="5">
                  <c:v>Corp</c:v>
                </c:pt>
                <c:pt idx="6">
                  <c:v>Other</c:v>
                </c:pt>
                <c:pt idx="7">
                  <c:v>CAG</c:v>
                </c:pt>
                <c:pt idx="8">
                  <c:v>TOPS</c:v>
                </c:pt>
                <c:pt idx="9">
                  <c:v>Policy</c:v>
                </c:pt>
              </c:strCache>
            </c:strRef>
          </c:cat>
          <c:val>
            <c:numRef>
              <c:f>Sheet2!$N$4:$N$13</c:f>
              <c:numCache>
                <c:formatCode>General</c:formatCode>
                <c:ptCount val="10"/>
                <c:pt idx="0">
                  <c:v>21</c:v>
                </c:pt>
                <c:pt idx="1">
                  <c:v>10</c:v>
                </c:pt>
                <c:pt idx="2">
                  <c:v>5</c:v>
                </c:pt>
                <c:pt idx="3">
                  <c:v>4</c:v>
                </c:pt>
                <c:pt idx="4">
                  <c:v>4</c:v>
                </c:pt>
                <c:pt idx="5">
                  <c:v>3</c:v>
                </c:pt>
                <c:pt idx="6">
                  <c:v>4</c:v>
                </c:pt>
                <c:pt idx="7">
                  <c:v>2</c:v>
                </c:pt>
                <c:pt idx="8">
                  <c:v>1</c:v>
                </c:pt>
                <c:pt idx="9">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FFFAB-9F4B-460F-A330-42B4F9A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3</cp:revision>
  <cp:lastPrinted>2013-01-08T15:55:00Z</cp:lastPrinted>
  <dcterms:created xsi:type="dcterms:W3CDTF">2016-07-07T13:47:00Z</dcterms:created>
  <dcterms:modified xsi:type="dcterms:W3CDTF">2016-07-12T13:36:00Z</dcterms:modified>
</cp:coreProperties>
</file>