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EF4FE7"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7</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EF4FE7"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B</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1540D4" w:rsidRDefault="007F458D"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20 June 2016</w:t>
            </w:r>
            <w:r w:rsidR="00E75225">
              <w:rPr>
                <w:rFonts w:asciiTheme="minorHAnsi" w:eastAsiaTheme="minorHAnsi" w:hAnsiTheme="minorHAnsi" w:cstheme="minorHAnsi"/>
                <w:lang w:eastAsia="en-US"/>
              </w:rPr>
              <w:t xml:space="preserve"> – </w:t>
            </w:r>
            <w:r>
              <w:rPr>
                <w:rFonts w:asciiTheme="minorHAnsi" w:eastAsiaTheme="minorHAnsi" w:hAnsiTheme="minorHAnsi" w:cstheme="minorHAnsi"/>
                <w:lang w:eastAsia="en-US"/>
              </w:rPr>
              <w:t>verbal</w:t>
            </w:r>
            <w:r w:rsidR="00E75225">
              <w:rPr>
                <w:rFonts w:asciiTheme="minorHAnsi" w:eastAsiaTheme="minorHAnsi" w:hAnsiTheme="minorHAnsi" w:cstheme="minorHAnsi"/>
                <w:lang w:eastAsia="en-US"/>
              </w:rPr>
              <w:t xml:space="preserve"> report to </w:t>
            </w:r>
            <w:r w:rsidR="00E44973">
              <w:rPr>
                <w:rFonts w:asciiTheme="minorHAnsi" w:eastAsiaTheme="minorHAnsi" w:hAnsiTheme="minorHAnsi" w:cstheme="minorHAnsi"/>
                <w:lang w:eastAsia="en-US"/>
              </w:rPr>
              <w:t>EMT</w:t>
            </w:r>
          </w:p>
          <w:p w:rsidR="007F458D" w:rsidRDefault="007F458D"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6 July 2016 – written report to EMT</w:t>
            </w:r>
          </w:p>
          <w:p w:rsidR="007F458D" w:rsidRDefault="007F458D"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11 July 2016 – written repor</w:t>
            </w:r>
            <w:bookmarkStart w:id="0" w:name="_GoBack"/>
            <w:bookmarkEnd w:id="0"/>
            <w:r>
              <w:rPr>
                <w:rFonts w:asciiTheme="minorHAnsi" w:eastAsiaTheme="minorHAnsi" w:hAnsiTheme="minorHAnsi" w:cstheme="minorHAnsi"/>
                <w:lang w:eastAsia="en-US"/>
              </w:rPr>
              <w:t>t and update to SEMT</w:t>
            </w:r>
          </w:p>
          <w:p w:rsidR="006C6D07" w:rsidRPr="00DF3EE3" w:rsidRDefault="004B5BD8" w:rsidP="007F458D">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20 </w:t>
            </w:r>
            <w:r w:rsidR="007F458D">
              <w:rPr>
                <w:rFonts w:asciiTheme="minorHAnsi" w:eastAsiaTheme="minorHAnsi" w:hAnsiTheme="minorHAnsi" w:cstheme="minorHAnsi"/>
                <w:lang w:eastAsia="en-US"/>
              </w:rPr>
              <w:t>July</w:t>
            </w:r>
            <w:r>
              <w:rPr>
                <w:rFonts w:asciiTheme="minorHAnsi" w:eastAsiaTheme="minorHAnsi" w:hAnsiTheme="minorHAnsi" w:cstheme="minorHAnsi"/>
                <w:lang w:eastAsia="en-US"/>
              </w:rPr>
              <w:t xml:space="preserve"> </w:t>
            </w:r>
            <w:r w:rsidR="006C6D07">
              <w:rPr>
                <w:rFonts w:asciiTheme="minorHAnsi" w:eastAsiaTheme="minorHAnsi" w:hAnsiTheme="minorHAnsi" w:cstheme="minorHAnsi"/>
                <w:lang w:eastAsia="en-US"/>
              </w:rPr>
              <w:t>2016 – written report to Board</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B603BD">
              <w:rPr>
                <w:rFonts w:asciiTheme="minorHAnsi" w:hAnsiTheme="minorHAnsi" w:cstheme="minorHAnsi"/>
              </w:rPr>
              <w:t xml:space="preserve"> - Ma</w:t>
            </w:r>
            <w:r w:rsidR="00643FCA">
              <w:rPr>
                <w:rFonts w:asciiTheme="minorHAnsi" w:hAnsiTheme="minorHAnsi" w:cstheme="minorHAnsi"/>
              </w:rPr>
              <w:t>y</w:t>
            </w:r>
            <w:r w:rsidR="00B603BD">
              <w:rPr>
                <w:rFonts w:asciiTheme="minorHAnsi" w:hAnsiTheme="minorHAnsi" w:cstheme="minorHAnsi"/>
              </w:rPr>
              <w:t xml:space="preserve"> </w:t>
            </w:r>
            <w:r w:rsidR="00D428E3">
              <w:rPr>
                <w:rFonts w:asciiTheme="minorHAnsi" w:hAnsiTheme="minorHAnsi" w:cstheme="minorHAnsi"/>
              </w:rPr>
              <w:t>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643FCA">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w:t>
            </w:r>
            <w:r w:rsidR="00643FCA">
              <w:rPr>
                <w:rFonts w:asciiTheme="minorHAnsi" w:eastAsiaTheme="minorHAnsi" w:hAnsiTheme="minorHAnsi" w:cstheme="minorHAnsi"/>
                <w:lang w:eastAsia="en-US"/>
              </w:rPr>
              <w:t>as at the 31</w:t>
            </w:r>
            <w:r w:rsidR="00643FCA" w:rsidRPr="007F458D">
              <w:rPr>
                <w:rFonts w:asciiTheme="minorHAnsi" w:eastAsiaTheme="minorHAnsi" w:hAnsiTheme="minorHAnsi" w:cstheme="minorHAnsi"/>
                <w:vertAlign w:val="superscript"/>
                <w:lang w:eastAsia="en-US"/>
              </w:rPr>
              <w:t>st</w:t>
            </w:r>
            <w:r w:rsidR="00643FCA">
              <w:rPr>
                <w:rFonts w:asciiTheme="minorHAnsi" w:eastAsiaTheme="minorHAnsi" w:hAnsiTheme="minorHAnsi" w:cstheme="minorHAnsi"/>
                <w:lang w:eastAsia="en-US"/>
              </w:rPr>
              <w:t xml:space="preserve"> May 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B2B8A" w:rsidRPr="00DF3EE3" w:rsidRDefault="00DF3EE3" w:rsidP="00643FCA">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007F458D">
              <w:rPr>
                <w:rFonts w:asciiTheme="minorHAnsi" w:eastAsiaTheme="minorHAnsi" w:hAnsiTheme="minorHAnsi" w:cstheme="minorHAnsi"/>
                <w:lang w:eastAsia="en-US"/>
              </w:rPr>
              <w:t>, SEMT</w:t>
            </w:r>
            <w:r w:rsidR="005E5369">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w:t>
            </w:r>
            <w:r w:rsidRPr="00DF3EE3">
              <w:rPr>
                <w:rFonts w:asciiTheme="minorHAnsi" w:eastAsiaTheme="minorHAnsi" w:hAnsiTheme="minorHAnsi" w:cstheme="minorHAnsi"/>
                <w:lang w:eastAsia="en-US"/>
              </w:rPr>
              <w:t xml:space="preserve">are aware of the </w:t>
            </w:r>
            <w:r w:rsidR="00615A53">
              <w:rPr>
                <w:rFonts w:asciiTheme="minorHAnsi" w:eastAsiaTheme="minorHAnsi" w:hAnsiTheme="minorHAnsi" w:cstheme="minorHAnsi"/>
                <w:lang w:eastAsia="en-US"/>
              </w:rPr>
              <w:t xml:space="preserve">financial position </w:t>
            </w:r>
            <w:r w:rsidR="00BE168E">
              <w:rPr>
                <w:rFonts w:asciiTheme="minorHAnsi" w:eastAsiaTheme="minorHAnsi" w:hAnsiTheme="minorHAnsi" w:cstheme="minorHAnsi"/>
                <w:lang w:eastAsia="en-US"/>
              </w:rPr>
              <w:t xml:space="preserve">of the HRA as </w:t>
            </w:r>
            <w:r w:rsidR="009413A8">
              <w:rPr>
                <w:rFonts w:asciiTheme="minorHAnsi" w:eastAsiaTheme="minorHAnsi" w:hAnsiTheme="minorHAnsi" w:cstheme="minorHAnsi"/>
                <w:lang w:eastAsia="en-US"/>
              </w:rPr>
              <w:t xml:space="preserve">at the end of </w:t>
            </w:r>
            <w:r w:rsidR="00B603BD">
              <w:rPr>
                <w:rFonts w:asciiTheme="minorHAnsi" w:eastAsiaTheme="minorHAnsi" w:hAnsiTheme="minorHAnsi" w:cstheme="minorHAnsi"/>
                <w:lang w:eastAsia="en-US"/>
              </w:rPr>
              <w:t>Ma</w:t>
            </w:r>
            <w:r w:rsidR="00643FCA">
              <w:rPr>
                <w:rFonts w:asciiTheme="minorHAnsi" w:eastAsiaTheme="minorHAnsi" w:hAnsiTheme="minorHAnsi" w:cstheme="minorHAnsi"/>
                <w:lang w:eastAsia="en-US"/>
              </w:rPr>
              <w:t>y</w:t>
            </w:r>
            <w:r w:rsidR="00D428E3">
              <w:rPr>
                <w:rFonts w:asciiTheme="minorHAnsi" w:eastAsiaTheme="minorHAnsi" w:hAnsiTheme="minorHAnsi" w:cstheme="minorHAnsi"/>
                <w:lang w:eastAsia="en-US"/>
              </w:rPr>
              <w:t xml:space="preserve"> 2016</w:t>
            </w:r>
            <w:r w:rsidR="00643FCA">
              <w:rPr>
                <w:rFonts w:asciiTheme="minorHAnsi" w:eastAsiaTheme="minorHAnsi" w:hAnsiTheme="minorHAnsi" w:cstheme="minorHAnsi"/>
                <w:lang w:eastAsia="en-US"/>
              </w:rPr>
              <w:t>.</w:t>
            </w:r>
            <w:r w:rsidR="00615A53">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7F458D">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Quality, </w:t>
            </w:r>
            <w:r w:rsidR="009413A8">
              <w:rPr>
                <w:rFonts w:asciiTheme="minorHAnsi" w:eastAsiaTheme="minorHAnsi" w:hAnsiTheme="minorHAnsi" w:cstheme="minorHAnsi"/>
                <w:lang w:eastAsia="en-US"/>
              </w:rPr>
              <w:t>Guidance and Learning</w:t>
            </w:r>
            <w:r w:rsidR="00BC7822">
              <w:rPr>
                <w:rFonts w:asciiTheme="minorHAnsi" w:eastAsiaTheme="minorHAnsi" w:hAnsiTheme="minorHAnsi" w:cstheme="minorHAnsi"/>
                <w:lang w:eastAsia="en-US"/>
              </w:rPr>
              <w:t xml:space="preserve"> </w:t>
            </w:r>
            <w:r w:rsidR="00D428E3">
              <w:rPr>
                <w:rFonts w:asciiTheme="minorHAnsi" w:eastAsiaTheme="minorHAnsi" w:hAnsiTheme="minorHAnsi" w:cstheme="minorHAnsi"/>
                <w:lang w:eastAsia="en-US"/>
              </w:rPr>
              <w:t xml:space="preserve"> - </w:t>
            </w:r>
            <w:r w:rsidR="007F458D">
              <w:rPr>
                <w:rFonts w:asciiTheme="minorHAnsi" w:eastAsiaTheme="minorHAnsi" w:hAnsiTheme="minorHAnsi" w:cstheme="minorHAnsi"/>
                <w:lang w:eastAsia="en-US"/>
              </w:rPr>
              <w:t>23 June</w:t>
            </w:r>
            <w:r w:rsidR="00EA580D">
              <w:rPr>
                <w:rFonts w:asciiTheme="minorHAnsi" w:eastAsiaTheme="minorHAnsi" w:hAnsiTheme="minorHAnsi" w:cstheme="minorHAnsi"/>
                <w:lang w:eastAsia="en-US"/>
              </w:rPr>
              <w:t xml:space="preserve"> 2016</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B603BD">
              <w:rPr>
                <w:rFonts w:asciiTheme="minorHAnsi" w:eastAsiaTheme="minorHAnsi" w:hAnsiTheme="minorHAnsi" w:cstheme="minorHAnsi"/>
                <w:lang w:eastAsia="en-US"/>
              </w:rPr>
              <w:t>Ma</w:t>
            </w:r>
            <w:r w:rsidR="00643FCA">
              <w:rPr>
                <w:rFonts w:asciiTheme="minorHAnsi" w:eastAsiaTheme="minorHAnsi" w:hAnsiTheme="minorHAnsi" w:cstheme="minorHAnsi"/>
                <w:lang w:eastAsia="en-US"/>
              </w:rPr>
              <w:t>y</w:t>
            </w:r>
            <w:r w:rsidR="00D428E3">
              <w:rPr>
                <w:rFonts w:asciiTheme="minorHAnsi" w:eastAsiaTheme="minorHAnsi" w:hAnsiTheme="minorHAnsi" w:cstheme="minorHAnsi"/>
                <w:lang w:eastAsia="en-US"/>
              </w:rPr>
              <w:t xml:space="preserve"> 2016</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r w:rsidR="00171C23">
              <w:rPr>
                <w:rFonts w:asciiTheme="minorHAnsi" w:eastAsiaTheme="minorHAnsi" w:hAnsiTheme="minorHAnsi" w:cstheme="minorHAnsi"/>
                <w:lang w:eastAsia="en-US"/>
              </w:rPr>
              <w:t xml:space="preserve">  </w:t>
            </w:r>
          </w:p>
          <w:p w:rsidR="00706F89" w:rsidRDefault="00706F89"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172DD0" w:rsidRPr="00DD6AFF" w:rsidRDefault="00172DD0" w:rsidP="00706F89">
            <w:pPr>
              <w:pStyle w:val="ListParagraph"/>
              <w:numPr>
                <w:ilvl w:val="0"/>
                <w:numId w:val="24"/>
              </w:numPr>
              <w:spacing w:after="200" w:line="276" w:lineRule="auto"/>
              <w:rPr>
                <w:rFonts w:asciiTheme="minorHAnsi" w:eastAsiaTheme="minorHAnsi" w:hAnsiTheme="minorHAnsi" w:cstheme="minorHAnsi"/>
                <w:lang w:eastAsia="en-US"/>
              </w:rPr>
            </w:pPr>
            <w:r w:rsidRPr="00DD6AFF">
              <w:rPr>
                <w:rFonts w:asciiTheme="minorHAnsi" w:eastAsiaTheme="minorHAnsi" w:hAnsiTheme="minorHAnsi" w:cstheme="minorHAnsi"/>
                <w:lang w:eastAsia="en-US"/>
              </w:rPr>
              <w:t xml:space="preserve">The HRA </w:t>
            </w:r>
            <w:r w:rsidR="00DD6AFF">
              <w:rPr>
                <w:rFonts w:asciiTheme="minorHAnsi" w:eastAsiaTheme="minorHAnsi" w:hAnsiTheme="minorHAnsi" w:cstheme="minorHAnsi"/>
                <w:lang w:eastAsia="en-US"/>
              </w:rPr>
              <w:t xml:space="preserve">achieved a broad break even </w:t>
            </w:r>
            <w:r w:rsidR="0009591A">
              <w:rPr>
                <w:rFonts w:asciiTheme="minorHAnsi" w:eastAsiaTheme="minorHAnsi" w:hAnsiTheme="minorHAnsi" w:cstheme="minorHAnsi"/>
                <w:lang w:eastAsia="en-US"/>
              </w:rPr>
              <w:t xml:space="preserve">financial position for the period April to </w:t>
            </w:r>
            <w:r w:rsidR="00DD6AFF">
              <w:rPr>
                <w:rFonts w:asciiTheme="minorHAnsi" w:eastAsiaTheme="minorHAnsi" w:hAnsiTheme="minorHAnsi" w:cstheme="minorHAnsi"/>
                <w:lang w:eastAsia="en-US"/>
              </w:rPr>
              <w:t>May 2016</w:t>
            </w:r>
            <w:r w:rsidRPr="00DD6AFF">
              <w:rPr>
                <w:rFonts w:asciiTheme="minorHAnsi" w:eastAsiaTheme="minorHAnsi" w:hAnsiTheme="minorHAnsi" w:cstheme="minorHAnsi"/>
                <w:lang w:eastAsia="en-US"/>
              </w:rPr>
              <w:t xml:space="preserve">. </w:t>
            </w:r>
          </w:p>
          <w:p w:rsidR="00172DD0" w:rsidRDefault="00DD6AFF"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An under spend on pay of £50k was offset by an over spend on </w:t>
            </w:r>
            <w:proofErr w:type="spellStart"/>
            <w:r>
              <w:rPr>
                <w:rFonts w:asciiTheme="minorHAnsi" w:eastAsiaTheme="minorHAnsi" w:hAnsiTheme="minorHAnsi" w:cstheme="minorHAnsi"/>
                <w:lang w:eastAsia="en-US"/>
              </w:rPr>
              <w:t>non pay</w:t>
            </w:r>
            <w:proofErr w:type="spellEnd"/>
            <w:r>
              <w:rPr>
                <w:rFonts w:asciiTheme="minorHAnsi" w:eastAsiaTheme="minorHAnsi" w:hAnsiTheme="minorHAnsi" w:cstheme="minorHAnsi"/>
                <w:lang w:eastAsia="en-US"/>
              </w:rPr>
              <w:t xml:space="preserve"> of £46k. </w:t>
            </w:r>
          </w:p>
          <w:p w:rsidR="00DD6AFF" w:rsidRPr="00DD6AFF" w:rsidRDefault="00DD6AFF" w:rsidP="00DD6AFF">
            <w:pPr>
              <w:pStyle w:val="ListParagraph"/>
              <w:numPr>
                <w:ilvl w:val="0"/>
                <w:numId w:val="24"/>
              </w:numPr>
              <w:rPr>
                <w:rFonts w:asciiTheme="minorHAnsi" w:eastAsiaTheme="minorHAnsi" w:hAnsiTheme="minorHAnsi" w:cstheme="minorHAnsi"/>
                <w:lang w:eastAsia="en-US"/>
              </w:rPr>
            </w:pPr>
            <w:r w:rsidRPr="00DD6AFF">
              <w:rPr>
                <w:rFonts w:asciiTheme="minorHAnsi" w:eastAsiaTheme="minorHAnsi" w:hAnsiTheme="minorHAnsi" w:cstheme="minorHAnsi"/>
                <w:lang w:eastAsia="en-US"/>
              </w:rPr>
              <w:t xml:space="preserve">The HRA has continued to meet the duty to pay 95% of invoices in 30 days achieving 97% based on number of invoices, and achieved the target based on value by achieving 99%.  </w:t>
            </w:r>
          </w:p>
          <w:p w:rsidR="00652DA7" w:rsidRPr="00996BCF" w:rsidRDefault="00E54475" w:rsidP="00FE3A8F">
            <w:pPr>
              <w:pStyle w:val="ListParagraph"/>
              <w:numPr>
                <w:ilvl w:val="0"/>
                <w:numId w:val="24"/>
              </w:numPr>
              <w:spacing w:after="200" w:line="276" w:lineRule="auto"/>
              <w:rPr>
                <w:rFonts w:asciiTheme="minorHAnsi" w:eastAsiaTheme="minorHAnsi" w:hAnsiTheme="minorHAnsi" w:cstheme="minorHAnsi"/>
                <w:lang w:eastAsia="en-US"/>
              </w:rPr>
            </w:pPr>
            <w:r w:rsidRPr="00996BCF">
              <w:rPr>
                <w:rFonts w:asciiTheme="minorHAnsi" w:eastAsiaTheme="minorHAnsi" w:hAnsiTheme="minorHAnsi" w:cstheme="minorHAnsi"/>
                <w:lang w:eastAsia="en-US"/>
              </w:rPr>
              <w:t>The capi</w:t>
            </w:r>
            <w:r w:rsidR="00996BCF" w:rsidRPr="00996BCF">
              <w:rPr>
                <w:rFonts w:asciiTheme="minorHAnsi" w:eastAsiaTheme="minorHAnsi" w:hAnsiTheme="minorHAnsi" w:cstheme="minorHAnsi"/>
                <w:lang w:eastAsia="en-US"/>
              </w:rPr>
              <w:t xml:space="preserve">tal </w:t>
            </w:r>
            <w:r w:rsidR="003914C4">
              <w:rPr>
                <w:rFonts w:asciiTheme="minorHAnsi" w:eastAsiaTheme="minorHAnsi" w:hAnsiTheme="minorHAnsi" w:cstheme="minorHAnsi"/>
                <w:lang w:eastAsia="en-US"/>
              </w:rPr>
              <w:t xml:space="preserve">position is reporting a slight underspend </w:t>
            </w:r>
            <w:r w:rsidR="007A7AB7">
              <w:rPr>
                <w:rFonts w:asciiTheme="minorHAnsi" w:eastAsiaTheme="minorHAnsi" w:hAnsiTheme="minorHAnsi" w:cstheme="minorHAnsi"/>
                <w:lang w:eastAsia="en-US"/>
              </w:rPr>
              <w:t>of £10</w:t>
            </w:r>
            <w:r w:rsidR="003914C4">
              <w:rPr>
                <w:rFonts w:asciiTheme="minorHAnsi" w:eastAsiaTheme="minorHAnsi" w:hAnsiTheme="minorHAnsi" w:cstheme="minorHAnsi"/>
                <w:lang w:eastAsia="en-US"/>
              </w:rPr>
              <w:t>k, but furthe</w:t>
            </w:r>
            <w:r w:rsidR="00C24725">
              <w:rPr>
                <w:rFonts w:asciiTheme="minorHAnsi" w:eastAsiaTheme="minorHAnsi" w:hAnsiTheme="minorHAnsi" w:cstheme="minorHAnsi"/>
                <w:lang w:eastAsia="en-US"/>
              </w:rPr>
              <w:t xml:space="preserve">r work is required to </w:t>
            </w:r>
            <w:proofErr w:type="spellStart"/>
            <w:r w:rsidR="00C24725">
              <w:rPr>
                <w:rFonts w:asciiTheme="minorHAnsi" w:eastAsiaTheme="minorHAnsi" w:hAnsiTheme="minorHAnsi" w:cstheme="minorHAnsi"/>
                <w:lang w:eastAsia="en-US"/>
              </w:rPr>
              <w:t>finalise</w:t>
            </w:r>
            <w:proofErr w:type="spellEnd"/>
            <w:r w:rsidR="00C24725">
              <w:rPr>
                <w:rFonts w:asciiTheme="minorHAnsi" w:eastAsiaTheme="minorHAnsi" w:hAnsiTheme="minorHAnsi" w:cstheme="minorHAnsi"/>
                <w:lang w:eastAsia="en-US"/>
              </w:rPr>
              <w:t xml:space="preserve"> the year end forecast position and identify any potential surplus</w:t>
            </w:r>
            <w:r w:rsidR="005E5369">
              <w:rPr>
                <w:rFonts w:asciiTheme="minorHAnsi" w:eastAsiaTheme="minorHAnsi" w:hAnsiTheme="minorHAnsi" w:cstheme="minorHAnsi"/>
                <w:lang w:eastAsia="en-US"/>
              </w:rPr>
              <w:t>,</w:t>
            </w:r>
            <w:r w:rsidR="00C24725">
              <w:rPr>
                <w:rFonts w:asciiTheme="minorHAnsi" w:eastAsiaTheme="minorHAnsi" w:hAnsiTheme="minorHAnsi" w:cstheme="minorHAnsi"/>
                <w:lang w:eastAsia="en-US"/>
              </w:rPr>
              <w:t xml:space="preserve"> </w:t>
            </w:r>
            <w:r w:rsidR="005E5369">
              <w:rPr>
                <w:rFonts w:asciiTheme="minorHAnsi" w:eastAsiaTheme="minorHAnsi" w:hAnsiTheme="minorHAnsi" w:cstheme="minorHAnsi"/>
                <w:lang w:eastAsia="en-US"/>
              </w:rPr>
              <w:t xml:space="preserve">as a result of the reduced contract costs, which </w:t>
            </w:r>
            <w:r w:rsidR="00C24725">
              <w:rPr>
                <w:rFonts w:asciiTheme="minorHAnsi" w:eastAsiaTheme="minorHAnsi" w:hAnsiTheme="minorHAnsi" w:cstheme="minorHAnsi"/>
                <w:lang w:eastAsia="en-US"/>
              </w:rPr>
              <w:t>could be released for the wider system.</w:t>
            </w:r>
          </w:p>
          <w:p w:rsidR="00652DA7" w:rsidRPr="00996BCF" w:rsidRDefault="00652DA7" w:rsidP="001C63CB">
            <w:pPr>
              <w:pStyle w:val="ListParagraph"/>
              <w:numPr>
                <w:ilvl w:val="0"/>
                <w:numId w:val="24"/>
              </w:numPr>
              <w:spacing w:after="200" w:line="276" w:lineRule="auto"/>
              <w:rPr>
                <w:rFonts w:asciiTheme="minorHAnsi" w:eastAsiaTheme="minorHAnsi" w:hAnsiTheme="minorHAnsi" w:cstheme="minorHAnsi"/>
                <w:lang w:eastAsia="en-US"/>
              </w:rPr>
            </w:pPr>
            <w:r w:rsidRPr="00996BCF">
              <w:rPr>
                <w:rFonts w:asciiTheme="minorHAnsi" w:eastAsiaTheme="minorHAnsi" w:hAnsiTheme="minorHAnsi" w:cstheme="minorHAnsi"/>
                <w:lang w:eastAsia="en-US"/>
              </w:rPr>
              <w:t>The</w:t>
            </w:r>
            <w:r w:rsidR="003914C4">
              <w:rPr>
                <w:rFonts w:asciiTheme="minorHAnsi" w:eastAsiaTheme="minorHAnsi" w:hAnsiTheme="minorHAnsi" w:cstheme="minorHAnsi"/>
                <w:lang w:eastAsia="en-US"/>
              </w:rPr>
              <w:t xml:space="preserve">re has been a reduction in the level of cash held </w:t>
            </w:r>
            <w:r w:rsidR="003914C4">
              <w:rPr>
                <w:rFonts w:asciiTheme="minorHAnsi" w:eastAsiaTheme="minorHAnsi" w:hAnsiTheme="minorHAnsi" w:cstheme="minorHAnsi"/>
                <w:lang w:eastAsia="en-US"/>
              </w:rPr>
              <w:lastRenderedPageBreak/>
              <w:t>from the year end of £3.485m to £3.362m</w:t>
            </w:r>
          </w:p>
          <w:p w:rsidR="002C0638" w:rsidRPr="00D62F91" w:rsidRDefault="002C0638" w:rsidP="00042A65">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An indicative budget for 2016/17 </w:t>
            </w:r>
            <w:r w:rsidR="00042A65">
              <w:rPr>
                <w:rFonts w:asciiTheme="minorHAnsi" w:eastAsiaTheme="minorHAnsi" w:hAnsiTheme="minorHAnsi" w:cstheme="minorHAnsi"/>
                <w:lang w:eastAsia="en-US"/>
              </w:rPr>
              <w:t>in line with expecta</w:t>
            </w:r>
            <w:r w:rsidR="00B5541D">
              <w:rPr>
                <w:rFonts w:asciiTheme="minorHAnsi" w:eastAsiaTheme="minorHAnsi" w:hAnsiTheme="minorHAnsi" w:cstheme="minorHAnsi"/>
                <w:lang w:eastAsia="en-US"/>
              </w:rPr>
              <w:t>t</w:t>
            </w:r>
            <w:r w:rsidR="00042A65">
              <w:rPr>
                <w:rFonts w:asciiTheme="minorHAnsi" w:eastAsiaTheme="minorHAnsi" w:hAnsiTheme="minorHAnsi" w:cstheme="minorHAnsi"/>
                <w:lang w:eastAsia="en-US"/>
              </w:rPr>
              <w:t xml:space="preserve">ions </w:t>
            </w:r>
            <w:r w:rsidR="007326AA">
              <w:rPr>
                <w:rFonts w:asciiTheme="minorHAnsi" w:eastAsiaTheme="minorHAnsi" w:hAnsiTheme="minorHAnsi" w:cstheme="minorHAnsi"/>
                <w:lang w:eastAsia="en-US"/>
              </w:rPr>
              <w:t>has been received</w:t>
            </w:r>
            <w:r w:rsidR="00042A65">
              <w:rPr>
                <w:rFonts w:asciiTheme="minorHAnsi" w:eastAsiaTheme="minorHAnsi" w:hAnsiTheme="minorHAnsi" w:cstheme="minorHAnsi"/>
                <w:lang w:eastAsia="en-US"/>
              </w:rPr>
              <w:t xml:space="preserve"> from the Department of Health.</w:t>
            </w:r>
            <w:r w:rsidR="00DD6AFF">
              <w:rPr>
                <w:rFonts w:asciiTheme="minorHAnsi" w:eastAsiaTheme="minorHAnsi" w:hAnsiTheme="minorHAnsi" w:cstheme="minorHAnsi"/>
                <w:lang w:eastAsia="en-US"/>
              </w:rPr>
              <w:t xml:space="preserve">  This is unlikely to change.</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r w:rsidR="009413A8">
              <w:rPr>
                <w:rFonts w:asciiTheme="minorHAnsi" w:eastAsiaTheme="minorHAnsi" w:hAnsiTheme="minorHAnsi" w:cstheme="minorHAnsi"/>
                <w:lang w:eastAsia="en-US"/>
              </w:rPr>
              <w:t>, Procurement and Estates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DD6AFF" w:rsidP="00DD6AFF">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22</w:t>
            </w:r>
            <w:r w:rsidR="005E5369">
              <w:rPr>
                <w:rFonts w:asciiTheme="minorHAnsi" w:eastAsiaTheme="minorHAnsi" w:hAnsiTheme="minorHAnsi" w:cstheme="minorHAnsi"/>
                <w:lang w:eastAsia="en-US"/>
              </w:rPr>
              <w:t xml:space="preserve"> June </w:t>
            </w:r>
            <w:r w:rsidR="0000631A">
              <w:rPr>
                <w:rFonts w:asciiTheme="minorHAnsi" w:eastAsiaTheme="minorHAnsi" w:hAnsiTheme="minorHAnsi" w:cstheme="minorHAnsi"/>
                <w:lang w:eastAsia="en-US"/>
              </w:rPr>
              <w:t>2016</w:t>
            </w:r>
          </w:p>
        </w:tc>
      </w:tr>
    </w:tbl>
    <w:p w:rsidR="00150CE4" w:rsidRDefault="00150CE4"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AD76CF" w:rsidRDefault="00E72B98" w:rsidP="00AD76CF">
      <w:pPr>
        <w:rPr>
          <w:rFonts w:ascii="Arial" w:hAnsi="Arial" w:cs="Arial"/>
          <w:b/>
          <w:sz w:val="22"/>
          <w:szCs w:val="22"/>
          <w:lang w:val="en-US"/>
        </w:rPr>
      </w:pPr>
      <w:r>
        <w:rPr>
          <w:rFonts w:ascii="Arial" w:hAnsi="Arial" w:cs="Arial"/>
          <w:b/>
          <w:sz w:val="22"/>
          <w:szCs w:val="22"/>
        </w:rPr>
        <w:lastRenderedPageBreak/>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454254">
        <w:rPr>
          <w:rFonts w:ascii="Arial" w:hAnsi="Arial" w:cs="Arial"/>
          <w:b/>
          <w:sz w:val="22"/>
          <w:szCs w:val="22"/>
          <w:lang w:val="en-US"/>
        </w:rPr>
        <w:t>5</w:t>
      </w:r>
      <w:r w:rsidR="00AD76CF" w:rsidRPr="00AD76CF">
        <w:rPr>
          <w:rFonts w:ascii="Arial" w:hAnsi="Arial" w:cs="Arial"/>
          <w:b/>
          <w:sz w:val="22"/>
          <w:szCs w:val="22"/>
          <w:lang w:val="en-US"/>
        </w:rPr>
        <w:t>/1</w:t>
      </w:r>
      <w:r w:rsidR="00454254">
        <w:rPr>
          <w:rFonts w:ascii="Arial" w:hAnsi="Arial" w:cs="Arial"/>
          <w:b/>
          <w:sz w:val="22"/>
          <w:szCs w:val="22"/>
          <w:lang w:val="en-US"/>
        </w:rPr>
        <w:t>6</w:t>
      </w:r>
    </w:p>
    <w:p w:rsidR="00AD76CF" w:rsidRDefault="00AD76CF" w:rsidP="00AD76CF">
      <w:pPr>
        <w:rPr>
          <w:rFonts w:ascii="Arial" w:hAnsi="Arial" w:cs="Arial"/>
          <w:b/>
          <w:sz w:val="22"/>
          <w:szCs w:val="22"/>
          <w:lang w:val="en-US"/>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00631A">
        <w:rPr>
          <w:rFonts w:ascii="Arial" w:hAnsi="Arial" w:cs="Arial"/>
          <w:b/>
          <w:sz w:val="22"/>
          <w:szCs w:val="22"/>
          <w:lang w:val="en-US"/>
        </w:rPr>
        <w:t>31 Ma</w:t>
      </w:r>
      <w:r w:rsidR="00643FCA">
        <w:rPr>
          <w:rFonts w:ascii="Arial" w:hAnsi="Arial" w:cs="Arial"/>
          <w:b/>
          <w:sz w:val="22"/>
          <w:szCs w:val="22"/>
          <w:lang w:val="en-US"/>
        </w:rPr>
        <w:t>y</w:t>
      </w:r>
      <w:r w:rsidR="002E2D66">
        <w:rPr>
          <w:rFonts w:ascii="Arial" w:hAnsi="Arial" w:cs="Arial"/>
          <w:b/>
          <w:sz w:val="22"/>
          <w:szCs w:val="22"/>
          <w:lang w:val="en-US"/>
        </w:rPr>
        <w:t xml:space="preserve"> 2016</w:t>
      </w:r>
    </w:p>
    <w:p w:rsidR="00AD76CF" w:rsidRPr="00AD76CF" w:rsidRDefault="00AD76CF" w:rsidP="00AD76CF">
      <w:pPr>
        <w:jc w:val="center"/>
        <w:rPr>
          <w:rFonts w:ascii="Arial" w:hAnsi="Arial" w:cs="Arial"/>
          <w:b/>
          <w:sz w:val="22"/>
          <w:szCs w:val="22"/>
        </w:rPr>
      </w:pPr>
    </w:p>
    <w:p w:rsidR="00AC4AAD" w:rsidRPr="001F7421" w:rsidRDefault="00AD76CF" w:rsidP="001F7421">
      <w:pPr>
        <w:numPr>
          <w:ilvl w:val="0"/>
          <w:numId w:val="3"/>
        </w:numPr>
        <w:jc w:val="both"/>
        <w:rPr>
          <w:rFonts w:ascii="Arial" w:hAnsi="Arial" w:cs="Arial"/>
          <w:b/>
          <w:sz w:val="22"/>
          <w:szCs w:val="22"/>
        </w:rPr>
      </w:pPr>
      <w:r w:rsidRPr="001F7421">
        <w:rPr>
          <w:rFonts w:ascii="Arial" w:hAnsi="Arial" w:cs="Arial"/>
          <w:b/>
          <w:sz w:val="22"/>
          <w:szCs w:val="22"/>
        </w:rPr>
        <w:t>Introduction</w:t>
      </w:r>
    </w:p>
    <w:p w:rsid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00631A">
        <w:rPr>
          <w:rFonts w:ascii="Arial" w:hAnsi="Arial" w:cs="Arial"/>
          <w:sz w:val="22"/>
          <w:szCs w:val="22"/>
        </w:rPr>
        <w:t>31 Ma</w:t>
      </w:r>
      <w:r w:rsidR="00643FCA">
        <w:rPr>
          <w:rFonts w:ascii="Arial" w:hAnsi="Arial" w:cs="Arial"/>
          <w:sz w:val="22"/>
          <w:szCs w:val="22"/>
        </w:rPr>
        <w:t>y</w:t>
      </w:r>
      <w:r w:rsidR="0000631A">
        <w:rPr>
          <w:rFonts w:ascii="Arial" w:hAnsi="Arial" w:cs="Arial"/>
          <w:sz w:val="22"/>
          <w:szCs w:val="22"/>
        </w:rPr>
        <w:t xml:space="preserve"> </w:t>
      </w:r>
      <w:r w:rsidR="002E2D66">
        <w:rPr>
          <w:rFonts w:ascii="Arial" w:hAnsi="Arial" w:cs="Arial"/>
          <w:sz w:val="22"/>
          <w:szCs w:val="22"/>
        </w:rPr>
        <w:t>2016</w:t>
      </w:r>
      <w:r w:rsidR="00643FCA">
        <w:rPr>
          <w:rFonts w:ascii="Arial" w:hAnsi="Arial" w:cs="Arial"/>
          <w:sz w:val="22"/>
          <w:szCs w:val="22"/>
        </w:rPr>
        <w:t>.</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5E6B5C" w:rsidRDefault="005E5369" w:rsidP="00AD76CF">
      <w:pPr>
        <w:jc w:val="both"/>
        <w:rPr>
          <w:rFonts w:ascii="Arial" w:hAnsi="Arial" w:cs="Arial"/>
          <w:sz w:val="22"/>
          <w:szCs w:val="22"/>
        </w:rPr>
      </w:pPr>
      <w:r>
        <w:rPr>
          <w:rFonts w:ascii="Arial" w:hAnsi="Arial" w:cs="Arial"/>
          <w:sz w:val="22"/>
          <w:szCs w:val="22"/>
        </w:rPr>
        <w:t xml:space="preserve">To date, the HRA has received an indicative budget which matches expectations discussed during the 2016/17 business planning round.  Meetings have been held with the Department of Health (DH) Sponsor and DH finance colleagues </w:t>
      </w:r>
      <w:r w:rsidR="00DD6AFF">
        <w:rPr>
          <w:rFonts w:ascii="Arial" w:hAnsi="Arial" w:cs="Arial"/>
          <w:sz w:val="22"/>
          <w:szCs w:val="22"/>
        </w:rPr>
        <w:t xml:space="preserve">and </w:t>
      </w:r>
      <w:r>
        <w:rPr>
          <w:rFonts w:ascii="Arial" w:hAnsi="Arial" w:cs="Arial"/>
          <w:sz w:val="22"/>
          <w:szCs w:val="22"/>
        </w:rPr>
        <w:t xml:space="preserve">this budget </w:t>
      </w:r>
      <w:r w:rsidR="00DD6AFF">
        <w:rPr>
          <w:rFonts w:ascii="Arial" w:hAnsi="Arial" w:cs="Arial"/>
          <w:sz w:val="22"/>
          <w:szCs w:val="22"/>
        </w:rPr>
        <w:t xml:space="preserve">is unlikely to </w:t>
      </w:r>
      <w:r>
        <w:rPr>
          <w:rFonts w:ascii="Arial" w:hAnsi="Arial" w:cs="Arial"/>
          <w:sz w:val="22"/>
          <w:szCs w:val="22"/>
        </w:rPr>
        <w:t xml:space="preserve">change. </w:t>
      </w:r>
      <w:r w:rsidR="00B2011F" w:rsidRPr="002D1079">
        <w:rPr>
          <w:rFonts w:ascii="Arial" w:hAnsi="Arial" w:cs="Arial"/>
          <w:sz w:val="22"/>
          <w:szCs w:val="22"/>
        </w:rPr>
        <w:t xml:space="preserve">The </w:t>
      </w:r>
      <w:r>
        <w:rPr>
          <w:rFonts w:ascii="Arial" w:hAnsi="Arial" w:cs="Arial"/>
          <w:sz w:val="22"/>
          <w:szCs w:val="22"/>
        </w:rPr>
        <w:t xml:space="preserve">expected </w:t>
      </w:r>
      <w:r w:rsidR="00B2011F" w:rsidRPr="002D1079">
        <w:rPr>
          <w:rFonts w:ascii="Arial" w:hAnsi="Arial" w:cs="Arial"/>
          <w:sz w:val="22"/>
          <w:szCs w:val="22"/>
        </w:rPr>
        <w:t xml:space="preserve">HRA </w:t>
      </w:r>
      <w:r w:rsidR="003179D5" w:rsidRPr="002D1079">
        <w:rPr>
          <w:rFonts w:ascii="Arial" w:hAnsi="Arial" w:cs="Arial"/>
          <w:sz w:val="22"/>
          <w:szCs w:val="22"/>
        </w:rPr>
        <w:t>grant in aid</w:t>
      </w:r>
      <w:r w:rsidR="002D1079">
        <w:rPr>
          <w:rFonts w:ascii="Arial" w:hAnsi="Arial" w:cs="Arial"/>
          <w:sz w:val="22"/>
          <w:szCs w:val="22"/>
        </w:rPr>
        <w:t xml:space="preserve"> and revenue resource limit for the year </w:t>
      </w:r>
      <w:r>
        <w:rPr>
          <w:rFonts w:ascii="Arial" w:hAnsi="Arial" w:cs="Arial"/>
          <w:sz w:val="22"/>
          <w:szCs w:val="22"/>
        </w:rPr>
        <w:t xml:space="preserve">was presented in the 2016/17 financial plan and this report continues to be based on the same figures of </w:t>
      </w:r>
      <w:r w:rsidR="002D1079">
        <w:rPr>
          <w:rFonts w:ascii="Arial" w:hAnsi="Arial" w:cs="Arial"/>
          <w:sz w:val="22"/>
          <w:szCs w:val="22"/>
        </w:rPr>
        <w:t>£13,</w:t>
      </w:r>
      <w:r>
        <w:rPr>
          <w:rFonts w:ascii="Arial" w:hAnsi="Arial" w:cs="Arial"/>
          <w:sz w:val="22"/>
          <w:szCs w:val="22"/>
        </w:rPr>
        <w:t>080</w:t>
      </w:r>
      <w:r w:rsidR="002D1079">
        <w:rPr>
          <w:rFonts w:ascii="Arial" w:hAnsi="Arial" w:cs="Arial"/>
          <w:sz w:val="22"/>
          <w:szCs w:val="22"/>
        </w:rPr>
        <w:t xml:space="preserve">k.  </w:t>
      </w:r>
      <w:r w:rsidR="003179D5" w:rsidRPr="002D1079">
        <w:rPr>
          <w:rFonts w:ascii="Arial" w:hAnsi="Arial" w:cs="Arial"/>
          <w:sz w:val="22"/>
          <w:szCs w:val="22"/>
        </w:rPr>
        <w:t xml:space="preserve">The whole of this sum </w:t>
      </w:r>
      <w:r w:rsidR="002C390E" w:rsidRPr="002D1079">
        <w:rPr>
          <w:rFonts w:ascii="Arial" w:hAnsi="Arial" w:cs="Arial"/>
          <w:sz w:val="22"/>
          <w:szCs w:val="22"/>
        </w:rPr>
        <w:t xml:space="preserve">is </w:t>
      </w:r>
      <w:r w:rsidR="003179D5" w:rsidRPr="002D1079">
        <w:rPr>
          <w:rFonts w:ascii="Arial" w:hAnsi="Arial" w:cs="Arial"/>
          <w:sz w:val="22"/>
          <w:szCs w:val="22"/>
        </w:rPr>
        <w:t xml:space="preserve">classified as administration funding under HM Treasury definitions and this sum represents </w:t>
      </w:r>
      <w:r w:rsidR="00D750FE" w:rsidRPr="002D1079">
        <w:rPr>
          <w:rFonts w:ascii="Arial" w:hAnsi="Arial" w:cs="Arial"/>
          <w:sz w:val="22"/>
          <w:szCs w:val="22"/>
        </w:rPr>
        <w:t>H</w:t>
      </w:r>
      <w:r w:rsidR="003179D5" w:rsidRPr="002D1079">
        <w:rPr>
          <w:rFonts w:ascii="Arial" w:hAnsi="Arial" w:cs="Arial"/>
          <w:sz w:val="22"/>
          <w:szCs w:val="22"/>
        </w:rPr>
        <w:t>RA annual statutory funding from the Department of Health</w:t>
      </w:r>
      <w:r w:rsidR="008C6ADC" w:rsidRPr="002D1079">
        <w:rPr>
          <w:rFonts w:ascii="Arial" w:hAnsi="Arial" w:cs="Arial"/>
          <w:sz w:val="22"/>
          <w:szCs w:val="22"/>
        </w:rPr>
        <w:t xml:space="preserve"> (DH)</w:t>
      </w:r>
      <w:r w:rsidR="007948D4" w:rsidRPr="002D1079">
        <w:rPr>
          <w:rFonts w:ascii="Arial" w:hAnsi="Arial" w:cs="Arial"/>
          <w:sz w:val="22"/>
          <w:szCs w:val="22"/>
        </w:rPr>
        <w:t xml:space="preserve"> for the year.</w:t>
      </w:r>
      <w:r w:rsidR="003179D5" w:rsidRPr="002D1079">
        <w:rPr>
          <w:rFonts w:ascii="Arial" w:hAnsi="Arial" w:cs="Arial"/>
          <w:sz w:val="22"/>
          <w:szCs w:val="22"/>
        </w:rPr>
        <w:t xml:space="preserve"> </w:t>
      </w:r>
      <w:r w:rsidR="00171C23" w:rsidRPr="002D1079">
        <w:rPr>
          <w:rFonts w:ascii="Arial" w:hAnsi="Arial" w:cs="Arial"/>
          <w:sz w:val="22"/>
          <w:szCs w:val="22"/>
        </w:rPr>
        <w:t xml:space="preserve">It </w:t>
      </w:r>
      <w:r w:rsidR="003179D5" w:rsidRPr="002D1079">
        <w:rPr>
          <w:rFonts w:ascii="Arial" w:hAnsi="Arial" w:cs="Arial"/>
          <w:sz w:val="22"/>
          <w:szCs w:val="22"/>
        </w:rPr>
        <w:t xml:space="preserve">excludes income from other government departments or income from the </w:t>
      </w:r>
      <w:r w:rsidR="00BB2B8A" w:rsidRPr="002D1079">
        <w:rPr>
          <w:rFonts w:ascii="Arial" w:hAnsi="Arial" w:cs="Arial"/>
          <w:sz w:val="22"/>
          <w:szCs w:val="22"/>
        </w:rPr>
        <w:t>D</w:t>
      </w:r>
      <w:r w:rsidR="003179D5" w:rsidRPr="002D1079">
        <w:rPr>
          <w:rFonts w:ascii="Arial" w:hAnsi="Arial" w:cs="Arial"/>
          <w:sz w:val="22"/>
          <w:szCs w:val="22"/>
        </w:rPr>
        <w:t xml:space="preserve">evolved </w:t>
      </w:r>
      <w:r w:rsidR="00BB2B8A" w:rsidRPr="002D1079">
        <w:rPr>
          <w:rFonts w:ascii="Arial" w:hAnsi="Arial" w:cs="Arial"/>
          <w:sz w:val="22"/>
          <w:szCs w:val="22"/>
        </w:rPr>
        <w:t>A</w:t>
      </w:r>
      <w:r w:rsidR="003179D5" w:rsidRPr="002D1079">
        <w:rPr>
          <w:rFonts w:ascii="Arial" w:hAnsi="Arial" w:cs="Arial"/>
          <w:sz w:val="22"/>
          <w:szCs w:val="22"/>
        </w:rPr>
        <w:t>dministrations</w:t>
      </w:r>
      <w:r w:rsidR="00162CB2" w:rsidRPr="002D1079">
        <w:rPr>
          <w:rFonts w:ascii="Arial" w:hAnsi="Arial" w:cs="Arial"/>
          <w:sz w:val="22"/>
          <w:szCs w:val="22"/>
        </w:rPr>
        <w:t>.</w:t>
      </w:r>
      <w:r w:rsidR="00171C23">
        <w:rPr>
          <w:rFonts w:ascii="Arial" w:hAnsi="Arial" w:cs="Arial"/>
          <w:sz w:val="22"/>
          <w:szCs w:val="22"/>
        </w:rPr>
        <w:t xml:space="preserve"> </w:t>
      </w: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AD76CF" w:rsidRPr="00AD76CF" w:rsidRDefault="00AD76CF" w:rsidP="00262B57">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Revenue </w:t>
      </w:r>
      <w:r w:rsidR="00262B57">
        <w:rPr>
          <w:rFonts w:ascii="Arial" w:hAnsi="Arial" w:cs="Arial"/>
          <w:b/>
          <w:sz w:val="22"/>
          <w:szCs w:val="22"/>
        </w:rPr>
        <w:t>expenditure p</w:t>
      </w:r>
      <w:r w:rsidR="001516FA">
        <w:rPr>
          <w:rFonts w:ascii="Arial" w:hAnsi="Arial" w:cs="Arial"/>
          <w:b/>
          <w:sz w:val="22"/>
          <w:szCs w:val="22"/>
        </w:rPr>
        <w:t xml:space="preserve">osition </w:t>
      </w:r>
      <w:r w:rsidR="00E6420E">
        <w:rPr>
          <w:rFonts w:ascii="Arial" w:hAnsi="Arial" w:cs="Arial"/>
          <w:b/>
          <w:sz w:val="22"/>
          <w:szCs w:val="22"/>
        </w:rPr>
        <w:t xml:space="preserve">at </w:t>
      </w:r>
      <w:r w:rsidR="0000631A">
        <w:rPr>
          <w:rFonts w:ascii="Arial" w:hAnsi="Arial" w:cs="Arial"/>
          <w:b/>
          <w:sz w:val="22"/>
          <w:szCs w:val="22"/>
        </w:rPr>
        <w:t>31 Ma</w:t>
      </w:r>
      <w:r w:rsidR="00643FCA">
        <w:rPr>
          <w:rFonts w:ascii="Arial" w:hAnsi="Arial" w:cs="Arial"/>
          <w:b/>
          <w:sz w:val="22"/>
          <w:szCs w:val="22"/>
        </w:rPr>
        <w:t>y</w:t>
      </w:r>
      <w:r w:rsidR="002E2D66">
        <w:rPr>
          <w:rFonts w:ascii="Arial" w:hAnsi="Arial" w:cs="Arial"/>
          <w:b/>
          <w:sz w:val="22"/>
          <w:szCs w:val="22"/>
        </w:rPr>
        <w:t xml:space="preserve"> 2016</w:t>
      </w:r>
    </w:p>
    <w:p w:rsidR="00A30B13" w:rsidRDefault="00AD76CF" w:rsidP="00BA4988">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150CE4">
        <w:rPr>
          <w:rFonts w:ascii="Arial" w:hAnsi="Arial" w:cs="Arial"/>
          <w:sz w:val="22"/>
          <w:szCs w:val="22"/>
        </w:rPr>
        <w:t>below</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p>
    <w:p w:rsidR="00A30B13" w:rsidRDefault="00A30B13" w:rsidP="00AD76CF">
      <w:pPr>
        <w:jc w:val="both"/>
        <w:rPr>
          <w:rFonts w:ascii="Arial" w:hAnsi="Arial" w:cs="Arial"/>
          <w:sz w:val="22"/>
          <w:szCs w:val="22"/>
        </w:rPr>
      </w:pPr>
    </w:p>
    <w:p w:rsidR="005F05D0" w:rsidRDefault="00B06AFA" w:rsidP="006E46EB">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 xml:space="preserve">spent </w:t>
      </w:r>
      <w:r w:rsidRPr="009B4C8D">
        <w:rPr>
          <w:rFonts w:ascii="Arial" w:hAnsi="Arial" w:cs="Arial"/>
          <w:sz w:val="22"/>
          <w:szCs w:val="22"/>
        </w:rPr>
        <w:t>£</w:t>
      </w:r>
      <w:r w:rsidR="0000631A">
        <w:rPr>
          <w:rFonts w:ascii="Arial" w:hAnsi="Arial" w:cs="Arial"/>
          <w:sz w:val="22"/>
          <w:szCs w:val="22"/>
        </w:rPr>
        <w:t>2.</w:t>
      </w:r>
      <w:r w:rsidR="00CA15E0">
        <w:rPr>
          <w:rFonts w:ascii="Arial" w:hAnsi="Arial" w:cs="Arial"/>
          <w:sz w:val="22"/>
          <w:szCs w:val="22"/>
        </w:rPr>
        <w:t>03</w:t>
      </w:r>
      <w:r w:rsidR="006935C1">
        <w:rPr>
          <w:rFonts w:ascii="Arial" w:hAnsi="Arial" w:cs="Arial"/>
          <w:sz w:val="22"/>
          <w:szCs w:val="22"/>
        </w:rPr>
        <w:t xml:space="preserve"> </w:t>
      </w:r>
      <w:r w:rsidR="00E82F54" w:rsidRPr="009B4C8D">
        <w:rPr>
          <w:rFonts w:ascii="Arial" w:hAnsi="Arial" w:cs="Arial"/>
          <w:sz w:val="22"/>
          <w:szCs w:val="22"/>
        </w:rPr>
        <w:t>million</w:t>
      </w:r>
      <w:r w:rsidR="00CA15E0">
        <w:rPr>
          <w:rFonts w:ascii="Arial" w:hAnsi="Arial" w:cs="Arial"/>
          <w:sz w:val="22"/>
          <w:szCs w:val="22"/>
        </w:rPr>
        <w:t xml:space="preserve"> year to date.</w:t>
      </w:r>
      <w:r w:rsidR="00E82F54" w:rsidRPr="009B4C8D">
        <w:rPr>
          <w:rFonts w:ascii="Arial" w:hAnsi="Arial" w:cs="Arial"/>
          <w:sz w:val="22"/>
          <w:szCs w:val="22"/>
        </w:rPr>
        <w:t xml:space="preserve"> </w:t>
      </w:r>
      <w:r w:rsidR="00262B57">
        <w:rPr>
          <w:rFonts w:ascii="Arial" w:hAnsi="Arial" w:cs="Arial"/>
          <w:sz w:val="22"/>
          <w:szCs w:val="22"/>
        </w:rPr>
        <w:t>This represents a £</w:t>
      </w:r>
      <w:r w:rsidR="002D4299">
        <w:rPr>
          <w:rFonts w:ascii="Arial" w:hAnsi="Arial" w:cs="Arial"/>
          <w:sz w:val="22"/>
          <w:szCs w:val="22"/>
        </w:rPr>
        <w:t>3</w:t>
      </w:r>
      <w:r w:rsidR="006935C1">
        <w:rPr>
          <w:rFonts w:ascii="Arial" w:hAnsi="Arial" w:cs="Arial"/>
          <w:sz w:val="22"/>
          <w:szCs w:val="22"/>
        </w:rPr>
        <w:t>k</w:t>
      </w:r>
      <w:r w:rsidR="00262B57">
        <w:rPr>
          <w:rFonts w:ascii="Arial" w:hAnsi="Arial" w:cs="Arial"/>
          <w:sz w:val="22"/>
          <w:szCs w:val="22"/>
        </w:rPr>
        <w:t xml:space="preserve"> under spend</w:t>
      </w:r>
      <w:r w:rsidR="002D4299">
        <w:rPr>
          <w:rFonts w:ascii="Arial" w:hAnsi="Arial" w:cs="Arial"/>
          <w:sz w:val="22"/>
          <w:szCs w:val="22"/>
        </w:rPr>
        <w:t xml:space="preserve"> </w:t>
      </w:r>
      <w:r w:rsidR="00262B57">
        <w:rPr>
          <w:rFonts w:ascii="Arial" w:hAnsi="Arial" w:cs="Arial"/>
          <w:sz w:val="22"/>
          <w:szCs w:val="22"/>
        </w:rPr>
        <w:t xml:space="preserve">against </w:t>
      </w:r>
      <w:r w:rsidR="000949D1">
        <w:rPr>
          <w:rFonts w:ascii="Arial" w:hAnsi="Arial" w:cs="Arial"/>
          <w:sz w:val="22"/>
          <w:szCs w:val="22"/>
        </w:rPr>
        <w:t xml:space="preserve">profiled </w:t>
      </w:r>
      <w:r w:rsidR="00262B57">
        <w:rPr>
          <w:rFonts w:ascii="Arial" w:hAnsi="Arial" w:cs="Arial"/>
          <w:sz w:val="22"/>
          <w:szCs w:val="22"/>
        </w:rPr>
        <w:t>expenditur</w:t>
      </w:r>
      <w:r w:rsidR="005F05D0">
        <w:rPr>
          <w:rFonts w:ascii="Arial" w:hAnsi="Arial" w:cs="Arial"/>
          <w:sz w:val="22"/>
          <w:szCs w:val="22"/>
        </w:rPr>
        <w:t>e budgets</w:t>
      </w:r>
      <w:r w:rsidR="00CA15E0">
        <w:rPr>
          <w:rFonts w:ascii="Arial" w:hAnsi="Arial" w:cs="Arial"/>
          <w:sz w:val="22"/>
          <w:szCs w:val="22"/>
        </w:rPr>
        <w:t xml:space="preserve">.  </w:t>
      </w:r>
      <w:r w:rsidR="005F2504">
        <w:rPr>
          <w:rFonts w:ascii="Arial" w:hAnsi="Arial" w:cs="Arial"/>
          <w:sz w:val="22"/>
          <w:szCs w:val="22"/>
        </w:rPr>
        <w:t xml:space="preserve">A summary of the </w:t>
      </w:r>
      <w:r w:rsidR="00262B57">
        <w:rPr>
          <w:rFonts w:ascii="Arial" w:hAnsi="Arial" w:cs="Arial"/>
          <w:sz w:val="22"/>
          <w:szCs w:val="22"/>
        </w:rPr>
        <w:t xml:space="preserve">overall </w:t>
      </w:r>
      <w:r w:rsidR="005F2504">
        <w:rPr>
          <w:rFonts w:ascii="Arial" w:hAnsi="Arial" w:cs="Arial"/>
          <w:sz w:val="22"/>
          <w:szCs w:val="22"/>
        </w:rPr>
        <w:t xml:space="preserve">position </w:t>
      </w:r>
      <w:r w:rsidR="006935C1">
        <w:rPr>
          <w:rFonts w:ascii="Arial" w:hAnsi="Arial" w:cs="Arial"/>
          <w:sz w:val="22"/>
          <w:szCs w:val="22"/>
        </w:rPr>
        <w:t xml:space="preserve">by Directorate </w:t>
      </w:r>
      <w:r w:rsidR="005F2504">
        <w:rPr>
          <w:rFonts w:ascii="Arial" w:hAnsi="Arial" w:cs="Arial"/>
          <w:sz w:val="22"/>
          <w:szCs w:val="22"/>
        </w:rPr>
        <w:t xml:space="preserve">is presented </w:t>
      </w:r>
      <w:r w:rsidR="009D48D2">
        <w:rPr>
          <w:rFonts w:ascii="Arial" w:hAnsi="Arial" w:cs="Arial"/>
          <w:sz w:val="22"/>
          <w:szCs w:val="22"/>
        </w:rPr>
        <w:t xml:space="preserve">in table 1 </w:t>
      </w:r>
      <w:r w:rsidR="00210D21">
        <w:rPr>
          <w:rFonts w:ascii="Arial" w:hAnsi="Arial" w:cs="Arial"/>
          <w:sz w:val="22"/>
          <w:szCs w:val="22"/>
        </w:rPr>
        <w:t>below</w:t>
      </w:r>
      <w:r w:rsidR="005F2504">
        <w:rPr>
          <w:rFonts w:ascii="Arial" w:hAnsi="Arial" w:cs="Arial"/>
          <w:sz w:val="22"/>
          <w:szCs w:val="22"/>
        </w:rPr>
        <w:t>.</w:t>
      </w:r>
    </w:p>
    <w:p w:rsidR="00CA15E0" w:rsidRDefault="00CA15E0" w:rsidP="006E46EB">
      <w:pPr>
        <w:jc w:val="both"/>
        <w:rPr>
          <w:rFonts w:ascii="Arial" w:hAnsi="Arial" w:cs="Arial"/>
          <w:sz w:val="22"/>
          <w:szCs w:val="22"/>
        </w:rPr>
      </w:pPr>
    </w:p>
    <w:p w:rsidR="00CA15E0" w:rsidRDefault="002675C3" w:rsidP="006E46EB">
      <w:pPr>
        <w:jc w:val="both"/>
        <w:rPr>
          <w:rFonts w:ascii="Arial" w:hAnsi="Arial" w:cs="Arial"/>
          <w:sz w:val="22"/>
          <w:szCs w:val="22"/>
        </w:rPr>
      </w:pPr>
      <w:r w:rsidRPr="002675C3">
        <w:rPr>
          <w:noProof/>
        </w:rPr>
        <w:drawing>
          <wp:inline distT="0" distB="0" distL="0" distR="0" wp14:anchorId="2680172A" wp14:editId="1B057B14">
            <wp:extent cx="5760085" cy="53600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5360079"/>
                    </a:xfrm>
                    <a:prstGeom prst="rect">
                      <a:avLst/>
                    </a:prstGeom>
                    <a:noFill/>
                    <a:ln>
                      <a:noFill/>
                    </a:ln>
                  </pic:spPr>
                </pic:pic>
              </a:graphicData>
            </a:graphic>
          </wp:inline>
        </w:drawing>
      </w:r>
    </w:p>
    <w:p w:rsidR="00CA15E0" w:rsidRDefault="00CA15E0" w:rsidP="006E46EB">
      <w:pPr>
        <w:jc w:val="both"/>
        <w:rPr>
          <w:rFonts w:ascii="Arial" w:hAnsi="Arial" w:cs="Arial"/>
          <w:sz w:val="22"/>
          <w:szCs w:val="22"/>
        </w:rPr>
      </w:pPr>
    </w:p>
    <w:p w:rsidR="006E46EB" w:rsidRDefault="006E46EB" w:rsidP="006E46EB">
      <w:pPr>
        <w:jc w:val="both"/>
        <w:rPr>
          <w:rFonts w:ascii="Arial" w:hAnsi="Arial" w:cs="Arial"/>
          <w:sz w:val="22"/>
          <w:szCs w:val="22"/>
        </w:rPr>
      </w:pPr>
      <w:r w:rsidRPr="006E46EB">
        <w:rPr>
          <w:rFonts w:ascii="Arial" w:hAnsi="Arial" w:cs="Arial"/>
          <w:sz w:val="22"/>
          <w:szCs w:val="22"/>
        </w:rPr>
        <w:lastRenderedPageBreak/>
        <w:t xml:space="preserve">The main points to note in the </w:t>
      </w:r>
      <w:r w:rsidR="001166D1">
        <w:rPr>
          <w:rFonts w:ascii="Arial" w:hAnsi="Arial" w:cs="Arial"/>
          <w:sz w:val="22"/>
          <w:szCs w:val="22"/>
        </w:rPr>
        <w:t xml:space="preserve">first reported </w:t>
      </w:r>
      <w:r w:rsidRPr="006E46EB">
        <w:rPr>
          <w:rFonts w:ascii="Arial" w:hAnsi="Arial" w:cs="Arial"/>
          <w:sz w:val="22"/>
          <w:szCs w:val="22"/>
        </w:rPr>
        <w:t xml:space="preserve">outturn expenditure position </w:t>
      </w:r>
      <w:r w:rsidR="001166D1">
        <w:rPr>
          <w:rFonts w:ascii="Arial" w:hAnsi="Arial" w:cs="Arial"/>
          <w:sz w:val="22"/>
          <w:szCs w:val="22"/>
        </w:rPr>
        <w:t xml:space="preserve">for 2016/17, </w:t>
      </w:r>
      <w:r w:rsidRPr="006E46EB">
        <w:rPr>
          <w:rFonts w:ascii="Arial" w:hAnsi="Arial" w:cs="Arial"/>
          <w:sz w:val="22"/>
          <w:szCs w:val="22"/>
        </w:rPr>
        <w:t>as</w:t>
      </w:r>
      <w:r w:rsidR="0000631A">
        <w:rPr>
          <w:rFonts w:ascii="Arial" w:hAnsi="Arial" w:cs="Arial"/>
          <w:sz w:val="22"/>
          <w:szCs w:val="22"/>
        </w:rPr>
        <w:t xml:space="preserve"> at 31 Ma</w:t>
      </w:r>
      <w:r w:rsidR="00CA15E0">
        <w:rPr>
          <w:rFonts w:ascii="Arial" w:hAnsi="Arial" w:cs="Arial"/>
          <w:sz w:val="22"/>
          <w:szCs w:val="22"/>
        </w:rPr>
        <w:t>y</w:t>
      </w:r>
      <w:r w:rsidR="005F05D0">
        <w:rPr>
          <w:rFonts w:ascii="Arial" w:hAnsi="Arial" w:cs="Arial"/>
          <w:sz w:val="22"/>
          <w:szCs w:val="22"/>
        </w:rPr>
        <w:t xml:space="preserve"> 2016</w:t>
      </w:r>
      <w:r w:rsidR="00936A58">
        <w:rPr>
          <w:rFonts w:ascii="Arial" w:hAnsi="Arial" w:cs="Arial"/>
          <w:sz w:val="22"/>
          <w:szCs w:val="22"/>
        </w:rPr>
        <w:t xml:space="preserve"> of </w:t>
      </w:r>
      <w:r w:rsidR="00936A58" w:rsidRPr="009B4C8D">
        <w:rPr>
          <w:rFonts w:ascii="Arial" w:hAnsi="Arial" w:cs="Arial"/>
          <w:sz w:val="22"/>
          <w:szCs w:val="22"/>
        </w:rPr>
        <w:t>£</w:t>
      </w:r>
      <w:r w:rsidR="0000631A">
        <w:rPr>
          <w:rFonts w:ascii="Arial" w:hAnsi="Arial" w:cs="Arial"/>
          <w:sz w:val="22"/>
          <w:szCs w:val="22"/>
        </w:rPr>
        <w:t>2.</w:t>
      </w:r>
      <w:r w:rsidR="00CA15E0">
        <w:rPr>
          <w:rFonts w:ascii="Arial" w:hAnsi="Arial" w:cs="Arial"/>
          <w:sz w:val="22"/>
          <w:szCs w:val="22"/>
        </w:rPr>
        <w:t>03</w:t>
      </w:r>
      <w:r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Pr="00B1511E" w:rsidRDefault="002B67AD" w:rsidP="001F7421">
      <w:pPr>
        <w:pStyle w:val="ListParagraph"/>
        <w:numPr>
          <w:ilvl w:val="0"/>
          <w:numId w:val="17"/>
        </w:numPr>
        <w:jc w:val="both"/>
        <w:rPr>
          <w:rFonts w:ascii="Arial" w:hAnsi="Arial" w:cs="Arial"/>
          <w:sz w:val="22"/>
          <w:szCs w:val="22"/>
        </w:rPr>
      </w:pPr>
      <w:r w:rsidRPr="00B1511E">
        <w:rPr>
          <w:rFonts w:ascii="Arial" w:hAnsi="Arial" w:cs="Arial"/>
          <w:sz w:val="22"/>
          <w:szCs w:val="22"/>
        </w:rPr>
        <w:t>Total pa</w:t>
      </w:r>
      <w:r w:rsidR="000C5914" w:rsidRPr="00B1511E">
        <w:rPr>
          <w:rFonts w:ascii="Arial" w:hAnsi="Arial" w:cs="Arial"/>
          <w:sz w:val="22"/>
          <w:szCs w:val="22"/>
        </w:rPr>
        <w:t xml:space="preserve">y </w:t>
      </w:r>
      <w:r w:rsidR="0000631A" w:rsidRPr="00B1511E">
        <w:rPr>
          <w:rFonts w:ascii="Arial" w:hAnsi="Arial" w:cs="Arial"/>
          <w:sz w:val="22"/>
          <w:szCs w:val="22"/>
        </w:rPr>
        <w:t xml:space="preserve">costs incurred </w:t>
      </w:r>
      <w:r w:rsidR="00DC096C" w:rsidRPr="00B1511E">
        <w:rPr>
          <w:rFonts w:ascii="Arial" w:hAnsi="Arial" w:cs="Arial"/>
          <w:sz w:val="22"/>
          <w:szCs w:val="22"/>
        </w:rPr>
        <w:t>are £</w:t>
      </w:r>
      <w:r w:rsidR="00B1511E">
        <w:rPr>
          <w:rFonts w:ascii="Arial" w:hAnsi="Arial" w:cs="Arial"/>
          <w:sz w:val="22"/>
          <w:szCs w:val="22"/>
        </w:rPr>
        <w:t>1</w:t>
      </w:r>
      <w:r w:rsidR="0000631A" w:rsidRPr="00B1511E">
        <w:rPr>
          <w:rFonts w:ascii="Arial" w:hAnsi="Arial" w:cs="Arial"/>
          <w:sz w:val="22"/>
          <w:szCs w:val="22"/>
        </w:rPr>
        <w:t>.</w:t>
      </w:r>
      <w:r w:rsidR="00B1511E">
        <w:rPr>
          <w:rFonts w:ascii="Arial" w:hAnsi="Arial" w:cs="Arial"/>
          <w:sz w:val="22"/>
          <w:szCs w:val="22"/>
        </w:rPr>
        <w:t>4</w:t>
      </w:r>
      <w:r w:rsidR="004B5C87" w:rsidRPr="00B1511E">
        <w:rPr>
          <w:rFonts w:ascii="Arial" w:hAnsi="Arial" w:cs="Arial"/>
          <w:sz w:val="22"/>
          <w:szCs w:val="22"/>
        </w:rPr>
        <w:t>m</w:t>
      </w:r>
      <w:r w:rsidR="00EF27D7" w:rsidRPr="00B1511E">
        <w:rPr>
          <w:rFonts w:ascii="Arial" w:hAnsi="Arial" w:cs="Arial"/>
          <w:sz w:val="22"/>
          <w:szCs w:val="22"/>
        </w:rPr>
        <w:t xml:space="preserve"> (6</w:t>
      </w:r>
      <w:r w:rsidR="00B1511E">
        <w:rPr>
          <w:rFonts w:ascii="Arial" w:hAnsi="Arial" w:cs="Arial"/>
          <w:sz w:val="22"/>
          <w:szCs w:val="22"/>
        </w:rPr>
        <w:t>8</w:t>
      </w:r>
      <w:r w:rsidR="003A4D87" w:rsidRPr="00B1511E">
        <w:rPr>
          <w:rFonts w:ascii="Arial" w:hAnsi="Arial" w:cs="Arial"/>
          <w:sz w:val="22"/>
          <w:szCs w:val="22"/>
        </w:rPr>
        <w:t>%</w:t>
      </w:r>
      <w:r w:rsidR="00EF27D7" w:rsidRPr="00B1511E">
        <w:rPr>
          <w:rFonts w:ascii="Arial" w:hAnsi="Arial" w:cs="Arial"/>
          <w:sz w:val="22"/>
          <w:szCs w:val="22"/>
        </w:rPr>
        <w:t xml:space="preserve"> of total expenditure costs</w:t>
      </w:r>
      <w:r w:rsidR="003A4D87" w:rsidRPr="00B1511E">
        <w:rPr>
          <w:rFonts w:ascii="Arial" w:hAnsi="Arial" w:cs="Arial"/>
          <w:sz w:val="22"/>
          <w:szCs w:val="22"/>
        </w:rPr>
        <w:t>)</w:t>
      </w:r>
      <w:r w:rsidR="00EF27D7" w:rsidRPr="00B1511E">
        <w:rPr>
          <w:rFonts w:ascii="Arial" w:hAnsi="Arial" w:cs="Arial"/>
          <w:sz w:val="22"/>
          <w:szCs w:val="22"/>
        </w:rPr>
        <w:t>.</w:t>
      </w:r>
      <w:r w:rsidR="000C5914" w:rsidRPr="00B1511E">
        <w:rPr>
          <w:rFonts w:ascii="Arial" w:hAnsi="Arial" w:cs="Arial"/>
          <w:sz w:val="22"/>
          <w:szCs w:val="22"/>
        </w:rPr>
        <w:t xml:space="preserve"> </w:t>
      </w:r>
    </w:p>
    <w:p w:rsidR="005642DD" w:rsidRDefault="0000631A" w:rsidP="005642DD">
      <w:pPr>
        <w:pStyle w:val="ListParagraph"/>
        <w:numPr>
          <w:ilvl w:val="0"/>
          <w:numId w:val="17"/>
        </w:numPr>
        <w:jc w:val="both"/>
        <w:rPr>
          <w:rFonts w:ascii="Arial" w:hAnsi="Arial" w:cs="Arial"/>
          <w:sz w:val="22"/>
          <w:szCs w:val="22"/>
        </w:rPr>
      </w:pPr>
      <w:r w:rsidRPr="00B1511E">
        <w:rPr>
          <w:rFonts w:ascii="Arial" w:hAnsi="Arial" w:cs="Arial"/>
          <w:sz w:val="22"/>
          <w:szCs w:val="22"/>
        </w:rPr>
        <w:t>Of this, £</w:t>
      </w:r>
      <w:r w:rsidR="00B1511E">
        <w:rPr>
          <w:rFonts w:ascii="Arial" w:hAnsi="Arial" w:cs="Arial"/>
          <w:sz w:val="22"/>
          <w:szCs w:val="22"/>
        </w:rPr>
        <w:t>88</w:t>
      </w:r>
      <w:r w:rsidR="00B44CC0" w:rsidRPr="00B1511E">
        <w:rPr>
          <w:rFonts w:ascii="Arial" w:hAnsi="Arial" w:cs="Arial"/>
          <w:sz w:val="22"/>
          <w:szCs w:val="22"/>
        </w:rPr>
        <w:t xml:space="preserve">k </w:t>
      </w:r>
      <w:r w:rsidR="00143415" w:rsidRPr="00B1511E">
        <w:rPr>
          <w:rFonts w:ascii="Arial" w:hAnsi="Arial" w:cs="Arial"/>
          <w:sz w:val="22"/>
          <w:szCs w:val="22"/>
        </w:rPr>
        <w:t>(</w:t>
      </w:r>
      <w:r w:rsidR="002675C3">
        <w:rPr>
          <w:rFonts w:ascii="Arial" w:hAnsi="Arial" w:cs="Arial"/>
          <w:sz w:val="22"/>
          <w:szCs w:val="22"/>
        </w:rPr>
        <w:t>6.4</w:t>
      </w:r>
      <w:r w:rsidR="001540D4" w:rsidRPr="00B1511E">
        <w:rPr>
          <w:rFonts w:ascii="Arial" w:hAnsi="Arial" w:cs="Arial"/>
          <w:sz w:val="22"/>
          <w:szCs w:val="22"/>
        </w:rPr>
        <w:t xml:space="preserve">%) </w:t>
      </w:r>
      <w:r w:rsidR="00B44CC0" w:rsidRPr="00B1511E">
        <w:rPr>
          <w:rFonts w:ascii="Arial" w:hAnsi="Arial" w:cs="Arial"/>
          <w:sz w:val="22"/>
          <w:szCs w:val="22"/>
        </w:rPr>
        <w:t>relates to agency costs</w:t>
      </w:r>
      <w:r w:rsidR="006A2EF1" w:rsidRPr="00B1511E">
        <w:rPr>
          <w:rFonts w:ascii="Arial" w:hAnsi="Arial" w:cs="Arial"/>
          <w:sz w:val="22"/>
          <w:szCs w:val="22"/>
        </w:rPr>
        <w:t>. These costs include</w:t>
      </w:r>
      <w:r w:rsidR="00CC740F" w:rsidRPr="00B1511E">
        <w:rPr>
          <w:rFonts w:ascii="Arial" w:hAnsi="Arial" w:cs="Arial"/>
          <w:sz w:val="22"/>
          <w:szCs w:val="22"/>
        </w:rPr>
        <w:t xml:space="preserve"> </w:t>
      </w:r>
      <w:r w:rsidR="00B44CC0" w:rsidRPr="00B1511E">
        <w:rPr>
          <w:rFonts w:ascii="Arial" w:hAnsi="Arial" w:cs="Arial"/>
          <w:sz w:val="22"/>
          <w:szCs w:val="22"/>
        </w:rPr>
        <w:t xml:space="preserve">key research information systems </w:t>
      </w:r>
      <w:r w:rsidR="007B0DBE" w:rsidRPr="00B1511E">
        <w:rPr>
          <w:rFonts w:ascii="Arial" w:hAnsi="Arial" w:cs="Arial"/>
          <w:sz w:val="22"/>
          <w:szCs w:val="22"/>
        </w:rPr>
        <w:t xml:space="preserve">staff </w:t>
      </w:r>
      <w:proofErr w:type="gramStart"/>
      <w:r w:rsidR="00CC740F" w:rsidRPr="00B1511E">
        <w:rPr>
          <w:rFonts w:ascii="Arial" w:hAnsi="Arial" w:cs="Arial"/>
          <w:sz w:val="22"/>
          <w:szCs w:val="22"/>
        </w:rPr>
        <w:t>who</w:t>
      </w:r>
      <w:proofErr w:type="gramEnd"/>
      <w:r w:rsidR="00CC740F" w:rsidRPr="00B1511E">
        <w:rPr>
          <w:rFonts w:ascii="Arial" w:hAnsi="Arial" w:cs="Arial"/>
          <w:sz w:val="22"/>
          <w:szCs w:val="22"/>
        </w:rPr>
        <w:t xml:space="preserve"> are </w:t>
      </w:r>
      <w:r w:rsidR="007B0DBE" w:rsidRPr="00B1511E">
        <w:rPr>
          <w:rFonts w:ascii="Arial" w:hAnsi="Arial" w:cs="Arial"/>
          <w:sz w:val="22"/>
          <w:szCs w:val="22"/>
        </w:rPr>
        <w:t>progress</w:t>
      </w:r>
      <w:r w:rsidR="00CC740F" w:rsidRPr="00B1511E">
        <w:rPr>
          <w:rFonts w:ascii="Arial" w:hAnsi="Arial" w:cs="Arial"/>
          <w:sz w:val="22"/>
          <w:szCs w:val="22"/>
        </w:rPr>
        <w:t>ing</w:t>
      </w:r>
      <w:r w:rsidR="008960CE" w:rsidRPr="00B1511E">
        <w:rPr>
          <w:rFonts w:ascii="Arial" w:hAnsi="Arial" w:cs="Arial"/>
          <w:sz w:val="22"/>
          <w:szCs w:val="22"/>
        </w:rPr>
        <w:t xml:space="preserve"> c</w:t>
      </w:r>
      <w:r w:rsidR="00143415" w:rsidRPr="00B1511E">
        <w:rPr>
          <w:rFonts w:ascii="Arial" w:hAnsi="Arial" w:cs="Arial"/>
          <w:sz w:val="22"/>
          <w:szCs w:val="22"/>
        </w:rPr>
        <w:t>ritical work</w:t>
      </w:r>
      <w:r w:rsidR="002675C3">
        <w:rPr>
          <w:rFonts w:ascii="Arial" w:hAnsi="Arial" w:cs="Arial"/>
          <w:sz w:val="22"/>
          <w:szCs w:val="22"/>
        </w:rPr>
        <w:t xml:space="preserve">.  Work to recruit staff onto the payroll is nearing completion. This is in line with the developing </w:t>
      </w:r>
      <w:r w:rsidR="00F961F3" w:rsidRPr="00B1511E">
        <w:rPr>
          <w:rFonts w:ascii="Arial" w:hAnsi="Arial" w:cs="Arial"/>
          <w:sz w:val="22"/>
          <w:szCs w:val="22"/>
        </w:rPr>
        <w:t>Research Information Systems Strategy</w:t>
      </w:r>
      <w:r w:rsidR="002675C3">
        <w:rPr>
          <w:rFonts w:ascii="Arial" w:hAnsi="Arial" w:cs="Arial"/>
          <w:sz w:val="22"/>
          <w:szCs w:val="22"/>
        </w:rPr>
        <w:t>.</w:t>
      </w:r>
    </w:p>
    <w:p w:rsidR="005B0FDB" w:rsidRDefault="00FE11E3" w:rsidP="00A6115B">
      <w:pPr>
        <w:pStyle w:val="ListParagraph"/>
        <w:numPr>
          <w:ilvl w:val="0"/>
          <w:numId w:val="17"/>
        </w:numPr>
        <w:jc w:val="both"/>
        <w:rPr>
          <w:rFonts w:ascii="Arial" w:hAnsi="Arial" w:cs="Arial"/>
          <w:sz w:val="22"/>
          <w:szCs w:val="22"/>
        </w:rPr>
      </w:pPr>
      <w:r>
        <w:rPr>
          <w:rFonts w:ascii="Arial" w:hAnsi="Arial" w:cs="Arial"/>
          <w:sz w:val="22"/>
          <w:szCs w:val="22"/>
        </w:rPr>
        <w:t xml:space="preserve">Within the broad break even position year to date, there are two key areas to highlight. </w:t>
      </w:r>
      <w:r w:rsidR="005B0FDB" w:rsidRPr="00B1511E">
        <w:rPr>
          <w:rFonts w:ascii="Arial" w:hAnsi="Arial" w:cs="Arial"/>
          <w:sz w:val="22"/>
          <w:szCs w:val="22"/>
        </w:rPr>
        <w:t>The</w:t>
      </w:r>
      <w:r>
        <w:rPr>
          <w:rFonts w:ascii="Arial" w:hAnsi="Arial" w:cs="Arial"/>
          <w:sz w:val="22"/>
          <w:szCs w:val="22"/>
        </w:rPr>
        <w:t>re is an u</w:t>
      </w:r>
      <w:r w:rsidR="00C04A23" w:rsidRPr="00B1511E">
        <w:rPr>
          <w:rFonts w:ascii="Arial" w:hAnsi="Arial" w:cs="Arial"/>
          <w:sz w:val="22"/>
          <w:szCs w:val="22"/>
        </w:rPr>
        <w:t>nder spend</w:t>
      </w:r>
      <w:r w:rsidR="005B0FDB" w:rsidRPr="00B1511E">
        <w:rPr>
          <w:rFonts w:ascii="Arial" w:hAnsi="Arial" w:cs="Arial"/>
          <w:sz w:val="22"/>
          <w:szCs w:val="22"/>
        </w:rPr>
        <w:t xml:space="preserve"> </w:t>
      </w:r>
      <w:r w:rsidR="00773FB5" w:rsidRPr="00B1511E">
        <w:rPr>
          <w:rFonts w:ascii="Arial" w:hAnsi="Arial" w:cs="Arial"/>
          <w:sz w:val="22"/>
          <w:szCs w:val="22"/>
        </w:rPr>
        <w:t xml:space="preserve">year to date </w:t>
      </w:r>
      <w:r w:rsidR="005B0FDB" w:rsidRPr="00B1511E">
        <w:rPr>
          <w:rFonts w:ascii="Arial" w:hAnsi="Arial" w:cs="Arial"/>
          <w:sz w:val="22"/>
          <w:szCs w:val="22"/>
        </w:rPr>
        <w:t>relat</w:t>
      </w:r>
      <w:r>
        <w:rPr>
          <w:rFonts w:ascii="Arial" w:hAnsi="Arial" w:cs="Arial"/>
          <w:sz w:val="22"/>
          <w:szCs w:val="22"/>
        </w:rPr>
        <w:t>ing</w:t>
      </w:r>
      <w:r w:rsidR="005B0FDB" w:rsidRPr="00B1511E">
        <w:rPr>
          <w:rFonts w:ascii="Arial" w:hAnsi="Arial" w:cs="Arial"/>
          <w:sz w:val="22"/>
          <w:szCs w:val="22"/>
        </w:rPr>
        <w:t xml:space="preserve"> to </w:t>
      </w:r>
      <w:r w:rsidR="00605553" w:rsidRPr="00B1511E">
        <w:rPr>
          <w:rFonts w:ascii="Arial" w:hAnsi="Arial" w:cs="Arial"/>
          <w:sz w:val="22"/>
          <w:szCs w:val="22"/>
        </w:rPr>
        <w:t xml:space="preserve">the </w:t>
      </w:r>
      <w:r w:rsidR="003E2F76" w:rsidRPr="00B1511E">
        <w:rPr>
          <w:rFonts w:ascii="Arial" w:hAnsi="Arial" w:cs="Arial"/>
          <w:sz w:val="22"/>
          <w:szCs w:val="22"/>
        </w:rPr>
        <w:t xml:space="preserve">Research Systems, Standards and HRA Approval Programme directorate </w:t>
      </w:r>
      <w:r w:rsidR="007A5B29" w:rsidRPr="00B1511E">
        <w:rPr>
          <w:rFonts w:ascii="Arial" w:hAnsi="Arial" w:cs="Arial"/>
          <w:sz w:val="22"/>
          <w:szCs w:val="22"/>
        </w:rPr>
        <w:t>(£</w:t>
      </w:r>
      <w:r>
        <w:rPr>
          <w:rFonts w:ascii="Arial" w:hAnsi="Arial" w:cs="Arial"/>
          <w:sz w:val="22"/>
          <w:szCs w:val="22"/>
        </w:rPr>
        <w:t>34</w:t>
      </w:r>
      <w:r w:rsidR="007A5B29" w:rsidRPr="00B1511E">
        <w:rPr>
          <w:rFonts w:ascii="Arial" w:hAnsi="Arial" w:cs="Arial"/>
          <w:sz w:val="22"/>
          <w:szCs w:val="22"/>
        </w:rPr>
        <w:t>k</w:t>
      </w:r>
      <w:r>
        <w:rPr>
          <w:rFonts w:ascii="Arial" w:hAnsi="Arial" w:cs="Arial"/>
          <w:sz w:val="22"/>
          <w:szCs w:val="22"/>
        </w:rPr>
        <w:t>)</w:t>
      </w:r>
      <w:r w:rsidR="007A5B29" w:rsidRPr="00B1511E">
        <w:rPr>
          <w:rFonts w:ascii="Arial" w:hAnsi="Arial" w:cs="Arial"/>
          <w:sz w:val="22"/>
          <w:szCs w:val="22"/>
        </w:rPr>
        <w:t>, of which £</w:t>
      </w:r>
      <w:r>
        <w:rPr>
          <w:rFonts w:ascii="Arial" w:hAnsi="Arial" w:cs="Arial"/>
          <w:sz w:val="22"/>
          <w:szCs w:val="22"/>
        </w:rPr>
        <w:t>27</w:t>
      </w:r>
      <w:r w:rsidR="007A5B29" w:rsidRPr="00B1511E">
        <w:rPr>
          <w:rFonts w:ascii="Arial" w:hAnsi="Arial" w:cs="Arial"/>
          <w:sz w:val="22"/>
          <w:szCs w:val="22"/>
        </w:rPr>
        <w:t xml:space="preserve">k relates to </w:t>
      </w:r>
      <w:r>
        <w:rPr>
          <w:rFonts w:ascii="Arial" w:hAnsi="Arial" w:cs="Arial"/>
          <w:sz w:val="22"/>
          <w:szCs w:val="22"/>
        </w:rPr>
        <w:t>vacancies within performance management, collaboration &amp; development and assessment</w:t>
      </w:r>
      <w:r w:rsidR="007A5B29" w:rsidRPr="00B1511E">
        <w:rPr>
          <w:rFonts w:ascii="Arial" w:hAnsi="Arial" w:cs="Arial"/>
          <w:sz w:val="22"/>
          <w:szCs w:val="22"/>
        </w:rPr>
        <w:t>)</w:t>
      </w:r>
      <w:r>
        <w:rPr>
          <w:rFonts w:ascii="Arial" w:hAnsi="Arial" w:cs="Arial"/>
          <w:sz w:val="22"/>
          <w:szCs w:val="22"/>
        </w:rPr>
        <w:t xml:space="preserve">.  There is an offsetting overspend of £21k within corporate services all of which relates to staff training and is </w:t>
      </w:r>
      <w:r w:rsidR="00F83F39">
        <w:rPr>
          <w:rFonts w:ascii="Arial" w:hAnsi="Arial" w:cs="Arial"/>
          <w:sz w:val="22"/>
          <w:szCs w:val="22"/>
        </w:rPr>
        <w:t xml:space="preserve">due the miscoding of expenditure related to the </w:t>
      </w:r>
      <w:r>
        <w:rPr>
          <w:rFonts w:ascii="Arial" w:hAnsi="Arial" w:cs="Arial"/>
          <w:sz w:val="22"/>
          <w:szCs w:val="22"/>
        </w:rPr>
        <w:t>all st</w:t>
      </w:r>
      <w:r w:rsidR="00F83F39">
        <w:rPr>
          <w:rFonts w:ascii="Arial" w:hAnsi="Arial" w:cs="Arial"/>
          <w:sz w:val="22"/>
          <w:szCs w:val="22"/>
        </w:rPr>
        <w:t xml:space="preserve">aff day, which should have been charged to </w:t>
      </w:r>
      <w:r w:rsidR="0009591A">
        <w:rPr>
          <w:rFonts w:ascii="Arial" w:hAnsi="Arial" w:cs="Arial"/>
          <w:sz w:val="22"/>
          <w:szCs w:val="22"/>
        </w:rPr>
        <w:t xml:space="preserve">the </w:t>
      </w:r>
      <w:r w:rsidR="00F83F39">
        <w:rPr>
          <w:rFonts w:ascii="Arial" w:hAnsi="Arial" w:cs="Arial"/>
          <w:sz w:val="22"/>
          <w:szCs w:val="22"/>
        </w:rPr>
        <w:t>communications</w:t>
      </w:r>
      <w:r w:rsidR="0009591A">
        <w:rPr>
          <w:rFonts w:ascii="Arial" w:hAnsi="Arial" w:cs="Arial"/>
          <w:sz w:val="22"/>
          <w:szCs w:val="22"/>
        </w:rPr>
        <w:t xml:space="preserve"> budget th</w:t>
      </w:r>
      <w:r w:rsidR="00F83F39">
        <w:rPr>
          <w:rFonts w:ascii="Arial" w:hAnsi="Arial" w:cs="Arial"/>
          <w:sz w:val="22"/>
          <w:szCs w:val="22"/>
        </w:rPr>
        <w:t xml:space="preserve">e profile of </w:t>
      </w:r>
      <w:r w:rsidR="0009591A">
        <w:rPr>
          <w:rFonts w:ascii="Arial" w:hAnsi="Arial" w:cs="Arial"/>
          <w:sz w:val="22"/>
          <w:szCs w:val="22"/>
        </w:rPr>
        <w:t xml:space="preserve">which </w:t>
      </w:r>
      <w:r w:rsidR="00F83F39">
        <w:rPr>
          <w:rFonts w:ascii="Arial" w:hAnsi="Arial" w:cs="Arial"/>
          <w:sz w:val="22"/>
          <w:szCs w:val="22"/>
        </w:rPr>
        <w:t>also requires correction.</w:t>
      </w:r>
    </w:p>
    <w:p w:rsidR="00361479" w:rsidRPr="00361479" w:rsidRDefault="00361479" w:rsidP="00361479">
      <w:pPr>
        <w:pStyle w:val="ListParagraph"/>
        <w:numPr>
          <w:ilvl w:val="0"/>
          <w:numId w:val="17"/>
        </w:numPr>
        <w:jc w:val="both"/>
        <w:rPr>
          <w:rFonts w:ascii="Arial" w:hAnsi="Arial" w:cs="Arial"/>
          <w:sz w:val="22"/>
          <w:szCs w:val="22"/>
        </w:rPr>
      </w:pPr>
      <w:r w:rsidRPr="00361479">
        <w:rPr>
          <w:rFonts w:ascii="Arial" w:hAnsi="Arial" w:cs="Arial"/>
          <w:sz w:val="22"/>
          <w:szCs w:val="22"/>
        </w:rPr>
        <w:t xml:space="preserve">Pay budgets are under </w:t>
      </w:r>
      <w:proofErr w:type="gramStart"/>
      <w:r w:rsidRPr="00361479">
        <w:rPr>
          <w:rFonts w:ascii="Arial" w:hAnsi="Arial" w:cs="Arial"/>
          <w:sz w:val="22"/>
          <w:szCs w:val="22"/>
        </w:rPr>
        <w:t>spend</w:t>
      </w:r>
      <w:proofErr w:type="gramEnd"/>
      <w:r w:rsidRPr="00361479">
        <w:rPr>
          <w:rFonts w:ascii="Arial" w:hAnsi="Arial" w:cs="Arial"/>
          <w:sz w:val="22"/>
          <w:szCs w:val="22"/>
        </w:rPr>
        <w:t xml:space="preserve"> by almost £50k. This is net of a £25k year to date vacancy factor, the overall pay underspend would have therefore been £75k.  Half of the £50k is within the Research Systems, Standards and HRA Approval Programme directorate.  Further work is required to identify the reasons and plans to re-cycle this money into supporting the service being provided.  The remainder of the pay underspend is shared almost equally across all Directorates. </w:t>
      </w:r>
    </w:p>
    <w:p w:rsidR="00361479" w:rsidRPr="00577CC7" w:rsidRDefault="00361479" w:rsidP="00577CC7">
      <w:pPr>
        <w:pStyle w:val="ListParagraph"/>
        <w:numPr>
          <w:ilvl w:val="0"/>
          <w:numId w:val="17"/>
        </w:numPr>
        <w:jc w:val="both"/>
        <w:rPr>
          <w:rFonts w:ascii="Arial" w:hAnsi="Arial" w:cs="Arial"/>
          <w:sz w:val="22"/>
          <w:szCs w:val="22"/>
        </w:rPr>
      </w:pPr>
      <w:r w:rsidRPr="00361479">
        <w:rPr>
          <w:rFonts w:ascii="Arial" w:hAnsi="Arial" w:cs="Arial"/>
          <w:sz w:val="22"/>
          <w:szCs w:val="22"/>
        </w:rPr>
        <w:t xml:space="preserve">Non-pay budgets are over spent by £46k.    £28k is within Corporate Services and </w:t>
      </w:r>
      <w:r>
        <w:rPr>
          <w:rFonts w:ascii="Arial" w:hAnsi="Arial" w:cs="Arial"/>
          <w:sz w:val="22"/>
          <w:szCs w:val="22"/>
        </w:rPr>
        <w:t>is due to the all staff day accounting treatment which will be corrected.</w:t>
      </w:r>
      <w:r w:rsidR="00577CC7">
        <w:rPr>
          <w:rFonts w:ascii="Arial" w:hAnsi="Arial" w:cs="Arial"/>
          <w:sz w:val="22"/>
          <w:szCs w:val="22"/>
        </w:rPr>
        <w:t xml:space="preserve">  Recruitment costs are another area of pressure which will need to be funded from reserves.  An £11k overall over spend within the operations directorate is due to the archiving project running into the new year £30k year to date impact</w:t>
      </w:r>
      <w:r w:rsidR="0009591A">
        <w:rPr>
          <w:rFonts w:ascii="Arial" w:hAnsi="Arial" w:cs="Arial"/>
          <w:sz w:val="22"/>
          <w:szCs w:val="22"/>
        </w:rPr>
        <w:t xml:space="preserve"> (this is expected to rise to circa £70k)</w:t>
      </w:r>
      <w:r w:rsidR="00577CC7">
        <w:rPr>
          <w:rFonts w:ascii="Arial" w:hAnsi="Arial" w:cs="Arial"/>
          <w:sz w:val="22"/>
          <w:szCs w:val="22"/>
        </w:rPr>
        <w:t>, offset by under spends in meeting expenses (£7k),  travel costs (£7k) and chairs Allowance (£5k) which require further investigation and resolution.</w:t>
      </w:r>
    </w:p>
    <w:p w:rsidR="00156315" w:rsidRDefault="00FE11E3" w:rsidP="00CA15E0">
      <w:pPr>
        <w:pStyle w:val="ListParagraph"/>
        <w:numPr>
          <w:ilvl w:val="0"/>
          <w:numId w:val="17"/>
        </w:numPr>
        <w:spacing w:after="200" w:line="276" w:lineRule="auto"/>
        <w:rPr>
          <w:rFonts w:ascii="Arial" w:hAnsi="Arial" w:cs="Arial"/>
          <w:sz w:val="22"/>
          <w:szCs w:val="22"/>
        </w:rPr>
      </w:pPr>
      <w:r w:rsidRPr="00156315">
        <w:rPr>
          <w:rFonts w:ascii="Arial" w:hAnsi="Arial" w:cs="Arial"/>
          <w:sz w:val="22"/>
          <w:szCs w:val="22"/>
        </w:rPr>
        <w:t xml:space="preserve">The expectation is that all staff will be </w:t>
      </w:r>
      <w:r w:rsidR="0009591A">
        <w:rPr>
          <w:rFonts w:ascii="Arial" w:hAnsi="Arial" w:cs="Arial"/>
          <w:sz w:val="22"/>
          <w:szCs w:val="22"/>
        </w:rPr>
        <w:t>in post</w:t>
      </w:r>
      <w:r w:rsidRPr="00156315">
        <w:rPr>
          <w:rFonts w:ascii="Arial" w:hAnsi="Arial" w:cs="Arial"/>
          <w:sz w:val="22"/>
          <w:szCs w:val="22"/>
        </w:rPr>
        <w:t xml:space="preserve"> </w:t>
      </w:r>
      <w:r w:rsidR="0009591A">
        <w:rPr>
          <w:rFonts w:ascii="Arial" w:hAnsi="Arial" w:cs="Arial"/>
          <w:sz w:val="22"/>
          <w:szCs w:val="22"/>
        </w:rPr>
        <w:t xml:space="preserve">within </w:t>
      </w:r>
      <w:r w:rsidR="001B0CA4" w:rsidRPr="00156315">
        <w:rPr>
          <w:rFonts w:ascii="Arial" w:hAnsi="Arial" w:cs="Arial"/>
          <w:sz w:val="22"/>
          <w:szCs w:val="22"/>
        </w:rPr>
        <w:t xml:space="preserve">the </w:t>
      </w:r>
      <w:r w:rsidR="00CC7BEE" w:rsidRPr="00156315">
        <w:rPr>
          <w:rFonts w:ascii="Arial" w:hAnsi="Arial" w:cs="Arial"/>
          <w:sz w:val="22"/>
          <w:szCs w:val="22"/>
        </w:rPr>
        <w:t>HRA Approval</w:t>
      </w:r>
      <w:r w:rsidR="001B0CA4" w:rsidRPr="00156315">
        <w:rPr>
          <w:rFonts w:ascii="Arial" w:hAnsi="Arial" w:cs="Arial"/>
          <w:sz w:val="22"/>
          <w:szCs w:val="22"/>
        </w:rPr>
        <w:t xml:space="preserve"> programme</w:t>
      </w:r>
      <w:r w:rsidR="00156315" w:rsidRPr="00156315">
        <w:rPr>
          <w:rFonts w:ascii="Arial" w:hAnsi="Arial" w:cs="Arial"/>
          <w:sz w:val="22"/>
          <w:szCs w:val="22"/>
        </w:rPr>
        <w:t xml:space="preserve"> by June with some further refinements being made in response to emerging workload pressures.</w:t>
      </w:r>
      <w:r w:rsidR="00CC7BEE" w:rsidRPr="00156315">
        <w:rPr>
          <w:rFonts w:ascii="Arial" w:hAnsi="Arial" w:cs="Arial"/>
          <w:sz w:val="22"/>
          <w:szCs w:val="22"/>
        </w:rPr>
        <w:t xml:space="preserve">  </w:t>
      </w:r>
      <w:r w:rsidR="00773FB5" w:rsidRPr="00156315">
        <w:rPr>
          <w:rFonts w:ascii="Arial" w:hAnsi="Arial" w:cs="Arial"/>
          <w:sz w:val="22"/>
          <w:szCs w:val="22"/>
        </w:rPr>
        <w:t>T</w:t>
      </w:r>
      <w:r w:rsidR="002B67AD" w:rsidRPr="00156315">
        <w:rPr>
          <w:rFonts w:ascii="Arial" w:hAnsi="Arial" w:cs="Arial"/>
          <w:sz w:val="22"/>
          <w:szCs w:val="22"/>
        </w:rPr>
        <w:t xml:space="preserve">he </w:t>
      </w:r>
      <w:r w:rsidR="0009591A">
        <w:rPr>
          <w:rFonts w:ascii="Arial" w:hAnsi="Arial" w:cs="Arial"/>
          <w:sz w:val="22"/>
          <w:szCs w:val="22"/>
        </w:rPr>
        <w:t xml:space="preserve">final </w:t>
      </w:r>
      <w:r w:rsidR="002B67AD" w:rsidRPr="00156315">
        <w:rPr>
          <w:rFonts w:ascii="Arial" w:hAnsi="Arial" w:cs="Arial"/>
          <w:sz w:val="22"/>
          <w:szCs w:val="22"/>
        </w:rPr>
        <w:t xml:space="preserve">profile of </w:t>
      </w:r>
      <w:r w:rsidR="000949D1" w:rsidRPr="00156315">
        <w:rPr>
          <w:rFonts w:ascii="Arial" w:hAnsi="Arial" w:cs="Arial"/>
          <w:sz w:val="22"/>
          <w:szCs w:val="22"/>
        </w:rPr>
        <w:t xml:space="preserve">actual </w:t>
      </w:r>
      <w:r w:rsidR="002B67AD" w:rsidRPr="00156315">
        <w:rPr>
          <w:rFonts w:ascii="Arial" w:hAnsi="Arial" w:cs="Arial"/>
          <w:sz w:val="22"/>
          <w:szCs w:val="22"/>
        </w:rPr>
        <w:t xml:space="preserve">starters is set out </w:t>
      </w:r>
      <w:r w:rsidR="00AA70A4" w:rsidRPr="00156315">
        <w:rPr>
          <w:rFonts w:ascii="Arial" w:hAnsi="Arial" w:cs="Arial"/>
          <w:sz w:val="22"/>
          <w:szCs w:val="22"/>
        </w:rPr>
        <w:t xml:space="preserve">in the </w:t>
      </w:r>
      <w:r w:rsidR="009D48D2" w:rsidRPr="00156315">
        <w:rPr>
          <w:rFonts w:ascii="Arial" w:hAnsi="Arial" w:cs="Arial"/>
          <w:sz w:val="22"/>
          <w:szCs w:val="22"/>
        </w:rPr>
        <w:t>T</w:t>
      </w:r>
      <w:r w:rsidR="00AA70A4" w:rsidRPr="00156315">
        <w:rPr>
          <w:rFonts w:ascii="Arial" w:hAnsi="Arial" w:cs="Arial"/>
          <w:sz w:val="22"/>
          <w:szCs w:val="22"/>
        </w:rPr>
        <w:t xml:space="preserve">able </w:t>
      </w:r>
      <w:r w:rsidR="009D48D2" w:rsidRPr="00156315">
        <w:rPr>
          <w:rFonts w:ascii="Arial" w:hAnsi="Arial" w:cs="Arial"/>
          <w:sz w:val="22"/>
          <w:szCs w:val="22"/>
        </w:rPr>
        <w:t>2 below</w:t>
      </w:r>
      <w:r w:rsidR="00447D56" w:rsidRPr="00156315">
        <w:rPr>
          <w:rFonts w:ascii="Arial" w:hAnsi="Arial" w:cs="Arial"/>
          <w:sz w:val="22"/>
          <w:szCs w:val="22"/>
        </w:rPr>
        <w:t xml:space="preserve"> and shows that there are still </w:t>
      </w:r>
      <w:r w:rsidR="00156315" w:rsidRPr="00156315">
        <w:rPr>
          <w:rFonts w:ascii="Arial" w:hAnsi="Arial" w:cs="Arial"/>
          <w:sz w:val="22"/>
          <w:szCs w:val="22"/>
        </w:rPr>
        <w:t>4</w:t>
      </w:r>
      <w:r w:rsidR="00447D56" w:rsidRPr="00156315">
        <w:rPr>
          <w:rFonts w:ascii="Arial" w:hAnsi="Arial" w:cs="Arial"/>
          <w:sz w:val="22"/>
          <w:szCs w:val="22"/>
        </w:rPr>
        <w:t xml:space="preserve"> new starters yet to join the payroll</w:t>
      </w:r>
      <w:r w:rsidR="00831566" w:rsidRPr="00156315">
        <w:rPr>
          <w:rFonts w:ascii="Arial" w:hAnsi="Arial" w:cs="Arial"/>
          <w:sz w:val="22"/>
          <w:szCs w:val="22"/>
        </w:rPr>
        <w:t xml:space="preserve"> during June 2016</w:t>
      </w:r>
      <w:r w:rsidR="000949D1" w:rsidRPr="00156315">
        <w:rPr>
          <w:rFonts w:ascii="Arial" w:hAnsi="Arial" w:cs="Arial"/>
          <w:sz w:val="22"/>
          <w:szCs w:val="22"/>
        </w:rPr>
        <w:t>.</w:t>
      </w:r>
      <w:r w:rsidR="00831566" w:rsidRPr="00156315">
        <w:rPr>
          <w:rFonts w:ascii="Arial" w:hAnsi="Arial" w:cs="Arial"/>
          <w:sz w:val="22"/>
          <w:szCs w:val="22"/>
        </w:rPr>
        <w:t xml:space="preserve">  </w:t>
      </w:r>
    </w:p>
    <w:p w:rsidR="001166D1" w:rsidRDefault="001166D1" w:rsidP="001166D1">
      <w:pPr>
        <w:pStyle w:val="ListParagraph"/>
        <w:spacing w:after="200" w:line="276" w:lineRule="auto"/>
        <w:ind w:left="1080"/>
        <w:rPr>
          <w:rFonts w:ascii="Arial" w:hAnsi="Arial" w:cs="Arial"/>
          <w:sz w:val="22"/>
          <w:szCs w:val="22"/>
        </w:rPr>
      </w:pPr>
    </w:p>
    <w:p w:rsidR="001166D1" w:rsidRPr="001166D1" w:rsidRDefault="001166D1" w:rsidP="001166D1">
      <w:pPr>
        <w:pStyle w:val="ListParagraph"/>
        <w:spacing w:after="200" w:line="276" w:lineRule="auto"/>
        <w:ind w:left="1080"/>
        <w:rPr>
          <w:rFonts w:ascii="Arial" w:hAnsi="Arial" w:cs="Arial"/>
          <w:b/>
          <w:sz w:val="22"/>
          <w:szCs w:val="22"/>
        </w:rPr>
      </w:pPr>
      <w:r w:rsidRPr="001166D1">
        <w:rPr>
          <w:rFonts w:ascii="Arial" w:hAnsi="Arial" w:cs="Arial"/>
          <w:b/>
          <w:sz w:val="22"/>
          <w:szCs w:val="22"/>
        </w:rPr>
        <w:t>Table 2:  HRA Recruitment phases</w:t>
      </w:r>
    </w:p>
    <w:p w:rsidR="00156315" w:rsidRDefault="00156315" w:rsidP="00156315">
      <w:pPr>
        <w:pStyle w:val="ListParagraph"/>
        <w:spacing w:after="200" w:line="276" w:lineRule="auto"/>
        <w:ind w:left="1080"/>
        <w:rPr>
          <w:rFonts w:ascii="Arial" w:hAnsi="Arial" w:cs="Arial"/>
          <w:sz w:val="22"/>
          <w:szCs w:val="22"/>
        </w:rPr>
      </w:pPr>
    </w:p>
    <w:p w:rsidR="00156315" w:rsidRDefault="00156315" w:rsidP="00156315">
      <w:pPr>
        <w:pStyle w:val="ListParagraph"/>
        <w:spacing w:after="200" w:line="276" w:lineRule="auto"/>
        <w:ind w:left="1080"/>
        <w:rPr>
          <w:rFonts w:ascii="Arial" w:hAnsi="Arial" w:cs="Arial"/>
          <w:sz w:val="22"/>
          <w:szCs w:val="22"/>
        </w:rPr>
      </w:pPr>
      <w:r w:rsidRPr="00156315">
        <w:rPr>
          <w:noProof/>
        </w:rPr>
        <w:drawing>
          <wp:inline distT="0" distB="0" distL="0" distR="0">
            <wp:extent cx="40576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1543050"/>
                    </a:xfrm>
                    <a:prstGeom prst="rect">
                      <a:avLst/>
                    </a:prstGeom>
                    <a:noFill/>
                    <a:ln>
                      <a:noFill/>
                    </a:ln>
                  </pic:spPr>
                </pic:pic>
              </a:graphicData>
            </a:graphic>
          </wp:inline>
        </w:drawing>
      </w:r>
    </w:p>
    <w:p w:rsidR="00156315" w:rsidRDefault="00156315" w:rsidP="00156315">
      <w:pPr>
        <w:pStyle w:val="ListParagraph"/>
        <w:spacing w:after="200" w:line="276" w:lineRule="auto"/>
        <w:ind w:left="1080"/>
        <w:rPr>
          <w:rFonts w:ascii="Arial" w:hAnsi="Arial" w:cs="Arial"/>
          <w:sz w:val="22"/>
          <w:szCs w:val="22"/>
        </w:rPr>
      </w:pPr>
    </w:p>
    <w:p w:rsidR="00106106" w:rsidRPr="00106106" w:rsidRDefault="00106106" w:rsidP="00106106">
      <w:pPr>
        <w:pStyle w:val="ListParagraph"/>
        <w:spacing w:after="200" w:line="276" w:lineRule="auto"/>
        <w:ind w:left="1440"/>
        <w:rPr>
          <w:rFonts w:ascii="Arial" w:hAnsi="Arial" w:cs="Arial"/>
          <w:b/>
          <w:sz w:val="22"/>
          <w:szCs w:val="22"/>
        </w:rPr>
      </w:pPr>
    </w:p>
    <w:p w:rsidR="0055512B" w:rsidRDefault="001166D1" w:rsidP="001166D1">
      <w:pPr>
        <w:pStyle w:val="ListParagraph"/>
        <w:numPr>
          <w:ilvl w:val="0"/>
          <w:numId w:val="17"/>
        </w:numPr>
        <w:spacing w:after="200" w:line="276" w:lineRule="auto"/>
        <w:rPr>
          <w:rFonts w:ascii="Arial" w:hAnsi="Arial" w:cs="Arial"/>
          <w:sz w:val="22"/>
          <w:szCs w:val="22"/>
        </w:rPr>
      </w:pPr>
      <w:r>
        <w:rPr>
          <w:rFonts w:ascii="Arial" w:hAnsi="Arial" w:cs="Arial"/>
          <w:sz w:val="22"/>
          <w:szCs w:val="22"/>
        </w:rPr>
        <w:t>T</w:t>
      </w:r>
      <w:r w:rsidRPr="001166D1">
        <w:rPr>
          <w:rFonts w:ascii="Arial" w:hAnsi="Arial" w:cs="Arial"/>
          <w:sz w:val="22"/>
          <w:szCs w:val="22"/>
        </w:rPr>
        <w:t xml:space="preserve">ables </w:t>
      </w:r>
      <w:r>
        <w:rPr>
          <w:rFonts w:ascii="Arial" w:hAnsi="Arial" w:cs="Arial"/>
          <w:sz w:val="22"/>
          <w:szCs w:val="22"/>
        </w:rPr>
        <w:t>3 and 4 below present the run rate of expenditure by type</w:t>
      </w:r>
      <w:proofErr w:type="gramStart"/>
      <w:r>
        <w:rPr>
          <w:rFonts w:ascii="Arial" w:hAnsi="Arial" w:cs="Arial"/>
          <w:sz w:val="22"/>
          <w:szCs w:val="22"/>
        </w:rPr>
        <w:t>,  pay</w:t>
      </w:r>
      <w:proofErr w:type="gramEnd"/>
      <w:r>
        <w:rPr>
          <w:rFonts w:ascii="Arial" w:hAnsi="Arial" w:cs="Arial"/>
          <w:sz w:val="22"/>
          <w:szCs w:val="22"/>
        </w:rPr>
        <w:t xml:space="preserve"> and </w:t>
      </w:r>
      <w:proofErr w:type="spellStart"/>
      <w:r>
        <w:rPr>
          <w:rFonts w:ascii="Arial" w:hAnsi="Arial" w:cs="Arial"/>
          <w:sz w:val="22"/>
          <w:szCs w:val="22"/>
        </w:rPr>
        <w:t>non pay</w:t>
      </w:r>
      <w:proofErr w:type="spellEnd"/>
      <w:r>
        <w:rPr>
          <w:rFonts w:ascii="Arial" w:hAnsi="Arial" w:cs="Arial"/>
          <w:sz w:val="22"/>
          <w:szCs w:val="22"/>
        </w:rPr>
        <w:t>.  This is the first full month end for the 2016/17 year and the stepped increase in the trend lines between April and May is due to full accruals accounting being actioned in May which were not adjusted for in April, whilst the finance team concentrated on the financial year end for 2015/16.</w:t>
      </w:r>
    </w:p>
    <w:p w:rsidR="001166D1" w:rsidRDefault="001166D1" w:rsidP="001166D1">
      <w:pPr>
        <w:spacing w:after="200" w:line="276" w:lineRule="auto"/>
        <w:rPr>
          <w:rFonts w:ascii="Arial" w:hAnsi="Arial" w:cs="Arial"/>
          <w:sz w:val="22"/>
          <w:szCs w:val="22"/>
        </w:rPr>
      </w:pPr>
    </w:p>
    <w:p w:rsidR="001166D1" w:rsidRPr="001166D1" w:rsidRDefault="001166D1" w:rsidP="001166D1">
      <w:pPr>
        <w:spacing w:after="200" w:line="276" w:lineRule="auto"/>
        <w:ind w:firstLine="709"/>
        <w:rPr>
          <w:rFonts w:ascii="Arial" w:hAnsi="Arial" w:cs="Arial"/>
          <w:b/>
          <w:sz w:val="22"/>
          <w:szCs w:val="22"/>
        </w:rPr>
      </w:pPr>
      <w:r w:rsidRPr="001166D1">
        <w:rPr>
          <w:rFonts w:ascii="Arial" w:hAnsi="Arial" w:cs="Arial"/>
          <w:b/>
          <w:sz w:val="22"/>
          <w:szCs w:val="22"/>
        </w:rPr>
        <w:lastRenderedPageBreak/>
        <w:t>Table 3:  Profile of planned and actual Pay costs 2016/17</w:t>
      </w:r>
    </w:p>
    <w:p w:rsidR="00F03CDB" w:rsidRDefault="00D15B33"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47242464">
            <wp:extent cx="5487035" cy="35788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035" cy="357886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t xml:space="preserve">Table </w:t>
      </w:r>
      <w:r w:rsidR="001166D1">
        <w:rPr>
          <w:rFonts w:ascii="Arial" w:hAnsi="Arial" w:cs="Arial"/>
          <w:b/>
          <w:sz w:val="22"/>
          <w:szCs w:val="22"/>
        </w:rPr>
        <w:t>4</w:t>
      </w:r>
      <w:r>
        <w:rPr>
          <w:rFonts w:ascii="Arial" w:hAnsi="Arial" w:cs="Arial"/>
          <w:b/>
          <w:sz w:val="22"/>
          <w:szCs w:val="22"/>
        </w:rPr>
        <w:t xml:space="preserve">:  </w:t>
      </w:r>
      <w:r w:rsidRPr="009D48D2">
        <w:rPr>
          <w:rFonts w:ascii="Arial" w:hAnsi="Arial" w:cs="Arial"/>
          <w:b/>
          <w:sz w:val="22"/>
          <w:szCs w:val="22"/>
        </w:rPr>
        <w:t xml:space="preserve">Profile of planned and actual </w:t>
      </w:r>
      <w:r>
        <w:rPr>
          <w:rFonts w:ascii="Arial" w:hAnsi="Arial" w:cs="Arial"/>
          <w:b/>
          <w:sz w:val="22"/>
          <w:szCs w:val="22"/>
        </w:rPr>
        <w:t xml:space="preserve">Non </w:t>
      </w:r>
      <w:r w:rsidR="00D15B33">
        <w:rPr>
          <w:rFonts w:ascii="Arial" w:hAnsi="Arial" w:cs="Arial"/>
          <w:b/>
          <w:sz w:val="22"/>
          <w:szCs w:val="22"/>
        </w:rPr>
        <w:t>Pay costs 2016</w:t>
      </w:r>
      <w:r w:rsidRPr="009D48D2">
        <w:rPr>
          <w:rFonts w:ascii="Arial" w:hAnsi="Arial" w:cs="Arial"/>
          <w:b/>
          <w:sz w:val="22"/>
          <w:szCs w:val="22"/>
        </w:rPr>
        <w:t>/1</w:t>
      </w:r>
      <w:r w:rsidR="00D15B33">
        <w:rPr>
          <w:rFonts w:ascii="Arial" w:hAnsi="Arial" w:cs="Arial"/>
          <w:b/>
          <w:sz w:val="22"/>
          <w:szCs w:val="22"/>
        </w:rPr>
        <w:t>7</w:t>
      </w:r>
    </w:p>
    <w:p w:rsidR="00A310F0" w:rsidRDefault="00A310F0" w:rsidP="00E16DE6">
      <w:pPr>
        <w:pStyle w:val="ListParagraph"/>
        <w:spacing w:after="200" w:line="276" w:lineRule="auto"/>
        <w:ind w:left="709"/>
        <w:rPr>
          <w:rFonts w:ascii="Arial" w:hAnsi="Arial" w:cs="Arial"/>
          <w:b/>
          <w:sz w:val="22"/>
          <w:szCs w:val="22"/>
        </w:rPr>
      </w:pPr>
    </w:p>
    <w:p w:rsidR="00D15B33" w:rsidRDefault="00D15B33"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1E76C441">
            <wp:extent cx="5487035" cy="3609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7035" cy="360934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t>4.  Forecast outturn 201</w:t>
      </w:r>
      <w:r w:rsidR="00D15B33">
        <w:rPr>
          <w:rFonts w:ascii="Arial" w:hAnsi="Arial" w:cs="Arial"/>
          <w:b/>
          <w:sz w:val="22"/>
          <w:szCs w:val="22"/>
        </w:rPr>
        <w:t>6</w:t>
      </w:r>
      <w:r>
        <w:rPr>
          <w:rFonts w:ascii="Arial" w:hAnsi="Arial" w:cs="Arial"/>
          <w:b/>
          <w:sz w:val="22"/>
          <w:szCs w:val="22"/>
        </w:rPr>
        <w:t>/1</w:t>
      </w:r>
      <w:r w:rsidR="00D15B33">
        <w:rPr>
          <w:rFonts w:ascii="Arial" w:hAnsi="Arial" w:cs="Arial"/>
          <w:b/>
          <w:sz w:val="22"/>
          <w:szCs w:val="22"/>
        </w:rPr>
        <w:t>7</w:t>
      </w:r>
    </w:p>
    <w:p w:rsidR="001166D1" w:rsidRDefault="001166D1" w:rsidP="004B1C3A">
      <w:pPr>
        <w:pStyle w:val="ListParagraph"/>
        <w:spacing w:line="276" w:lineRule="auto"/>
        <w:ind w:left="0"/>
        <w:rPr>
          <w:rFonts w:ascii="Arial" w:hAnsi="Arial" w:cs="Arial"/>
          <w:sz w:val="22"/>
          <w:szCs w:val="22"/>
        </w:rPr>
      </w:pPr>
    </w:p>
    <w:p w:rsidR="00210E3A" w:rsidRPr="001166D1" w:rsidRDefault="004B1C3A" w:rsidP="004B1C3A">
      <w:pPr>
        <w:pStyle w:val="ListParagraph"/>
        <w:spacing w:line="276" w:lineRule="auto"/>
        <w:ind w:left="0"/>
        <w:rPr>
          <w:rFonts w:ascii="Arial" w:hAnsi="Arial" w:cs="Arial"/>
          <w:sz w:val="22"/>
          <w:szCs w:val="22"/>
        </w:rPr>
      </w:pPr>
      <w:r w:rsidRPr="001166D1">
        <w:rPr>
          <w:rFonts w:ascii="Arial" w:hAnsi="Arial" w:cs="Arial"/>
          <w:sz w:val="22"/>
          <w:szCs w:val="22"/>
        </w:rPr>
        <w:t xml:space="preserve">Early forecasts </w:t>
      </w:r>
      <w:r w:rsidR="00951DD0" w:rsidRPr="001166D1">
        <w:rPr>
          <w:rFonts w:ascii="Arial" w:hAnsi="Arial" w:cs="Arial"/>
          <w:sz w:val="22"/>
          <w:szCs w:val="22"/>
        </w:rPr>
        <w:t>point to a</w:t>
      </w:r>
      <w:r w:rsidR="001166D1">
        <w:rPr>
          <w:rFonts w:ascii="Arial" w:hAnsi="Arial" w:cs="Arial"/>
          <w:sz w:val="22"/>
          <w:szCs w:val="22"/>
        </w:rPr>
        <w:t xml:space="preserve"> break even.  The finance team will be working hard with budget managers to refine the forecasting process this year.  Returns have been issued for budget manager completion and the aim is to provide an accurate forecast in September which will then form the basis of a month on month comparison to try to minimise any significant changes.</w:t>
      </w:r>
    </w:p>
    <w:p w:rsidR="00210E3A" w:rsidRPr="00D15B33" w:rsidRDefault="00210E3A" w:rsidP="004B1C3A">
      <w:pPr>
        <w:pStyle w:val="ListParagraph"/>
        <w:spacing w:line="276" w:lineRule="auto"/>
        <w:ind w:left="0"/>
        <w:rPr>
          <w:rFonts w:ascii="Arial" w:hAnsi="Arial" w:cs="Arial"/>
          <w:sz w:val="22"/>
          <w:szCs w:val="22"/>
          <w:highlight w:val="yellow"/>
        </w:rPr>
      </w:pPr>
    </w:p>
    <w:p w:rsidR="004717CC" w:rsidRPr="005200F4" w:rsidRDefault="004717CC" w:rsidP="004B1C3A">
      <w:pPr>
        <w:pStyle w:val="ListParagraph"/>
        <w:spacing w:line="276" w:lineRule="auto"/>
        <w:ind w:left="0"/>
        <w:rPr>
          <w:rFonts w:ascii="Arial" w:hAnsi="Arial" w:cs="Arial"/>
          <w:sz w:val="22"/>
          <w:szCs w:val="22"/>
        </w:rPr>
      </w:pPr>
    </w:p>
    <w:p w:rsidR="005200F4" w:rsidRDefault="00831A14" w:rsidP="004B1C3A">
      <w:pPr>
        <w:pStyle w:val="ListParagraph"/>
        <w:spacing w:line="276" w:lineRule="auto"/>
        <w:ind w:left="0"/>
        <w:rPr>
          <w:rFonts w:ascii="Arial" w:hAnsi="Arial" w:cs="Arial"/>
          <w:sz w:val="22"/>
          <w:szCs w:val="22"/>
        </w:rPr>
      </w:pPr>
      <w:r>
        <w:rPr>
          <w:rFonts w:ascii="Arial" w:hAnsi="Arial" w:cs="Arial"/>
          <w:sz w:val="22"/>
          <w:szCs w:val="22"/>
        </w:rPr>
        <w:t>The table</w:t>
      </w:r>
      <w:r w:rsidR="005200F4">
        <w:rPr>
          <w:rFonts w:ascii="Arial" w:hAnsi="Arial" w:cs="Arial"/>
          <w:sz w:val="22"/>
          <w:szCs w:val="22"/>
        </w:rPr>
        <w:t xml:space="preserve"> below highlight</w:t>
      </w:r>
      <w:r w:rsidR="00D15B33">
        <w:rPr>
          <w:rFonts w:ascii="Arial" w:hAnsi="Arial" w:cs="Arial"/>
          <w:sz w:val="22"/>
          <w:szCs w:val="22"/>
        </w:rPr>
        <w:t>s</w:t>
      </w:r>
      <w:r>
        <w:rPr>
          <w:rFonts w:ascii="Arial" w:hAnsi="Arial" w:cs="Arial"/>
          <w:sz w:val="22"/>
          <w:szCs w:val="22"/>
        </w:rPr>
        <w:t xml:space="preserve"> the </w:t>
      </w:r>
      <w:r w:rsidR="00D15B33">
        <w:rPr>
          <w:rFonts w:ascii="Arial" w:hAnsi="Arial" w:cs="Arial"/>
          <w:sz w:val="22"/>
          <w:szCs w:val="22"/>
        </w:rPr>
        <w:t xml:space="preserve">current </w:t>
      </w:r>
      <w:r>
        <w:rPr>
          <w:rFonts w:ascii="Arial" w:hAnsi="Arial" w:cs="Arial"/>
          <w:sz w:val="22"/>
          <w:szCs w:val="22"/>
        </w:rPr>
        <w:t>accumulated underspend</w:t>
      </w:r>
      <w:r w:rsidR="00D15B33">
        <w:rPr>
          <w:rFonts w:ascii="Arial" w:hAnsi="Arial" w:cs="Arial"/>
          <w:sz w:val="22"/>
          <w:szCs w:val="22"/>
        </w:rPr>
        <w:t xml:space="preserve">.  As this is the first full financial report for 2016/17 there is only one table presented here.  Future monthly reports will present the position by month as the year progresses. </w:t>
      </w:r>
      <w:r>
        <w:rPr>
          <w:rFonts w:ascii="Arial" w:hAnsi="Arial" w:cs="Arial"/>
          <w:sz w:val="22"/>
          <w:szCs w:val="22"/>
        </w:rPr>
        <w:t xml:space="preserve"> </w:t>
      </w:r>
    </w:p>
    <w:p w:rsidR="00ED6F79" w:rsidRDefault="00ED6F79" w:rsidP="004B1C3A">
      <w:pPr>
        <w:pStyle w:val="ListParagraph"/>
        <w:spacing w:line="276" w:lineRule="auto"/>
        <w:ind w:left="0"/>
        <w:rPr>
          <w:rFonts w:ascii="Arial" w:hAnsi="Arial" w:cs="Arial"/>
          <w:sz w:val="22"/>
          <w:szCs w:val="22"/>
        </w:rPr>
      </w:pPr>
    </w:p>
    <w:p w:rsidR="00ED6F79" w:rsidRPr="00ED6F79" w:rsidRDefault="00ED6F79" w:rsidP="004B1C3A">
      <w:pPr>
        <w:pStyle w:val="ListParagraph"/>
        <w:spacing w:line="276" w:lineRule="auto"/>
        <w:ind w:left="0"/>
        <w:rPr>
          <w:rFonts w:ascii="Arial" w:hAnsi="Arial" w:cs="Arial"/>
          <w:b/>
          <w:sz w:val="22"/>
          <w:szCs w:val="22"/>
        </w:rPr>
      </w:pPr>
      <w:r w:rsidRPr="00ED6F79">
        <w:rPr>
          <w:rFonts w:ascii="Arial" w:hAnsi="Arial" w:cs="Arial"/>
          <w:b/>
          <w:sz w:val="22"/>
          <w:szCs w:val="22"/>
        </w:rPr>
        <w:t>Table 5:  Overall (£) variance position by month</w:t>
      </w:r>
    </w:p>
    <w:p w:rsidR="00ED6F79" w:rsidRDefault="00ED6F79" w:rsidP="004B1C3A">
      <w:pPr>
        <w:pStyle w:val="ListParagraph"/>
        <w:spacing w:line="276" w:lineRule="auto"/>
        <w:ind w:left="0"/>
        <w:rPr>
          <w:rFonts w:ascii="Arial" w:hAnsi="Arial" w:cs="Arial"/>
          <w:sz w:val="22"/>
          <w:szCs w:val="22"/>
        </w:rPr>
      </w:pPr>
    </w:p>
    <w:p w:rsidR="005200F4" w:rsidRDefault="00D15B33" w:rsidP="004B1C3A">
      <w:pPr>
        <w:pStyle w:val="ListParagraph"/>
        <w:spacing w:line="276" w:lineRule="auto"/>
        <w:ind w:left="0"/>
        <w:rPr>
          <w:rFonts w:ascii="Arial" w:hAnsi="Arial" w:cs="Arial"/>
          <w:sz w:val="22"/>
          <w:szCs w:val="22"/>
        </w:rPr>
      </w:pPr>
      <w:r>
        <w:rPr>
          <w:rFonts w:ascii="Arial" w:hAnsi="Arial" w:cs="Arial"/>
          <w:noProof/>
          <w:sz w:val="22"/>
          <w:szCs w:val="22"/>
        </w:rPr>
        <w:drawing>
          <wp:inline distT="0" distB="0" distL="0" distR="0" wp14:anchorId="00698275">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5200F4" w:rsidRDefault="005200F4" w:rsidP="004B1C3A">
      <w:pPr>
        <w:pStyle w:val="ListParagraph"/>
        <w:spacing w:line="276" w:lineRule="auto"/>
        <w:ind w:left="0"/>
        <w:rPr>
          <w:rFonts w:ascii="Arial" w:hAnsi="Arial" w:cs="Arial"/>
          <w:noProof/>
          <w:sz w:val="22"/>
          <w:szCs w:val="22"/>
        </w:rPr>
      </w:pPr>
    </w:p>
    <w:p w:rsidR="00D15B33" w:rsidRDefault="00D15B33" w:rsidP="004B1C3A">
      <w:pPr>
        <w:pStyle w:val="ListParagraph"/>
        <w:spacing w:line="276" w:lineRule="auto"/>
        <w:ind w:left="0"/>
        <w:rPr>
          <w:rFonts w:ascii="Arial" w:hAnsi="Arial" w:cs="Arial"/>
          <w:sz w:val="22"/>
          <w:szCs w:val="22"/>
        </w:rPr>
      </w:pPr>
    </w:p>
    <w:p w:rsidR="002D4299" w:rsidRDefault="002D4299" w:rsidP="00951DD0">
      <w:pPr>
        <w:pStyle w:val="ListParagraph"/>
        <w:spacing w:line="276" w:lineRule="auto"/>
        <w:ind w:left="0"/>
        <w:rPr>
          <w:rFonts w:ascii="Arial" w:hAnsi="Arial" w:cs="Arial"/>
          <w:sz w:val="22"/>
          <w:szCs w:val="22"/>
        </w:rPr>
      </w:pPr>
    </w:p>
    <w:p w:rsidR="00DD6897" w:rsidRPr="00996C5F" w:rsidRDefault="00BA3A5A" w:rsidP="00951DD0">
      <w:pPr>
        <w:pStyle w:val="ListParagraph"/>
        <w:spacing w:line="276" w:lineRule="auto"/>
        <w:ind w:left="0"/>
        <w:rPr>
          <w:rFonts w:ascii="Arial" w:hAnsi="Arial" w:cs="Arial"/>
          <w:b/>
          <w:color w:val="FF0000"/>
          <w:sz w:val="22"/>
          <w:szCs w:val="22"/>
        </w:rPr>
      </w:pPr>
      <w:r>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r w:rsidR="00996C5F">
        <w:rPr>
          <w:rFonts w:ascii="Arial" w:hAnsi="Arial" w:cs="Arial"/>
          <w:b/>
          <w:sz w:val="22"/>
          <w:szCs w:val="22"/>
        </w:rPr>
        <w:t xml:space="preserve"> </w:t>
      </w:r>
    </w:p>
    <w:p w:rsidR="00792336" w:rsidRDefault="00DD2D40" w:rsidP="00DD6897">
      <w:pPr>
        <w:rPr>
          <w:rFonts w:ascii="Arial" w:hAnsi="Arial" w:cs="Arial"/>
          <w:sz w:val="22"/>
          <w:szCs w:val="22"/>
        </w:rPr>
      </w:pPr>
      <w:r w:rsidRPr="00F053C9">
        <w:rPr>
          <w:rFonts w:ascii="Arial" w:hAnsi="Arial" w:cs="Arial"/>
          <w:sz w:val="22"/>
          <w:szCs w:val="22"/>
        </w:rPr>
        <w:t xml:space="preserve">Better payment performance </w:t>
      </w:r>
      <w:r w:rsidR="00D15B33">
        <w:rPr>
          <w:rFonts w:ascii="Arial" w:hAnsi="Arial" w:cs="Arial"/>
          <w:sz w:val="22"/>
          <w:szCs w:val="22"/>
        </w:rPr>
        <w:t>provides an indicator to the board and stakeholders of the financial service being provided</w:t>
      </w:r>
      <w:r w:rsidR="00792336">
        <w:rPr>
          <w:rFonts w:ascii="Arial" w:hAnsi="Arial" w:cs="Arial"/>
          <w:sz w:val="22"/>
          <w:szCs w:val="22"/>
        </w:rPr>
        <w:t>.  These services are influenced by strong management of t</w:t>
      </w:r>
      <w:r w:rsidR="00D15B33">
        <w:rPr>
          <w:rFonts w:ascii="Arial" w:hAnsi="Arial" w:cs="Arial"/>
          <w:sz w:val="22"/>
          <w:szCs w:val="22"/>
        </w:rPr>
        <w:t>he finance and accounting service contract wi</w:t>
      </w:r>
      <w:r w:rsidR="00792336">
        <w:rPr>
          <w:rFonts w:ascii="Arial" w:hAnsi="Arial" w:cs="Arial"/>
          <w:sz w:val="22"/>
          <w:szCs w:val="22"/>
        </w:rPr>
        <w:t xml:space="preserve">th NHS Shared Business Services, the additional support service offered by the finance team and the performance of budget managers in approving invoices in a timely manner.  </w:t>
      </w:r>
    </w:p>
    <w:p w:rsidR="00792336" w:rsidRDefault="00792336" w:rsidP="00DD6897">
      <w:pPr>
        <w:rPr>
          <w:rFonts w:ascii="Arial" w:hAnsi="Arial" w:cs="Arial"/>
          <w:sz w:val="22"/>
          <w:szCs w:val="22"/>
        </w:rPr>
      </w:pPr>
    </w:p>
    <w:p w:rsidR="00BA3A5A" w:rsidRDefault="00792336" w:rsidP="00DD6897">
      <w:pPr>
        <w:rPr>
          <w:rFonts w:ascii="Arial" w:hAnsi="Arial" w:cs="Arial"/>
          <w:sz w:val="22"/>
          <w:szCs w:val="22"/>
        </w:rPr>
      </w:pPr>
      <w:r>
        <w:rPr>
          <w:rFonts w:ascii="Arial" w:hAnsi="Arial" w:cs="Arial"/>
          <w:sz w:val="22"/>
          <w:szCs w:val="22"/>
        </w:rPr>
        <w:t xml:space="preserve">The HRA </w:t>
      </w:r>
      <w:r w:rsidR="00DD2D40" w:rsidRPr="00F053C9">
        <w:rPr>
          <w:rFonts w:ascii="Arial" w:hAnsi="Arial" w:cs="Arial"/>
          <w:sz w:val="22"/>
          <w:szCs w:val="22"/>
        </w:rPr>
        <w:t xml:space="preserve">has </w:t>
      </w:r>
      <w:r w:rsidR="00E713F5">
        <w:rPr>
          <w:rFonts w:ascii="Arial" w:hAnsi="Arial" w:cs="Arial"/>
          <w:sz w:val="22"/>
          <w:szCs w:val="22"/>
        </w:rPr>
        <w:t xml:space="preserve">continued to </w:t>
      </w:r>
      <w:r w:rsidR="00DD2D40" w:rsidRPr="00F053C9">
        <w:rPr>
          <w:rFonts w:ascii="Arial" w:hAnsi="Arial" w:cs="Arial"/>
          <w:sz w:val="22"/>
          <w:szCs w:val="22"/>
        </w:rPr>
        <w:t>me</w:t>
      </w:r>
      <w:r w:rsidR="00E713F5">
        <w:rPr>
          <w:rFonts w:ascii="Arial" w:hAnsi="Arial" w:cs="Arial"/>
          <w:sz w:val="22"/>
          <w:szCs w:val="22"/>
        </w:rPr>
        <w:t>e</w:t>
      </w:r>
      <w:r w:rsidR="00DD2D40" w:rsidRPr="00F053C9">
        <w:rPr>
          <w:rFonts w:ascii="Arial" w:hAnsi="Arial" w:cs="Arial"/>
          <w:sz w:val="22"/>
          <w:szCs w:val="22"/>
        </w:rPr>
        <w:t xml:space="preserve">t the duty to pay 95% of </w:t>
      </w:r>
      <w:r w:rsidR="00F053C9" w:rsidRPr="00F053C9">
        <w:rPr>
          <w:rFonts w:ascii="Arial" w:hAnsi="Arial" w:cs="Arial"/>
          <w:sz w:val="22"/>
          <w:szCs w:val="22"/>
        </w:rPr>
        <w:t>invoices in 30 days achieving 9</w:t>
      </w:r>
      <w:r w:rsidR="00643FCA">
        <w:rPr>
          <w:rFonts w:ascii="Arial" w:hAnsi="Arial" w:cs="Arial"/>
          <w:sz w:val="22"/>
          <w:szCs w:val="22"/>
        </w:rPr>
        <w:t>7</w:t>
      </w:r>
      <w:r w:rsidR="00DD2D40" w:rsidRPr="00F053C9">
        <w:rPr>
          <w:rFonts w:ascii="Arial" w:hAnsi="Arial" w:cs="Arial"/>
          <w:sz w:val="22"/>
          <w:szCs w:val="22"/>
        </w:rPr>
        <w:t xml:space="preserve">% based on number of invoices, </w:t>
      </w:r>
      <w:r w:rsidR="003C121B" w:rsidRPr="00F053C9">
        <w:rPr>
          <w:rFonts w:ascii="Arial" w:hAnsi="Arial" w:cs="Arial"/>
          <w:sz w:val="22"/>
          <w:szCs w:val="22"/>
        </w:rPr>
        <w:t xml:space="preserve">and </w:t>
      </w:r>
      <w:r w:rsidR="00945882" w:rsidRPr="00F053C9">
        <w:rPr>
          <w:rFonts w:ascii="Arial" w:hAnsi="Arial" w:cs="Arial"/>
          <w:sz w:val="22"/>
          <w:szCs w:val="22"/>
        </w:rPr>
        <w:t>achieved the targe</w:t>
      </w:r>
      <w:r w:rsidR="000D47A6" w:rsidRPr="00F053C9">
        <w:rPr>
          <w:rFonts w:ascii="Arial" w:hAnsi="Arial" w:cs="Arial"/>
          <w:sz w:val="22"/>
          <w:szCs w:val="22"/>
        </w:rPr>
        <w:t>t based on</w:t>
      </w:r>
      <w:r w:rsidR="00CA3C40">
        <w:rPr>
          <w:rFonts w:ascii="Arial" w:hAnsi="Arial" w:cs="Arial"/>
          <w:sz w:val="22"/>
          <w:szCs w:val="22"/>
        </w:rPr>
        <w:t xml:space="preserve"> value by achieving 9</w:t>
      </w:r>
      <w:r w:rsidR="00643FCA">
        <w:rPr>
          <w:rFonts w:ascii="Arial" w:hAnsi="Arial" w:cs="Arial"/>
          <w:sz w:val="22"/>
          <w:szCs w:val="22"/>
        </w:rPr>
        <w:t>9</w:t>
      </w:r>
      <w:r w:rsidR="00945882" w:rsidRPr="00F053C9">
        <w:rPr>
          <w:rFonts w:ascii="Arial" w:hAnsi="Arial" w:cs="Arial"/>
          <w:sz w:val="22"/>
          <w:szCs w:val="22"/>
        </w:rPr>
        <w:t>%</w:t>
      </w:r>
      <w:r w:rsidR="0016044C" w:rsidRPr="00F053C9">
        <w:rPr>
          <w:rFonts w:ascii="Arial" w:hAnsi="Arial" w:cs="Arial"/>
          <w:sz w:val="22"/>
          <w:szCs w:val="22"/>
        </w:rPr>
        <w:t xml:space="preserve">.  HRA are committed to paying suppliers promptly and have </w:t>
      </w:r>
      <w:r w:rsidR="00643FCA">
        <w:rPr>
          <w:rFonts w:ascii="Arial" w:hAnsi="Arial" w:cs="Arial"/>
          <w:sz w:val="22"/>
          <w:szCs w:val="22"/>
        </w:rPr>
        <w:t xml:space="preserve">maintained </w:t>
      </w:r>
      <w:r w:rsidR="00D15B33">
        <w:rPr>
          <w:rFonts w:ascii="Arial" w:hAnsi="Arial" w:cs="Arial"/>
          <w:sz w:val="22"/>
          <w:szCs w:val="22"/>
        </w:rPr>
        <w:t>a</w:t>
      </w:r>
      <w:r w:rsidR="0016044C" w:rsidRPr="00F053C9">
        <w:rPr>
          <w:rFonts w:ascii="Arial" w:hAnsi="Arial" w:cs="Arial"/>
          <w:sz w:val="22"/>
          <w:szCs w:val="22"/>
        </w:rPr>
        <w:t xml:space="preserve"> target of paying suppliers within 10 days to 60% for 201</w:t>
      </w:r>
      <w:r w:rsidR="00643FCA">
        <w:rPr>
          <w:rFonts w:ascii="Arial" w:hAnsi="Arial" w:cs="Arial"/>
          <w:sz w:val="22"/>
          <w:szCs w:val="22"/>
        </w:rPr>
        <w:t>6</w:t>
      </w:r>
      <w:r w:rsidR="0016044C" w:rsidRPr="00F053C9">
        <w:rPr>
          <w:rFonts w:ascii="Arial" w:hAnsi="Arial" w:cs="Arial"/>
          <w:sz w:val="22"/>
          <w:szCs w:val="22"/>
        </w:rPr>
        <w:t>/1</w:t>
      </w:r>
      <w:r w:rsidR="00643FCA">
        <w:rPr>
          <w:rFonts w:ascii="Arial" w:hAnsi="Arial" w:cs="Arial"/>
          <w:sz w:val="22"/>
          <w:szCs w:val="22"/>
        </w:rPr>
        <w:t>7</w:t>
      </w:r>
      <w:r w:rsidR="0016044C" w:rsidRPr="00F053C9">
        <w:rPr>
          <w:rFonts w:ascii="Arial" w:hAnsi="Arial" w:cs="Arial"/>
          <w:sz w:val="22"/>
          <w:szCs w:val="22"/>
        </w:rPr>
        <w:t>.</w:t>
      </w:r>
      <w:r w:rsidR="00DD2D40" w:rsidRPr="00F053C9">
        <w:rPr>
          <w:rFonts w:ascii="Arial" w:hAnsi="Arial" w:cs="Arial"/>
          <w:sz w:val="22"/>
          <w:szCs w:val="22"/>
        </w:rPr>
        <w:t xml:space="preserve">  </w:t>
      </w:r>
      <w:r w:rsidR="004D1652" w:rsidRPr="00F053C9">
        <w:rPr>
          <w:rFonts w:ascii="Arial" w:hAnsi="Arial" w:cs="Arial"/>
          <w:sz w:val="22"/>
          <w:szCs w:val="22"/>
        </w:rPr>
        <w:t xml:space="preserve">The performance </w:t>
      </w:r>
      <w:r w:rsidR="00F053C9" w:rsidRPr="00F053C9">
        <w:rPr>
          <w:rFonts w:ascii="Arial" w:hAnsi="Arial" w:cs="Arial"/>
          <w:sz w:val="22"/>
          <w:szCs w:val="22"/>
        </w:rPr>
        <w:t>at the end o</w:t>
      </w:r>
      <w:r w:rsidR="00E54475">
        <w:rPr>
          <w:rFonts w:ascii="Arial" w:hAnsi="Arial" w:cs="Arial"/>
          <w:sz w:val="22"/>
          <w:szCs w:val="22"/>
        </w:rPr>
        <w:t>f Ma</w:t>
      </w:r>
      <w:r w:rsidR="00643FCA">
        <w:rPr>
          <w:rFonts w:ascii="Arial" w:hAnsi="Arial" w:cs="Arial"/>
          <w:sz w:val="22"/>
          <w:szCs w:val="22"/>
        </w:rPr>
        <w:t>y</w:t>
      </w:r>
      <w:r w:rsidR="00CA3C40">
        <w:rPr>
          <w:rFonts w:ascii="Arial" w:hAnsi="Arial" w:cs="Arial"/>
          <w:sz w:val="22"/>
          <w:szCs w:val="22"/>
        </w:rPr>
        <w:t xml:space="preserve"> 2016</w:t>
      </w:r>
      <w:r w:rsidR="0016044C" w:rsidRPr="00F053C9">
        <w:rPr>
          <w:rFonts w:ascii="Arial" w:hAnsi="Arial" w:cs="Arial"/>
          <w:sz w:val="22"/>
          <w:szCs w:val="22"/>
        </w:rPr>
        <w:t xml:space="preserve"> </w:t>
      </w:r>
      <w:r w:rsidR="004D1652" w:rsidRPr="00F053C9">
        <w:rPr>
          <w:rFonts w:ascii="Arial" w:hAnsi="Arial" w:cs="Arial"/>
          <w:sz w:val="22"/>
          <w:szCs w:val="22"/>
        </w:rPr>
        <w:t>for pa</w:t>
      </w:r>
      <w:r w:rsidR="00E54475">
        <w:rPr>
          <w:rFonts w:ascii="Arial" w:hAnsi="Arial" w:cs="Arial"/>
          <w:sz w:val="22"/>
          <w:szCs w:val="22"/>
        </w:rPr>
        <w:t xml:space="preserve">yments made within 10 days is </w:t>
      </w:r>
      <w:r w:rsidR="00643FCA">
        <w:rPr>
          <w:rFonts w:ascii="Arial" w:hAnsi="Arial" w:cs="Arial"/>
          <w:sz w:val="22"/>
          <w:szCs w:val="22"/>
        </w:rPr>
        <w:t>71</w:t>
      </w:r>
      <w:r w:rsidR="004D1652" w:rsidRPr="00F053C9">
        <w:rPr>
          <w:rFonts w:ascii="Arial" w:hAnsi="Arial" w:cs="Arial"/>
          <w:sz w:val="22"/>
          <w:szCs w:val="22"/>
        </w:rPr>
        <w:t>%</w:t>
      </w:r>
      <w:r w:rsidR="00F70F38" w:rsidRPr="00F053C9">
        <w:rPr>
          <w:rFonts w:ascii="Arial" w:hAnsi="Arial" w:cs="Arial"/>
          <w:sz w:val="22"/>
          <w:szCs w:val="22"/>
        </w:rPr>
        <w:t xml:space="preserve"> (number of invoice</w:t>
      </w:r>
      <w:r w:rsidR="00B06BAE" w:rsidRPr="00F053C9">
        <w:rPr>
          <w:rFonts w:ascii="Arial" w:hAnsi="Arial" w:cs="Arial"/>
          <w:sz w:val="22"/>
          <w:szCs w:val="22"/>
        </w:rPr>
        <w:t>s</w:t>
      </w:r>
      <w:r w:rsidR="00643FCA">
        <w:rPr>
          <w:rFonts w:ascii="Arial" w:hAnsi="Arial" w:cs="Arial"/>
          <w:sz w:val="22"/>
          <w:szCs w:val="22"/>
        </w:rPr>
        <w:t>)</w:t>
      </w:r>
      <w:r w:rsidR="00E54475">
        <w:rPr>
          <w:rFonts w:ascii="Arial" w:hAnsi="Arial" w:cs="Arial"/>
          <w:sz w:val="22"/>
          <w:szCs w:val="22"/>
        </w:rPr>
        <w:t xml:space="preserve"> and </w:t>
      </w:r>
      <w:r w:rsidR="00643FCA">
        <w:rPr>
          <w:rFonts w:ascii="Arial" w:hAnsi="Arial" w:cs="Arial"/>
          <w:sz w:val="22"/>
          <w:szCs w:val="22"/>
        </w:rPr>
        <w:t>77% (</w:t>
      </w:r>
      <w:r w:rsidR="00E54475">
        <w:rPr>
          <w:rFonts w:ascii="Arial" w:hAnsi="Arial" w:cs="Arial"/>
          <w:sz w:val="22"/>
          <w:szCs w:val="22"/>
        </w:rPr>
        <w:t>value of invoices</w:t>
      </w:r>
      <w:r w:rsidR="00B06BAE" w:rsidRPr="00F053C9">
        <w:rPr>
          <w:rFonts w:ascii="Arial" w:hAnsi="Arial" w:cs="Arial"/>
          <w:sz w:val="22"/>
          <w:szCs w:val="22"/>
        </w:rPr>
        <w:t>)</w:t>
      </w:r>
      <w:r w:rsidR="00E54475">
        <w:rPr>
          <w:rFonts w:ascii="Arial" w:hAnsi="Arial" w:cs="Arial"/>
          <w:sz w:val="22"/>
          <w:szCs w:val="22"/>
        </w:rPr>
        <w:t xml:space="preserve">, both achieving the </w:t>
      </w:r>
      <w:r w:rsidR="00E575FA" w:rsidRPr="00F053C9">
        <w:rPr>
          <w:rFonts w:ascii="Arial" w:hAnsi="Arial" w:cs="Arial"/>
          <w:sz w:val="22"/>
          <w:szCs w:val="22"/>
        </w:rPr>
        <w:t>stretched 60% target</w:t>
      </w:r>
      <w:r w:rsidR="00E54475">
        <w:rPr>
          <w:rFonts w:ascii="Arial" w:hAnsi="Arial" w:cs="Arial"/>
          <w:sz w:val="22"/>
          <w:szCs w:val="22"/>
        </w:rPr>
        <w:t>.</w:t>
      </w:r>
      <w:r w:rsidR="0016044C" w:rsidRPr="00F053C9">
        <w:rPr>
          <w:rFonts w:ascii="Arial" w:hAnsi="Arial" w:cs="Arial"/>
          <w:sz w:val="22"/>
          <w:szCs w:val="22"/>
        </w:rPr>
        <w:t xml:space="preserve">  </w:t>
      </w:r>
      <w:r w:rsidR="00272AA5">
        <w:rPr>
          <w:rFonts w:ascii="Arial" w:hAnsi="Arial" w:cs="Arial"/>
          <w:sz w:val="22"/>
          <w:szCs w:val="22"/>
        </w:rPr>
        <w:t xml:space="preserve">The escalation days for invoices awaiting approval </w:t>
      </w:r>
      <w:r w:rsidR="00643FCA">
        <w:rPr>
          <w:rFonts w:ascii="Arial" w:hAnsi="Arial" w:cs="Arial"/>
          <w:sz w:val="22"/>
          <w:szCs w:val="22"/>
        </w:rPr>
        <w:t>continues to be</w:t>
      </w:r>
      <w:r w:rsidR="00272AA5">
        <w:rPr>
          <w:rFonts w:ascii="Arial" w:hAnsi="Arial" w:cs="Arial"/>
          <w:sz w:val="22"/>
          <w:szCs w:val="22"/>
        </w:rPr>
        <w:t xml:space="preserve"> 4 days </w:t>
      </w:r>
      <w:r w:rsidR="00F961F3">
        <w:rPr>
          <w:rFonts w:ascii="Arial" w:hAnsi="Arial" w:cs="Arial"/>
          <w:sz w:val="22"/>
          <w:szCs w:val="22"/>
        </w:rPr>
        <w:t xml:space="preserve">(after which invoices are escalated to line managers) </w:t>
      </w:r>
      <w:r w:rsidR="00272AA5">
        <w:rPr>
          <w:rFonts w:ascii="Arial" w:hAnsi="Arial" w:cs="Arial"/>
          <w:sz w:val="22"/>
          <w:szCs w:val="22"/>
        </w:rPr>
        <w:t>and further reminders on vacation rules and the importance of c</w:t>
      </w:r>
      <w:r w:rsidR="00785D39">
        <w:rPr>
          <w:rFonts w:ascii="Arial" w:hAnsi="Arial" w:cs="Arial"/>
          <w:sz w:val="22"/>
          <w:szCs w:val="22"/>
        </w:rPr>
        <w:t xml:space="preserve">hecking the workflow daily </w:t>
      </w:r>
      <w:r w:rsidR="00643FCA">
        <w:rPr>
          <w:rFonts w:ascii="Arial" w:hAnsi="Arial" w:cs="Arial"/>
          <w:sz w:val="22"/>
          <w:szCs w:val="22"/>
        </w:rPr>
        <w:t>will be issued to staff in June</w:t>
      </w:r>
      <w:r w:rsidR="00272AA5">
        <w:rPr>
          <w:rFonts w:ascii="Arial" w:hAnsi="Arial" w:cs="Arial"/>
          <w:sz w:val="22"/>
          <w:szCs w:val="22"/>
        </w:rPr>
        <w:t xml:space="preserve">. </w:t>
      </w:r>
      <w:r w:rsidR="00222CFA">
        <w:rPr>
          <w:rFonts w:ascii="Arial" w:hAnsi="Arial" w:cs="Arial"/>
          <w:sz w:val="22"/>
          <w:szCs w:val="22"/>
        </w:rPr>
        <w:t xml:space="preserve"> </w:t>
      </w:r>
      <w:r w:rsidR="00643FCA">
        <w:rPr>
          <w:rFonts w:ascii="Arial" w:hAnsi="Arial" w:cs="Arial"/>
          <w:sz w:val="22"/>
          <w:szCs w:val="22"/>
        </w:rPr>
        <w:t xml:space="preserve">The HRA continues to have 3 </w:t>
      </w:r>
      <w:proofErr w:type="gramStart"/>
      <w:r w:rsidR="00643FCA">
        <w:rPr>
          <w:rFonts w:ascii="Arial" w:hAnsi="Arial" w:cs="Arial"/>
          <w:sz w:val="22"/>
          <w:szCs w:val="22"/>
        </w:rPr>
        <w:t>payment</w:t>
      </w:r>
      <w:proofErr w:type="gramEnd"/>
      <w:r w:rsidR="00643FCA">
        <w:rPr>
          <w:rFonts w:ascii="Arial" w:hAnsi="Arial" w:cs="Arial"/>
          <w:sz w:val="22"/>
          <w:szCs w:val="22"/>
        </w:rPr>
        <w:t xml:space="preserve"> runs each week to </w:t>
      </w:r>
      <w:r>
        <w:rPr>
          <w:rFonts w:ascii="Arial" w:hAnsi="Arial" w:cs="Arial"/>
          <w:sz w:val="22"/>
          <w:szCs w:val="22"/>
        </w:rPr>
        <w:t xml:space="preserve">maintain </w:t>
      </w:r>
      <w:r w:rsidR="00643FCA">
        <w:rPr>
          <w:rFonts w:ascii="Arial" w:hAnsi="Arial" w:cs="Arial"/>
          <w:sz w:val="22"/>
          <w:szCs w:val="22"/>
        </w:rPr>
        <w:t>the performance.</w:t>
      </w:r>
    </w:p>
    <w:p w:rsidR="00552D9B" w:rsidRDefault="00552D9B" w:rsidP="00DD6897">
      <w:pPr>
        <w:rPr>
          <w:rFonts w:ascii="Arial" w:hAnsi="Arial" w:cs="Arial"/>
          <w:sz w:val="22"/>
          <w:szCs w:val="22"/>
        </w:rPr>
      </w:pPr>
    </w:p>
    <w:p w:rsidR="00AE0798" w:rsidRPr="00ED6F79" w:rsidRDefault="00BA3A5A" w:rsidP="00DD6897">
      <w:pPr>
        <w:rPr>
          <w:rFonts w:ascii="Arial" w:hAnsi="Arial" w:cs="Arial"/>
          <w:b/>
          <w:sz w:val="22"/>
          <w:szCs w:val="22"/>
        </w:rPr>
      </w:pPr>
      <w:r w:rsidRPr="00ED6F79">
        <w:rPr>
          <w:rFonts w:ascii="Arial" w:hAnsi="Arial" w:cs="Arial"/>
          <w:b/>
          <w:sz w:val="22"/>
          <w:szCs w:val="22"/>
        </w:rPr>
        <w:t>6</w:t>
      </w:r>
      <w:r w:rsidR="006976EC" w:rsidRPr="00ED6F79">
        <w:rPr>
          <w:rFonts w:ascii="Arial" w:hAnsi="Arial" w:cs="Arial"/>
          <w:b/>
          <w:sz w:val="22"/>
          <w:szCs w:val="22"/>
        </w:rPr>
        <w:t xml:space="preserve">. </w:t>
      </w:r>
      <w:r w:rsidR="00AE0798" w:rsidRPr="00ED6F79">
        <w:rPr>
          <w:rFonts w:ascii="Arial" w:hAnsi="Arial" w:cs="Arial"/>
          <w:b/>
          <w:sz w:val="22"/>
          <w:szCs w:val="22"/>
        </w:rPr>
        <w:t>Travel costs</w:t>
      </w:r>
    </w:p>
    <w:p w:rsidR="00E904C3" w:rsidRDefault="007C66A5" w:rsidP="00AE0798">
      <w:pPr>
        <w:spacing w:after="200" w:line="276" w:lineRule="auto"/>
        <w:rPr>
          <w:rFonts w:ascii="Arial" w:hAnsi="Arial" w:cs="Arial"/>
          <w:sz w:val="22"/>
          <w:szCs w:val="22"/>
        </w:rPr>
      </w:pPr>
      <w:r w:rsidRPr="00ED6F79">
        <w:rPr>
          <w:rFonts w:ascii="Arial" w:hAnsi="Arial" w:cs="Arial"/>
          <w:sz w:val="22"/>
          <w:szCs w:val="22"/>
        </w:rPr>
        <w:t>£5</w:t>
      </w:r>
      <w:r w:rsidR="00ED6F79">
        <w:rPr>
          <w:rFonts w:ascii="Arial" w:hAnsi="Arial" w:cs="Arial"/>
          <w:sz w:val="22"/>
          <w:szCs w:val="22"/>
        </w:rPr>
        <w:t>35</w:t>
      </w:r>
      <w:r w:rsidRPr="00ED6F79">
        <w:rPr>
          <w:rFonts w:ascii="Arial" w:hAnsi="Arial" w:cs="Arial"/>
          <w:sz w:val="22"/>
          <w:szCs w:val="22"/>
        </w:rPr>
        <w:t>k ha</w:t>
      </w:r>
      <w:r w:rsidR="00ED6F79">
        <w:rPr>
          <w:rFonts w:ascii="Arial" w:hAnsi="Arial" w:cs="Arial"/>
          <w:sz w:val="22"/>
          <w:szCs w:val="22"/>
        </w:rPr>
        <w:t>s</w:t>
      </w:r>
      <w:r w:rsidRPr="00ED6F79">
        <w:rPr>
          <w:rFonts w:ascii="Arial" w:hAnsi="Arial" w:cs="Arial"/>
          <w:sz w:val="22"/>
          <w:szCs w:val="22"/>
        </w:rPr>
        <w:t xml:space="preserve"> been allocated for planned travel costs in 201</w:t>
      </w:r>
      <w:r w:rsidR="00ED6F79">
        <w:rPr>
          <w:rFonts w:ascii="Arial" w:hAnsi="Arial" w:cs="Arial"/>
          <w:sz w:val="22"/>
          <w:szCs w:val="22"/>
        </w:rPr>
        <w:t>6</w:t>
      </w:r>
      <w:r w:rsidRPr="00ED6F79">
        <w:rPr>
          <w:rFonts w:ascii="Arial" w:hAnsi="Arial" w:cs="Arial"/>
          <w:sz w:val="22"/>
          <w:szCs w:val="22"/>
        </w:rPr>
        <w:t>/1</w:t>
      </w:r>
      <w:r w:rsidR="00ED6F79">
        <w:rPr>
          <w:rFonts w:ascii="Arial" w:hAnsi="Arial" w:cs="Arial"/>
          <w:sz w:val="22"/>
          <w:szCs w:val="22"/>
        </w:rPr>
        <w:t>7</w:t>
      </w:r>
      <w:r w:rsidRPr="00ED6F79">
        <w:rPr>
          <w:rFonts w:ascii="Arial" w:hAnsi="Arial" w:cs="Arial"/>
          <w:sz w:val="22"/>
          <w:szCs w:val="22"/>
        </w:rPr>
        <w:t xml:space="preserve">. </w:t>
      </w:r>
      <w:r w:rsidR="00ED6F79">
        <w:rPr>
          <w:rFonts w:ascii="Arial" w:hAnsi="Arial" w:cs="Arial"/>
          <w:sz w:val="22"/>
          <w:szCs w:val="22"/>
        </w:rPr>
        <w:t xml:space="preserve"> This budget covers staff travel costs as well as volunteer REC member travel.  £586k was allocated in 2015/16 and it </w:t>
      </w:r>
      <w:r w:rsidRPr="00ED6F79">
        <w:rPr>
          <w:rFonts w:ascii="Arial" w:hAnsi="Arial" w:cs="Arial"/>
          <w:sz w:val="22"/>
          <w:szCs w:val="22"/>
        </w:rPr>
        <w:t xml:space="preserve">continues to be </w:t>
      </w:r>
      <w:r w:rsidR="00B7000D" w:rsidRPr="00ED6F79">
        <w:rPr>
          <w:rFonts w:ascii="Arial" w:hAnsi="Arial" w:cs="Arial"/>
          <w:sz w:val="22"/>
          <w:szCs w:val="22"/>
        </w:rPr>
        <w:t xml:space="preserve">an area which </w:t>
      </w:r>
      <w:r w:rsidR="008F0A10" w:rsidRPr="00ED6F79">
        <w:rPr>
          <w:rFonts w:ascii="Arial" w:hAnsi="Arial" w:cs="Arial"/>
          <w:sz w:val="22"/>
          <w:szCs w:val="22"/>
        </w:rPr>
        <w:t xml:space="preserve">is being </w:t>
      </w:r>
      <w:r w:rsidR="00B7000D" w:rsidRPr="00ED6F79">
        <w:rPr>
          <w:rFonts w:ascii="Arial" w:hAnsi="Arial" w:cs="Arial"/>
          <w:sz w:val="22"/>
          <w:szCs w:val="22"/>
        </w:rPr>
        <w:t xml:space="preserve">intentionally monitored and </w:t>
      </w:r>
      <w:r w:rsidR="00585FFC" w:rsidRPr="00ED6F79">
        <w:rPr>
          <w:rFonts w:ascii="Arial" w:hAnsi="Arial" w:cs="Arial"/>
          <w:sz w:val="22"/>
          <w:szCs w:val="22"/>
        </w:rPr>
        <w:t xml:space="preserve">managed </w:t>
      </w:r>
      <w:r w:rsidR="00B7000D" w:rsidRPr="00ED6F79">
        <w:rPr>
          <w:rFonts w:ascii="Arial" w:hAnsi="Arial" w:cs="Arial"/>
          <w:sz w:val="22"/>
          <w:szCs w:val="22"/>
        </w:rPr>
        <w:t xml:space="preserve">with a view to a </w:t>
      </w:r>
      <w:r w:rsidR="00ED6F79">
        <w:rPr>
          <w:rFonts w:ascii="Arial" w:hAnsi="Arial" w:cs="Arial"/>
          <w:sz w:val="22"/>
          <w:szCs w:val="22"/>
        </w:rPr>
        <w:t xml:space="preserve">reducing </w:t>
      </w:r>
      <w:r w:rsidR="00E904C3">
        <w:rPr>
          <w:rFonts w:ascii="Arial" w:hAnsi="Arial" w:cs="Arial"/>
          <w:sz w:val="22"/>
          <w:szCs w:val="22"/>
        </w:rPr>
        <w:t xml:space="preserve">staff travel </w:t>
      </w:r>
      <w:r w:rsidR="00ED6F79">
        <w:rPr>
          <w:rFonts w:ascii="Arial" w:hAnsi="Arial" w:cs="Arial"/>
          <w:sz w:val="22"/>
          <w:szCs w:val="22"/>
        </w:rPr>
        <w:t xml:space="preserve">expenditure given the significant investments made to facilitate flexible working. </w:t>
      </w:r>
      <w:r w:rsidR="00590197" w:rsidRPr="00ED6F79">
        <w:rPr>
          <w:rFonts w:ascii="Arial" w:hAnsi="Arial" w:cs="Arial"/>
          <w:sz w:val="22"/>
          <w:szCs w:val="22"/>
        </w:rPr>
        <w:t xml:space="preserve"> </w:t>
      </w:r>
    </w:p>
    <w:p w:rsidR="007C66A5" w:rsidRPr="00ED6F79" w:rsidRDefault="00590197" w:rsidP="00AE0798">
      <w:pPr>
        <w:spacing w:after="200" w:line="276" w:lineRule="auto"/>
        <w:rPr>
          <w:rFonts w:ascii="Arial" w:hAnsi="Arial" w:cs="Arial"/>
          <w:sz w:val="22"/>
          <w:szCs w:val="22"/>
        </w:rPr>
      </w:pPr>
      <w:r w:rsidRPr="00ED6F79">
        <w:rPr>
          <w:rFonts w:ascii="Arial" w:hAnsi="Arial" w:cs="Arial"/>
          <w:sz w:val="22"/>
          <w:szCs w:val="22"/>
        </w:rPr>
        <w:t xml:space="preserve">The graph below shows </w:t>
      </w:r>
      <w:r w:rsidR="00ED6F79">
        <w:rPr>
          <w:rFonts w:ascii="Arial" w:hAnsi="Arial" w:cs="Arial"/>
          <w:sz w:val="22"/>
          <w:szCs w:val="22"/>
        </w:rPr>
        <w:t xml:space="preserve">the </w:t>
      </w:r>
      <w:r w:rsidR="00E904C3">
        <w:rPr>
          <w:rFonts w:ascii="Arial" w:hAnsi="Arial" w:cs="Arial"/>
          <w:sz w:val="22"/>
          <w:szCs w:val="22"/>
        </w:rPr>
        <w:t xml:space="preserve">staff </w:t>
      </w:r>
      <w:r w:rsidR="00ED6F79">
        <w:rPr>
          <w:rFonts w:ascii="Arial" w:hAnsi="Arial" w:cs="Arial"/>
          <w:sz w:val="22"/>
          <w:szCs w:val="22"/>
        </w:rPr>
        <w:t xml:space="preserve">costs per head incurred to date </w:t>
      </w:r>
      <w:r w:rsidRPr="00ED6F79">
        <w:rPr>
          <w:rFonts w:ascii="Arial" w:hAnsi="Arial" w:cs="Arial"/>
          <w:sz w:val="22"/>
          <w:szCs w:val="22"/>
        </w:rPr>
        <w:t xml:space="preserve">compared to </w:t>
      </w:r>
      <w:r w:rsidR="002E7A27" w:rsidRPr="00ED6F79">
        <w:rPr>
          <w:rFonts w:ascii="Arial" w:hAnsi="Arial" w:cs="Arial"/>
          <w:sz w:val="22"/>
          <w:szCs w:val="22"/>
        </w:rPr>
        <w:t xml:space="preserve">a benchmark of </w:t>
      </w:r>
      <w:r w:rsidRPr="00ED6F79">
        <w:rPr>
          <w:rFonts w:ascii="Arial" w:hAnsi="Arial" w:cs="Arial"/>
          <w:sz w:val="22"/>
          <w:szCs w:val="22"/>
        </w:rPr>
        <w:t xml:space="preserve">2013/14. </w:t>
      </w:r>
      <w:r w:rsidR="00E904C3">
        <w:rPr>
          <w:rFonts w:ascii="Arial" w:hAnsi="Arial" w:cs="Arial"/>
          <w:sz w:val="22"/>
          <w:szCs w:val="22"/>
        </w:rPr>
        <w:t xml:space="preserve">  The increase in staff travel costs per head is due to the timing of the all staff day in May.</w:t>
      </w:r>
    </w:p>
    <w:p w:rsidR="009D48D2" w:rsidRPr="00ED6F79" w:rsidRDefault="009D48D2" w:rsidP="006976EC">
      <w:pPr>
        <w:pStyle w:val="ListParagraph"/>
        <w:spacing w:after="200" w:line="276" w:lineRule="auto"/>
        <w:ind w:left="0"/>
        <w:rPr>
          <w:rFonts w:ascii="Arial" w:hAnsi="Arial" w:cs="Arial"/>
          <w:b/>
          <w:sz w:val="22"/>
          <w:szCs w:val="22"/>
        </w:rPr>
      </w:pPr>
      <w:r w:rsidRPr="00ED6F79">
        <w:rPr>
          <w:rFonts w:ascii="Arial" w:hAnsi="Arial" w:cs="Arial"/>
          <w:b/>
          <w:sz w:val="22"/>
          <w:szCs w:val="22"/>
        </w:rPr>
        <w:lastRenderedPageBreak/>
        <w:t>Table 6:  Staff travel costs per head</w:t>
      </w:r>
    </w:p>
    <w:p w:rsidR="008A7910" w:rsidRPr="00792336" w:rsidRDefault="008A7910" w:rsidP="006976EC">
      <w:pPr>
        <w:pStyle w:val="ListParagraph"/>
        <w:spacing w:after="200" w:line="276" w:lineRule="auto"/>
        <w:ind w:left="0"/>
        <w:rPr>
          <w:rFonts w:ascii="Arial" w:hAnsi="Arial" w:cs="Arial"/>
          <w:b/>
          <w:sz w:val="22"/>
          <w:szCs w:val="22"/>
          <w:highlight w:val="yellow"/>
        </w:rPr>
      </w:pPr>
    </w:p>
    <w:p w:rsidR="007C66A5" w:rsidRPr="00792336" w:rsidRDefault="00ED6F79" w:rsidP="006976EC">
      <w:pPr>
        <w:pStyle w:val="ListParagraph"/>
        <w:spacing w:after="200" w:line="276" w:lineRule="auto"/>
        <w:ind w:left="0"/>
        <w:rPr>
          <w:rFonts w:ascii="Arial" w:hAnsi="Arial" w:cs="Arial"/>
          <w:sz w:val="22"/>
          <w:szCs w:val="22"/>
          <w:highlight w:val="yellow"/>
        </w:rPr>
      </w:pPr>
      <w:r>
        <w:rPr>
          <w:rFonts w:ascii="Arial" w:hAnsi="Arial" w:cs="Arial"/>
          <w:noProof/>
          <w:sz w:val="22"/>
          <w:szCs w:val="22"/>
        </w:rPr>
        <w:drawing>
          <wp:inline distT="0" distB="0" distL="0" distR="0" wp14:anchorId="166ABB23">
            <wp:extent cx="4749165" cy="37191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9165" cy="3719195"/>
                    </a:xfrm>
                    <a:prstGeom prst="rect">
                      <a:avLst/>
                    </a:prstGeom>
                    <a:noFill/>
                  </pic:spPr>
                </pic:pic>
              </a:graphicData>
            </a:graphic>
          </wp:inline>
        </w:drawing>
      </w:r>
    </w:p>
    <w:p w:rsidR="0062568C" w:rsidRDefault="0062568C" w:rsidP="006976EC">
      <w:pPr>
        <w:pStyle w:val="ListParagraph"/>
        <w:spacing w:after="200" w:line="276" w:lineRule="auto"/>
        <w:ind w:left="0"/>
        <w:rPr>
          <w:rFonts w:ascii="Arial" w:hAnsi="Arial" w:cs="Arial"/>
          <w:sz w:val="22"/>
          <w:szCs w:val="22"/>
          <w:highlight w:val="yellow"/>
        </w:rPr>
      </w:pPr>
    </w:p>
    <w:p w:rsidR="00ED6F79" w:rsidRPr="00E904C3" w:rsidRDefault="00ED6F79" w:rsidP="00ED6F79">
      <w:pPr>
        <w:spacing w:after="200" w:line="276" w:lineRule="auto"/>
        <w:rPr>
          <w:rFonts w:ascii="Arial" w:hAnsi="Arial" w:cs="Arial"/>
          <w:sz w:val="22"/>
          <w:szCs w:val="22"/>
        </w:rPr>
      </w:pPr>
      <w:r w:rsidRPr="00E904C3">
        <w:rPr>
          <w:rFonts w:ascii="Arial" w:hAnsi="Arial" w:cs="Arial"/>
          <w:sz w:val="22"/>
          <w:szCs w:val="22"/>
        </w:rPr>
        <w:t xml:space="preserve">Table </w:t>
      </w:r>
      <w:r w:rsidR="00BB7F83">
        <w:rPr>
          <w:rFonts w:ascii="Arial" w:hAnsi="Arial" w:cs="Arial"/>
          <w:sz w:val="22"/>
          <w:szCs w:val="22"/>
        </w:rPr>
        <w:t>7</w:t>
      </w:r>
      <w:r w:rsidRPr="00E904C3">
        <w:rPr>
          <w:rFonts w:ascii="Arial" w:hAnsi="Arial" w:cs="Arial"/>
          <w:sz w:val="22"/>
          <w:szCs w:val="22"/>
        </w:rPr>
        <w:t xml:space="preserve"> below sets out the total travel costs position (staff, members inclusive) at the end of Ma</w:t>
      </w:r>
      <w:r w:rsidR="00E904C3">
        <w:rPr>
          <w:rFonts w:ascii="Arial" w:hAnsi="Arial" w:cs="Arial"/>
          <w:sz w:val="22"/>
          <w:szCs w:val="22"/>
        </w:rPr>
        <w:t>y</w:t>
      </w:r>
      <w:r w:rsidRPr="00E904C3">
        <w:rPr>
          <w:rFonts w:ascii="Arial" w:hAnsi="Arial" w:cs="Arial"/>
          <w:sz w:val="22"/>
          <w:szCs w:val="22"/>
        </w:rPr>
        <w:t xml:space="preserve"> </w:t>
      </w:r>
      <w:r w:rsidR="00E904C3">
        <w:rPr>
          <w:rFonts w:ascii="Arial" w:hAnsi="Arial" w:cs="Arial"/>
          <w:sz w:val="22"/>
          <w:szCs w:val="22"/>
        </w:rPr>
        <w:t xml:space="preserve">2016.  £94k has been spent year to date with a £3k over spend against the plan.  </w:t>
      </w:r>
      <w:r w:rsidRPr="00E904C3">
        <w:rPr>
          <w:rFonts w:ascii="Arial" w:hAnsi="Arial" w:cs="Arial"/>
          <w:sz w:val="22"/>
          <w:szCs w:val="22"/>
        </w:rPr>
        <w:t xml:space="preserve">It should be noted that one explanation for the over spend is due to the </w:t>
      </w:r>
      <w:r w:rsidR="00E904C3">
        <w:rPr>
          <w:rFonts w:ascii="Arial" w:hAnsi="Arial" w:cs="Arial"/>
          <w:sz w:val="22"/>
          <w:szCs w:val="22"/>
        </w:rPr>
        <w:t xml:space="preserve">all staff day in May. </w:t>
      </w:r>
      <w:r w:rsidRPr="00E904C3">
        <w:rPr>
          <w:rFonts w:ascii="Arial" w:hAnsi="Arial" w:cs="Arial"/>
          <w:sz w:val="22"/>
          <w:szCs w:val="22"/>
        </w:rPr>
        <w:t xml:space="preserve">The treatment of travel costs associated with training continues to be investigated and a solution </w:t>
      </w:r>
      <w:r w:rsidR="00E904C3">
        <w:rPr>
          <w:rFonts w:ascii="Arial" w:hAnsi="Arial" w:cs="Arial"/>
          <w:sz w:val="22"/>
          <w:szCs w:val="22"/>
        </w:rPr>
        <w:t>is nearing completion.</w:t>
      </w:r>
      <w:r w:rsidRPr="00E904C3">
        <w:rPr>
          <w:rFonts w:ascii="Arial" w:hAnsi="Arial" w:cs="Arial"/>
          <w:sz w:val="22"/>
          <w:szCs w:val="22"/>
        </w:rPr>
        <w:t xml:space="preserve">  </w:t>
      </w:r>
      <w:r w:rsidR="00E904C3">
        <w:rPr>
          <w:rFonts w:ascii="Arial" w:hAnsi="Arial" w:cs="Arial"/>
          <w:sz w:val="22"/>
          <w:szCs w:val="22"/>
        </w:rPr>
        <w:t>T</w:t>
      </w:r>
      <w:r w:rsidRPr="00E904C3">
        <w:rPr>
          <w:rFonts w:ascii="Arial" w:hAnsi="Arial" w:cs="Arial"/>
          <w:sz w:val="22"/>
          <w:szCs w:val="22"/>
        </w:rPr>
        <w:t xml:space="preserve">he arrangements for staff training </w:t>
      </w:r>
      <w:r w:rsidR="00E904C3">
        <w:rPr>
          <w:rFonts w:ascii="Arial" w:hAnsi="Arial" w:cs="Arial"/>
          <w:sz w:val="22"/>
          <w:szCs w:val="22"/>
        </w:rPr>
        <w:t>continue to be reviewed t</w:t>
      </w:r>
      <w:r w:rsidRPr="00E904C3">
        <w:rPr>
          <w:rFonts w:ascii="Arial" w:hAnsi="Arial" w:cs="Arial"/>
          <w:sz w:val="22"/>
          <w:szCs w:val="22"/>
        </w:rPr>
        <w:t xml:space="preserve">o see if any savings can be realised from the choice of venue and methods of training provision.  The estates strategy work is also encouraging greater use of video conferencing or “Lync” </w:t>
      </w:r>
      <w:proofErr w:type="gramStart"/>
      <w:r w:rsidRPr="00E904C3">
        <w:rPr>
          <w:rFonts w:ascii="Arial" w:hAnsi="Arial" w:cs="Arial"/>
          <w:sz w:val="22"/>
          <w:szCs w:val="22"/>
        </w:rPr>
        <w:t>meetings,</w:t>
      </w:r>
      <w:proofErr w:type="gramEnd"/>
      <w:r w:rsidRPr="00E904C3">
        <w:rPr>
          <w:rFonts w:ascii="Arial" w:hAnsi="Arial" w:cs="Arial"/>
          <w:sz w:val="22"/>
          <w:szCs w:val="22"/>
        </w:rPr>
        <w:t xml:space="preserve"> however this aspect is strongly dependent on the reliability and capacity of the IT service.  </w:t>
      </w:r>
    </w:p>
    <w:p w:rsidR="00ED6F79" w:rsidRPr="00E904C3" w:rsidRDefault="00ED6F79" w:rsidP="00ED6F79">
      <w:pPr>
        <w:spacing w:after="200" w:line="276" w:lineRule="auto"/>
        <w:rPr>
          <w:rFonts w:ascii="Arial" w:hAnsi="Arial" w:cs="Arial"/>
          <w:b/>
          <w:sz w:val="22"/>
          <w:szCs w:val="22"/>
        </w:rPr>
      </w:pPr>
      <w:r w:rsidRPr="00E904C3">
        <w:rPr>
          <w:rFonts w:ascii="Arial" w:hAnsi="Arial" w:cs="Arial"/>
          <w:b/>
          <w:sz w:val="22"/>
          <w:szCs w:val="22"/>
        </w:rPr>
        <w:t xml:space="preserve">Table </w:t>
      </w:r>
      <w:r w:rsidR="00B445AE">
        <w:rPr>
          <w:rFonts w:ascii="Arial" w:hAnsi="Arial" w:cs="Arial"/>
          <w:b/>
          <w:sz w:val="22"/>
          <w:szCs w:val="22"/>
        </w:rPr>
        <w:t>7</w:t>
      </w:r>
      <w:r w:rsidRPr="00E904C3">
        <w:rPr>
          <w:rFonts w:ascii="Arial" w:hAnsi="Arial" w:cs="Arial"/>
          <w:b/>
          <w:sz w:val="22"/>
          <w:szCs w:val="22"/>
        </w:rPr>
        <w:t>:  Travel costs and budget across the HRA by Directorate</w:t>
      </w:r>
    </w:p>
    <w:p w:rsidR="00ED6F79" w:rsidRPr="00792336" w:rsidRDefault="00E904C3" w:rsidP="00ED6F79">
      <w:pPr>
        <w:pStyle w:val="ListParagraph"/>
        <w:spacing w:after="200" w:line="276" w:lineRule="auto"/>
        <w:ind w:left="0"/>
        <w:rPr>
          <w:rFonts w:ascii="Arial" w:hAnsi="Arial" w:cs="Arial"/>
          <w:sz w:val="22"/>
          <w:szCs w:val="22"/>
          <w:highlight w:val="yellow"/>
        </w:rPr>
      </w:pPr>
      <w:r w:rsidRPr="00E904C3">
        <w:rPr>
          <w:noProof/>
        </w:rPr>
        <w:drawing>
          <wp:inline distT="0" distB="0" distL="0" distR="0">
            <wp:extent cx="4743450" cy="2714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0" cy="2714625"/>
                    </a:xfrm>
                    <a:prstGeom prst="rect">
                      <a:avLst/>
                    </a:prstGeom>
                    <a:noFill/>
                    <a:ln>
                      <a:noFill/>
                    </a:ln>
                  </pic:spPr>
                </pic:pic>
              </a:graphicData>
            </a:graphic>
          </wp:inline>
        </w:drawing>
      </w:r>
    </w:p>
    <w:p w:rsidR="00ED6F79" w:rsidRPr="00792336" w:rsidRDefault="00ED6F79" w:rsidP="00ED6F79">
      <w:pPr>
        <w:pStyle w:val="ListParagraph"/>
        <w:spacing w:after="200" w:line="276" w:lineRule="auto"/>
        <w:ind w:left="0"/>
        <w:rPr>
          <w:rFonts w:ascii="Arial" w:hAnsi="Arial" w:cs="Arial"/>
          <w:sz w:val="22"/>
          <w:szCs w:val="22"/>
          <w:highlight w:val="yellow"/>
        </w:rPr>
      </w:pPr>
    </w:p>
    <w:p w:rsidR="00ED6F79" w:rsidRPr="00792336" w:rsidRDefault="00ED6F79" w:rsidP="00ED6F79">
      <w:pPr>
        <w:pStyle w:val="ListParagraph"/>
        <w:spacing w:after="200" w:line="276" w:lineRule="auto"/>
        <w:ind w:left="0"/>
        <w:rPr>
          <w:rFonts w:ascii="Arial" w:hAnsi="Arial" w:cs="Arial"/>
          <w:sz w:val="22"/>
          <w:szCs w:val="22"/>
          <w:highlight w:val="yellow"/>
        </w:rPr>
      </w:pPr>
    </w:p>
    <w:p w:rsidR="006976EC" w:rsidRPr="00C51E87" w:rsidRDefault="000C0ACC" w:rsidP="006976EC">
      <w:pPr>
        <w:pStyle w:val="ListParagraph"/>
        <w:spacing w:after="200" w:line="276" w:lineRule="auto"/>
        <w:ind w:left="0"/>
        <w:rPr>
          <w:rFonts w:ascii="Arial" w:hAnsi="Arial" w:cs="Arial"/>
          <w:b/>
          <w:sz w:val="22"/>
          <w:szCs w:val="22"/>
        </w:rPr>
      </w:pPr>
      <w:r w:rsidRPr="00C51E87">
        <w:rPr>
          <w:rFonts w:ascii="Arial" w:hAnsi="Arial" w:cs="Arial"/>
          <w:b/>
          <w:sz w:val="22"/>
          <w:szCs w:val="22"/>
        </w:rPr>
        <w:lastRenderedPageBreak/>
        <w:t>7</w:t>
      </w:r>
      <w:r w:rsidR="006976EC" w:rsidRPr="00C51E87">
        <w:rPr>
          <w:rFonts w:ascii="Arial" w:hAnsi="Arial" w:cs="Arial"/>
          <w:b/>
          <w:sz w:val="22"/>
          <w:szCs w:val="22"/>
        </w:rPr>
        <w:t>. Staff numbers</w:t>
      </w:r>
    </w:p>
    <w:p w:rsidR="00C51E87" w:rsidRDefault="00C51E87" w:rsidP="006976EC">
      <w:pPr>
        <w:pStyle w:val="ListParagraph"/>
        <w:spacing w:after="200" w:line="276" w:lineRule="auto"/>
        <w:ind w:left="0"/>
        <w:rPr>
          <w:rFonts w:ascii="Arial" w:hAnsi="Arial" w:cs="Arial"/>
          <w:sz w:val="22"/>
          <w:szCs w:val="22"/>
        </w:rPr>
      </w:pPr>
    </w:p>
    <w:p w:rsidR="009E5B29" w:rsidRDefault="001A2303" w:rsidP="006976EC">
      <w:pPr>
        <w:pStyle w:val="ListParagraph"/>
        <w:spacing w:after="200" w:line="276" w:lineRule="auto"/>
        <w:ind w:left="0"/>
        <w:rPr>
          <w:rFonts w:ascii="Arial" w:hAnsi="Arial" w:cs="Arial"/>
          <w:sz w:val="22"/>
          <w:szCs w:val="22"/>
        </w:rPr>
      </w:pPr>
      <w:r w:rsidRPr="00C51E87">
        <w:rPr>
          <w:rFonts w:ascii="Arial" w:hAnsi="Arial" w:cs="Arial"/>
          <w:sz w:val="22"/>
          <w:szCs w:val="22"/>
        </w:rPr>
        <w:t>P</w:t>
      </w:r>
      <w:r w:rsidR="00E10273" w:rsidRPr="00C51E87">
        <w:rPr>
          <w:rFonts w:ascii="Arial" w:hAnsi="Arial" w:cs="Arial"/>
          <w:sz w:val="22"/>
          <w:szCs w:val="22"/>
        </w:rPr>
        <w:t>ay repre</w:t>
      </w:r>
      <w:r w:rsidR="00A015C8" w:rsidRPr="00C51E87">
        <w:rPr>
          <w:rFonts w:ascii="Arial" w:hAnsi="Arial" w:cs="Arial"/>
          <w:sz w:val="22"/>
          <w:szCs w:val="22"/>
        </w:rPr>
        <w:t>sents 6</w:t>
      </w:r>
      <w:r w:rsidR="00C51E87">
        <w:rPr>
          <w:rFonts w:ascii="Arial" w:hAnsi="Arial" w:cs="Arial"/>
          <w:sz w:val="22"/>
          <w:szCs w:val="22"/>
        </w:rPr>
        <w:t>8</w:t>
      </w:r>
      <w:r w:rsidR="006D14D3" w:rsidRPr="00C51E87">
        <w:rPr>
          <w:rFonts w:ascii="Arial" w:hAnsi="Arial" w:cs="Arial"/>
          <w:sz w:val="22"/>
          <w:szCs w:val="22"/>
        </w:rPr>
        <w:t xml:space="preserve">% of the costs </w:t>
      </w:r>
      <w:proofErr w:type="gramStart"/>
      <w:r w:rsidR="006D14D3" w:rsidRPr="00C51E87">
        <w:rPr>
          <w:rFonts w:ascii="Arial" w:hAnsi="Arial" w:cs="Arial"/>
          <w:sz w:val="22"/>
          <w:szCs w:val="22"/>
        </w:rPr>
        <w:t xml:space="preserve">incurred </w:t>
      </w:r>
      <w:r w:rsidR="007C66A5" w:rsidRPr="00C51E87">
        <w:rPr>
          <w:rFonts w:ascii="Arial" w:hAnsi="Arial" w:cs="Arial"/>
          <w:sz w:val="22"/>
          <w:szCs w:val="22"/>
        </w:rPr>
        <w:t xml:space="preserve"> </w:t>
      </w:r>
      <w:r w:rsidR="00E31CA4" w:rsidRPr="00C51E87">
        <w:rPr>
          <w:rFonts w:ascii="Arial" w:hAnsi="Arial" w:cs="Arial"/>
          <w:sz w:val="22"/>
          <w:szCs w:val="22"/>
        </w:rPr>
        <w:t>in</w:t>
      </w:r>
      <w:proofErr w:type="gramEnd"/>
      <w:r w:rsidR="00E31CA4" w:rsidRPr="00C51E87">
        <w:rPr>
          <w:rFonts w:ascii="Arial" w:hAnsi="Arial" w:cs="Arial"/>
          <w:sz w:val="22"/>
          <w:szCs w:val="22"/>
        </w:rPr>
        <w:t xml:space="preserve"> year</w:t>
      </w:r>
      <w:r w:rsidR="007C66A5" w:rsidRPr="00C51E87">
        <w:rPr>
          <w:rFonts w:ascii="Arial" w:hAnsi="Arial" w:cs="Arial"/>
          <w:sz w:val="22"/>
          <w:szCs w:val="22"/>
        </w:rPr>
        <w:t>.  T</w:t>
      </w:r>
      <w:r w:rsidR="006D14D3" w:rsidRPr="00C51E87">
        <w:rPr>
          <w:rFonts w:ascii="Arial" w:hAnsi="Arial" w:cs="Arial"/>
          <w:sz w:val="22"/>
          <w:szCs w:val="22"/>
        </w:rPr>
        <w:t xml:space="preserve">he profile of our staff headcount is presented </w:t>
      </w:r>
      <w:r w:rsidR="00C2265B" w:rsidRPr="00C51E87">
        <w:rPr>
          <w:rFonts w:ascii="Arial" w:hAnsi="Arial" w:cs="Arial"/>
          <w:sz w:val="22"/>
          <w:szCs w:val="22"/>
        </w:rPr>
        <w:t xml:space="preserve">in Table </w:t>
      </w:r>
      <w:r w:rsidR="00B445AE">
        <w:rPr>
          <w:rFonts w:ascii="Arial" w:hAnsi="Arial" w:cs="Arial"/>
          <w:sz w:val="22"/>
          <w:szCs w:val="22"/>
        </w:rPr>
        <w:t>8</w:t>
      </w:r>
      <w:r w:rsidR="00C2265B" w:rsidRPr="00C51E87">
        <w:rPr>
          <w:rFonts w:ascii="Arial" w:hAnsi="Arial" w:cs="Arial"/>
          <w:sz w:val="22"/>
          <w:szCs w:val="22"/>
        </w:rPr>
        <w:t xml:space="preserve"> </w:t>
      </w:r>
      <w:r w:rsidR="006D14D3" w:rsidRPr="00C51E87">
        <w:rPr>
          <w:rFonts w:ascii="Arial" w:hAnsi="Arial" w:cs="Arial"/>
          <w:sz w:val="22"/>
          <w:szCs w:val="22"/>
        </w:rPr>
        <w:t>below for information</w:t>
      </w:r>
      <w:r w:rsidR="004717CC" w:rsidRPr="00C51E87">
        <w:rPr>
          <w:rFonts w:ascii="Arial" w:hAnsi="Arial" w:cs="Arial"/>
          <w:sz w:val="22"/>
          <w:szCs w:val="22"/>
        </w:rPr>
        <w:t xml:space="preserve">.  </w:t>
      </w:r>
    </w:p>
    <w:p w:rsidR="00C51E87" w:rsidRDefault="00C51E87" w:rsidP="006976EC">
      <w:pPr>
        <w:pStyle w:val="ListParagraph"/>
        <w:spacing w:after="200" w:line="276" w:lineRule="auto"/>
        <w:ind w:left="0"/>
        <w:rPr>
          <w:rFonts w:ascii="Arial" w:hAnsi="Arial" w:cs="Arial"/>
          <w:sz w:val="22"/>
          <w:szCs w:val="22"/>
        </w:rPr>
      </w:pPr>
    </w:p>
    <w:p w:rsidR="00C51E87" w:rsidRPr="00C51E87" w:rsidRDefault="00C51E87" w:rsidP="006976EC">
      <w:pPr>
        <w:pStyle w:val="ListParagraph"/>
        <w:spacing w:after="200" w:line="276" w:lineRule="auto"/>
        <w:ind w:left="0"/>
        <w:rPr>
          <w:rFonts w:ascii="Arial" w:hAnsi="Arial" w:cs="Arial"/>
          <w:b/>
          <w:sz w:val="22"/>
          <w:szCs w:val="22"/>
        </w:rPr>
      </w:pPr>
      <w:r w:rsidRPr="00C51E87">
        <w:rPr>
          <w:rFonts w:ascii="Arial" w:hAnsi="Arial" w:cs="Arial"/>
          <w:b/>
          <w:sz w:val="22"/>
          <w:szCs w:val="22"/>
        </w:rPr>
        <w:t xml:space="preserve">Table </w:t>
      </w:r>
      <w:r w:rsidR="00B445AE">
        <w:rPr>
          <w:rFonts w:ascii="Arial" w:hAnsi="Arial" w:cs="Arial"/>
          <w:b/>
          <w:sz w:val="22"/>
          <w:szCs w:val="22"/>
        </w:rPr>
        <w:t>8</w:t>
      </w:r>
      <w:r w:rsidRPr="00C51E87">
        <w:rPr>
          <w:rFonts w:ascii="Arial" w:hAnsi="Arial" w:cs="Arial"/>
          <w:b/>
          <w:sz w:val="22"/>
          <w:szCs w:val="22"/>
        </w:rPr>
        <w:t xml:space="preserve">:  </w:t>
      </w:r>
      <w:r>
        <w:rPr>
          <w:rFonts w:ascii="Arial" w:hAnsi="Arial" w:cs="Arial"/>
          <w:b/>
          <w:sz w:val="22"/>
          <w:szCs w:val="22"/>
        </w:rPr>
        <w:t>Chart to show actual s</w:t>
      </w:r>
      <w:r w:rsidRPr="00C51E87">
        <w:rPr>
          <w:rFonts w:ascii="Arial" w:hAnsi="Arial" w:cs="Arial"/>
          <w:b/>
          <w:sz w:val="22"/>
          <w:szCs w:val="22"/>
        </w:rPr>
        <w:t xml:space="preserve">taffing </w:t>
      </w:r>
      <w:r>
        <w:rPr>
          <w:rFonts w:ascii="Arial" w:hAnsi="Arial" w:cs="Arial"/>
          <w:b/>
          <w:sz w:val="22"/>
          <w:szCs w:val="22"/>
        </w:rPr>
        <w:t>h</w:t>
      </w:r>
      <w:r w:rsidRPr="00C51E87">
        <w:rPr>
          <w:rFonts w:ascii="Arial" w:hAnsi="Arial" w:cs="Arial"/>
          <w:b/>
          <w:sz w:val="22"/>
          <w:szCs w:val="22"/>
        </w:rPr>
        <w:t>eadcount</w:t>
      </w:r>
      <w:r>
        <w:rPr>
          <w:rFonts w:ascii="Arial" w:hAnsi="Arial" w:cs="Arial"/>
          <w:b/>
          <w:sz w:val="22"/>
          <w:szCs w:val="22"/>
        </w:rPr>
        <w:t xml:space="preserve"> so far in 2016</w:t>
      </w:r>
    </w:p>
    <w:p w:rsidR="00C51E87" w:rsidRDefault="00C51E87" w:rsidP="006976EC">
      <w:pPr>
        <w:pStyle w:val="ListParagraph"/>
        <w:spacing w:after="200" w:line="276" w:lineRule="auto"/>
        <w:ind w:left="0"/>
        <w:rPr>
          <w:rFonts w:ascii="Arial" w:hAnsi="Arial" w:cs="Arial"/>
          <w:sz w:val="22"/>
          <w:szCs w:val="22"/>
        </w:rPr>
      </w:pPr>
    </w:p>
    <w:p w:rsidR="00C51E87" w:rsidRPr="00C51E87" w:rsidRDefault="00C51E87" w:rsidP="006976EC">
      <w:pPr>
        <w:pStyle w:val="ListParagraph"/>
        <w:spacing w:after="200" w:line="276" w:lineRule="auto"/>
        <w:ind w:left="0"/>
        <w:rPr>
          <w:rFonts w:ascii="Arial" w:hAnsi="Arial" w:cs="Arial"/>
          <w:sz w:val="22"/>
          <w:szCs w:val="22"/>
        </w:rPr>
      </w:pPr>
      <w:r>
        <w:rPr>
          <w:rFonts w:ascii="Arial" w:hAnsi="Arial" w:cs="Arial"/>
          <w:noProof/>
          <w:sz w:val="22"/>
          <w:szCs w:val="22"/>
        </w:rPr>
        <w:drawing>
          <wp:inline distT="0" distB="0" distL="0" distR="0" wp14:anchorId="7DCF4AE5">
            <wp:extent cx="4584700" cy="2493645"/>
            <wp:effectExtent l="0" t="0" r="635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493645"/>
                    </a:xfrm>
                    <a:prstGeom prst="rect">
                      <a:avLst/>
                    </a:prstGeom>
                    <a:noFill/>
                  </pic:spPr>
                </pic:pic>
              </a:graphicData>
            </a:graphic>
          </wp:inline>
        </w:drawing>
      </w:r>
    </w:p>
    <w:p w:rsidR="00C51E87" w:rsidRDefault="00C51E87" w:rsidP="006976EC">
      <w:pPr>
        <w:pStyle w:val="ListParagraph"/>
        <w:spacing w:after="200" w:line="276" w:lineRule="auto"/>
        <w:ind w:left="0"/>
        <w:rPr>
          <w:rFonts w:ascii="Arial" w:hAnsi="Arial" w:cs="Arial"/>
          <w:sz w:val="22"/>
          <w:szCs w:val="22"/>
        </w:rPr>
      </w:pPr>
    </w:p>
    <w:p w:rsidR="0062568C" w:rsidRPr="00792336" w:rsidRDefault="00C51E87" w:rsidP="006976EC">
      <w:pPr>
        <w:pStyle w:val="ListParagraph"/>
        <w:spacing w:after="200" w:line="276" w:lineRule="auto"/>
        <w:ind w:left="0"/>
        <w:rPr>
          <w:rFonts w:ascii="Arial" w:hAnsi="Arial" w:cs="Arial"/>
          <w:sz w:val="22"/>
          <w:szCs w:val="22"/>
          <w:highlight w:val="yellow"/>
        </w:rPr>
      </w:pPr>
      <w:r>
        <w:rPr>
          <w:rFonts w:ascii="Arial" w:hAnsi="Arial" w:cs="Arial"/>
          <w:sz w:val="22"/>
          <w:szCs w:val="22"/>
        </w:rPr>
        <w:t>The overall headcount has reduced as expected.  Whilst p</w:t>
      </w:r>
      <w:r w:rsidR="009E5B29" w:rsidRPr="00C51E87">
        <w:rPr>
          <w:rFonts w:ascii="Arial" w:hAnsi="Arial" w:cs="Arial"/>
          <w:sz w:val="22"/>
          <w:szCs w:val="22"/>
        </w:rPr>
        <w:t>ermanent</w:t>
      </w:r>
      <w:r>
        <w:rPr>
          <w:rFonts w:ascii="Arial" w:hAnsi="Arial" w:cs="Arial"/>
          <w:sz w:val="22"/>
          <w:szCs w:val="22"/>
        </w:rPr>
        <w:t xml:space="preserve">, </w:t>
      </w:r>
      <w:r w:rsidR="009E5B29" w:rsidRPr="00C51E87">
        <w:rPr>
          <w:rFonts w:ascii="Arial" w:hAnsi="Arial" w:cs="Arial"/>
          <w:sz w:val="22"/>
          <w:szCs w:val="22"/>
        </w:rPr>
        <w:t xml:space="preserve">fixed term headcount </w:t>
      </w:r>
      <w:r>
        <w:rPr>
          <w:rFonts w:ascii="Arial" w:hAnsi="Arial" w:cs="Arial"/>
          <w:sz w:val="22"/>
          <w:szCs w:val="22"/>
        </w:rPr>
        <w:t xml:space="preserve">has remained broadly steady, secondments have reduced as project posts came to the end of their expected terms.  </w:t>
      </w:r>
    </w:p>
    <w:p w:rsidR="00136DAB" w:rsidRDefault="000C0ACC" w:rsidP="00136DAB">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36DAB" w:rsidP="00136DAB">
      <w:pPr>
        <w:spacing w:line="276" w:lineRule="auto"/>
        <w:rPr>
          <w:rFonts w:ascii="Arial" w:hAnsi="Arial" w:cs="Arial"/>
          <w:sz w:val="22"/>
          <w:szCs w:val="22"/>
        </w:rPr>
      </w:pPr>
      <w:r>
        <w:rPr>
          <w:rFonts w:ascii="Arial" w:hAnsi="Arial" w:cs="Arial"/>
          <w:sz w:val="22"/>
          <w:szCs w:val="22"/>
        </w:rPr>
        <w:t xml:space="preserve">The achievement of key deadlines </w:t>
      </w:r>
      <w:r w:rsidR="00D773F0">
        <w:rPr>
          <w:rFonts w:ascii="Arial" w:hAnsi="Arial" w:cs="Arial"/>
          <w:sz w:val="22"/>
          <w:szCs w:val="22"/>
        </w:rPr>
        <w:t>continues to be maintained</w:t>
      </w:r>
      <w:r>
        <w:rPr>
          <w:rFonts w:ascii="Arial" w:hAnsi="Arial" w:cs="Arial"/>
          <w:sz w:val="22"/>
          <w:szCs w:val="22"/>
        </w:rPr>
        <w:t>.</w:t>
      </w:r>
      <w:r w:rsidR="00F00ED6">
        <w:rPr>
          <w:rFonts w:ascii="Arial" w:hAnsi="Arial" w:cs="Arial"/>
          <w:sz w:val="22"/>
          <w:szCs w:val="22"/>
        </w:rPr>
        <w:t xml:space="preserve">  Finance </w:t>
      </w:r>
      <w:r w:rsidR="00792336">
        <w:rPr>
          <w:rFonts w:ascii="Arial" w:hAnsi="Arial" w:cs="Arial"/>
          <w:sz w:val="22"/>
          <w:szCs w:val="22"/>
        </w:rPr>
        <w:t xml:space="preserve">aim to complete the month end within 4 working days of the end of the month in question.  In May, month end close took 5 working days following an extension by 1 day as a result of IT problems affecting a member of the team. </w:t>
      </w:r>
      <w:r w:rsidR="00273479">
        <w:rPr>
          <w:rFonts w:ascii="Arial" w:hAnsi="Arial" w:cs="Arial"/>
          <w:sz w:val="22"/>
          <w:szCs w:val="22"/>
        </w:rPr>
        <w:t>A</w:t>
      </w:r>
      <w:r w:rsidR="00B45965">
        <w:rPr>
          <w:rFonts w:ascii="Arial" w:hAnsi="Arial" w:cs="Arial"/>
          <w:sz w:val="22"/>
          <w:szCs w:val="22"/>
        </w:rPr>
        <w:t xml:space="preserve">ll agreed deadlines for completion of </w:t>
      </w:r>
      <w:r w:rsidR="0030786C">
        <w:rPr>
          <w:rFonts w:ascii="Arial" w:hAnsi="Arial" w:cs="Arial"/>
          <w:sz w:val="22"/>
          <w:szCs w:val="22"/>
        </w:rPr>
        <w:t>required</w:t>
      </w:r>
      <w:r w:rsidR="00B45965">
        <w:rPr>
          <w:rFonts w:ascii="Arial" w:hAnsi="Arial" w:cs="Arial"/>
          <w:sz w:val="22"/>
          <w:szCs w:val="22"/>
        </w:rPr>
        <w:t xml:space="preserve"> reports for EMT and Board </w:t>
      </w:r>
      <w:r w:rsidR="00273479">
        <w:rPr>
          <w:rFonts w:ascii="Arial" w:hAnsi="Arial" w:cs="Arial"/>
          <w:sz w:val="22"/>
          <w:szCs w:val="22"/>
        </w:rPr>
        <w:t>were</w:t>
      </w:r>
      <w:r w:rsidR="00B45965">
        <w:rPr>
          <w:rFonts w:ascii="Arial" w:hAnsi="Arial" w:cs="Arial"/>
          <w:sz w:val="22"/>
          <w:szCs w:val="22"/>
        </w:rPr>
        <w:t xml:space="preserve"> achieved</w:t>
      </w:r>
      <w:r w:rsidR="00A454CF">
        <w:rPr>
          <w:rFonts w:ascii="Arial" w:hAnsi="Arial" w:cs="Arial"/>
          <w:sz w:val="22"/>
          <w:szCs w:val="22"/>
        </w:rPr>
        <w:t>.</w:t>
      </w:r>
    </w:p>
    <w:p w:rsidR="00306328" w:rsidRDefault="00306328" w:rsidP="00136DAB">
      <w:pPr>
        <w:spacing w:line="276" w:lineRule="auto"/>
        <w:rPr>
          <w:rFonts w:ascii="Arial" w:hAnsi="Arial" w:cs="Arial"/>
          <w:sz w:val="22"/>
          <w:szCs w:val="22"/>
        </w:rPr>
      </w:pPr>
    </w:p>
    <w:p w:rsidR="00716AC4" w:rsidRPr="006976EC" w:rsidRDefault="000C0ACC" w:rsidP="00716AC4">
      <w:pPr>
        <w:spacing w:after="200" w:line="276" w:lineRule="auto"/>
        <w:rPr>
          <w:rFonts w:ascii="Arial" w:hAnsi="Arial" w:cs="Arial"/>
          <w:b/>
          <w:sz w:val="22"/>
          <w:szCs w:val="22"/>
        </w:rPr>
      </w:pPr>
      <w:r>
        <w:rPr>
          <w:rFonts w:ascii="Arial" w:hAnsi="Arial" w:cs="Arial"/>
          <w:b/>
          <w:sz w:val="22"/>
          <w:szCs w:val="22"/>
        </w:rPr>
        <w:t>9</w:t>
      </w:r>
      <w:r w:rsidR="00716AC4" w:rsidRPr="006976EC">
        <w:rPr>
          <w:rFonts w:ascii="Arial" w:hAnsi="Arial" w:cs="Arial"/>
          <w:b/>
          <w:sz w:val="22"/>
          <w:szCs w:val="22"/>
        </w:rPr>
        <w:t>.  Capital</w:t>
      </w:r>
    </w:p>
    <w:p w:rsidR="009B1C6A" w:rsidRPr="00765609" w:rsidRDefault="00C129B5" w:rsidP="009B1C6A">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expenditure position is presented b</w:t>
      </w:r>
      <w:r w:rsidR="00E54475">
        <w:rPr>
          <w:rFonts w:ascii="Arial" w:hAnsi="Arial" w:cs="Arial"/>
          <w:sz w:val="22"/>
          <w:szCs w:val="22"/>
        </w:rPr>
        <w:t>elow for Ma</w:t>
      </w:r>
      <w:r w:rsidR="00643FCA">
        <w:rPr>
          <w:rFonts w:ascii="Arial" w:hAnsi="Arial" w:cs="Arial"/>
          <w:sz w:val="22"/>
          <w:szCs w:val="22"/>
        </w:rPr>
        <w:t>y</w:t>
      </w:r>
      <w:r w:rsidR="00EE12A9">
        <w:rPr>
          <w:rFonts w:ascii="Arial" w:hAnsi="Arial" w:cs="Arial"/>
          <w:sz w:val="22"/>
          <w:szCs w:val="22"/>
        </w:rPr>
        <w:t xml:space="preserve"> 2016</w:t>
      </w:r>
      <w:r w:rsidR="00DD6D45">
        <w:rPr>
          <w:rFonts w:ascii="Arial" w:hAnsi="Arial" w:cs="Arial"/>
          <w:sz w:val="22"/>
          <w:szCs w:val="22"/>
        </w:rPr>
        <w:t xml:space="preserve"> and is running at a slight under spend</w:t>
      </w:r>
      <w:r w:rsidR="008E34B5" w:rsidRPr="00765609">
        <w:rPr>
          <w:rFonts w:ascii="Arial" w:hAnsi="Arial" w:cs="Arial"/>
          <w:sz w:val="22"/>
          <w:szCs w:val="22"/>
        </w:rPr>
        <w:t xml:space="preserve">.  </w:t>
      </w:r>
      <w:r w:rsidR="009B1C6A" w:rsidRPr="00765609">
        <w:rPr>
          <w:rFonts w:ascii="Arial" w:hAnsi="Arial" w:cs="Arial"/>
          <w:sz w:val="22"/>
          <w:szCs w:val="22"/>
        </w:rPr>
        <w:t>The HRA received confirmation of the capital funding of £</w:t>
      </w:r>
      <w:r w:rsidR="009B1C6A">
        <w:rPr>
          <w:rFonts w:ascii="Arial" w:hAnsi="Arial" w:cs="Arial"/>
          <w:sz w:val="22"/>
          <w:szCs w:val="22"/>
        </w:rPr>
        <w:t>910k</w:t>
      </w:r>
      <w:r w:rsidR="009B1C6A" w:rsidRPr="00765609">
        <w:rPr>
          <w:rFonts w:ascii="Arial" w:hAnsi="Arial" w:cs="Arial"/>
          <w:sz w:val="22"/>
          <w:szCs w:val="22"/>
        </w:rPr>
        <w:t xml:space="preserve"> from the Department of Health</w:t>
      </w:r>
      <w:r w:rsidR="00F04163">
        <w:rPr>
          <w:rFonts w:ascii="Arial" w:hAnsi="Arial" w:cs="Arial"/>
          <w:sz w:val="22"/>
          <w:szCs w:val="22"/>
        </w:rPr>
        <w:t xml:space="preserve"> in line with the amount included within the Spending Review</w:t>
      </w:r>
      <w:r w:rsidR="009B1C6A" w:rsidRPr="00765609">
        <w:rPr>
          <w:rFonts w:ascii="Arial" w:hAnsi="Arial" w:cs="Arial"/>
          <w:sz w:val="22"/>
          <w:szCs w:val="22"/>
        </w:rPr>
        <w:t xml:space="preserve">.  </w:t>
      </w:r>
    </w:p>
    <w:p w:rsidR="0056428E" w:rsidRDefault="008E34B5" w:rsidP="00716AC4">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plan includes</w:t>
      </w:r>
      <w:r w:rsidR="00BB4161" w:rsidRPr="00765609">
        <w:rPr>
          <w:rFonts w:ascii="Arial" w:hAnsi="Arial" w:cs="Arial"/>
          <w:sz w:val="22"/>
          <w:szCs w:val="22"/>
        </w:rPr>
        <w:t xml:space="preserve"> budget for th</w:t>
      </w:r>
      <w:r w:rsidR="00643FCA">
        <w:rPr>
          <w:rFonts w:ascii="Arial" w:hAnsi="Arial" w:cs="Arial"/>
          <w:sz w:val="22"/>
          <w:szCs w:val="22"/>
        </w:rPr>
        <w:t>e development of the HARP and IRAS systems and for th</w:t>
      </w:r>
      <w:r w:rsidR="004E2AEC">
        <w:rPr>
          <w:rFonts w:ascii="Arial" w:hAnsi="Arial" w:cs="Arial"/>
          <w:sz w:val="22"/>
          <w:szCs w:val="22"/>
        </w:rPr>
        <w:t>ose</w:t>
      </w:r>
      <w:r w:rsidR="009B2F1B" w:rsidRPr="00765609">
        <w:rPr>
          <w:rFonts w:ascii="Arial" w:hAnsi="Arial" w:cs="Arial"/>
          <w:sz w:val="22"/>
          <w:szCs w:val="22"/>
        </w:rPr>
        <w:t xml:space="preserve"> I</w:t>
      </w:r>
      <w:r w:rsidR="004E2AEC">
        <w:rPr>
          <w:rFonts w:ascii="Arial" w:hAnsi="Arial" w:cs="Arial"/>
          <w:sz w:val="22"/>
          <w:szCs w:val="22"/>
        </w:rPr>
        <w:t xml:space="preserve">nformation </w:t>
      </w:r>
      <w:r w:rsidR="009B2F1B" w:rsidRPr="00765609">
        <w:rPr>
          <w:rFonts w:ascii="Arial" w:hAnsi="Arial" w:cs="Arial"/>
          <w:sz w:val="22"/>
          <w:szCs w:val="22"/>
        </w:rPr>
        <w:t>S</w:t>
      </w:r>
      <w:r w:rsidR="004E2AEC">
        <w:rPr>
          <w:rFonts w:ascii="Arial" w:hAnsi="Arial" w:cs="Arial"/>
          <w:sz w:val="22"/>
          <w:szCs w:val="22"/>
        </w:rPr>
        <w:t>ystems</w:t>
      </w:r>
      <w:r w:rsidR="009B2F1B" w:rsidRPr="00765609">
        <w:rPr>
          <w:rFonts w:ascii="Arial" w:hAnsi="Arial" w:cs="Arial"/>
          <w:sz w:val="22"/>
          <w:szCs w:val="22"/>
        </w:rPr>
        <w:t xml:space="preserve"> posts which include an element of </w:t>
      </w:r>
      <w:r w:rsidR="004E2AEC">
        <w:rPr>
          <w:rFonts w:ascii="Arial" w:hAnsi="Arial" w:cs="Arial"/>
          <w:sz w:val="22"/>
          <w:szCs w:val="22"/>
        </w:rPr>
        <w:t xml:space="preserve">development or </w:t>
      </w:r>
      <w:r w:rsidR="009B2F1B" w:rsidRPr="00765609">
        <w:rPr>
          <w:rFonts w:ascii="Arial" w:hAnsi="Arial" w:cs="Arial"/>
          <w:sz w:val="22"/>
          <w:szCs w:val="22"/>
        </w:rPr>
        <w:t>capital work within their roles.</w:t>
      </w:r>
      <w:r w:rsidR="000F4DF3">
        <w:rPr>
          <w:rFonts w:ascii="Arial" w:hAnsi="Arial" w:cs="Arial"/>
          <w:sz w:val="22"/>
          <w:szCs w:val="22"/>
        </w:rPr>
        <w:t xml:space="preserve">  </w:t>
      </w:r>
      <w:r w:rsidR="00643FCA">
        <w:rPr>
          <w:rFonts w:ascii="Arial" w:hAnsi="Arial" w:cs="Arial"/>
          <w:sz w:val="22"/>
          <w:szCs w:val="22"/>
        </w:rPr>
        <w:t xml:space="preserve">An additional budget was initially identified for laptop refreshment, but following the advice from the auditors that these could </w:t>
      </w:r>
      <w:r w:rsidR="009B1C6A">
        <w:rPr>
          <w:rFonts w:ascii="Arial" w:hAnsi="Arial" w:cs="Arial"/>
          <w:sz w:val="22"/>
          <w:szCs w:val="22"/>
        </w:rPr>
        <w:t xml:space="preserve">be charged to revenue, and the subsequent recent completion of the statutory audit, where this was discussed and concluded that the treatment was correct, </w:t>
      </w:r>
      <w:proofErr w:type="gramStart"/>
      <w:r w:rsidR="009B1C6A">
        <w:rPr>
          <w:rFonts w:ascii="Arial" w:hAnsi="Arial" w:cs="Arial"/>
          <w:sz w:val="22"/>
          <w:szCs w:val="22"/>
        </w:rPr>
        <w:t>this</w:t>
      </w:r>
      <w:proofErr w:type="gramEnd"/>
      <w:r w:rsidR="009B1C6A">
        <w:rPr>
          <w:rFonts w:ascii="Arial" w:hAnsi="Arial" w:cs="Arial"/>
          <w:sz w:val="22"/>
          <w:szCs w:val="22"/>
        </w:rPr>
        <w:t xml:space="preserve"> budget will no longer be required.  </w:t>
      </w:r>
      <w:r w:rsidR="00A75048">
        <w:rPr>
          <w:rFonts w:ascii="Arial" w:hAnsi="Arial" w:cs="Arial"/>
          <w:sz w:val="22"/>
          <w:szCs w:val="22"/>
        </w:rPr>
        <w:t>As work</w:t>
      </w:r>
      <w:r w:rsidR="009B1C6A">
        <w:rPr>
          <w:rFonts w:ascii="Arial" w:hAnsi="Arial" w:cs="Arial"/>
          <w:sz w:val="22"/>
          <w:szCs w:val="22"/>
        </w:rPr>
        <w:t xml:space="preserve"> is completed on forecasting for the year end position, any surplus on the</w:t>
      </w:r>
      <w:r w:rsidR="00A75048">
        <w:rPr>
          <w:rFonts w:ascii="Arial" w:hAnsi="Arial" w:cs="Arial"/>
          <w:sz w:val="22"/>
          <w:szCs w:val="22"/>
        </w:rPr>
        <w:t xml:space="preserve"> allocated </w:t>
      </w:r>
      <w:r w:rsidR="009B1C6A">
        <w:rPr>
          <w:rFonts w:ascii="Arial" w:hAnsi="Arial" w:cs="Arial"/>
          <w:sz w:val="22"/>
          <w:szCs w:val="22"/>
        </w:rPr>
        <w:t>budget will be identified and notified to DH</w:t>
      </w:r>
      <w:r w:rsidR="00A75048">
        <w:rPr>
          <w:rFonts w:ascii="Arial" w:hAnsi="Arial" w:cs="Arial"/>
          <w:sz w:val="22"/>
          <w:szCs w:val="22"/>
        </w:rPr>
        <w:t xml:space="preserve"> through the quarterly returns</w:t>
      </w:r>
      <w:r w:rsidR="009B1C6A">
        <w:rPr>
          <w:rFonts w:ascii="Arial" w:hAnsi="Arial" w:cs="Arial"/>
          <w:sz w:val="22"/>
          <w:szCs w:val="22"/>
        </w:rPr>
        <w:t xml:space="preserve"> for use by the wider system. </w:t>
      </w:r>
    </w:p>
    <w:p w:rsidR="00091F54" w:rsidRDefault="00F51731" w:rsidP="00716AC4">
      <w:pPr>
        <w:spacing w:after="200" w:line="276" w:lineRule="auto"/>
        <w:rPr>
          <w:rFonts w:ascii="Arial" w:hAnsi="Arial" w:cs="Arial"/>
          <w:sz w:val="22"/>
          <w:szCs w:val="22"/>
        </w:rPr>
      </w:pPr>
      <w:proofErr w:type="gramStart"/>
      <w:r>
        <w:rPr>
          <w:rFonts w:ascii="Arial" w:hAnsi="Arial" w:cs="Arial"/>
          <w:sz w:val="22"/>
          <w:szCs w:val="22"/>
        </w:rPr>
        <w:t>A</w:t>
      </w:r>
      <w:r w:rsidR="008E34B5" w:rsidRPr="00765609">
        <w:rPr>
          <w:rFonts w:ascii="Arial" w:hAnsi="Arial" w:cs="Arial"/>
          <w:sz w:val="22"/>
          <w:szCs w:val="22"/>
        </w:rPr>
        <w:t xml:space="preserve"> report on the monthly spend</w:t>
      </w:r>
      <w:proofErr w:type="gramEnd"/>
      <w:r w:rsidR="008E34B5" w:rsidRPr="00765609">
        <w:rPr>
          <w:rFonts w:ascii="Arial" w:hAnsi="Arial" w:cs="Arial"/>
          <w:sz w:val="22"/>
          <w:szCs w:val="22"/>
        </w:rPr>
        <w:t xml:space="preserve"> against budget </w:t>
      </w:r>
      <w:r w:rsidR="00BB4161" w:rsidRPr="00765609">
        <w:rPr>
          <w:rFonts w:ascii="Arial" w:hAnsi="Arial" w:cs="Arial"/>
          <w:sz w:val="22"/>
          <w:szCs w:val="22"/>
        </w:rPr>
        <w:t>for each of the capital programmes</w:t>
      </w:r>
      <w:r>
        <w:rPr>
          <w:rFonts w:ascii="Arial" w:hAnsi="Arial" w:cs="Arial"/>
          <w:sz w:val="22"/>
          <w:szCs w:val="22"/>
        </w:rPr>
        <w:t xml:space="preserve"> </w:t>
      </w:r>
      <w:r w:rsidR="009B1C6A">
        <w:rPr>
          <w:rFonts w:ascii="Arial" w:hAnsi="Arial" w:cs="Arial"/>
          <w:sz w:val="22"/>
          <w:szCs w:val="22"/>
        </w:rPr>
        <w:t xml:space="preserve">is shared with </w:t>
      </w:r>
      <w:r>
        <w:rPr>
          <w:rFonts w:ascii="Arial" w:hAnsi="Arial" w:cs="Arial"/>
          <w:sz w:val="22"/>
          <w:szCs w:val="22"/>
        </w:rPr>
        <w:t xml:space="preserve">the </w:t>
      </w:r>
      <w:r w:rsidR="00C1038A">
        <w:rPr>
          <w:rFonts w:ascii="Arial" w:hAnsi="Arial" w:cs="Arial"/>
          <w:sz w:val="22"/>
          <w:szCs w:val="22"/>
        </w:rPr>
        <w:t>Deputy Director – Research Information Systems.  This</w:t>
      </w:r>
      <w:r w:rsidR="00BB4161" w:rsidRPr="00765609">
        <w:rPr>
          <w:rFonts w:ascii="Arial" w:hAnsi="Arial" w:cs="Arial"/>
          <w:sz w:val="22"/>
          <w:szCs w:val="22"/>
        </w:rPr>
        <w:t xml:space="preserve"> enable</w:t>
      </w:r>
      <w:r w:rsidR="00C1038A">
        <w:rPr>
          <w:rFonts w:ascii="Arial" w:hAnsi="Arial" w:cs="Arial"/>
          <w:sz w:val="22"/>
          <w:szCs w:val="22"/>
        </w:rPr>
        <w:t>s</w:t>
      </w:r>
      <w:r w:rsidR="00BB4161" w:rsidRPr="00765609">
        <w:rPr>
          <w:rFonts w:ascii="Arial" w:hAnsi="Arial" w:cs="Arial"/>
          <w:sz w:val="22"/>
          <w:szCs w:val="22"/>
        </w:rPr>
        <w:t xml:space="preserve"> us to</w:t>
      </w:r>
      <w:r w:rsidR="009B2F1B" w:rsidRPr="00765609">
        <w:rPr>
          <w:rFonts w:ascii="Arial" w:hAnsi="Arial" w:cs="Arial"/>
          <w:sz w:val="22"/>
          <w:szCs w:val="22"/>
        </w:rPr>
        <w:t xml:space="preserve"> highlight any potential forecast </w:t>
      </w:r>
      <w:r w:rsidR="00C04A23">
        <w:rPr>
          <w:rFonts w:ascii="Arial" w:hAnsi="Arial" w:cs="Arial"/>
          <w:sz w:val="22"/>
          <w:szCs w:val="22"/>
        </w:rPr>
        <w:t>under spend</w:t>
      </w:r>
      <w:r w:rsidR="009B2F1B" w:rsidRPr="00765609">
        <w:rPr>
          <w:rFonts w:ascii="Arial" w:hAnsi="Arial" w:cs="Arial"/>
          <w:sz w:val="22"/>
          <w:szCs w:val="22"/>
        </w:rPr>
        <w:t xml:space="preserve"> or </w:t>
      </w:r>
      <w:r w:rsidR="00D773F0">
        <w:rPr>
          <w:rFonts w:ascii="Arial" w:hAnsi="Arial" w:cs="Arial"/>
          <w:sz w:val="22"/>
          <w:szCs w:val="22"/>
        </w:rPr>
        <w:t>over spend</w:t>
      </w:r>
      <w:r w:rsidR="009B2F1B" w:rsidRPr="00765609">
        <w:rPr>
          <w:rFonts w:ascii="Arial" w:hAnsi="Arial" w:cs="Arial"/>
          <w:sz w:val="22"/>
          <w:szCs w:val="22"/>
        </w:rPr>
        <w:t xml:space="preserve"> at an early stage.</w:t>
      </w:r>
      <w:r w:rsidR="00486466">
        <w:rPr>
          <w:rFonts w:ascii="Arial" w:hAnsi="Arial" w:cs="Arial"/>
          <w:sz w:val="22"/>
          <w:szCs w:val="22"/>
        </w:rPr>
        <w:t xml:space="preserve">  </w:t>
      </w:r>
    </w:p>
    <w:p w:rsidR="00C51E87" w:rsidRDefault="00C51E87" w:rsidP="00716AC4">
      <w:pPr>
        <w:spacing w:after="200" w:line="276" w:lineRule="auto"/>
        <w:rPr>
          <w:rFonts w:ascii="Arial" w:hAnsi="Arial" w:cs="Arial"/>
          <w:b/>
          <w:sz w:val="22"/>
          <w:szCs w:val="22"/>
        </w:rPr>
      </w:pPr>
    </w:p>
    <w:p w:rsidR="001F7421" w:rsidRPr="001F7421" w:rsidRDefault="001F7421" w:rsidP="00716AC4">
      <w:pPr>
        <w:spacing w:after="200" w:line="276" w:lineRule="auto"/>
        <w:rPr>
          <w:rFonts w:ascii="Arial" w:hAnsi="Arial" w:cs="Arial"/>
          <w:b/>
          <w:color w:val="FF0000"/>
          <w:sz w:val="22"/>
          <w:szCs w:val="22"/>
        </w:rPr>
      </w:pPr>
      <w:r w:rsidRPr="001F7421">
        <w:rPr>
          <w:rFonts w:ascii="Arial" w:hAnsi="Arial" w:cs="Arial"/>
          <w:b/>
          <w:sz w:val="22"/>
          <w:szCs w:val="22"/>
        </w:rPr>
        <w:lastRenderedPageBreak/>
        <w:t>Capital expenditure 2</w:t>
      </w:r>
      <w:r w:rsidR="00534292">
        <w:rPr>
          <w:rFonts w:ascii="Arial" w:hAnsi="Arial" w:cs="Arial"/>
          <w:b/>
          <w:sz w:val="22"/>
          <w:szCs w:val="22"/>
        </w:rPr>
        <w:t>01</w:t>
      </w:r>
      <w:r w:rsidR="009B1C6A">
        <w:rPr>
          <w:rFonts w:ascii="Arial" w:hAnsi="Arial" w:cs="Arial"/>
          <w:b/>
          <w:sz w:val="22"/>
          <w:szCs w:val="22"/>
        </w:rPr>
        <w:t>6</w:t>
      </w:r>
      <w:r w:rsidR="00534292">
        <w:rPr>
          <w:rFonts w:ascii="Arial" w:hAnsi="Arial" w:cs="Arial"/>
          <w:b/>
          <w:sz w:val="22"/>
          <w:szCs w:val="22"/>
        </w:rPr>
        <w:t>/1</w:t>
      </w:r>
      <w:r w:rsidR="009B1C6A">
        <w:rPr>
          <w:rFonts w:ascii="Arial" w:hAnsi="Arial" w:cs="Arial"/>
          <w:b/>
          <w:sz w:val="22"/>
          <w:szCs w:val="22"/>
        </w:rPr>
        <w:t>7</w:t>
      </w:r>
    </w:p>
    <w:p w:rsidR="004E06FA" w:rsidRDefault="00DD6D45" w:rsidP="00716AC4">
      <w:pPr>
        <w:spacing w:after="200" w:line="276" w:lineRule="auto"/>
        <w:rPr>
          <w:rFonts w:ascii="Arial" w:hAnsi="Arial" w:cs="Arial"/>
          <w:b/>
          <w:sz w:val="22"/>
          <w:szCs w:val="22"/>
        </w:rPr>
      </w:pPr>
      <w:r w:rsidRPr="00DD6D45">
        <w:rPr>
          <w:noProof/>
        </w:rPr>
        <w:drawing>
          <wp:inline distT="0" distB="0" distL="0" distR="0">
            <wp:extent cx="5724525" cy="1685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1685925"/>
                    </a:xfrm>
                    <a:prstGeom prst="rect">
                      <a:avLst/>
                    </a:prstGeom>
                    <a:noFill/>
                    <a:ln>
                      <a:noFill/>
                    </a:ln>
                  </pic:spPr>
                </pic:pic>
              </a:graphicData>
            </a:graphic>
          </wp:inline>
        </w:drawing>
      </w:r>
    </w:p>
    <w:p w:rsidR="00716AC4" w:rsidRPr="00C20315" w:rsidRDefault="000C0ACC" w:rsidP="00716AC4">
      <w:pPr>
        <w:spacing w:after="200" w:line="276" w:lineRule="auto"/>
        <w:rPr>
          <w:rFonts w:ascii="Arial" w:hAnsi="Arial" w:cs="Arial"/>
          <w:b/>
          <w:sz w:val="22"/>
          <w:szCs w:val="22"/>
        </w:rPr>
      </w:pPr>
      <w:r>
        <w:rPr>
          <w:rFonts w:ascii="Arial" w:hAnsi="Arial" w:cs="Arial"/>
          <w:b/>
          <w:sz w:val="22"/>
          <w:szCs w:val="22"/>
        </w:rPr>
        <w:t>10</w:t>
      </w:r>
      <w:r w:rsidR="00544EF0">
        <w:rPr>
          <w:rFonts w:ascii="Arial" w:hAnsi="Arial" w:cs="Arial"/>
          <w:b/>
          <w:sz w:val="22"/>
          <w:szCs w:val="22"/>
        </w:rPr>
        <w:t>. Statement of Financial Position</w:t>
      </w:r>
      <w:r w:rsidR="00716AC4" w:rsidRPr="00C20315">
        <w:rPr>
          <w:rFonts w:ascii="Arial" w:hAnsi="Arial" w:cs="Arial"/>
          <w:b/>
          <w:sz w:val="22"/>
          <w:szCs w:val="22"/>
        </w:rPr>
        <w:t xml:space="preserve"> and cash</w:t>
      </w:r>
    </w:p>
    <w:p w:rsidR="006F24A4" w:rsidRDefault="00B43093" w:rsidP="00B43093">
      <w:pPr>
        <w:tabs>
          <w:tab w:val="left" w:pos="2172"/>
        </w:tabs>
        <w:contextualSpacing/>
        <w:rPr>
          <w:rFonts w:ascii="Arial" w:hAnsi="Arial" w:cs="Arial"/>
          <w:sz w:val="22"/>
          <w:szCs w:val="22"/>
        </w:rPr>
      </w:pPr>
      <w:r>
        <w:rPr>
          <w:rFonts w:ascii="Arial" w:hAnsi="Arial" w:cs="Arial"/>
          <w:sz w:val="22"/>
          <w:szCs w:val="22"/>
        </w:rPr>
        <w:t xml:space="preserve">The Statement of Financial Position </w:t>
      </w:r>
      <w:r w:rsidR="006F24A4">
        <w:rPr>
          <w:rFonts w:ascii="Arial" w:hAnsi="Arial" w:cs="Arial"/>
          <w:sz w:val="22"/>
          <w:szCs w:val="22"/>
        </w:rPr>
        <w:t xml:space="preserve">and cash flow will be presented on a quarterly basis, at the end of June, September, December and March 2017.  </w:t>
      </w:r>
    </w:p>
    <w:p w:rsidR="006F24A4" w:rsidRDefault="006F24A4" w:rsidP="00B43093">
      <w:pPr>
        <w:tabs>
          <w:tab w:val="left" w:pos="2172"/>
        </w:tabs>
        <w:contextualSpacing/>
        <w:rPr>
          <w:rFonts w:ascii="Arial" w:hAnsi="Arial" w:cs="Arial"/>
          <w:sz w:val="22"/>
          <w:szCs w:val="22"/>
        </w:rPr>
      </w:pPr>
    </w:p>
    <w:p w:rsidR="00EE12A9" w:rsidRDefault="00B43093" w:rsidP="00803D4B">
      <w:pPr>
        <w:tabs>
          <w:tab w:val="left" w:pos="2172"/>
        </w:tabs>
        <w:contextualSpacing/>
        <w:rPr>
          <w:rFonts w:ascii="Arial" w:hAnsi="Arial" w:cs="Arial"/>
          <w:sz w:val="22"/>
          <w:szCs w:val="22"/>
        </w:rPr>
      </w:pPr>
      <w:r>
        <w:rPr>
          <w:rFonts w:ascii="Arial" w:hAnsi="Arial" w:cs="Arial"/>
          <w:sz w:val="22"/>
          <w:szCs w:val="22"/>
        </w:rPr>
        <w:t xml:space="preserve"> </w:t>
      </w:r>
      <w:r w:rsidR="00D15F0D" w:rsidRPr="00B90EA0">
        <w:rPr>
          <w:rFonts w:ascii="Arial" w:hAnsi="Arial" w:cs="Arial"/>
          <w:sz w:val="22"/>
          <w:szCs w:val="22"/>
        </w:rPr>
        <w:t xml:space="preserve">At the end of the reporting period, the cash balance was </w:t>
      </w:r>
      <w:r w:rsidR="00272AA5" w:rsidRPr="00B90EA0">
        <w:rPr>
          <w:rFonts w:ascii="Arial" w:hAnsi="Arial" w:cs="Arial"/>
          <w:sz w:val="22"/>
          <w:szCs w:val="22"/>
        </w:rPr>
        <w:t>£</w:t>
      </w:r>
      <w:r w:rsidR="00996BCF" w:rsidRPr="00B90EA0">
        <w:rPr>
          <w:rFonts w:ascii="Arial" w:hAnsi="Arial" w:cs="Arial"/>
          <w:sz w:val="22"/>
          <w:szCs w:val="22"/>
        </w:rPr>
        <w:t>3.</w:t>
      </w:r>
      <w:r w:rsidR="006F24A4">
        <w:rPr>
          <w:rFonts w:ascii="Arial" w:hAnsi="Arial" w:cs="Arial"/>
          <w:sz w:val="22"/>
          <w:szCs w:val="22"/>
        </w:rPr>
        <w:t>362</w:t>
      </w:r>
      <w:r w:rsidR="00544EF0" w:rsidRPr="00B90EA0">
        <w:rPr>
          <w:rFonts w:ascii="Arial" w:hAnsi="Arial" w:cs="Arial"/>
          <w:sz w:val="22"/>
          <w:szCs w:val="22"/>
        </w:rPr>
        <w:t>m, which is</w:t>
      </w:r>
      <w:r w:rsidR="00A07739" w:rsidRPr="00B90EA0">
        <w:rPr>
          <w:rFonts w:ascii="Arial" w:hAnsi="Arial" w:cs="Arial"/>
          <w:sz w:val="22"/>
          <w:szCs w:val="22"/>
        </w:rPr>
        <w:t xml:space="preserve"> </w:t>
      </w:r>
      <w:r w:rsidR="00286A07" w:rsidRPr="00B90EA0">
        <w:rPr>
          <w:rFonts w:ascii="Arial" w:hAnsi="Arial" w:cs="Arial"/>
          <w:sz w:val="22"/>
          <w:szCs w:val="22"/>
        </w:rPr>
        <w:t xml:space="preserve">a reduction against the </w:t>
      </w:r>
      <w:r w:rsidR="00562279" w:rsidRPr="00B90EA0">
        <w:rPr>
          <w:rFonts w:ascii="Arial" w:hAnsi="Arial" w:cs="Arial"/>
          <w:sz w:val="22"/>
          <w:szCs w:val="22"/>
        </w:rPr>
        <w:t>balance of £3.</w:t>
      </w:r>
      <w:r w:rsidR="006F24A4">
        <w:rPr>
          <w:rFonts w:ascii="Arial" w:hAnsi="Arial" w:cs="Arial"/>
          <w:sz w:val="22"/>
          <w:szCs w:val="22"/>
        </w:rPr>
        <w:t>485</w:t>
      </w:r>
      <w:r w:rsidR="00562279" w:rsidRPr="00B90EA0">
        <w:rPr>
          <w:rFonts w:ascii="Arial" w:hAnsi="Arial" w:cs="Arial"/>
          <w:sz w:val="22"/>
          <w:szCs w:val="22"/>
        </w:rPr>
        <w:t xml:space="preserve">m held at the end of the </w:t>
      </w:r>
      <w:r w:rsidR="001C4432" w:rsidRPr="00B90EA0">
        <w:rPr>
          <w:rFonts w:ascii="Arial" w:hAnsi="Arial" w:cs="Arial"/>
          <w:sz w:val="22"/>
          <w:szCs w:val="22"/>
        </w:rPr>
        <w:t>201</w:t>
      </w:r>
      <w:r w:rsidR="006F24A4">
        <w:rPr>
          <w:rFonts w:ascii="Arial" w:hAnsi="Arial" w:cs="Arial"/>
          <w:sz w:val="22"/>
          <w:szCs w:val="22"/>
        </w:rPr>
        <w:t>5</w:t>
      </w:r>
      <w:r w:rsidR="001C4432" w:rsidRPr="00B90EA0">
        <w:rPr>
          <w:rFonts w:ascii="Arial" w:hAnsi="Arial" w:cs="Arial"/>
          <w:sz w:val="22"/>
          <w:szCs w:val="22"/>
        </w:rPr>
        <w:t>/1</w:t>
      </w:r>
      <w:r w:rsidR="006F24A4">
        <w:rPr>
          <w:rFonts w:ascii="Arial" w:hAnsi="Arial" w:cs="Arial"/>
          <w:sz w:val="22"/>
          <w:szCs w:val="22"/>
        </w:rPr>
        <w:t>6</w:t>
      </w:r>
      <w:r w:rsidR="001C4432" w:rsidRPr="00B90EA0">
        <w:rPr>
          <w:rFonts w:ascii="Arial" w:hAnsi="Arial" w:cs="Arial"/>
          <w:sz w:val="22"/>
          <w:szCs w:val="22"/>
        </w:rPr>
        <w:t xml:space="preserve"> financial </w:t>
      </w:r>
      <w:r w:rsidR="00562279" w:rsidRPr="00B90EA0">
        <w:rPr>
          <w:rFonts w:ascii="Arial" w:hAnsi="Arial" w:cs="Arial"/>
          <w:sz w:val="22"/>
          <w:szCs w:val="22"/>
        </w:rPr>
        <w:t>year.</w:t>
      </w:r>
      <w:r w:rsidR="00286A07" w:rsidRPr="00B90EA0">
        <w:rPr>
          <w:rFonts w:ascii="Arial" w:hAnsi="Arial" w:cs="Arial"/>
          <w:sz w:val="22"/>
          <w:szCs w:val="22"/>
        </w:rPr>
        <w:t xml:space="preserve">  </w:t>
      </w:r>
      <w:r w:rsidR="006F24A4">
        <w:rPr>
          <w:rFonts w:ascii="Arial" w:hAnsi="Arial" w:cs="Arial"/>
          <w:sz w:val="22"/>
          <w:szCs w:val="22"/>
        </w:rPr>
        <w:t>.</w:t>
      </w:r>
      <w:r w:rsidR="006F24A4" w:rsidRPr="00DB1038">
        <w:rPr>
          <w:rFonts w:ascii="Arial" w:hAnsi="Arial" w:cs="Arial"/>
          <w:sz w:val="22"/>
          <w:szCs w:val="22"/>
        </w:rPr>
        <w:t xml:space="preserve"> </w:t>
      </w:r>
      <w:r w:rsidR="006F24A4" w:rsidRPr="00011FDF">
        <w:rPr>
          <w:rFonts w:ascii="Arial" w:hAnsi="Arial" w:cs="Arial"/>
          <w:sz w:val="22"/>
          <w:szCs w:val="22"/>
        </w:rPr>
        <w:t>In order to fulfil the duty to avoid holding excess levels of cash, the HRA will continue to monit</w:t>
      </w:r>
      <w:r w:rsidR="006F24A4">
        <w:rPr>
          <w:rFonts w:ascii="Arial" w:hAnsi="Arial" w:cs="Arial"/>
          <w:sz w:val="22"/>
          <w:szCs w:val="22"/>
        </w:rPr>
        <w:t>or the cash position during 2016/17</w:t>
      </w:r>
      <w:r w:rsidR="006F24A4" w:rsidRPr="00011FDF">
        <w:rPr>
          <w:rFonts w:ascii="Arial" w:hAnsi="Arial" w:cs="Arial"/>
          <w:sz w:val="22"/>
          <w:szCs w:val="22"/>
        </w:rPr>
        <w:t xml:space="preserve"> to ensure that sufficient cash is held for future needs, but will aim to reduce the cash balances held.</w:t>
      </w:r>
      <w:r w:rsidR="006F24A4">
        <w:rPr>
          <w:rFonts w:ascii="Arial" w:hAnsi="Arial" w:cs="Arial"/>
          <w:sz w:val="22"/>
          <w:szCs w:val="22"/>
        </w:rPr>
        <w:t xml:space="preserve"> </w:t>
      </w:r>
    </w:p>
    <w:p w:rsidR="00B40EA9" w:rsidRPr="00011FDF" w:rsidRDefault="00DB1038" w:rsidP="00803D4B">
      <w:pPr>
        <w:tabs>
          <w:tab w:val="left" w:pos="2172"/>
        </w:tabs>
        <w:contextualSpacing/>
        <w:rPr>
          <w:rFonts w:ascii="Arial" w:hAnsi="Arial" w:cs="Arial"/>
          <w:sz w:val="22"/>
          <w:szCs w:val="22"/>
        </w:rPr>
      </w:pPr>
      <w:r>
        <w:rPr>
          <w:rFonts w:ascii="Arial" w:hAnsi="Arial" w:cs="Arial"/>
          <w:sz w:val="22"/>
          <w:szCs w:val="22"/>
        </w:rPr>
        <w:t xml:space="preserve"> </w:t>
      </w:r>
    </w:p>
    <w:p w:rsidR="00B40EA9" w:rsidRDefault="00B40EA9" w:rsidP="00B40EA9">
      <w:pPr>
        <w:jc w:val="both"/>
        <w:rPr>
          <w:rFonts w:ascii="Arial" w:hAnsi="Arial" w:cs="Arial"/>
          <w:b/>
          <w:sz w:val="22"/>
          <w:szCs w:val="22"/>
          <w:highlight w:val="yellow"/>
        </w:rPr>
      </w:pPr>
    </w:p>
    <w:p w:rsidR="007326AA" w:rsidRDefault="0028079F" w:rsidP="0028079F">
      <w:pPr>
        <w:jc w:val="both"/>
        <w:rPr>
          <w:rFonts w:ascii="Arial" w:hAnsi="Arial" w:cs="Arial"/>
          <w:b/>
          <w:sz w:val="22"/>
          <w:szCs w:val="22"/>
        </w:rPr>
      </w:pPr>
      <w:r w:rsidRPr="00B1174F">
        <w:rPr>
          <w:rFonts w:ascii="Arial" w:hAnsi="Arial" w:cs="Arial"/>
          <w:b/>
          <w:sz w:val="22"/>
          <w:szCs w:val="22"/>
        </w:rPr>
        <w:t xml:space="preserve">11. </w:t>
      </w:r>
      <w:r w:rsidR="007326AA">
        <w:rPr>
          <w:rFonts w:ascii="Arial" w:hAnsi="Arial" w:cs="Arial"/>
          <w:b/>
          <w:sz w:val="22"/>
          <w:szCs w:val="22"/>
        </w:rPr>
        <w:t>Cash releasing Savings</w:t>
      </w:r>
    </w:p>
    <w:p w:rsidR="007326AA" w:rsidRDefault="007326AA" w:rsidP="0028079F">
      <w:pPr>
        <w:jc w:val="both"/>
        <w:rPr>
          <w:rFonts w:ascii="Arial" w:hAnsi="Arial" w:cs="Arial"/>
          <w:sz w:val="22"/>
          <w:szCs w:val="22"/>
        </w:rPr>
      </w:pPr>
    </w:p>
    <w:p w:rsidR="007326AA" w:rsidRDefault="007326AA" w:rsidP="0028079F">
      <w:pPr>
        <w:jc w:val="both"/>
        <w:rPr>
          <w:rFonts w:ascii="Arial" w:hAnsi="Arial" w:cs="Arial"/>
          <w:sz w:val="22"/>
          <w:szCs w:val="22"/>
        </w:rPr>
      </w:pPr>
      <w:r>
        <w:rPr>
          <w:rFonts w:ascii="Arial" w:hAnsi="Arial" w:cs="Arial"/>
          <w:sz w:val="22"/>
          <w:szCs w:val="22"/>
        </w:rPr>
        <w:t>The following areas will form the basis of ensuring that the HRA continues to remain within its financial envelope over the term of the spending review:</w:t>
      </w:r>
    </w:p>
    <w:p w:rsidR="007326AA" w:rsidRDefault="007326AA" w:rsidP="0028079F">
      <w:pPr>
        <w:jc w:val="both"/>
        <w:rPr>
          <w:rFonts w:ascii="Arial" w:hAnsi="Arial" w:cs="Arial"/>
          <w:sz w:val="22"/>
          <w:szCs w:val="22"/>
        </w:rPr>
      </w:pP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Vacancy factor</w:t>
      </w:r>
      <w:r w:rsidR="00C51E87">
        <w:rPr>
          <w:rFonts w:ascii="Arial" w:hAnsi="Arial" w:cs="Arial"/>
          <w:sz w:val="22"/>
          <w:szCs w:val="22"/>
        </w:rPr>
        <w:t>.</w:t>
      </w:r>
    </w:p>
    <w:p w:rsidR="00B445AE" w:rsidRDefault="007326AA" w:rsidP="007326AA">
      <w:pPr>
        <w:pStyle w:val="ListParagraph"/>
        <w:numPr>
          <w:ilvl w:val="0"/>
          <w:numId w:val="27"/>
        </w:numPr>
        <w:jc w:val="both"/>
        <w:rPr>
          <w:rFonts w:ascii="Arial" w:hAnsi="Arial" w:cs="Arial"/>
          <w:sz w:val="22"/>
          <w:szCs w:val="22"/>
        </w:rPr>
      </w:pPr>
      <w:r w:rsidRPr="00B445AE">
        <w:rPr>
          <w:rFonts w:ascii="Arial" w:hAnsi="Arial" w:cs="Arial"/>
          <w:sz w:val="22"/>
          <w:szCs w:val="22"/>
        </w:rPr>
        <w:t xml:space="preserve">Continued savings in estates costs through improved use of footprint.    </w:t>
      </w:r>
    </w:p>
    <w:p w:rsidR="00E71109" w:rsidRPr="00B445AE" w:rsidRDefault="00E71109" w:rsidP="007326AA">
      <w:pPr>
        <w:pStyle w:val="ListParagraph"/>
        <w:numPr>
          <w:ilvl w:val="0"/>
          <w:numId w:val="27"/>
        </w:numPr>
        <w:jc w:val="both"/>
        <w:rPr>
          <w:rFonts w:ascii="Arial" w:hAnsi="Arial" w:cs="Arial"/>
          <w:sz w:val="22"/>
          <w:szCs w:val="22"/>
        </w:rPr>
      </w:pPr>
      <w:r w:rsidRPr="00B445AE">
        <w:rPr>
          <w:rFonts w:ascii="Arial" w:hAnsi="Arial" w:cs="Arial"/>
          <w:sz w:val="22"/>
          <w:szCs w:val="22"/>
        </w:rPr>
        <w:t xml:space="preserve">Savings in per head </w:t>
      </w:r>
      <w:r w:rsidR="00D211BF" w:rsidRPr="00B445AE">
        <w:rPr>
          <w:rFonts w:ascii="Arial" w:hAnsi="Arial" w:cs="Arial"/>
          <w:sz w:val="22"/>
          <w:szCs w:val="22"/>
        </w:rPr>
        <w:t xml:space="preserve">staff </w:t>
      </w:r>
      <w:r w:rsidRPr="00B445AE">
        <w:rPr>
          <w:rFonts w:ascii="Arial" w:hAnsi="Arial" w:cs="Arial"/>
          <w:sz w:val="22"/>
          <w:szCs w:val="22"/>
        </w:rPr>
        <w:t>travel costs to justify the inves</w:t>
      </w:r>
      <w:r w:rsidR="009D724D" w:rsidRPr="00B445AE">
        <w:rPr>
          <w:rFonts w:ascii="Arial" w:hAnsi="Arial" w:cs="Arial"/>
          <w:sz w:val="22"/>
          <w:szCs w:val="22"/>
        </w:rPr>
        <w:t>tment made in digital telephony.  Given the expenditure on travel in 2015/16, this area poses a risk and a challenge and will require concerted management action.</w:t>
      </w:r>
    </w:p>
    <w:p w:rsidR="007326AA"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in introduction of Managed Print Service and roll out of this service as leases expire on current photocopier agreements.</w:t>
      </w:r>
    </w:p>
    <w:p w:rsidR="00086661" w:rsidRPr="00D211BF" w:rsidRDefault="00086661" w:rsidP="00D211BF">
      <w:pPr>
        <w:pStyle w:val="ListParagraph"/>
        <w:numPr>
          <w:ilvl w:val="0"/>
          <w:numId w:val="27"/>
        </w:numPr>
        <w:jc w:val="both"/>
        <w:rPr>
          <w:rFonts w:ascii="Arial" w:hAnsi="Arial" w:cs="Arial"/>
          <w:sz w:val="22"/>
          <w:szCs w:val="22"/>
        </w:rPr>
      </w:pPr>
      <w:r>
        <w:rPr>
          <w:rFonts w:ascii="Arial" w:hAnsi="Arial" w:cs="Arial"/>
          <w:sz w:val="22"/>
          <w:szCs w:val="22"/>
        </w:rPr>
        <w:t>Savings through the use of the Member Portal</w:t>
      </w:r>
      <w:r w:rsidR="00D211BF">
        <w:rPr>
          <w:rFonts w:ascii="Arial" w:hAnsi="Arial" w:cs="Arial"/>
          <w:sz w:val="22"/>
          <w:szCs w:val="22"/>
        </w:rPr>
        <w:t>.</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 xml:space="preserve">Savings on </w:t>
      </w:r>
      <w:r w:rsidR="009D724D">
        <w:rPr>
          <w:rFonts w:ascii="Arial" w:hAnsi="Arial" w:cs="Arial"/>
          <w:sz w:val="22"/>
          <w:szCs w:val="22"/>
        </w:rPr>
        <w:t xml:space="preserve">HRA’s </w:t>
      </w:r>
      <w:r>
        <w:rPr>
          <w:rFonts w:ascii="Arial" w:hAnsi="Arial" w:cs="Arial"/>
          <w:sz w:val="22"/>
          <w:szCs w:val="22"/>
        </w:rPr>
        <w:t>largest information systems contract.</w:t>
      </w:r>
    </w:p>
    <w:p w:rsidR="00086661" w:rsidRPr="007326AA" w:rsidRDefault="00086661" w:rsidP="00086661">
      <w:pPr>
        <w:pStyle w:val="ListParagraph"/>
        <w:jc w:val="both"/>
        <w:rPr>
          <w:rFonts w:ascii="Arial" w:hAnsi="Arial" w:cs="Arial"/>
          <w:sz w:val="22"/>
          <w:szCs w:val="22"/>
        </w:rPr>
      </w:pPr>
    </w:p>
    <w:p w:rsidR="007326AA" w:rsidRDefault="007326AA" w:rsidP="0028079F">
      <w:pPr>
        <w:jc w:val="both"/>
        <w:rPr>
          <w:rFonts w:ascii="Arial" w:hAnsi="Arial" w:cs="Arial"/>
          <w:b/>
          <w:sz w:val="22"/>
          <w:szCs w:val="22"/>
        </w:rPr>
      </w:pPr>
    </w:p>
    <w:p w:rsidR="0028079F" w:rsidRPr="00B1174F" w:rsidRDefault="007326AA" w:rsidP="0028079F">
      <w:pPr>
        <w:jc w:val="both"/>
        <w:rPr>
          <w:rFonts w:ascii="Arial" w:hAnsi="Arial" w:cs="Arial"/>
          <w:b/>
          <w:sz w:val="22"/>
          <w:szCs w:val="22"/>
        </w:rPr>
      </w:pPr>
      <w:r>
        <w:rPr>
          <w:rFonts w:ascii="Arial" w:hAnsi="Arial" w:cs="Arial"/>
          <w:b/>
          <w:sz w:val="22"/>
          <w:szCs w:val="22"/>
        </w:rPr>
        <w:t xml:space="preserve">12. </w:t>
      </w:r>
      <w:r w:rsidR="0028079F" w:rsidRPr="00B1174F">
        <w:rPr>
          <w:rFonts w:ascii="Arial" w:hAnsi="Arial" w:cs="Arial"/>
          <w:b/>
          <w:sz w:val="22"/>
          <w:szCs w:val="22"/>
        </w:rPr>
        <w:t>Recommendations</w:t>
      </w:r>
    </w:p>
    <w:p w:rsidR="0028079F" w:rsidRPr="00B1174F" w:rsidRDefault="0028079F" w:rsidP="00B40EA9">
      <w:pPr>
        <w:jc w:val="both"/>
        <w:rPr>
          <w:rFonts w:ascii="Arial" w:hAnsi="Arial" w:cs="Arial"/>
          <w:b/>
          <w:sz w:val="22"/>
          <w:szCs w:val="22"/>
        </w:rPr>
      </w:pPr>
    </w:p>
    <w:p w:rsidR="001A2303" w:rsidRPr="00B1174F" w:rsidRDefault="00B40EA9" w:rsidP="00115E84">
      <w:p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That </w:t>
      </w:r>
      <w:r w:rsidR="00D773F0">
        <w:rPr>
          <w:rFonts w:ascii="Arial" w:hAnsi="Arial" w:cs="Arial"/>
          <w:sz w:val="22"/>
          <w:szCs w:val="22"/>
        </w:rPr>
        <w:t xml:space="preserve">EMT and </w:t>
      </w:r>
      <w:r w:rsidRPr="00B1174F">
        <w:rPr>
          <w:rFonts w:ascii="Arial" w:hAnsi="Arial" w:cs="Arial"/>
          <w:sz w:val="22"/>
          <w:szCs w:val="22"/>
        </w:rPr>
        <w:t xml:space="preserve">the </w:t>
      </w:r>
      <w:r w:rsidR="00D211BF">
        <w:rPr>
          <w:rFonts w:ascii="Arial" w:hAnsi="Arial" w:cs="Arial"/>
          <w:sz w:val="22"/>
          <w:szCs w:val="22"/>
        </w:rPr>
        <w:t>Board note</w:t>
      </w:r>
      <w:r w:rsidR="001C4432">
        <w:rPr>
          <w:rFonts w:ascii="Arial" w:hAnsi="Arial" w:cs="Arial"/>
          <w:sz w:val="22"/>
          <w:szCs w:val="22"/>
        </w:rPr>
        <w:t xml:space="preserve"> </w:t>
      </w:r>
      <w:r w:rsidRPr="00B1174F">
        <w:rPr>
          <w:rFonts w:ascii="Arial" w:hAnsi="Arial" w:cs="Arial"/>
          <w:sz w:val="22"/>
          <w:szCs w:val="22"/>
        </w:rPr>
        <w:t>the financial position</w:t>
      </w:r>
      <w:r w:rsidR="00115E84" w:rsidRPr="00B1174F">
        <w:rPr>
          <w:rFonts w:ascii="Arial" w:hAnsi="Arial" w:cs="Arial"/>
          <w:sz w:val="22"/>
          <w:szCs w:val="22"/>
        </w:rPr>
        <w:t xml:space="preserve"> and </w:t>
      </w:r>
      <w:r w:rsidR="00B14BF6" w:rsidRPr="00B1174F">
        <w:rPr>
          <w:rFonts w:ascii="Arial" w:hAnsi="Arial" w:cs="Arial"/>
          <w:sz w:val="22"/>
          <w:szCs w:val="22"/>
        </w:rPr>
        <w:t xml:space="preserve">to particularly </w:t>
      </w:r>
      <w:r w:rsidR="00115E84" w:rsidRPr="00B1174F">
        <w:rPr>
          <w:rFonts w:ascii="Arial" w:hAnsi="Arial" w:cs="Arial"/>
          <w:sz w:val="22"/>
          <w:szCs w:val="22"/>
        </w:rPr>
        <w:t xml:space="preserve">note the </w:t>
      </w:r>
      <w:r w:rsidR="00B14BF6" w:rsidRPr="00B1174F">
        <w:rPr>
          <w:rFonts w:ascii="Arial" w:hAnsi="Arial" w:cs="Arial"/>
          <w:sz w:val="22"/>
          <w:szCs w:val="22"/>
        </w:rPr>
        <w:t>following:</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EE7DB7" w:rsidRDefault="0027347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The </w:t>
      </w:r>
      <w:r w:rsidR="00D211BF">
        <w:rPr>
          <w:rFonts w:ascii="Arial" w:hAnsi="Arial" w:cs="Arial"/>
          <w:sz w:val="22"/>
          <w:szCs w:val="22"/>
        </w:rPr>
        <w:t>broad overall breakeven position</w:t>
      </w:r>
      <w:r w:rsidR="00EE7DB7">
        <w:rPr>
          <w:rFonts w:ascii="Arial" w:hAnsi="Arial" w:cs="Arial"/>
          <w:sz w:val="22"/>
          <w:szCs w:val="22"/>
        </w:rPr>
        <w:t>.</w:t>
      </w:r>
    </w:p>
    <w:p w:rsidR="009D724D" w:rsidRDefault="009D724D"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9D724D">
        <w:rPr>
          <w:rFonts w:ascii="Arial" w:hAnsi="Arial" w:cs="Arial"/>
          <w:sz w:val="22"/>
          <w:szCs w:val="22"/>
        </w:rPr>
        <w:t>T</w:t>
      </w:r>
      <w:r w:rsidR="00254D93" w:rsidRPr="009D724D">
        <w:rPr>
          <w:rFonts w:ascii="Arial" w:hAnsi="Arial" w:cs="Arial"/>
          <w:sz w:val="22"/>
          <w:szCs w:val="22"/>
        </w:rPr>
        <w:t>he und</w:t>
      </w:r>
      <w:r w:rsidR="00D211BF">
        <w:rPr>
          <w:rFonts w:ascii="Arial" w:hAnsi="Arial" w:cs="Arial"/>
          <w:sz w:val="22"/>
          <w:szCs w:val="22"/>
        </w:rPr>
        <w:t xml:space="preserve">er spend on pay offset by an over spend on </w:t>
      </w:r>
      <w:proofErr w:type="spellStart"/>
      <w:r w:rsidR="00D211BF">
        <w:rPr>
          <w:rFonts w:ascii="Arial" w:hAnsi="Arial" w:cs="Arial"/>
          <w:sz w:val="22"/>
          <w:szCs w:val="22"/>
        </w:rPr>
        <w:t>non pay</w:t>
      </w:r>
      <w:proofErr w:type="spellEnd"/>
      <w:r w:rsidR="00D211BF">
        <w:rPr>
          <w:rFonts w:ascii="Arial" w:hAnsi="Arial" w:cs="Arial"/>
          <w:sz w:val="22"/>
          <w:szCs w:val="22"/>
        </w:rPr>
        <w:t>.</w:t>
      </w:r>
    </w:p>
    <w:p w:rsidR="001A2303" w:rsidRPr="00B1174F"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1C4432">
        <w:rPr>
          <w:rFonts w:ascii="Arial" w:hAnsi="Arial" w:cs="Arial"/>
          <w:sz w:val="22"/>
          <w:szCs w:val="22"/>
        </w:rPr>
        <w:t xml:space="preserve">The </w:t>
      </w:r>
      <w:r w:rsidR="00E550F2">
        <w:rPr>
          <w:rFonts w:ascii="Arial" w:hAnsi="Arial" w:cs="Arial"/>
          <w:sz w:val="22"/>
          <w:szCs w:val="22"/>
        </w:rPr>
        <w:t xml:space="preserve">excellent performance on the </w:t>
      </w:r>
      <w:r w:rsidR="001A2303" w:rsidRPr="001C4432">
        <w:rPr>
          <w:rFonts w:ascii="Arial" w:hAnsi="Arial" w:cs="Arial"/>
          <w:sz w:val="22"/>
          <w:szCs w:val="22"/>
        </w:rPr>
        <w:t>Better Payments Practice Code pos</w:t>
      </w:r>
      <w:r w:rsidR="003F3BB4" w:rsidRPr="001C4432">
        <w:rPr>
          <w:rFonts w:ascii="Arial" w:hAnsi="Arial" w:cs="Arial"/>
          <w:sz w:val="22"/>
          <w:szCs w:val="22"/>
        </w:rPr>
        <w:t>i</w:t>
      </w:r>
      <w:r w:rsidR="001A2303" w:rsidRPr="001C4432">
        <w:rPr>
          <w:rFonts w:ascii="Arial" w:hAnsi="Arial" w:cs="Arial"/>
          <w:sz w:val="22"/>
          <w:szCs w:val="22"/>
        </w:rPr>
        <w:t>tion</w:t>
      </w:r>
      <w:r w:rsidR="00560E95" w:rsidRPr="001C4432">
        <w:rPr>
          <w:rFonts w:ascii="Arial" w:hAnsi="Arial" w:cs="Arial"/>
          <w:sz w:val="22"/>
          <w:szCs w:val="22"/>
        </w:rPr>
        <w:t xml:space="preserve"> to meet the 95% target based on number of invoices and </w:t>
      </w:r>
      <w:r w:rsidR="00560E95" w:rsidRPr="00B1174F">
        <w:rPr>
          <w:rFonts w:ascii="Arial" w:hAnsi="Arial" w:cs="Arial"/>
          <w:sz w:val="22"/>
          <w:szCs w:val="22"/>
        </w:rPr>
        <w:t>the value</w:t>
      </w:r>
      <w:r w:rsidR="00E550F2">
        <w:rPr>
          <w:rFonts w:ascii="Arial" w:hAnsi="Arial" w:cs="Arial"/>
          <w:sz w:val="22"/>
          <w:szCs w:val="22"/>
        </w:rPr>
        <w:t xml:space="preserve"> and the 60% achievement of payments within 10 days.</w:t>
      </w:r>
    </w:p>
    <w:p w:rsidR="000217E9" w:rsidRPr="001C4432" w:rsidRDefault="0056227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1C4432">
        <w:rPr>
          <w:rFonts w:ascii="Arial" w:hAnsi="Arial" w:cs="Arial"/>
          <w:sz w:val="22"/>
          <w:szCs w:val="22"/>
        </w:rPr>
        <w:t xml:space="preserve">The </w:t>
      </w:r>
      <w:r w:rsidR="00803D4B" w:rsidRPr="001C4432">
        <w:rPr>
          <w:rFonts w:ascii="Arial" w:hAnsi="Arial" w:cs="Arial"/>
          <w:sz w:val="22"/>
          <w:szCs w:val="22"/>
        </w:rPr>
        <w:t>capital position</w:t>
      </w:r>
      <w:r w:rsidR="00161C29">
        <w:rPr>
          <w:rFonts w:ascii="Arial" w:hAnsi="Arial" w:cs="Arial"/>
          <w:sz w:val="22"/>
          <w:szCs w:val="22"/>
        </w:rPr>
        <w:t xml:space="preserve"> </w:t>
      </w:r>
      <w:r w:rsidR="00B43093">
        <w:rPr>
          <w:rFonts w:ascii="Arial" w:hAnsi="Arial" w:cs="Arial"/>
          <w:sz w:val="22"/>
          <w:szCs w:val="22"/>
        </w:rPr>
        <w:t xml:space="preserve">at the end of </w:t>
      </w:r>
      <w:r w:rsidR="006F24A4">
        <w:rPr>
          <w:rFonts w:ascii="Arial" w:hAnsi="Arial" w:cs="Arial"/>
          <w:sz w:val="22"/>
          <w:szCs w:val="22"/>
        </w:rPr>
        <w:t>the period</w:t>
      </w:r>
      <w:r w:rsidR="00DD6D45">
        <w:rPr>
          <w:rFonts w:ascii="Arial" w:hAnsi="Arial" w:cs="Arial"/>
          <w:sz w:val="22"/>
          <w:szCs w:val="22"/>
        </w:rPr>
        <w:t xml:space="preserve"> and likely forecast</w:t>
      </w:r>
      <w:r w:rsidR="006F24A4">
        <w:rPr>
          <w:rFonts w:ascii="Arial" w:hAnsi="Arial" w:cs="Arial"/>
          <w:sz w:val="22"/>
          <w:szCs w:val="22"/>
        </w:rPr>
        <w:t>.</w:t>
      </w:r>
    </w:p>
    <w:p w:rsidR="00CC740F" w:rsidRDefault="00CC740F" w:rsidP="00B40EA9">
      <w:pPr>
        <w:spacing w:line="276" w:lineRule="auto"/>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r w:rsidR="00E05C45">
        <w:rPr>
          <w:rFonts w:ascii="Arial" w:hAnsi="Arial" w:cs="Arial"/>
          <w:b/>
          <w:sz w:val="22"/>
          <w:szCs w:val="22"/>
        </w:rPr>
        <w:t>, Procurement and Estates</w:t>
      </w:r>
    </w:p>
    <w:p w:rsidR="00A86A0C" w:rsidRPr="00480953" w:rsidRDefault="00C3142C" w:rsidP="00480953">
      <w:pPr>
        <w:spacing w:line="276" w:lineRule="auto"/>
        <w:rPr>
          <w:rFonts w:ascii="Arial" w:hAnsi="Arial" w:cs="Arial"/>
          <w:b/>
          <w:sz w:val="22"/>
          <w:szCs w:val="22"/>
        </w:rPr>
        <w:sectPr w:rsidR="00A86A0C" w:rsidRPr="00480953" w:rsidSect="00467649">
          <w:headerReference w:type="default" r:id="rId19"/>
          <w:pgSz w:w="11906" w:h="16838"/>
          <w:pgMar w:top="992" w:right="1276" w:bottom="568" w:left="1559" w:header="567" w:footer="709" w:gutter="0"/>
          <w:cols w:space="708"/>
          <w:docGrid w:linePitch="360"/>
        </w:sectPr>
      </w:pPr>
      <w:r>
        <w:rPr>
          <w:rFonts w:ascii="Arial" w:hAnsi="Arial" w:cs="Arial"/>
          <w:b/>
          <w:sz w:val="22"/>
          <w:szCs w:val="22"/>
        </w:rPr>
        <w:t xml:space="preserve">22 </w:t>
      </w:r>
      <w:r w:rsidR="00DD6D45">
        <w:rPr>
          <w:rFonts w:ascii="Arial" w:hAnsi="Arial" w:cs="Arial"/>
          <w:b/>
          <w:sz w:val="22"/>
          <w:szCs w:val="22"/>
        </w:rPr>
        <w:t>June</w:t>
      </w:r>
      <w:r w:rsidR="0030786C">
        <w:rPr>
          <w:rFonts w:ascii="Arial" w:hAnsi="Arial" w:cs="Arial"/>
          <w:b/>
          <w:sz w:val="22"/>
          <w:szCs w:val="22"/>
        </w:rPr>
        <w:t xml:space="preserve"> 2016</w:t>
      </w:r>
    </w:p>
    <w:p w:rsidR="00597AF4" w:rsidRPr="00F64C33" w:rsidRDefault="00597AF4" w:rsidP="00254D93">
      <w:pPr>
        <w:keepNext/>
        <w:keepLines/>
        <w:pBdr>
          <w:top w:val="single" w:sz="8" w:space="3" w:color="FFFFFF"/>
          <w:left w:val="single" w:sz="8" w:space="4" w:color="FFFFFF"/>
          <w:bottom w:val="single" w:sz="8" w:space="4"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C3142C">
        <w:rPr>
          <w:rFonts w:ascii="Arial" w:eastAsia="Calibri" w:hAnsi="Arial"/>
          <w:b/>
          <w:bCs/>
          <w:color w:val="56008C"/>
          <w:szCs w:val="26"/>
          <w:lang w:eastAsia="en-US"/>
        </w:rPr>
        <w:t>31 Ma</w:t>
      </w:r>
      <w:r w:rsidR="00DD6D45">
        <w:rPr>
          <w:rFonts w:ascii="Arial" w:eastAsia="Calibri" w:hAnsi="Arial"/>
          <w:b/>
          <w:bCs/>
          <w:color w:val="56008C"/>
          <w:szCs w:val="26"/>
          <w:lang w:eastAsia="en-US"/>
        </w:rPr>
        <w:t>y</w:t>
      </w:r>
      <w:r w:rsidR="009A7B0C">
        <w:rPr>
          <w:rFonts w:ascii="Arial" w:eastAsia="Calibri" w:hAnsi="Arial"/>
          <w:b/>
          <w:bCs/>
          <w:color w:val="56008C"/>
          <w:szCs w:val="26"/>
          <w:lang w:eastAsia="en-US"/>
        </w:rPr>
        <w:t xml:space="preserve"> 2016</w:t>
      </w:r>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0A469D">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561B03">
        <w:trPr>
          <w:trHeight w:val="7837"/>
        </w:trPr>
        <w:tc>
          <w:tcPr>
            <w:tcW w:w="2088" w:type="dxa"/>
            <w:shd w:val="clear" w:color="auto" w:fill="56008C"/>
            <w:vAlign w:val="center"/>
          </w:tcPr>
          <w:p w:rsidR="00C11CD4" w:rsidRPr="00F64C33" w:rsidRDefault="00C11CD4" w:rsidP="000A469D">
            <w:pPr>
              <w:spacing w:after="200" w:line="276" w:lineRule="auto"/>
              <w:jc w:val="both"/>
              <w:rPr>
                <w:rFonts w:ascii="Arial" w:hAnsi="Arial" w:cs="Arial"/>
                <w:b/>
                <w:color w:val="E28C05"/>
              </w:rPr>
            </w:pPr>
            <w:r w:rsidRPr="00F64C33">
              <w:rPr>
                <w:rFonts w:ascii="Arial" w:hAnsi="Arial" w:cs="Arial"/>
                <w:b/>
                <w:color w:val="E28C05"/>
              </w:rPr>
              <w:t>FINANCIAL RESULTS</w:t>
            </w:r>
          </w:p>
          <w:p w:rsidR="00C11CD4" w:rsidRPr="00FC6EBF" w:rsidRDefault="00C11CD4" w:rsidP="000A469D">
            <w:pPr>
              <w:spacing w:after="200" w:line="276" w:lineRule="auto"/>
              <w:jc w:val="both"/>
              <w:rPr>
                <w:rFonts w:ascii="Arial" w:hAnsi="Arial" w:cs="Arial"/>
                <w:b/>
              </w:rPr>
            </w:pPr>
            <w:r w:rsidRPr="002132BF">
              <w:rPr>
                <w:rFonts w:ascii="Arial" w:hAnsi="Arial" w:cs="Arial"/>
                <w:b/>
                <w:color w:val="E28C05"/>
              </w:rPr>
              <w:t>HEADLINES</w:t>
            </w:r>
          </w:p>
        </w:tc>
        <w:tc>
          <w:tcPr>
            <w:tcW w:w="13540" w:type="dxa"/>
          </w:tcPr>
          <w:p w:rsidR="00C82BA9" w:rsidRPr="00C82BA9" w:rsidRDefault="00C11CD4" w:rsidP="00C82BA9">
            <w:pPr>
              <w:numPr>
                <w:ilvl w:val="0"/>
                <w:numId w:val="2"/>
              </w:numPr>
              <w:contextualSpacing/>
              <w:rPr>
                <w:rFonts w:ascii="Arial" w:hAnsi="Arial" w:cs="Arial"/>
                <w:sz w:val="22"/>
                <w:szCs w:val="22"/>
              </w:rPr>
            </w:pPr>
            <w:r w:rsidRPr="00C82BA9">
              <w:rPr>
                <w:rFonts w:ascii="Arial" w:hAnsi="Arial" w:cs="Arial"/>
                <w:sz w:val="22"/>
                <w:szCs w:val="22"/>
              </w:rPr>
              <w:t xml:space="preserve">HRA is reporting an </w:t>
            </w:r>
            <w:r w:rsidR="00252EDF" w:rsidRPr="00C82BA9">
              <w:rPr>
                <w:rFonts w:ascii="Arial" w:hAnsi="Arial" w:cs="Arial"/>
                <w:sz w:val="22"/>
                <w:szCs w:val="22"/>
              </w:rPr>
              <w:t xml:space="preserve">expenditure budget </w:t>
            </w:r>
            <w:r w:rsidR="00C04A23" w:rsidRPr="00C82BA9">
              <w:rPr>
                <w:rFonts w:ascii="Arial" w:hAnsi="Arial" w:cs="Arial"/>
                <w:sz w:val="22"/>
                <w:szCs w:val="22"/>
              </w:rPr>
              <w:t>under spend</w:t>
            </w:r>
            <w:r w:rsidRPr="00C82BA9">
              <w:rPr>
                <w:rFonts w:ascii="Arial" w:hAnsi="Arial" w:cs="Arial"/>
                <w:sz w:val="22"/>
                <w:szCs w:val="22"/>
              </w:rPr>
              <w:t xml:space="preserve"> </w:t>
            </w:r>
            <w:r w:rsidR="00B734B9" w:rsidRPr="00C82BA9">
              <w:rPr>
                <w:rFonts w:ascii="Arial" w:hAnsi="Arial" w:cs="Arial"/>
                <w:sz w:val="22"/>
                <w:szCs w:val="22"/>
              </w:rPr>
              <w:t>of £</w:t>
            </w:r>
            <w:r w:rsidR="00DD6D45">
              <w:rPr>
                <w:rFonts w:ascii="Arial" w:hAnsi="Arial" w:cs="Arial"/>
                <w:sz w:val="22"/>
                <w:szCs w:val="22"/>
              </w:rPr>
              <w:t>3</w:t>
            </w:r>
            <w:r w:rsidR="00254D93" w:rsidRPr="00C82BA9">
              <w:rPr>
                <w:rFonts w:ascii="Arial" w:hAnsi="Arial" w:cs="Arial"/>
                <w:sz w:val="22"/>
                <w:szCs w:val="22"/>
              </w:rPr>
              <w:t>k</w:t>
            </w:r>
            <w:r w:rsidR="00252EDF" w:rsidRPr="00C82BA9">
              <w:rPr>
                <w:rFonts w:ascii="Arial" w:hAnsi="Arial" w:cs="Arial"/>
                <w:sz w:val="22"/>
                <w:szCs w:val="22"/>
              </w:rPr>
              <w:t xml:space="preserve"> </w:t>
            </w:r>
            <w:r w:rsidR="00987F84" w:rsidRPr="00C82BA9">
              <w:rPr>
                <w:rFonts w:ascii="Arial" w:hAnsi="Arial" w:cs="Arial"/>
                <w:sz w:val="22"/>
                <w:szCs w:val="22"/>
              </w:rPr>
              <w:t xml:space="preserve">at the end of </w:t>
            </w:r>
            <w:r w:rsidR="00C3142C">
              <w:rPr>
                <w:rFonts w:ascii="Arial" w:hAnsi="Arial" w:cs="Arial"/>
                <w:sz w:val="22"/>
                <w:szCs w:val="22"/>
              </w:rPr>
              <w:t>Ma</w:t>
            </w:r>
            <w:r w:rsidR="00DD6D45">
              <w:rPr>
                <w:rFonts w:ascii="Arial" w:hAnsi="Arial" w:cs="Arial"/>
                <w:sz w:val="22"/>
                <w:szCs w:val="22"/>
              </w:rPr>
              <w:t>y</w:t>
            </w:r>
            <w:r w:rsidR="00C3142C">
              <w:rPr>
                <w:rFonts w:ascii="Arial" w:hAnsi="Arial" w:cs="Arial"/>
                <w:sz w:val="22"/>
                <w:szCs w:val="22"/>
              </w:rPr>
              <w:t>.</w:t>
            </w:r>
          </w:p>
          <w:p w:rsidR="00254D93" w:rsidRPr="00B12846" w:rsidRDefault="00254D93" w:rsidP="00254D93">
            <w:pPr>
              <w:ind w:left="720"/>
              <w:contextualSpacing/>
              <w:rPr>
                <w:rFonts w:ascii="Arial" w:hAnsi="Arial" w:cs="Arial"/>
                <w:sz w:val="22"/>
                <w:szCs w:val="22"/>
                <w:highlight w:val="yellow"/>
              </w:rPr>
            </w:pPr>
          </w:p>
          <w:p w:rsidR="00C11CD4" w:rsidRPr="00C82BA9" w:rsidRDefault="00E9014E" w:rsidP="004C7812">
            <w:pPr>
              <w:numPr>
                <w:ilvl w:val="0"/>
                <w:numId w:val="2"/>
              </w:numPr>
              <w:contextualSpacing/>
              <w:rPr>
                <w:rFonts w:ascii="Arial" w:hAnsi="Arial" w:cs="Arial"/>
                <w:sz w:val="22"/>
                <w:szCs w:val="22"/>
              </w:rPr>
            </w:pPr>
            <w:r>
              <w:rPr>
                <w:rFonts w:ascii="Arial" w:hAnsi="Arial" w:cs="Arial"/>
                <w:sz w:val="22"/>
                <w:szCs w:val="22"/>
              </w:rPr>
              <w:t>Pay budgets are under spent by almost £50k.  This is including a £25k year to date vacancy factor having been applied.</w:t>
            </w:r>
          </w:p>
          <w:p w:rsidR="00561B03" w:rsidRPr="00B12846" w:rsidRDefault="00561B03" w:rsidP="00561B03">
            <w:pPr>
              <w:pStyle w:val="ListParagraph"/>
              <w:rPr>
                <w:rFonts w:ascii="Arial" w:hAnsi="Arial" w:cs="Arial"/>
                <w:sz w:val="22"/>
                <w:szCs w:val="22"/>
                <w:highlight w:val="yellow"/>
              </w:rPr>
            </w:pPr>
          </w:p>
          <w:p w:rsidR="00E9014E" w:rsidRDefault="00E9014E" w:rsidP="00254D93">
            <w:pPr>
              <w:numPr>
                <w:ilvl w:val="0"/>
                <w:numId w:val="2"/>
              </w:numPr>
              <w:tabs>
                <w:tab w:val="left" w:pos="2172"/>
              </w:tabs>
              <w:contextualSpacing/>
              <w:rPr>
                <w:rFonts w:ascii="Arial" w:hAnsi="Arial" w:cs="Arial"/>
                <w:sz w:val="22"/>
                <w:szCs w:val="22"/>
              </w:rPr>
            </w:pPr>
            <w:r>
              <w:rPr>
                <w:rFonts w:ascii="Arial" w:hAnsi="Arial" w:cs="Arial"/>
                <w:sz w:val="22"/>
                <w:szCs w:val="22"/>
              </w:rPr>
              <w:t xml:space="preserve">Non pay budgets are over </w:t>
            </w:r>
            <w:proofErr w:type="gramStart"/>
            <w:r>
              <w:rPr>
                <w:rFonts w:ascii="Arial" w:hAnsi="Arial" w:cs="Arial"/>
                <w:sz w:val="22"/>
                <w:szCs w:val="22"/>
              </w:rPr>
              <w:t>spend</w:t>
            </w:r>
            <w:proofErr w:type="gramEnd"/>
            <w:r>
              <w:rPr>
                <w:rFonts w:ascii="Arial" w:hAnsi="Arial" w:cs="Arial"/>
                <w:sz w:val="22"/>
                <w:szCs w:val="22"/>
              </w:rPr>
              <w:t xml:space="preserve"> by £46k largely due to accounting treatment for the all staff day and the over run of the archiving project.</w:t>
            </w:r>
          </w:p>
          <w:p w:rsidR="00E9014E" w:rsidRDefault="00E9014E" w:rsidP="00E9014E">
            <w:pPr>
              <w:pStyle w:val="ListParagraph"/>
              <w:rPr>
                <w:rFonts w:ascii="Arial" w:hAnsi="Arial" w:cs="Arial"/>
                <w:sz w:val="22"/>
                <w:szCs w:val="22"/>
              </w:rPr>
            </w:pPr>
          </w:p>
          <w:p w:rsidR="00254D93" w:rsidRDefault="0039154E" w:rsidP="00E9014E">
            <w:pPr>
              <w:numPr>
                <w:ilvl w:val="0"/>
                <w:numId w:val="2"/>
              </w:numPr>
              <w:tabs>
                <w:tab w:val="left" w:pos="2172"/>
              </w:tabs>
              <w:contextualSpacing/>
              <w:rPr>
                <w:rFonts w:ascii="Arial" w:hAnsi="Arial" w:cs="Arial"/>
                <w:sz w:val="22"/>
                <w:szCs w:val="22"/>
              </w:rPr>
            </w:pPr>
            <w:r w:rsidRPr="00C3142C">
              <w:rPr>
                <w:rFonts w:ascii="Arial" w:hAnsi="Arial" w:cs="Arial"/>
                <w:sz w:val="22"/>
                <w:szCs w:val="22"/>
              </w:rPr>
              <w:t xml:space="preserve">The </w:t>
            </w:r>
            <w:r w:rsidR="00E9014E">
              <w:rPr>
                <w:rFonts w:ascii="Arial" w:hAnsi="Arial" w:cs="Arial"/>
                <w:sz w:val="22"/>
                <w:szCs w:val="22"/>
              </w:rPr>
              <w:t xml:space="preserve">largest directorate </w:t>
            </w:r>
            <w:r w:rsidR="0047213E" w:rsidRPr="00C3142C">
              <w:rPr>
                <w:rFonts w:ascii="Arial" w:hAnsi="Arial" w:cs="Arial"/>
                <w:sz w:val="22"/>
                <w:szCs w:val="22"/>
              </w:rPr>
              <w:t>u</w:t>
            </w:r>
            <w:r w:rsidRPr="00C3142C">
              <w:rPr>
                <w:rFonts w:ascii="Arial" w:hAnsi="Arial" w:cs="Arial"/>
                <w:sz w:val="22"/>
                <w:szCs w:val="22"/>
              </w:rPr>
              <w:t>nder</w:t>
            </w:r>
            <w:r w:rsidR="0047213E" w:rsidRPr="00C3142C">
              <w:rPr>
                <w:rFonts w:ascii="Arial" w:hAnsi="Arial" w:cs="Arial"/>
                <w:sz w:val="22"/>
                <w:szCs w:val="22"/>
              </w:rPr>
              <w:t xml:space="preserve"> </w:t>
            </w:r>
            <w:r w:rsidRPr="00C3142C">
              <w:rPr>
                <w:rFonts w:ascii="Arial" w:hAnsi="Arial" w:cs="Arial"/>
                <w:sz w:val="22"/>
                <w:szCs w:val="22"/>
              </w:rPr>
              <w:t xml:space="preserve">spend </w:t>
            </w:r>
            <w:r w:rsidR="00E9014E">
              <w:rPr>
                <w:rFonts w:ascii="Arial" w:hAnsi="Arial" w:cs="Arial"/>
                <w:sz w:val="22"/>
                <w:szCs w:val="22"/>
              </w:rPr>
              <w:t xml:space="preserve">is </w:t>
            </w:r>
            <w:r w:rsidR="00C3142C" w:rsidRPr="00C3142C">
              <w:rPr>
                <w:rFonts w:ascii="Arial" w:hAnsi="Arial" w:cs="Arial"/>
                <w:sz w:val="22"/>
                <w:szCs w:val="22"/>
              </w:rPr>
              <w:t>within Research systems, Standards and HRA Approval directorate</w:t>
            </w:r>
            <w:r w:rsidR="00E9014E">
              <w:rPr>
                <w:rFonts w:ascii="Arial" w:hAnsi="Arial" w:cs="Arial"/>
                <w:sz w:val="22"/>
                <w:szCs w:val="22"/>
              </w:rPr>
              <w:t xml:space="preserve"> </w:t>
            </w:r>
            <w:r w:rsidR="00E9014E" w:rsidRPr="00E9014E">
              <w:rPr>
                <w:rFonts w:ascii="Arial" w:hAnsi="Arial" w:cs="Arial"/>
                <w:sz w:val="22"/>
                <w:szCs w:val="22"/>
              </w:rPr>
              <w:t>(£34k), of which £27k relates to vacancies within performance management, collaboration &amp; development and assessment</w:t>
            </w:r>
            <w:r w:rsidR="00E9014E">
              <w:rPr>
                <w:rFonts w:ascii="Arial" w:hAnsi="Arial" w:cs="Arial"/>
                <w:sz w:val="22"/>
                <w:szCs w:val="22"/>
              </w:rPr>
              <w:t xml:space="preserve"> areas</w:t>
            </w:r>
            <w:r w:rsidR="00C3142C" w:rsidRPr="00C3142C">
              <w:rPr>
                <w:rFonts w:ascii="Arial" w:hAnsi="Arial" w:cs="Arial"/>
                <w:sz w:val="22"/>
                <w:szCs w:val="22"/>
              </w:rPr>
              <w:t>.</w:t>
            </w:r>
            <w:r w:rsidR="00E9014E">
              <w:rPr>
                <w:rFonts w:ascii="Arial" w:hAnsi="Arial" w:cs="Arial"/>
                <w:sz w:val="22"/>
                <w:szCs w:val="22"/>
              </w:rPr>
              <w:t xml:space="preserve">  Plans are being developed to recycle these budgets to meet the needs of the service.</w:t>
            </w:r>
            <w:r w:rsidR="00254D93" w:rsidRPr="00C3142C">
              <w:rPr>
                <w:rFonts w:ascii="Arial" w:hAnsi="Arial" w:cs="Arial"/>
                <w:sz w:val="22"/>
                <w:szCs w:val="22"/>
              </w:rPr>
              <w:t xml:space="preserve">  </w:t>
            </w:r>
          </w:p>
          <w:p w:rsidR="00C3142C" w:rsidRDefault="00C3142C" w:rsidP="00C3142C">
            <w:pPr>
              <w:pStyle w:val="ListParagraph"/>
              <w:rPr>
                <w:rFonts w:ascii="Arial" w:hAnsi="Arial" w:cs="Arial"/>
                <w:sz w:val="22"/>
                <w:szCs w:val="22"/>
              </w:rPr>
            </w:pPr>
          </w:p>
          <w:p w:rsidR="00254D93" w:rsidRDefault="00254D93" w:rsidP="00254D93">
            <w:pPr>
              <w:numPr>
                <w:ilvl w:val="0"/>
                <w:numId w:val="2"/>
              </w:numPr>
              <w:tabs>
                <w:tab w:val="left" w:pos="2172"/>
              </w:tabs>
              <w:contextualSpacing/>
              <w:rPr>
                <w:rFonts w:ascii="Arial" w:hAnsi="Arial" w:cs="Arial"/>
                <w:sz w:val="22"/>
                <w:szCs w:val="22"/>
              </w:rPr>
            </w:pPr>
            <w:r w:rsidRPr="00E9014E">
              <w:rPr>
                <w:rFonts w:ascii="Arial" w:hAnsi="Arial" w:cs="Arial"/>
                <w:sz w:val="22"/>
                <w:szCs w:val="22"/>
              </w:rPr>
              <w:t>W</w:t>
            </w:r>
            <w:r w:rsidR="00951DD0" w:rsidRPr="00E9014E">
              <w:rPr>
                <w:rFonts w:ascii="Arial" w:hAnsi="Arial" w:cs="Arial"/>
                <w:sz w:val="22"/>
                <w:szCs w:val="22"/>
              </w:rPr>
              <w:t xml:space="preserve">ork has </w:t>
            </w:r>
            <w:r w:rsidR="00E9014E" w:rsidRPr="00E9014E">
              <w:rPr>
                <w:rFonts w:ascii="Arial" w:hAnsi="Arial" w:cs="Arial"/>
                <w:sz w:val="22"/>
                <w:szCs w:val="22"/>
              </w:rPr>
              <w:t xml:space="preserve">almost completed </w:t>
            </w:r>
            <w:r w:rsidRPr="00E9014E">
              <w:rPr>
                <w:rFonts w:ascii="Arial" w:hAnsi="Arial" w:cs="Arial"/>
                <w:sz w:val="22"/>
                <w:szCs w:val="22"/>
              </w:rPr>
              <w:t xml:space="preserve">to </w:t>
            </w:r>
            <w:r w:rsidR="00634D6C" w:rsidRPr="00E9014E">
              <w:rPr>
                <w:rFonts w:ascii="Arial" w:hAnsi="Arial" w:cs="Arial"/>
                <w:sz w:val="22"/>
                <w:szCs w:val="22"/>
              </w:rPr>
              <w:t xml:space="preserve">introduce </w:t>
            </w:r>
            <w:r w:rsidR="00951DD0" w:rsidRPr="00E9014E">
              <w:rPr>
                <w:rFonts w:ascii="Arial" w:hAnsi="Arial" w:cs="Arial"/>
                <w:sz w:val="22"/>
                <w:szCs w:val="22"/>
              </w:rPr>
              <w:t>a process to correctly capture</w:t>
            </w:r>
            <w:r w:rsidRPr="00E9014E">
              <w:rPr>
                <w:rFonts w:ascii="Arial" w:hAnsi="Arial" w:cs="Arial"/>
                <w:sz w:val="22"/>
                <w:szCs w:val="22"/>
              </w:rPr>
              <w:t xml:space="preserve"> </w:t>
            </w:r>
            <w:r w:rsidR="00E9014E">
              <w:rPr>
                <w:rFonts w:ascii="Arial" w:hAnsi="Arial" w:cs="Arial"/>
                <w:sz w:val="22"/>
                <w:szCs w:val="22"/>
              </w:rPr>
              <w:t>training related travel costs.</w:t>
            </w:r>
          </w:p>
          <w:p w:rsidR="00E9014E" w:rsidRPr="00E9014E" w:rsidRDefault="00E9014E" w:rsidP="00E9014E">
            <w:pPr>
              <w:tabs>
                <w:tab w:val="left" w:pos="2172"/>
              </w:tabs>
              <w:contextualSpacing/>
              <w:rPr>
                <w:rFonts w:ascii="Arial" w:hAnsi="Arial" w:cs="Arial"/>
                <w:sz w:val="22"/>
                <w:szCs w:val="22"/>
              </w:rPr>
            </w:pPr>
          </w:p>
          <w:p w:rsidR="00344274" w:rsidRPr="00286A07" w:rsidRDefault="00DD6897" w:rsidP="00344274">
            <w:pPr>
              <w:numPr>
                <w:ilvl w:val="0"/>
                <w:numId w:val="2"/>
              </w:numPr>
              <w:tabs>
                <w:tab w:val="left" w:pos="2172"/>
              </w:tabs>
              <w:contextualSpacing/>
              <w:rPr>
                <w:rFonts w:ascii="Arial" w:hAnsi="Arial" w:cs="Arial"/>
                <w:sz w:val="22"/>
                <w:szCs w:val="22"/>
              </w:rPr>
            </w:pPr>
            <w:r w:rsidRPr="00286A07">
              <w:rPr>
                <w:rFonts w:ascii="Arial" w:hAnsi="Arial" w:cs="Arial"/>
                <w:sz w:val="22"/>
                <w:szCs w:val="22"/>
              </w:rPr>
              <w:t>The Better Payment Practice Code (B</w:t>
            </w:r>
            <w:r w:rsidR="003C2211" w:rsidRPr="00286A07">
              <w:rPr>
                <w:rFonts w:ascii="Arial" w:hAnsi="Arial" w:cs="Arial"/>
                <w:sz w:val="22"/>
                <w:szCs w:val="22"/>
              </w:rPr>
              <w:t>P</w:t>
            </w:r>
            <w:r w:rsidR="008A31A7" w:rsidRPr="00286A07">
              <w:rPr>
                <w:rFonts w:ascii="Arial" w:hAnsi="Arial" w:cs="Arial"/>
                <w:sz w:val="22"/>
                <w:szCs w:val="22"/>
              </w:rPr>
              <w:t>P</w:t>
            </w:r>
            <w:r w:rsidR="00FD0AE5" w:rsidRPr="00286A07">
              <w:rPr>
                <w:rFonts w:ascii="Arial" w:hAnsi="Arial" w:cs="Arial"/>
                <w:sz w:val="22"/>
                <w:szCs w:val="22"/>
              </w:rPr>
              <w:t>C) c</w:t>
            </w:r>
            <w:r w:rsidR="00703BA7" w:rsidRPr="00286A07">
              <w:rPr>
                <w:rFonts w:ascii="Arial" w:hAnsi="Arial" w:cs="Arial"/>
                <w:sz w:val="22"/>
                <w:szCs w:val="22"/>
              </w:rPr>
              <w:t>ompliance for April to</w:t>
            </w:r>
            <w:r w:rsidR="006F24A4">
              <w:rPr>
                <w:rFonts w:ascii="Arial" w:hAnsi="Arial" w:cs="Arial"/>
                <w:sz w:val="22"/>
                <w:szCs w:val="22"/>
              </w:rPr>
              <w:t xml:space="preserve"> May</w:t>
            </w:r>
            <w:r w:rsidR="00DF0843" w:rsidRPr="00286A07">
              <w:rPr>
                <w:rFonts w:ascii="Arial" w:hAnsi="Arial" w:cs="Arial"/>
                <w:sz w:val="22"/>
                <w:szCs w:val="22"/>
              </w:rPr>
              <w:t xml:space="preserve"> </w:t>
            </w:r>
            <w:r w:rsidR="00F053C9" w:rsidRPr="00286A07">
              <w:rPr>
                <w:rFonts w:ascii="Arial" w:hAnsi="Arial" w:cs="Arial"/>
                <w:sz w:val="22"/>
                <w:szCs w:val="22"/>
              </w:rPr>
              <w:t>was 9</w:t>
            </w:r>
            <w:r w:rsidR="006F24A4">
              <w:rPr>
                <w:rFonts w:ascii="Arial" w:hAnsi="Arial" w:cs="Arial"/>
                <w:sz w:val="22"/>
                <w:szCs w:val="22"/>
              </w:rPr>
              <w:t>7</w:t>
            </w:r>
            <w:r w:rsidRPr="00286A07">
              <w:rPr>
                <w:rFonts w:ascii="Arial" w:hAnsi="Arial" w:cs="Arial"/>
                <w:sz w:val="22"/>
                <w:szCs w:val="22"/>
              </w:rPr>
              <w:t>% for the number</w:t>
            </w:r>
            <w:r w:rsidR="00DF0843" w:rsidRPr="00286A07">
              <w:rPr>
                <w:rFonts w:ascii="Arial" w:hAnsi="Arial" w:cs="Arial"/>
                <w:sz w:val="22"/>
                <w:szCs w:val="22"/>
              </w:rPr>
              <w:t xml:space="preserve"> of invoices p</w:t>
            </w:r>
            <w:r w:rsidR="00784B55" w:rsidRPr="00286A07">
              <w:rPr>
                <w:rFonts w:ascii="Arial" w:hAnsi="Arial" w:cs="Arial"/>
                <w:sz w:val="22"/>
                <w:szCs w:val="22"/>
              </w:rPr>
              <w:t>aid,</w:t>
            </w:r>
            <w:r w:rsidR="00210D21" w:rsidRPr="00286A07">
              <w:rPr>
                <w:rFonts w:ascii="Arial" w:hAnsi="Arial" w:cs="Arial"/>
                <w:sz w:val="22"/>
                <w:szCs w:val="22"/>
              </w:rPr>
              <w:t xml:space="preserve"> </w:t>
            </w:r>
            <w:r w:rsidR="00F053C9" w:rsidRPr="00286A07">
              <w:rPr>
                <w:rFonts w:ascii="Arial" w:hAnsi="Arial" w:cs="Arial"/>
                <w:sz w:val="22"/>
                <w:szCs w:val="22"/>
              </w:rPr>
              <w:t xml:space="preserve">which is in line with the </w:t>
            </w:r>
            <w:r w:rsidR="004E0021" w:rsidRPr="00286A07">
              <w:rPr>
                <w:rFonts w:ascii="Arial" w:hAnsi="Arial" w:cs="Arial"/>
                <w:sz w:val="22"/>
                <w:szCs w:val="22"/>
              </w:rPr>
              <w:t>overall performance for 201</w:t>
            </w:r>
            <w:r w:rsidR="006F24A4">
              <w:rPr>
                <w:rFonts w:ascii="Arial" w:hAnsi="Arial" w:cs="Arial"/>
                <w:sz w:val="22"/>
                <w:szCs w:val="22"/>
              </w:rPr>
              <w:t>5</w:t>
            </w:r>
            <w:r w:rsidR="004E0021" w:rsidRPr="00286A07">
              <w:rPr>
                <w:rFonts w:ascii="Arial" w:hAnsi="Arial" w:cs="Arial"/>
                <w:sz w:val="22"/>
                <w:szCs w:val="22"/>
              </w:rPr>
              <w:t>/1</w:t>
            </w:r>
            <w:r w:rsidR="006F24A4">
              <w:rPr>
                <w:rFonts w:ascii="Arial" w:hAnsi="Arial" w:cs="Arial"/>
                <w:sz w:val="22"/>
                <w:szCs w:val="22"/>
              </w:rPr>
              <w:t>6</w:t>
            </w:r>
            <w:r w:rsidR="004E0021" w:rsidRPr="00286A07">
              <w:rPr>
                <w:rFonts w:ascii="Arial" w:hAnsi="Arial" w:cs="Arial"/>
                <w:sz w:val="22"/>
                <w:szCs w:val="22"/>
              </w:rPr>
              <w:t xml:space="preserve">, </w:t>
            </w:r>
            <w:r w:rsidR="0086694E" w:rsidRPr="00286A07">
              <w:rPr>
                <w:rFonts w:ascii="Arial" w:hAnsi="Arial" w:cs="Arial"/>
                <w:sz w:val="22"/>
                <w:szCs w:val="22"/>
              </w:rPr>
              <w:t>and is</w:t>
            </w:r>
            <w:r w:rsidR="00B43093">
              <w:rPr>
                <w:rFonts w:ascii="Arial" w:hAnsi="Arial" w:cs="Arial"/>
                <w:sz w:val="22"/>
                <w:szCs w:val="22"/>
              </w:rPr>
              <w:t xml:space="preserve"> reporting 9</w:t>
            </w:r>
            <w:r w:rsidR="006F24A4">
              <w:rPr>
                <w:rFonts w:ascii="Arial" w:hAnsi="Arial" w:cs="Arial"/>
                <w:sz w:val="22"/>
                <w:szCs w:val="22"/>
              </w:rPr>
              <w:t>9</w:t>
            </w:r>
            <w:r w:rsidR="00F053C9" w:rsidRPr="00286A07">
              <w:rPr>
                <w:rFonts w:ascii="Arial" w:hAnsi="Arial" w:cs="Arial"/>
                <w:sz w:val="22"/>
                <w:szCs w:val="22"/>
              </w:rPr>
              <w:t>%</w:t>
            </w:r>
            <w:r w:rsidR="004E0021" w:rsidRPr="00286A07">
              <w:rPr>
                <w:rFonts w:ascii="Arial" w:hAnsi="Arial" w:cs="Arial"/>
                <w:sz w:val="22"/>
                <w:szCs w:val="22"/>
              </w:rPr>
              <w:t xml:space="preserve"> for value of invoices paid.</w:t>
            </w:r>
            <w:r w:rsidR="003C2211" w:rsidRPr="00286A07">
              <w:rPr>
                <w:rFonts w:ascii="Arial" w:hAnsi="Arial" w:cs="Arial"/>
                <w:sz w:val="22"/>
                <w:szCs w:val="22"/>
              </w:rPr>
              <w:t xml:space="preserve">  </w:t>
            </w:r>
            <w:r w:rsidR="004E0021" w:rsidRPr="00286A07">
              <w:rPr>
                <w:rFonts w:ascii="Arial" w:hAnsi="Arial" w:cs="Arial"/>
                <w:sz w:val="22"/>
                <w:szCs w:val="22"/>
              </w:rPr>
              <w:t xml:space="preserve">Having achieved the </w:t>
            </w:r>
            <w:r w:rsidR="006F24A4">
              <w:rPr>
                <w:rFonts w:ascii="Arial" w:hAnsi="Arial" w:cs="Arial"/>
                <w:sz w:val="22"/>
                <w:szCs w:val="22"/>
              </w:rPr>
              <w:t>6</w:t>
            </w:r>
            <w:r w:rsidR="004E0021" w:rsidRPr="00286A07">
              <w:rPr>
                <w:rFonts w:ascii="Arial" w:hAnsi="Arial" w:cs="Arial"/>
                <w:sz w:val="22"/>
                <w:szCs w:val="22"/>
              </w:rPr>
              <w:t>0% target of paying invoices within 10 days during 201</w:t>
            </w:r>
            <w:r w:rsidR="006F24A4">
              <w:rPr>
                <w:rFonts w:ascii="Arial" w:hAnsi="Arial" w:cs="Arial"/>
                <w:sz w:val="22"/>
                <w:szCs w:val="22"/>
              </w:rPr>
              <w:t>5</w:t>
            </w:r>
            <w:r w:rsidR="004E0021" w:rsidRPr="00286A07">
              <w:rPr>
                <w:rFonts w:ascii="Arial" w:hAnsi="Arial" w:cs="Arial"/>
                <w:sz w:val="22"/>
                <w:szCs w:val="22"/>
              </w:rPr>
              <w:t>/1</w:t>
            </w:r>
            <w:r w:rsidR="006F24A4">
              <w:rPr>
                <w:rFonts w:ascii="Arial" w:hAnsi="Arial" w:cs="Arial"/>
                <w:sz w:val="22"/>
                <w:szCs w:val="22"/>
              </w:rPr>
              <w:t>6</w:t>
            </w:r>
            <w:r w:rsidR="004E0021" w:rsidRPr="00286A07">
              <w:rPr>
                <w:rFonts w:ascii="Arial" w:hAnsi="Arial" w:cs="Arial"/>
                <w:sz w:val="22"/>
                <w:szCs w:val="22"/>
              </w:rPr>
              <w:t xml:space="preserve">, the HRA </w:t>
            </w:r>
            <w:r w:rsidR="006F24A4">
              <w:rPr>
                <w:rFonts w:ascii="Arial" w:hAnsi="Arial" w:cs="Arial"/>
                <w:sz w:val="22"/>
                <w:szCs w:val="22"/>
              </w:rPr>
              <w:t xml:space="preserve">has maintained this target for 2016/17 and at the end of May, this target has been achieved.  </w:t>
            </w:r>
            <w:r w:rsidRPr="00286A07">
              <w:rPr>
                <w:rFonts w:ascii="Arial" w:hAnsi="Arial" w:cs="Arial"/>
                <w:sz w:val="22"/>
                <w:szCs w:val="22"/>
              </w:rPr>
              <w:t>All approvers are asked to note this and to approve invoices promptly or place on hold if there is a dispute.  Performance is published on our website.</w:t>
            </w:r>
            <w:r w:rsidR="00344274" w:rsidRPr="00286A07">
              <w:rPr>
                <w:rFonts w:ascii="Arial" w:hAnsi="Arial" w:cs="Arial"/>
                <w:sz w:val="22"/>
                <w:szCs w:val="22"/>
              </w:rPr>
              <w:t xml:space="preserve"> </w:t>
            </w:r>
          </w:p>
          <w:p w:rsidR="00254D93" w:rsidRPr="00951DD0" w:rsidRDefault="00254D93" w:rsidP="0086694E">
            <w:pPr>
              <w:rPr>
                <w:rFonts w:ascii="Arial" w:hAnsi="Arial" w:cs="Arial"/>
                <w:sz w:val="22"/>
                <w:szCs w:val="22"/>
                <w:highlight w:val="yellow"/>
              </w:rPr>
            </w:pPr>
          </w:p>
          <w:p w:rsidR="00CA3C40" w:rsidRPr="00EE12A9" w:rsidRDefault="00CA3C40" w:rsidP="00CA3C40">
            <w:pPr>
              <w:numPr>
                <w:ilvl w:val="0"/>
                <w:numId w:val="2"/>
              </w:numPr>
              <w:tabs>
                <w:tab w:val="left" w:pos="2172"/>
              </w:tabs>
              <w:contextualSpacing/>
              <w:rPr>
                <w:rFonts w:ascii="Arial" w:hAnsi="Arial" w:cs="Arial"/>
                <w:sz w:val="22"/>
                <w:szCs w:val="22"/>
              </w:rPr>
            </w:pPr>
            <w:r w:rsidRPr="00EE12A9">
              <w:rPr>
                <w:rFonts w:ascii="Arial" w:hAnsi="Arial" w:cs="Arial"/>
                <w:sz w:val="22"/>
                <w:szCs w:val="22"/>
              </w:rPr>
              <w:t>Cash balance has reduced from year end £3.</w:t>
            </w:r>
            <w:r w:rsidR="006F24A4">
              <w:rPr>
                <w:rFonts w:ascii="Arial" w:hAnsi="Arial" w:cs="Arial"/>
                <w:sz w:val="22"/>
                <w:szCs w:val="22"/>
              </w:rPr>
              <w:t>485</w:t>
            </w:r>
            <w:r w:rsidRPr="00EE12A9">
              <w:rPr>
                <w:rFonts w:ascii="Arial" w:hAnsi="Arial" w:cs="Arial"/>
                <w:sz w:val="22"/>
                <w:szCs w:val="22"/>
              </w:rPr>
              <w:t xml:space="preserve"> million (with liabilities t</w:t>
            </w:r>
            <w:r w:rsidR="00B43093">
              <w:rPr>
                <w:rFonts w:ascii="Arial" w:hAnsi="Arial" w:cs="Arial"/>
                <w:sz w:val="22"/>
                <w:szCs w:val="22"/>
              </w:rPr>
              <w:t>o pay of £1.</w:t>
            </w:r>
            <w:r w:rsidR="006F24A4">
              <w:rPr>
                <w:rFonts w:ascii="Arial" w:hAnsi="Arial" w:cs="Arial"/>
                <w:sz w:val="22"/>
                <w:szCs w:val="22"/>
              </w:rPr>
              <w:t>296</w:t>
            </w:r>
            <w:r w:rsidR="00B43093">
              <w:rPr>
                <w:rFonts w:ascii="Arial" w:hAnsi="Arial" w:cs="Arial"/>
                <w:sz w:val="22"/>
                <w:szCs w:val="22"/>
              </w:rPr>
              <w:t>million) to £3.</w:t>
            </w:r>
            <w:r w:rsidR="006F24A4">
              <w:rPr>
                <w:rFonts w:ascii="Arial" w:hAnsi="Arial" w:cs="Arial"/>
                <w:sz w:val="22"/>
                <w:szCs w:val="22"/>
              </w:rPr>
              <w:t>362</w:t>
            </w:r>
            <w:r w:rsidRPr="00EE12A9">
              <w:rPr>
                <w:rFonts w:ascii="Arial" w:hAnsi="Arial" w:cs="Arial"/>
                <w:sz w:val="22"/>
                <w:szCs w:val="22"/>
              </w:rPr>
              <w:t xml:space="preserve"> million (w</w:t>
            </w:r>
            <w:r w:rsidR="00B43093">
              <w:rPr>
                <w:rFonts w:ascii="Arial" w:hAnsi="Arial" w:cs="Arial"/>
                <w:sz w:val="22"/>
                <w:szCs w:val="22"/>
              </w:rPr>
              <w:t>ith liabilities to pay of £1</w:t>
            </w:r>
            <w:r w:rsidR="006F24A4">
              <w:rPr>
                <w:rFonts w:ascii="Arial" w:hAnsi="Arial" w:cs="Arial"/>
                <w:sz w:val="22"/>
                <w:szCs w:val="22"/>
              </w:rPr>
              <w:t>.181</w:t>
            </w:r>
            <w:r w:rsidRPr="00EE12A9">
              <w:rPr>
                <w:rFonts w:ascii="Arial" w:hAnsi="Arial" w:cs="Arial"/>
                <w:sz w:val="22"/>
                <w:szCs w:val="22"/>
              </w:rPr>
              <w:t>million).</w:t>
            </w:r>
          </w:p>
          <w:p w:rsidR="00CA3C40" w:rsidRPr="00EE12A9" w:rsidRDefault="00CA3C40" w:rsidP="00CA3C40">
            <w:pPr>
              <w:tabs>
                <w:tab w:val="left" w:pos="2172"/>
              </w:tabs>
              <w:contextualSpacing/>
              <w:rPr>
                <w:rFonts w:ascii="Arial" w:hAnsi="Arial" w:cs="Arial"/>
                <w:sz w:val="22"/>
                <w:szCs w:val="22"/>
              </w:rPr>
            </w:pPr>
          </w:p>
          <w:p w:rsidR="00CA3C40" w:rsidRPr="00EE12A9" w:rsidRDefault="00CA3C40" w:rsidP="00CA3C40">
            <w:pPr>
              <w:numPr>
                <w:ilvl w:val="0"/>
                <w:numId w:val="2"/>
              </w:numPr>
              <w:tabs>
                <w:tab w:val="left" w:pos="2172"/>
              </w:tabs>
              <w:contextualSpacing/>
              <w:rPr>
                <w:rFonts w:ascii="Arial" w:hAnsi="Arial" w:cs="Arial"/>
                <w:sz w:val="22"/>
                <w:szCs w:val="22"/>
              </w:rPr>
            </w:pPr>
            <w:r w:rsidRPr="00EE12A9">
              <w:rPr>
                <w:rFonts w:ascii="Arial" w:hAnsi="Arial" w:cs="Arial"/>
                <w:sz w:val="22"/>
                <w:szCs w:val="22"/>
              </w:rPr>
              <w:t>The cash bal</w:t>
            </w:r>
            <w:r w:rsidR="00B43093">
              <w:rPr>
                <w:rFonts w:ascii="Arial" w:hAnsi="Arial" w:cs="Arial"/>
                <w:sz w:val="22"/>
                <w:szCs w:val="22"/>
              </w:rPr>
              <w:t>ance at the end of Ma</w:t>
            </w:r>
            <w:r w:rsidR="006F24A4">
              <w:rPr>
                <w:rFonts w:ascii="Arial" w:hAnsi="Arial" w:cs="Arial"/>
                <w:sz w:val="22"/>
                <w:szCs w:val="22"/>
              </w:rPr>
              <w:t>y</w:t>
            </w:r>
            <w:r w:rsidR="00B43093">
              <w:rPr>
                <w:rFonts w:ascii="Arial" w:hAnsi="Arial" w:cs="Arial"/>
                <w:sz w:val="22"/>
                <w:szCs w:val="22"/>
              </w:rPr>
              <w:t>2016 was £3.</w:t>
            </w:r>
            <w:r w:rsidR="006F24A4">
              <w:rPr>
                <w:rFonts w:ascii="Arial" w:hAnsi="Arial" w:cs="Arial"/>
                <w:sz w:val="22"/>
                <w:szCs w:val="22"/>
              </w:rPr>
              <w:t>362</w:t>
            </w:r>
            <w:r w:rsidRPr="00EE12A9">
              <w:rPr>
                <w:rFonts w:ascii="Arial" w:hAnsi="Arial" w:cs="Arial"/>
                <w:sz w:val="22"/>
                <w:szCs w:val="22"/>
              </w:rPr>
              <w:t xml:space="preserve">m, which is </w:t>
            </w:r>
            <w:r w:rsidR="00FC4C3F">
              <w:rPr>
                <w:rFonts w:ascii="Arial" w:hAnsi="Arial" w:cs="Arial"/>
                <w:sz w:val="22"/>
                <w:szCs w:val="22"/>
              </w:rPr>
              <w:t xml:space="preserve">slightly </w:t>
            </w:r>
            <w:r w:rsidR="006F24A4">
              <w:rPr>
                <w:rFonts w:ascii="Arial" w:hAnsi="Arial" w:cs="Arial"/>
                <w:sz w:val="22"/>
                <w:szCs w:val="22"/>
              </w:rPr>
              <w:t>less</w:t>
            </w:r>
            <w:r w:rsidR="00FC4C3F">
              <w:rPr>
                <w:rFonts w:ascii="Arial" w:hAnsi="Arial" w:cs="Arial"/>
                <w:sz w:val="22"/>
                <w:szCs w:val="22"/>
              </w:rPr>
              <w:t xml:space="preserve"> than the</w:t>
            </w:r>
            <w:r w:rsidRPr="00EE12A9">
              <w:rPr>
                <w:rFonts w:ascii="Arial" w:hAnsi="Arial" w:cs="Arial"/>
                <w:sz w:val="22"/>
                <w:szCs w:val="22"/>
              </w:rPr>
              <w:t xml:space="preserve"> ba</w:t>
            </w:r>
            <w:r w:rsidR="00EE12A9" w:rsidRPr="00EE12A9">
              <w:rPr>
                <w:rFonts w:ascii="Arial" w:hAnsi="Arial" w:cs="Arial"/>
                <w:sz w:val="22"/>
                <w:szCs w:val="22"/>
              </w:rPr>
              <w:t>lance held</w:t>
            </w:r>
            <w:r w:rsidR="00B43093">
              <w:rPr>
                <w:rFonts w:ascii="Arial" w:hAnsi="Arial" w:cs="Arial"/>
                <w:sz w:val="22"/>
                <w:szCs w:val="22"/>
              </w:rPr>
              <w:t xml:space="preserve"> at the end of </w:t>
            </w:r>
            <w:r w:rsidR="006F24A4">
              <w:rPr>
                <w:rFonts w:ascii="Arial" w:hAnsi="Arial" w:cs="Arial"/>
                <w:sz w:val="22"/>
                <w:szCs w:val="22"/>
              </w:rPr>
              <w:t>March</w:t>
            </w:r>
            <w:r w:rsidR="00B43093">
              <w:rPr>
                <w:rFonts w:ascii="Arial" w:hAnsi="Arial" w:cs="Arial"/>
                <w:sz w:val="22"/>
                <w:szCs w:val="22"/>
              </w:rPr>
              <w:t xml:space="preserve"> of £3.4</w:t>
            </w:r>
            <w:r w:rsidR="006F24A4">
              <w:rPr>
                <w:rFonts w:ascii="Arial" w:hAnsi="Arial" w:cs="Arial"/>
                <w:sz w:val="22"/>
                <w:szCs w:val="22"/>
              </w:rPr>
              <w:t>85</w:t>
            </w:r>
            <w:r w:rsidRPr="00EE12A9">
              <w:rPr>
                <w:rFonts w:ascii="Arial" w:hAnsi="Arial" w:cs="Arial"/>
                <w:sz w:val="22"/>
                <w:szCs w:val="22"/>
              </w:rPr>
              <w:t xml:space="preserve">m.  </w:t>
            </w:r>
          </w:p>
          <w:p w:rsidR="00CA3C40" w:rsidRPr="00EE12A9" w:rsidRDefault="00CA3C40" w:rsidP="00CA3C40">
            <w:pPr>
              <w:pStyle w:val="ListParagraph"/>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Pr="004B6C9A" w:rsidRDefault="00254D93" w:rsidP="00254D93">
            <w:pPr>
              <w:tabs>
                <w:tab w:val="left" w:pos="2172"/>
              </w:tabs>
              <w:contextualSpacing/>
              <w:rPr>
                <w:rFonts w:ascii="Arial" w:hAnsi="Arial" w:cs="Arial"/>
                <w:sz w:val="22"/>
                <w:szCs w:val="22"/>
              </w:rPr>
            </w:pPr>
          </w:p>
          <w:p w:rsidR="00C11CD4" w:rsidRPr="00540FAA" w:rsidRDefault="00C11CD4" w:rsidP="00BB4161">
            <w:pPr>
              <w:tabs>
                <w:tab w:val="left" w:pos="2172"/>
              </w:tabs>
              <w:ind w:left="360"/>
              <w:contextualSpacing/>
              <w:rPr>
                <w:rFonts w:ascii="Arial" w:hAnsi="Arial" w:cs="Arial"/>
                <w:sz w:val="22"/>
                <w:szCs w:val="22"/>
              </w:rPr>
            </w:pPr>
          </w:p>
        </w:tc>
      </w:tr>
    </w:tbl>
    <w:p w:rsidR="009B64AA" w:rsidRDefault="009B64AA"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C3142C" w:rsidRDefault="00C3142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3A41AE">
        <w:rPr>
          <w:rFonts w:ascii="Arial" w:eastAsia="Calibri" w:hAnsi="Arial"/>
          <w:b/>
          <w:bCs/>
          <w:color w:val="56008C"/>
          <w:szCs w:val="26"/>
          <w:lang w:eastAsia="en-US"/>
        </w:rPr>
        <w:t xml:space="preserve"> end Ma</w:t>
      </w:r>
      <w:r w:rsidR="00E9014E">
        <w:rPr>
          <w:rFonts w:ascii="Arial" w:eastAsia="Calibri" w:hAnsi="Arial"/>
          <w:b/>
          <w:bCs/>
          <w:color w:val="56008C"/>
          <w:szCs w:val="26"/>
          <w:lang w:eastAsia="en-US"/>
        </w:rPr>
        <w:t>y</w:t>
      </w:r>
      <w:r w:rsidR="00563BB5">
        <w:rPr>
          <w:rFonts w:ascii="Arial" w:eastAsia="Calibri" w:hAnsi="Arial"/>
          <w:b/>
          <w:bCs/>
          <w:color w:val="56008C"/>
          <w:szCs w:val="26"/>
          <w:lang w:eastAsia="en-US"/>
        </w:rPr>
        <w:t xml:space="preserve"> 2016</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ayout w:type="fixed"/>
        <w:tblLook w:val="04A0" w:firstRow="1" w:lastRow="0" w:firstColumn="1" w:lastColumn="0" w:noHBand="0" w:noVBand="1"/>
      </w:tblPr>
      <w:tblGrid>
        <w:gridCol w:w="1668"/>
        <w:gridCol w:w="13960"/>
      </w:tblGrid>
      <w:tr w:rsidR="00445C3C" w:rsidRPr="00461E1B" w:rsidTr="00AA06F0">
        <w:tc>
          <w:tcPr>
            <w:tcW w:w="166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E05C45" w:rsidRPr="00BC0710" w:rsidRDefault="00445C3C"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tbl>
            <w:tblPr>
              <w:tblW w:w="12320" w:type="dxa"/>
              <w:tblLayout w:type="fixed"/>
              <w:tblLook w:val="04A0" w:firstRow="1" w:lastRow="0" w:firstColumn="1" w:lastColumn="0" w:noHBand="0" w:noVBand="1"/>
            </w:tblPr>
            <w:tblGrid>
              <w:gridCol w:w="4640"/>
              <w:gridCol w:w="960"/>
              <w:gridCol w:w="960"/>
              <w:gridCol w:w="960"/>
              <w:gridCol w:w="960"/>
              <w:gridCol w:w="960"/>
              <w:gridCol w:w="960"/>
              <w:gridCol w:w="960"/>
              <w:gridCol w:w="960"/>
            </w:tblGrid>
            <w:tr w:rsidR="00E9014E" w:rsidRPr="00E9014E" w:rsidTr="00E9014E">
              <w:trPr>
                <w:trHeight w:val="300"/>
              </w:trPr>
              <w:tc>
                <w:tcPr>
                  <w:tcW w:w="4640" w:type="dxa"/>
                  <w:tcBorders>
                    <w:top w:val="nil"/>
                    <w:left w:val="nil"/>
                    <w:bottom w:val="nil"/>
                    <w:right w:val="nil"/>
                  </w:tcBorders>
                  <w:shd w:val="clear" w:color="000000" w:fill="0070B9"/>
                  <w:hideMark/>
                </w:tcPr>
                <w:p w:rsidR="00E9014E" w:rsidRPr="00E9014E" w:rsidRDefault="00E9014E" w:rsidP="00E9014E">
                  <w:pPr>
                    <w:jc w:val="center"/>
                    <w:rPr>
                      <w:rFonts w:ascii="Calibri" w:hAnsi="Calibri" w:cs="Calibri"/>
                      <w:b/>
                      <w:bCs/>
                      <w:color w:val="FFFFFF"/>
                      <w:sz w:val="16"/>
                      <w:szCs w:val="16"/>
                    </w:rPr>
                  </w:pPr>
                  <w:r w:rsidRPr="00E9014E">
                    <w:rPr>
                      <w:rFonts w:ascii="Calibri" w:hAnsi="Calibri" w:cs="Calibri"/>
                      <w:b/>
                      <w:bCs/>
                      <w:color w:val="FFFFFF"/>
                      <w:sz w:val="16"/>
                      <w:szCs w:val="16"/>
                    </w:rPr>
                    <w:t>Subjective</w:t>
                  </w:r>
                </w:p>
              </w:tc>
              <w:tc>
                <w:tcPr>
                  <w:tcW w:w="960" w:type="dxa"/>
                  <w:tcBorders>
                    <w:top w:val="nil"/>
                    <w:left w:val="nil"/>
                    <w:bottom w:val="nil"/>
                    <w:right w:val="single" w:sz="4" w:space="0" w:color="FFFFFF"/>
                  </w:tcBorders>
                  <w:shd w:val="clear" w:color="000000" w:fill="0070B9"/>
                  <w:hideMark/>
                </w:tcPr>
                <w:p w:rsidR="00E9014E" w:rsidRPr="00E9014E" w:rsidRDefault="00E9014E" w:rsidP="00E9014E">
                  <w:pPr>
                    <w:rPr>
                      <w:rFonts w:ascii="Calibri" w:hAnsi="Calibri" w:cs="Calibri"/>
                      <w:b/>
                      <w:bCs/>
                      <w:color w:val="FFFFFF"/>
                      <w:sz w:val="16"/>
                      <w:szCs w:val="16"/>
                    </w:rPr>
                  </w:pPr>
                  <w:r w:rsidRPr="00E9014E">
                    <w:rPr>
                      <w:rFonts w:ascii="Calibri" w:hAnsi="Calibri" w:cs="Calibri"/>
                      <w:b/>
                      <w:bCs/>
                      <w:color w:val="FFFFFF"/>
                      <w:sz w:val="16"/>
                      <w:szCs w:val="16"/>
                    </w:rPr>
                    <w:t>Annual</w:t>
                  </w:r>
                </w:p>
              </w:tc>
              <w:tc>
                <w:tcPr>
                  <w:tcW w:w="960" w:type="dxa"/>
                  <w:tcBorders>
                    <w:top w:val="nil"/>
                    <w:left w:val="nil"/>
                    <w:bottom w:val="nil"/>
                    <w:right w:val="single" w:sz="4" w:space="0" w:color="FFFFFF"/>
                  </w:tcBorders>
                  <w:shd w:val="clear" w:color="000000" w:fill="0070B9"/>
                  <w:hideMark/>
                </w:tcPr>
                <w:p w:rsidR="00E9014E" w:rsidRPr="00E9014E" w:rsidRDefault="00E9014E" w:rsidP="00E9014E">
                  <w:pPr>
                    <w:rPr>
                      <w:rFonts w:ascii="Calibri" w:hAnsi="Calibri" w:cs="Calibri"/>
                      <w:b/>
                      <w:bCs/>
                      <w:color w:val="FFFFFF"/>
                      <w:sz w:val="16"/>
                      <w:szCs w:val="16"/>
                    </w:rPr>
                  </w:pPr>
                  <w:r w:rsidRPr="00E9014E">
                    <w:rPr>
                      <w:rFonts w:ascii="Calibri" w:hAnsi="Calibri" w:cs="Calibri"/>
                      <w:b/>
                      <w:bCs/>
                      <w:color w:val="FFFFFF"/>
                      <w:sz w:val="16"/>
                      <w:szCs w:val="16"/>
                    </w:rPr>
                    <w:t>Next year</w:t>
                  </w:r>
                </w:p>
              </w:tc>
              <w:tc>
                <w:tcPr>
                  <w:tcW w:w="2880" w:type="dxa"/>
                  <w:gridSpan w:val="3"/>
                  <w:tcBorders>
                    <w:top w:val="nil"/>
                    <w:left w:val="nil"/>
                    <w:bottom w:val="nil"/>
                    <w:right w:val="single" w:sz="4" w:space="0" w:color="FFFFFF"/>
                  </w:tcBorders>
                  <w:shd w:val="clear" w:color="000000" w:fill="0070B9"/>
                  <w:hideMark/>
                </w:tcPr>
                <w:p w:rsidR="00E9014E" w:rsidRPr="00E9014E" w:rsidRDefault="00E9014E" w:rsidP="00E9014E">
                  <w:pPr>
                    <w:jc w:val="center"/>
                    <w:rPr>
                      <w:rFonts w:ascii="Calibri" w:hAnsi="Calibri" w:cs="Calibri"/>
                      <w:b/>
                      <w:bCs/>
                      <w:color w:val="FFFFFF"/>
                      <w:sz w:val="16"/>
                      <w:szCs w:val="16"/>
                    </w:rPr>
                  </w:pPr>
                  <w:r w:rsidRPr="00E9014E">
                    <w:rPr>
                      <w:rFonts w:ascii="Calibri" w:hAnsi="Calibri" w:cs="Calibri"/>
                      <w:b/>
                      <w:bCs/>
                      <w:color w:val="FFFFFF"/>
                      <w:sz w:val="16"/>
                      <w:szCs w:val="16"/>
                    </w:rPr>
                    <w:t>In month (£)</w:t>
                  </w:r>
                </w:p>
              </w:tc>
              <w:tc>
                <w:tcPr>
                  <w:tcW w:w="2880" w:type="dxa"/>
                  <w:gridSpan w:val="3"/>
                  <w:tcBorders>
                    <w:top w:val="nil"/>
                    <w:left w:val="nil"/>
                    <w:bottom w:val="nil"/>
                    <w:right w:val="single" w:sz="4" w:space="0" w:color="FFFFFF"/>
                  </w:tcBorders>
                  <w:shd w:val="clear" w:color="000000" w:fill="0070B9"/>
                  <w:hideMark/>
                </w:tcPr>
                <w:p w:rsidR="00E9014E" w:rsidRPr="00E9014E" w:rsidRDefault="00E9014E" w:rsidP="00E9014E">
                  <w:pPr>
                    <w:jc w:val="center"/>
                    <w:rPr>
                      <w:rFonts w:ascii="Calibri" w:hAnsi="Calibri" w:cs="Calibri"/>
                      <w:b/>
                      <w:bCs/>
                      <w:color w:val="FFFFFF"/>
                      <w:sz w:val="16"/>
                      <w:szCs w:val="16"/>
                    </w:rPr>
                  </w:pPr>
                  <w:r w:rsidRPr="00E9014E">
                    <w:rPr>
                      <w:rFonts w:ascii="Calibri" w:hAnsi="Calibri" w:cs="Calibri"/>
                      <w:b/>
                      <w:bCs/>
                      <w:color w:val="FFFFFF"/>
                      <w:sz w:val="16"/>
                      <w:szCs w:val="16"/>
                    </w:rPr>
                    <w:t>Year to date (£)</w:t>
                  </w:r>
                </w:p>
              </w:tc>
            </w:tr>
            <w:tr w:rsidR="00E9014E" w:rsidRPr="00E9014E" w:rsidTr="00E9014E">
              <w:trPr>
                <w:trHeight w:val="300"/>
              </w:trPr>
              <w:tc>
                <w:tcPr>
                  <w:tcW w:w="4640" w:type="dxa"/>
                  <w:tcBorders>
                    <w:top w:val="nil"/>
                    <w:left w:val="nil"/>
                    <w:bottom w:val="nil"/>
                    <w:right w:val="single" w:sz="4" w:space="0" w:color="FFFFFF"/>
                  </w:tcBorders>
                  <w:shd w:val="clear" w:color="000000" w:fill="0070B9"/>
                  <w:hideMark/>
                </w:tcPr>
                <w:p w:rsidR="00E9014E" w:rsidRPr="00E9014E" w:rsidRDefault="00E9014E" w:rsidP="00E9014E">
                  <w:pPr>
                    <w:rPr>
                      <w:rFonts w:ascii="Calibri" w:hAnsi="Calibri" w:cs="Calibri"/>
                      <w:b/>
                      <w:bCs/>
                      <w:color w:val="FFFFFF"/>
                      <w:sz w:val="16"/>
                      <w:szCs w:val="16"/>
                    </w:rPr>
                  </w:pPr>
                  <w:r w:rsidRPr="00E9014E">
                    <w:rPr>
                      <w:rFonts w:ascii="Calibri" w:hAnsi="Calibri" w:cs="Calibri"/>
                      <w:b/>
                      <w:bCs/>
                      <w:color w:val="FFFFFF"/>
                      <w:sz w:val="16"/>
                      <w:szCs w:val="16"/>
                    </w:rPr>
                    <w:t>Name</w:t>
                  </w:r>
                </w:p>
              </w:tc>
              <w:tc>
                <w:tcPr>
                  <w:tcW w:w="960" w:type="dxa"/>
                  <w:tcBorders>
                    <w:top w:val="nil"/>
                    <w:left w:val="nil"/>
                    <w:bottom w:val="nil"/>
                    <w:right w:val="single" w:sz="4" w:space="0" w:color="FFFFFF"/>
                  </w:tcBorders>
                  <w:shd w:val="clear" w:color="000000" w:fill="0070B9"/>
                  <w:hideMark/>
                </w:tcPr>
                <w:p w:rsidR="00E9014E" w:rsidRPr="00E9014E" w:rsidRDefault="00E9014E" w:rsidP="00E9014E">
                  <w:pPr>
                    <w:rPr>
                      <w:rFonts w:ascii="Calibri" w:hAnsi="Calibri" w:cs="Calibri"/>
                      <w:b/>
                      <w:bCs/>
                      <w:color w:val="FFFFFF"/>
                      <w:sz w:val="16"/>
                      <w:szCs w:val="16"/>
                    </w:rPr>
                  </w:pPr>
                  <w:r w:rsidRPr="00E9014E">
                    <w:rPr>
                      <w:rFonts w:ascii="Calibri" w:hAnsi="Calibri" w:cs="Calibri"/>
                      <w:b/>
                      <w:bCs/>
                      <w:color w:val="FFFFFF"/>
                      <w:sz w:val="16"/>
                      <w:szCs w:val="16"/>
                    </w:rPr>
                    <w:t>budget (£)</w:t>
                  </w:r>
                </w:p>
              </w:tc>
              <w:tc>
                <w:tcPr>
                  <w:tcW w:w="960" w:type="dxa"/>
                  <w:tcBorders>
                    <w:top w:val="nil"/>
                    <w:left w:val="nil"/>
                    <w:bottom w:val="nil"/>
                    <w:right w:val="single" w:sz="4" w:space="0" w:color="FFFFFF"/>
                  </w:tcBorders>
                  <w:shd w:val="clear" w:color="000000" w:fill="0070B9"/>
                  <w:hideMark/>
                </w:tcPr>
                <w:p w:rsidR="00E9014E" w:rsidRPr="00E9014E" w:rsidRDefault="00E9014E" w:rsidP="00E9014E">
                  <w:pPr>
                    <w:rPr>
                      <w:rFonts w:ascii="Calibri" w:hAnsi="Calibri" w:cs="Calibri"/>
                      <w:b/>
                      <w:bCs/>
                      <w:color w:val="FFFFFF"/>
                      <w:sz w:val="16"/>
                      <w:szCs w:val="16"/>
                    </w:rPr>
                  </w:pPr>
                  <w:r w:rsidRPr="00E9014E">
                    <w:rPr>
                      <w:rFonts w:ascii="Calibri" w:hAnsi="Calibri" w:cs="Calibri"/>
                      <w:b/>
                      <w:bCs/>
                      <w:color w:val="FFFFFF"/>
                      <w:sz w:val="16"/>
                      <w:szCs w:val="16"/>
                    </w:rPr>
                    <w:t>plan (£)</w:t>
                  </w:r>
                </w:p>
              </w:tc>
              <w:tc>
                <w:tcPr>
                  <w:tcW w:w="960" w:type="dxa"/>
                  <w:tcBorders>
                    <w:top w:val="nil"/>
                    <w:left w:val="nil"/>
                    <w:bottom w:val="nil"/>
                    <w:right w:val="single" w:sz="4" w:space="0" w:color="FFFFFF"/>
                  </w:tcBorders>
                  <w:shd w:val="clear" w:color="000000" w:fill="0070B9"/>
                  <w:hideMark/>
                </w:tcPr>
                <w:p w:rsidR="00E9014E" w:rsidRPr="00E9014E" w:rsidRDefault="00E9014E" w:rsidP="00E9014E">
                  <w:pPr>
                    <w:rPr>
                      <w:rFonts w:ascii="Calibri" w:hAnsi="Calibri" w:cs="Calibri"/>
                      <w:b/>
                      <w:bCs/>
                      <w:color w:val="FFFFFF"/>
                      <w:sz w:val="16"/>
                      <w:szCs w:val="16"/>
                    </w:rPr>
                  </w:pPr>
                  <w:r w:rsidRPr="00E9014E">
                    <w:rPr>
                      <w:rFonts w:ascii="Calibri" w:hAnsi="Calibri" w:cs="Calibri"/>
                      <w:b/>
                      <w:bCs/>
                      <w:color w:val="FFFFFF"/>
                      <w:sz w:val="16"/>
                      <w:szCs w:val="16"/>
                    </w:rPr>
                    <w:t>Budget</w:t>
                  </w:r>
                </w:p>
              </w:tc>
              <w:tc>
                <w:tcPr>
                  <w:tcW w:w="960" w:type="dxa"/>
                  <w:tcBorders>
                    <w:top w:val="nil"/>
                    <w:left w:val="nil"/>
                    <w:bottom w:val="nil"/>
                    <w:right w:val="single" w:sz="4" w:space="0" w:color="FFFFFF"/>
                  </w:tcBorders>
                  <w:shd w:val="clear" w:color="000000" w:fill="0070B9"/>
                  <w:hideMark/>
                </w:tcPr>
                <w:p w:rsidR="00E9014E" w:rsidRPr="00E9014E" w:rsidRDefault="00E9014E" w:rsidP="00E9014E">
                  <w:pPr>
                    <w:rPr>
                      <w:rFonts w:ascii="Calibri" w:hAnsi="Calibri" w:cs="Calibri"/>
                      <w:b/>
                      <w:bCs/>
                      <w:color w:val="FFFFFF"/>
                      <w:sz w:val="16"/>
                      <w:szCs w:val="16"/>
                    </w:rPr>
                  </w:pPr>
                  <w:r w:rsidRPr="00E9014E">
                    <w:rPr>
                      <w:rFonts w:ascii="Calibri" w:hAnsi="Calibri" w:cs="Calibri"/>
                      <w:b/>
                      <w:bCs/>
                      <w:color w:val="FFFFFF"/>
                      <w:sz w:val="16"/>
                      <w:szCs w:val="16"/>
                    </w:rPr>
                    <w:t>Actual</w:t>
                  </w:r>
                </w:p>
              </w:tc>
              <w:tc>
                <w:tcPr>
                  <w:tcW w:w="960" w:type="dxa"/>
                  <w:tcBorders>
                    <w:top w:val="nil"/>
                    <w:left w:val="nil"/>
                    <w:bottom w:val="nil"/>
                    <w:right w:val="single" w:sz="4" w:space="0" w:color="FFFFFF"/>
                  </w:tcBorders>
                  <w:shd w:val="clear" w:color="000000" w:fill="0070B9"/>
                  <w:hideMark/>
                </w:tcPr>
                <w:p w:rsidR="00E9014E" w:rsidRPr="00E9014E" w:rsidRDefault="00E9014E" w:rsidP="00E9014E">
                  <w:pPr>
                    <w:rPr>
                      <w:rFonts w:ascii="Calibri" w:hAnsi="Calibri" w:cs="Calibri"/>
                      <w:b/>
                      <w:bCs/>
                      <w:color w:val="FFFFFF"/>
                      <w:sz w:val="16"/>
                      <w:szCs w:val="16"/>
                    </w:rPr>
                  </w:pPr>
                  <w:r w:rsidRPr="00E9014E">
                    <w:rPr>
                      <w:rFonts w:ascii="Calibri" w:hAnsi="Calibri" w:cs="Calibri"/>
                      <w:b/>
                      <w:bCs/>
                      <w:color w:val="FFFFFF"/>
                      <w:sz w:val="16"/>
                      <w:szCs w:val="16"/>
                    </w:rPr>
                    <w:t>Variance</w:t>
                  </w:r>
                </w:p>
              </w:tc>
              <w:tc>
                <w:tcPr>
                  <w:tcW w:w="960" w:type="dxa"/>
                  <w:tcBorders>
                    <w:top w:val="nil"/>
                    <w:left w:val="nil"/>
                    <w:bottom w:val="nil"/>
                    <w:right w:val="single" w:sz="4" w:space="0" w:color="FFFFFF"/>
                  </w:tcBorders>
                  <w:shd w:val="clear" w:color="000000" w:fill="0070B9"/>
                  <w:hideMark/>
                </w:tcPr>
                <w:p w:rsidR="00E9014E" w:rsidRPr="00E9014E" w:rsidRDefault="00E9014E" w:rsidP="00E9014E">
                  <w:pPr>
                    <w:rPr>
                      <w:rFonts w:ascii="Calibri" w:hAnsi="Calibri" w:cs="Calibri"/>
                      <w:b/>
                      <w:bCs/>
                      <w:color w:val="FFFFFF"/>
                      <w:sz w:val="16"/>
                      <w:szCs w:val="16"/>
                    </w:rPr>
                  </w:pPr>
                  <w:r w:rsidRPr="00E9014E">
                    <w:rPr>
                      <w:rFonts w:ascii="Calibri" w:hAnsi="Calibri" w:cs="Calibri"/>
                      <w:b/>
                      <w:bCs/>
                      <w:color w:val="FFFFFF"/>
                      <w:sz w:val="16"/>
                      <w:szCs w:val="16"/>
                    </w:rPr>
                    <w:t>Budget</w:t>
                  </w:r>
                </w:p>
              </w:tc>
              <w:tc>
                <w:tcPr>
                  <w:tcW w:w="960" w:type="dxa"/>
                  <w:tcBorders>
                    <w:top w:val="nil"/>
                    <w:left w:val="nil"/>
                    <w:bottom w:val="nil"/>
                    <w:right w:val="single" w:sz="4" w:space="0" w:color="FFFFFF"/>
                  </w:tcBorders>
                  <w:shd w:val="clear" w:color="000000" w:fill="0070B9"/>
                  <w:hideMark/>
                </w:tcPr>
                <w:p w:rsidR="00E9014E" w:rsidRPr="00E9014E" w:rsidRDefault="00E9014E" w:rsidP="00E9014E">
                  <w:pPr>
                    <w:rPr>
                      <w:rFonts w:ascii="Calibri" w:hAnsi="Calibri" w:cs="Calibri"/>
                      <w:b/>
                      <w:bCs/>
                      <w:color w:val="FFFFFF"/>
                      <w:sz w:val="16"/>
                      <w:szCs w:val="16"/>
                    </w:rPr>
                  </w:pPr>
                  <w:r w:rsidRPr="00E9014E">
                    <w:rPr>
                      <w:rFonts w:ascii="Calibri" w:hAnsi="Calibri" w:cs="Calibri"/>
                      <w:b/>
                      <w:bCs/>
                      <w:color w:val="FFFFFF"/>
                      <w:sz w:val="16"/>
                      <w:szCs w:val="16"/>
                    </w:rPr>
                    <w:t>Actual</w:t>
                  </w:r>
                </w:p>
              </w:tc>
              <w:tc>
                <w:tcPr>
                  <w:tcW w:w="960" w:type="dxa"/>
                  <w:tcBorders>
                    <w:top w:val="nil"/>
                    <w:left w:val="nil"/>
                    <w:bottom w:val="nil"/>
                    <w:right w:val="single" w:sz="4" w:space="0" w:color="FFFFFF"/>
                  </w:tcBorders>
                  <w:shd w:val="clear" w:color="000000" w:fill="0070B9"/>
                  <w:hideMark/>
                </w:tcPr>
                <w:p w:rsidR="00E9014E" w:rsidRPr="00E9014E" w:rsidRDefault="00E9014E" w:rsidP="00E9014E">
                  <w:pPr>
                    <w:rPr>
                      <w:rFonts w:ascii="Calibri" w:hAnsi="Calibri" w:cs="Calibri"/>
                      <w:b/>
                      <w:bCs/>
                      <w:color w:val="FFFFFF"/>
                      <w:sz w:val="16"/>
                      <w:szCs w:val="16"/>
                    </w:rPr>
                  </w:pPr>
                  <w:r w:rsidRPr="00E9014E">
                    <w:rPr>
                      <w:rFonts w:ascii="Calibri" w:hAnsi="Calibri" w:cs="Calibri"/>
                      <w:b/>
                      <w:bCs/>
                      <w:color w:val="FFFFFF"/>
                      <w:sz w:val="16"/>
                      <w:szCs w:val="16"/>
                    </w:rPr>
                    <w:t>Variance</w:t>
                  </w:r>
                </w:p>
              </w:tc>
            </w:tr>
            <w:tr w:rsidR="00E9014E" w:rsidRPr="00E9014E" w:rsidTr="00E9014E">
              <w:trPr>
                <w:trHeight w:val="300"/>
              </w:trPr>
              <w:tc>
                <w:tcPr>
                  <w:tcW w:w="4640" w:type="dxa"/>
                  <w:tcBorders>
                    <w:top w:val="single" w:sz="4" w:space="0" w:color="auto"/>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Meeting Rooms/Catering</w:t>
                  </w:r>
                </w:p>
              </w:tc>
              <w:tc>
                <w:tcPr>
                  <w:tcW w:w="960" w:type="dxa"/>
                  <w:tcBorders>
                    <w:top w:val="single" w:sz="4" w:space="0" w:color="auto"/>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180,793</w:t>
                  </w:r>
                </w:p>
              </w:tc>
              <w:tc>
                <w:tcPr>
                  <w:tcW w:w="960" w:type="dxa"/>
                  <w:tcBorders>
                    <w:top w:val="single" w:sz="4" w:space="0" w:color="auto"/>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178,793</w:t>
                  </w:r>
                </w:p>
              </w:tc>
              <w:tc>
                <w:tcPr>
                  <w:tcW w:w="960" w:type="dxa"/>
                  <w:tcBorders>
                    <w:top w:val="single" w:sz="4" w:space="0" w:color="auto"/>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20,850</w:t>
                  </w:r>
                </w:p>
              </w:tc>
              <w:tc>
                <w:tcPr>
                  <w:tcW w:w="960" w:type="dxa"/>
                  <w:tcBorders>
                    <w:top w:val="single" w:sz="4" w:space="0" w:color="auto"/>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31,405</w:t>
                  </w:r>
                </w:p>
              </w:tc>
              <w:tc>
                <w:tcPr>
                  <w:tcW w:w="960" w:type="dxa"/>
                  <w:tcBorders>
                    <w:top w:val="single" w:sz="4" w:space="0" w:color="auto"/>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10,555</w:t>
                  </w:r>
                </w:p>
              </w:tc>
              <w:tc>
                <w:tcPr>
                  <w:tcW w:w="960" w:type="dxa"/>
                  <w:tcBorders>
                    <w:top w:val="single" w:sz="4" w:space="0" w:color="auto"/>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35,743</w:t>
                  </w:r>
                </w:p>
              </w:tc>
              <w:tc>
                <w:tcPr>
                  <w:tcW w:w="960" w:type="dxa"/>
                  <w:tcBorders>
                    <w:top w:val="single" w:sz="4" w:space="0" w:color="auto"/>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30,675</w:t>
                  </w:r>
                </w:p>
              </w:tc>
              <w:tc>
                <w:tcPr>
                  <w:tcW w:w="960" w:type="dxa"/>
                  <w:tcBorders>
                    <w:top w:val="single" w:sz="4" w:space="0" w:color="auto"/>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-5,068</w:t>
                  </w:r>
                </w:p>
              </w:tc>
            </w:tr>
            <w:tr w:rsidR="00E9014E" w:rsidRPr="00E9014E" w:rsidTr="00E9014E">
              <w:trPr>
                <w:trHeight w:val="300"/>
              </w:trPr>
              <w:tc>
                <w:tcPr>
                  <w:tcW w:w="4640" w:type="dxa"/>
                  <w:tcBorders>
                    <w:top w:val="nil"/>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Office equipment/Stationery/Furniture/Consumable</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101,794</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101,794</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35,627</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3,395</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-32,232</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44,106</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8,024</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-36,082</w:t>
                  </w:r>
                </w:p>
              </w:tc>
            </w:tr>
            <w:tr w:rsidR="00E9014E" w:rsidRPr="00E9014E" w:rsidTr="00E9014E">
              <w:trPr>
                <w:trHeight w:val="300"/>
              </w:trPr>
              <w:tc>
                <w:tcPr>
                  <w:tcW w:w="4640" w:type="dxa"/>
                  <w:tcBorders>
                    <w:top w:val="nil"/>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Photocopying/Printing/Postage/Storage/Waste</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155,410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155,410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12,910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17,564</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4,654</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25,852</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28,982</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3,130</w:t>
                  </w:r>
                </w:p>
              </w:tc>
            </w:tr>
            <w:tr w:rsidR="00E9014E" w:rsidRPr="00E9014E" w:rsidTr="00E9014E">
              <w:trPr>
                <w:trHeight w:val="300"/>
              </w:trPr>
              <w:tc>
                <w:tcPr>
                  <w:tcW w:w="4640" w:type="dxa"/>
                  <w:tcBorders>
                    <w:top w:val="nil"/>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 xml:space="preserve">Premises - </w:t>
                  </w:r>
                  <w:proofErr w:type="spellStart"/>
                  <w:r w:rsidRPr="00E9014E">
                    <w:rPr>
                      <w:rFonts w:ascii="Arial Narrow" w:hAnsi="Arial Narrow" w:cs="Calibri"/>
                      <w:b/>
                      <w:bCs/>
                      <w:color w:val="000000"/>
                      <w:sz w:val="20"/>
                      <w:szCs w:val="20"/>
                    </w:rPr>
                    <w:t>inc</w:t>
                  </w:r>
                  <w:proofErr w:type="spellEnd"/>
                  <w:r w:rsidRPr="00E9014E">
                    <w:rPr>
                      <w:rFonts w:ascii="Arial Narrow" w:hAnsi="Arial Narrow" w:cs="Calibri"/>
                      <w:b/>
                      <w:bCs/>
                      <w:color w:val="000000"/>
                      <w:sz w:val="20"/>
                      <w:szCs w:val="20"/>
                    </w:rPr>
                    <w:t xml:space="preserve"> premise removal costs</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717,327</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717,327</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61,599</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-21,645</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-83,244</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121,364</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113,614</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-7,750</w:t>
                  </w:r>
                </w:p>
              </w:tc>
            </w:tr>
            <w:tr w:rsidR="00E9014E" w:rsidRPr="00E9014E" w:rsidTr="00E9014E">
              <w:trPr>
                <w:trHeight w:val="525"/>
              </w:trPr>
              <w:tc>
                <w:tcPr>
                  <w:tcW w:w="4640" w:type="dxa"/>
                  <w:tcBorders>
                    <w:top w:val="nil"/>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Training Expenses - expenses/materials , conferences, workshops</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73,990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73,990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3,911</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16,420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12,509</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10,072</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41,947</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31,875</w:t>
                  </w:r>
                </w:p>
              </w:tc>
            </w:tr>
            <w:tr w:rsidR="00E9014E" w:rsidRPr="00E9014E" w:rsidTr="00E9014E">
              <w:trPr>
                <w:trHeight w:val="525"/>
              </w:trPr>
              <w:tc>
                <w:tcPr>
                  <w:tcW w:w="4640" w:type="dxa"/>
                  <w:tcBorders>
                    <w:top w:val="nil"/>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Other Staff costs - Recruitment/adverts/redundancy/PILON</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40,000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40,000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-500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3,717</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4,217</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2,649</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2,649</w:t>
                  </w:r>
                </w:p>
              </w:tc>
            </w:tr>
            <w:tr w:rsidR="00E9014E" w:rsidRPr="00E9014E" w:rsidTr="00E9014E">
              <w:trPr>
                <w:trHeight w:val="525"/>
              </w:trPr>
              <w:tc>
                <w:tcPr>
                  <w:tcW w:w="4640" w:type="dxa"/>
                  <w:tcBorders>
                    <w:top w:val="nil"/>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Travel costs - include excess mileage/interview expenses</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540,429</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522,624</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46,920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99,705</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52,785</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93,323</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97,263</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3,940</w:t>
                  </w:r>
                </w:p>
              </w:tc>
            </w:tr>
            <w:tr w:rsidR="00E9014E" w:rsidRPr="00E9014E" w:rsidTr="00E9014E">
              <w:trPr>
                <w:trHeight w:val="300"/>
              </w:trPr>
              <w:tc>
                <w:tcPr>
                  <w:tcW w:w="4640" w:type="dxa"/>
                  <w:tcBorders>
                    <w:top w:val="nil"/>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Chairs/Members/Participation - activity costs</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268,685</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268,685</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21,845</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81,682</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59,837</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44,230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39,823</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-4,407</w:t>
                  </w:r>
                </w:p>
              </w:tc>
            </w:tr>
            <w:tr w:rsidR="00E9014E" w:rsidRPr="00E9014E" w:rsidTr="00E9014E">
              <w:trPr>
                <w:trHeight w:val="300"/>
              </w:trPr>
              <w:tc>
                <w:tcPr>
                  <w:tcW w:w="4640" w:type="dxa"/>
                  <w:tcBorders>
                    <w:top w:val="nil"/>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Publications</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2,250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2,250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-136</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136</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50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222</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172</w:t>
                  </w:r>
                </w:p>
              </w:tc>
            </w:tr>
            <w:tr w:rsidR="00E9014E" w:rsidRPr="00E9014E" w:rsidTr="00E9014E">
              <w:trPr>
                <w:trHeight w:val="300"/>
              </w:trPr>
              <w:tc>
                <w:tcPr>
                  <w:tcW w:w="4640" w:type="dxa"/>
                  <w:tcBorders>
                    <w:top w:val="nil"/>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Mobile Phones/Mobile Data</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18,661</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18,661</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1,543</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1,497</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-46</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3,086</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2,993</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-93</w:t>
                  </w:r>
                </w:p>
              </w:tc>
            </w:tr>
            <w:tr w:rsidR="00E9014E" w:rsidRPr="00E9014E" w:rsidTr="00E9014E">
              <w:trPr>
                <w:trHeight w:val="525"/>
              </w:trPr>
              <w:tc>
                <w:tcPr>
                  <w:tcW w:w="4640" w:type="dxa"/>
                  <w:tcBorders>
                    <w:top w:val="nil"/>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Statutory Costs - Health &amp; Safety/Legal/Audit Fees/Dep. &amp; Amort.</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549,365</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549,365</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1,261</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45,671</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44,410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9,520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10,872</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1,352</w:t>
                  </w:r>
                </w:p>
              </w:tc>
            </w:tr>
            <w:tr w:rsidR="00E9014E" w:rsidRPr="00E9014E" w:rsidTr="00E9014E">
              <w:trPr>
                <w:trHeight w:val="525"/>
              </w:trPr>
              <w:tc>
                <w:tcPr>
                  <w:tcW w:w="4640" w:type="dxa"/>
                  <w:tcBorders>
                    <w:top w:val="nil"/>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Computer Costs - Software/licences/system maintenance/purchases</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310,873</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310,873</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24,510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77,589</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53,079</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50,413</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59,370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8,957</w:t>
                  </w:r>
                </w:p>
              </w:tc>
            </w:tr>
            <w:tr w:rsidR="00E9014E" w:rsidRPr="00E9014E" w:rsidTr="00E9014E">
              <w:trPr>
                <w:trHeight w:val="525"/>
              </w:trPr>
              <w:tc>
                <w:tcPr>
                  <w:tcW w:w="4640" w:type="dxa"/>
                  <w:tcBorders>
                    <w:top w:val="nil"/>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Other External Contracts - SLA's - Premises, SBS,BSA, DH IT</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1,070,349</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983,231</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78,909</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247,594</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168,685</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162,485</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209,676</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47,191</w:t>
                  </w:r>
                </w:p>
              </w:tc>
            </w:tr>
            <w:tr w:rsidR="00E9014E" w:rsidRPr="00E9014E" w:rsidTr="00E9014E">
              <w:trPr>
                <w:trHeight w:val="300"/>
              </w:trPr>
              <w:tc>
                <w:tcPr>
                  <w:tcW w:w="4640" w:type="dxa"/>
                  <w:tcBorders>
                    <w:top w:val="nil"/>
                    <w:left w:val="nil"/>
                    <w:bottom w:val="single" w:sz="4" w:space="0" w:color="auto"/>
                    <w:right w:val="single" w:sz="4" w:space="0" w:color="auto"/>
                  </w:tcBorders>
                  <w:shd w:val="clear" w:color="auto" w:fill="auto"/>
                  <w:vAlign w:val="bottom"/>
                  <w:hideMark/>
                </w:tcPr>
                <w:p w:rsidR="00E9014E" w:rsidRPr="00E9014E" w:rsidRDefault="00E9014E" w:rsidP="00E9014E">
                  <w:pPr>
                    <w:outlineLvl w:val="0"/>
                    <w:rPr>
                      <w:rFonts w:ascii="Arial Narrow" w:hAnsi="Arial Narrow" w:cs="Calibri"/>
                      <w:b/>
                      <w:bCs/>
                      <w:color w:val="000000"/>
                      <w:sz w:val="20"/>
                      <w:szCs w:val="20"/>
                    </w:rPr>
                  </w:pPr>
                  <w:r w:rsidRPr="00E9014E">
                    <w:rPr>
                      <w:rFonts w:ascii="Arial Narrow" w:hAnsi="Arial Narrow" w:cs="Calibri"/>
                      <w:b/>
                      <w:bCs/>
                      <w:color w:val="000000"/>
                      <w:sz w:val="20"/>
                      <w:szCs w:val="20"/>
                    </w:rPr>
                    <w:t xml:space="preserve">Other - </w:t>
                  </w:r>
                  <w:proofErr w:type="spellStart"/>
                  <w:r w:rsidRPr="00E9014E">
                    <w:rPr>
                      <w:rFonts w:ascii="Arial Narrow" w:hAnsi="Arial Narrow" w:cs="Calibri"/>
                      <w:b/>
                      <w:bCs/>
                      <w:color w:val="000000"/>
                      <w:sz w:val="20"/>
                      <w:szCs w:val="20"/>
                    </w:rPr>
                    <w:t>Misc</w:t>
                  </w:r>
                  <w:proofErr w:type="spellEnd"/>
                  <w:r w:rsidRPr="00E9014E">
                    <w:rPr>
                      <w:rFonts w:ascii="Arial Narrow" w:hAnsi="Arial Narrow" w:cs="Calibri"/>
                      <w:b/>
                      <w:bCs/>
                      <w:color w:val="000000"/>
                      <w:sz w:val="20"/>
                      <w:szCs w:val="20"/>
                    </w:rPr>
                    <w:t>/Reserves</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604,489</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-3</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0</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-6</w:t>
                  </w:r>
                </w:p>
              </w:tc>
              <w:tc>
                <w:tcPr>
                  <w:tcW w:w="960" w:type="dxa"/>
                  <w:tcBorders>
                    <w:top w:val="nil"/>
                    <w:left w:val="nil"/>
                    <w:bottom w:val="single" w:sz="4" w:space="0" w:color="auto"/>
                    <w:right w:val="single" w:sz="4" w:space="0" w:color="auto"/>
                  </w:tcBorders>
                  <w:shd w:val="clear" w:color="auto" w:fill="auto"/>
                  <w:hideMark/>
                </w:tcPr>
                <w:p w:rsidR="00E9014E" w:rsidRPr="00E9014E" w:rsidRDefault="00E9014E" w:rsidP="00E9014E">
                  <w:pPr>
                    <w:jc w:val="right"/>
                    <w:outlineLvl w:val="0"/>
                    <w:rPr>
                      <w:rFonts w:ascii="Calibri" w:hAnsi="Calibri" w:cs="Calibri"/>
                      <w:color w:val="000000"/>
                      <w:sz w:val="16"/>
                      <w:szCs w:val="16"/>
                    </w:rPr>
                  </w:pPr>
                  <w:r w:rsidRPr="00E9014E">
                    <w:rPr>
                      <w:rFonts w:ascii="Calibri" w:hAnsi="Calibri" w:cs="Calibri"/>
                      <w:color w:val="000000"/>
                      <w:sz w:val="16"/>
                      <w:szCs w:val="16"/>
                    </w:rPr>
                    <w:t>-6</w:t>
                  </w:r>
                </w:p>
              </w:tc>
            </w:tr>
            <w:tr w:rsidR="00E9014E" w:rsidRPr="00E9014E" w:rsidTr="00E9014E">
              <w:trPr>
                <w:trHeight w:val="300"/>
              </w:trPr>
              <w:tc>
                <w:tcPr>
                  <w:tcW w:w="4640" w:type="dxa"/>
                  <w:tcBorders>
                    <w:top w:val="nil"/>
                    <w:left w:val="nil"/>
                    <w:bottom w:val="single" w:sz="4" w:space="0" w:color="auto"/>
                    <w:right w:val="single" w:sz="4" w:space="0" w:color="auto"/>
                  </w:tcBorders>
                  <w:shd w:val="clear" w:color="000000" w:fill="F3F2EA"/>
                  <w:hideMark/>
                </w:tcPr>
                <w:p w:rsidR="00E9014E" w:rsidRPr="00E9014E" w:rsidRDefault="00E9014E" w:rsidP="00E9014E">
                  <w:pPr>
                    <w:jc w:val="center"/>
                    <w:rPr>
                      <w:rFonts w:ascii="Calibri" w:hAnsi="Calibri" w:cs="Calibri"/>
                      <w:b/>
                      <w:bCs/>
                      <w:color w:val="000000"/>
                      <w:sz w:val="22"/>
                      <w:szCs w:val="22"/>
                    </w:rPr>
                  </w:pPr>
                  <w:r w:rsidRPr="00E9014E">
                    <w:rPr>
                      <w:rFonts w:ascii="Calibri" w:hAnsi="Calibri" w:cs="Calibri"/>
                      <w:b/>
                      <w:bCs/>
                      <w:color w:val="000000"/>
                      <w:sz w:val="22"/>
                      <w:szCs w:val="22"/>
                    </w:rPr>
                    <w:t>GRAND TOTAL</w:t>
                  </w:r>
                </w:p>
              </w:tc>
              <w:tc>
                <w:tcPr>
                  <w:tcW w:w="960" w:type="dxa"/>
                  <w:tcBorders>
                    <w:top w:val="nil"/>
                    <w:left w:val="nil"/>
                    <w:bottom w:val="single" w:sz="4" w:space="0" w:color="auto"/>
                    <w:right w:val="single" w:sz="4" w:space="0" w:color="auto"/>
                  </w:tcBorders>
                  <w:shd w:val="clear" w:color="000000" w:fill="CCE2F1"/>
                  <w:hideMark/>
                </w:tcPr>
                <w:p w:rsidR="00E9014E" w:rsidRPr="00E9014E" w:rsidRDefault="00E9014E" w:rsidP="00E9014E">
                  <w:pPr>
                    <w:jc w:val="right"/>
                    <w:rPr>
                      <w:rFonts w:ascii="Calibri" w:hAnsi="Calibri" w:cs="Calibri"/>
                      <w:b/>
                      <w:bCs/>
                      <w:color w:val="000000"/>
                      <w:sz w:val="16"/>
                      <w:szCs w:val="16"/>
                    </w:rPr>
                  </w:pPr>
                  <w:r w:rsidRPr="00E9014E">
                    <w:rPr>
                      <w:rFonts w:ascii="Calibri" w:hAnsi="Calibri" w:cs="Calibri"/>
                      <w:b/>
                      <w:bCs/>
                      <w:color w:val="000000"/>
                      <w:sz w:val="16"/>
                      <w:szCs w:val="16"/>
                    </w:rPr>
                    <w:t>8,059,852</w:t>
                  </w:r>
                </w:p>
              </w:tc>
              <w:tc>
                <w:tcPr>
                  <w:tcW w:w="960" w:type="dxa"/>
                  <w:tcBorders>
                    <w:top w:val="nil"/>
                    <w:left w:val="nil"/>
                    <w:bottom w:val="single" w:sz="4" w:space="0" w:color="auto"/>
                    <w:right w:val="single" w:sz="4" w:space="0" w:color="auto"/>
                  </w:tcBorders>
                  <w:shd w:val="clear" w:color="000000" w:fill="CCE2F1"/>
                  <w:hideMark/>
                </w:tcPr>
                <w:p w:rsidR="00E9014E" w:rsidRPr="00E9014E" w:rsidRDefault="00E9014E" w:rsidP="00E9014E">
                  <w:pPr>
                    <w:jc w:val="right"/>
                    <w:rPr>
                      <w:rFonts w:ascii="Calibri" w:hAnsi="Calibri" w:cs="Calibri"/>
                      <w:b/>
                      <w:bCs/>
                      <w:color w:val="000000"/>
                      <w:sz w:val="16"/>
                      <w:szCs w:val="16"/>
                    </w:rPr>
                  </w:pPr>
                  <w:r w:rsidRPr="00E9014E">
                    <w:rPr>
                      <w:rFonts w:ascii="Calibri" w:hAnsi="Calibri" w:cs="Calibri"/>
                      <w:b/>
                      <w:bCs/>
                      <w:color w:val="000000"/>
                      <w:sz w:val="16"/>
                      <w:szCs w:val="16"/>
                    </w:rPr>
                    <w:t>7,846,006</w:t>
                  </w:r>
                </w:p>
              </w:tc>
              <w:tc>
                <w:tcPr>
                  <w:tcW w:w="960" w:type="dxa"/>
                  <w:tcBorders>
                    <w:top w:val="nil"/>
                    <w:left w:val="nil"/>
                    <w:bottom w:val="single" w:sz="4" w:space="0" w:color="auto"/>
                    <w:right w:val="single" w:sz="4" w:space="0" w:color="auto"/>
                  </w:tcBorders>
                  <w:shd w:val="clear" w:color="000000" w:fill="CCE2F1"/>
                  <w:hideMark/>
                </w:tcPr>
                <w:p w:rsidR="00E9014E" w:rsidRPr="00E9014E" w:rsidRDefault="00E9014E" w:rsidP="00E9014E">
                  <w:pPr>
                    <w:jc w:val="right"/>
                    <w:rPr>
                      <w:rFonts w:ascii="Calibri" w:hAnsi="Calibri" w:cs="Calibri"/>
                      <w:b/>
                      <w:bCs/>
                      <w:color w:val="000000"/>
                      <w:sz w:val="16"/>
                      <w:szCs w:val="16"/>
                    </w:rPr>
                  </w:pPr>
                  <w:r w:rsidRPr="00E9014E">
                    <w:rPr>
                      <w:rFonts w:ascii="Calibri" w:hAnsi="Calibri" w:cs="Calibri"/>
                      <w:b/>
                      <w:bCs/>
                      <w:color w:val="000000"/>
                      <w:sz w:val="16"/>
                      <w:szCs w:val="16"/>
                    </w:rPr>
                    <w:t>618,498</w:t>
                  </w:r>
                </w:p>
              </w:tc>
              <w:tc>
                <w:tcPr>
                  <w:tcW w:w="960" w:type="dxa"/>
                  <w:tcBorders>
                    <w:top w:val="nil"/>
                    <w:left w:val="nil"/>
                    <w:bottom w:val="single" w:sz="4" w:space="0" w:color="auto"/>
                    <w:right w:val="single" w:sz="4" w:space="0" w:color="auto"/>
                  </w:tcBorders>
                  <w:shd w:val="clear" w:color="000000" w:fill="CCE2F1"/>
                  <w:hideMark/>
                </w:tcPr>
                <w:p w:rsidR="00E9014E" w:rsidRPr="00E9014E" w:rsidRDefault="00E9014E" w:rsidP="00E9014E">
                  <w:pPr>
                    <w:jc w:val="right"/>
                    <w:rPr>
                      <w:rFonts w:ascii="Calibri" w:hAnsi="Calibri" w:cs="Calibri"/>
                      <w:b/>
                      <w:bCs/>
                      <w:color w:val="000000"/>
                      <w:sz w:val="16"/>
                      <w:szCs w:val="16"/>
                    </w:rPr>
                  </w:pPr>
                  <w:r w:rsidRPr="00E9014E">
                    <w:rPr>
                      <w:rFonts w:ascii="Calibri" w:hAnsi="Calibri" w:cs="Calibri"/>
                      <w:b/>
                      <w:bCs/>
                      <w:color w:val="000000"/>
                      <w:sz w:val="16"/>
                      <w:szCs w:val="16"/>
                    </w:rPr>
                    <w:t>1,209,185</w:t>
                  </w:r>
                </w:p>
              </w:tc>
              <w:tc>
                <w:tcPr>
                  <w:tcW w:w="960" w:type="dxa"/>
                  <w:tcBorders>
                    <w:top w:val="nil"/>
                    <w:left w:val="nil"/>
                    <w:bottom w:val="single" w:sz="4" w:space="0" w:color="auto"/>
                    <w:right w:val="single" w:sz="4" w:space="0" w:color="auto"/>
                  </w:tcBorders>
                  <w:shd w:val="clear" w:color="000000" w:fill="CCE2F1"/>
                  <w:hideMark/>
                </w:tcPr>
                <w:p w:rsidR="00E9014E" w:rsidRPr="00E9014E" w:rsidRDefault="00E9014E" w:rsidP="00E9014E">
                  <w:pPr>
                    <w:jc w:val="right"/>
                    <w:rPr>
                      <w:rFonts w:ascii="Calibri" w:hAnsi="Calibri" w:cs="Calibri"/>
                      <w:b/>
                      <w:bCs/>
                      <w:color w:val="000000"/>
                      <w:sz w:val="16"/>
                      <w:szCs w:val="16"/>
                    </w:rPr>
                  </w:pPr>
                  <w:r w:rsidRPr="00E9014E">
                    <w:rPr>
                      <w:rFonts w:ascii="Calibri" w:hAnsi="Calibri" w:cs="Calibri"/>
                      <w:b/>
                      <w:bCs/>
                      <w:color w:val="000000"/>
                      <w:sz w:val="16"/>
                      <w:szCs w:val="16"/>
                    </w:rPr>
                    <w:t>590,687</w:t>
                  </w:r>
                </w:p>
              </w:tc>
              <w:tc>
                <w:tcPr>
                  <w:tcW w:w="960" w:type="dxa"/>
                  <w:tcBorders>
                    <w:top w:val="nil"/>
                    <w:left w:val="nil"/>
                    <w:bottom w:val="single" w:sz="4" w:space="0" w:color="auto"/>
                    <w:right w:val="single" w:sz="4" w:space="0" w:color="auto"/>
                  </w:tcBorders>
                  <w:shd w:val="clear" w:color="000000" w:fill="CCE2F1"/>
                  <w:hideMark/>
                </w:tcPr>
                <w:p w:rsidR="00E9014E" w:rsidRPr="00E9014E" w:rsidRDefault="00E9014E" w:rsidP="00E9014E">
                  <w:pPr>
                    <w:jc w:val="right"/>
                    <w:rPr>
                      <w:rFonts w:ascii="Calibri" w:hAnsi="Calibri" w:cs="Calibri"/>
                      <w:b/>
                      <w:bCs/>
                      <w:color w:val="000000"/>
                      <w:sz w:val="16"/>
                      <w:szCs w:val="16"/>
                    </w:rPr>
                  </w:pPr>
                  <w:r w:rsidRPr="00E9014E">
                    <w:rPr>
                      <w:rFonts w:ascii="Calibri" w:hAnsi="Calibri" w:cs="Calibri"/>
                      <w:b/>
                      <w:bCs/>
                      <w:color w:val="000000"/>
                      <w:sz w:val="16"/>
                      <w:szCs w:val="16"/>
                    </w:rPr>
                    <w:t>1,200,488</w:t>
                  </w:r>
                </w:p>
              </w:tc>
              <w:tc>
                <w:tcPr>
                  <w:tcW w:w="960" w:type="dxa"/>
                  <w:tcBorders>
                    <w:top w:val="nil"/>
                    <w:left w:val="nil"/>
                    <w:bottom w:val="single" w:sz="4" w:space="0" w:color="auto"/>
                    <w:right w:val="single" w:sz="4" w:space="0" w:color="auto"/>
                  </w:tcBorders>
                  <w:shd w:val="clear" w:color="000000" w:fill="CCE2F1"/>
                  <w:hideMark/>
                </w:tcPr>
                <w:p w:rsidR="00E9014E" w:rsidRPr="00E9014E" w:rsidRDefault="00E9014E" w:rsidP="00E9014E">
                  <w:pPr>
                    <w:jc w:val="right"/>
                    <w:rPr>
                      <w:rFonts w:ascii="Calibri" w:hAnsi="Calibri" w:cs="Calibri"/>
                      <w:b/>
                      <w:bCs/>
                      <w:color w:val="000000"/>
                      <w:sz w:val="16"/>
                      <w:szCs w:val="16"/>
                    </w:rPr>
                  </w:pPr>
                  <w:r w:rsidRPr="00E9014E">
                    <w:rPr>
                      <w:rFonts w:ascii="Calibri" w:hAnsi="Calibri" w:cs="Calibri"/>
                      <w:b/>
                      <w:bCs/>
                      <w:color w:val="000000"/>
                      <w:sz w:val="16"/>
                      <w:szCs w:val="16"/>
                    </w:rPr>
                    <w:t>1,292,212</w:t>
                  </w:r>
                </w:p>
              </w:tc>
              <w:tc>
                <w:tcPr>
                  <w:tcW w:w="960" w:type="dxa"/>
                  <w:tcBorders>
                    <w:top w:val="nil"/>
                    <w:left w:val="nil"/>
                    <w:bottom w:val="single" w:sz="4" w:space="0" w:color="auto"/>
                    <w:right w:val="single" w:sz="4" w:space="0" w:color="auto"/>
                  </w:tcBorders>
                  <w:shd w:val="clear" w:color="000000" w:fill="CCE2F1"/>
                  <w:hideMark/>
                </w:tcPr>
                <w:p w:rsidR="00E9014E" w:rsidRPr="00E9014E" w:rsidRDefault="00E9014E" w:rsidP="00E9014E">
                  <w:pPr>
                    <w:jc w:val="right"/>
                    <w:rPr>
                      <w:rFonts w:ascii="Calibri" w:hAnsi="Calibri" w:cs="Calibri"/>
                      <w:b/>
                      <w:bCs/>
                      <w:color w:val="000000"/>
                      <w:sz w:val="16"/>
                      <w:szCs w:val="16"/>
                    </w:rPr>
                  </w:pPr>
                  <w:r w:rsidRPr="00E9014E">
                    <w:rPr>
                      <w:rFonts w:ascii="Calibri" w:hAnsi="Calibri" w:cs="Calibri"/>
                      <w:b/>
                      <w:bCs/>
                      <w:color w:val="000000"/>
                      <w:sz w:val="16"/>
                      <w:szCs w:val="16"/>
                    </w:rPr>
                    <w:t>91,724</w:t>
                  </w:r>
                </w:p>
              </w:tc>
            </w:tr>
          </w:tbl>
          <w:p w:rsidR="00127C34" w:rsidRPr="00BC0710" w:rsidRDefault="00DD4FE0" w:rsidP="00DD6AFF">
            <w:pPr>
              <w:tabs>
                <w:tab w:val="left" w:pos="2172"/>
              </w:tabs>
              <w:spacing w:after="200" w:line="276" w:lineRule="auto"/>
              <w:rPr>
                <w:rFonts w:ascii="Arial" w:hAnsi="Arial" w:cs="Arial"/>
                <w:sz w:val="22"/>
                <w:szCs w:val="22"/>
              </w:rPr>
            </w:pPr>
            <w:r>
              <w:rPr>
                <w:rFonts w:ascii="Arial" w:hAnsi="Arial" w:cs="Arial"/>
                <w:sz w:val="22"/>
                <w:szCs w:val="22"/>
              </w:rPr>
              <w:t>Note:</w:t>
            </w:r>
            <w:r>
              <w:rPr>
                <w:rFonts w:ascii="Arial" w:hAnsi="Arial" w:cs="Arial"/>
                <w:sz w:val="16"/>
                <w:szCs w:val="16"/>
              </w:rPr>
              <w:t xml:space="preserve"> </w:t>
            </w:r>
            <w:r w:rsidR="007D138D">
              <w:rPr>
                <w:rFonts w:ascii="Arial" w:hAnsi="Arial" w:cs="Arial"/>
                <w:sz w:val="16"/>
                <w:szCs w:val="16"/>
              </w:rPr>
              <w:t>The</w:t>
            </w:r>
            <w:r w:rsidR="00D84685">
              <w:rPr>
                <w:rFonts w:ascii="Arial" w:hAnsi="Arial" w:cs="Arial"/>
                <w:sz w:val="16"/>
                <w:szCs w:val="16"/>
              </w:rPr>
              <w:t xml:space="preserve"> </w:t>
            </w:r>
            <w:r w:rsidR="00E9014E">
              <w:rPr>
                <w:rFonts w:ascii="Arial" w:hAnsi="Arial" w:cs="Arial"/>
                <w:sz w:val="16"/>
                <w:szCs w:val="16"/>
              </w:rPr>
              <w:t xml:space="preserve">under </w:t>
            </w:r>
            <w:r w:rsidR="00D84685">
              <w:rPr>
                <w:rFonts w:ascii="Arial" w:hAnsi="Arial" w:cs="Arial"/>
                <w:sz w:val="16"/>
                <w:szCs w:val="16"/>
              </w:rPr>
              <w:t xml:space="preserve">spend on </w:t>
            </w:r>
            <w:r w:rsidR="00E9014E">
              <w:rPr>
                <w:rFonts w:ascii="Arial" w:hAnsi="Arial" w:cs="Arial"/>
                <w:sz w:val="16"/>
                <w:szCs w:val="16"/>
              </w:rPr>
              <w:t xml:space="preserve">office equipment/furniture </w:t>
            </w:r>
            <w:r w:rsidR="00392A4F">
              <w:rPr>
                <w:rFonts w:ascii="Arial" w:hAnsi="Arial" w:cs="Arial"/>
                <w:sz w:val="16"/>
                <w:szCs w:val="16"/>
              </w:rPr>
              <w:t xml:space="preserve">relate to </w:t>
            </w:r>
            <w:r w:rsidR="00D84685">
              <w:rPr>
                <w:rFonts w:ascii="Arial" w:hAnsi="Arial" w:cs="Arial"/>
                <w:sz w:val="16"/>
                <w:szCs w:val="16"/>
              </w:rPr>
              <w:t>Estates</w:t>
            </w:r>
            <w:r w:rsidR="00392A4F">
              <w:rPr>
                <w:rFonts w:ascii="Arial" w:hAnsi="Arial" w:cs="Arial"/>
                <w:sz w:val="16"/>
                <w:szCs w:val="16"/>
              </w:rPr>
              <w:t xml:space="preserve"> Strategy</w:t>
            </w:r>
            <w:r w:rsidR="00DD6AFF">
              <w:rPr>
                <w:rFonts w:ascii="Arial" w:hAnsi="Arial" w:cs="Arial"/>
                <w:sz w:val="16"/>
                <w:szCs w:val="16"/>
              </w:rPr>
              <w:t xml:space="preserve"> budgets</w:t>
            </w:r>
            <w:r w:rsidR="005A096F">
              <w:rPr>
                <w:rFonts w:ascii="Arial" w:hAnsi="Arial" w:cs="Arial"/>
                <w:sz w:val="16"/>
                <w:szCs w:val="16"/>
              </w:rPr>
              <w:t xml:space="preserve">. </w:t>
            </w:r>
            <w:r w:rsidR="00127C34">
              <w:rPr>
                <w:rFonts w:ascii="Arial" w:hAnsi="Arial" w:cs="Arial"/>
                <w:sz w:val="16"/>
                <w:szCs w:val="16"/>
              </w:rPr>
              <w:t xml:space="preserve"> </w:t>
            </w:r>
            <w:r w:rsidR="00DD6AFF">
              <w:rPr>
                <w:rFonts w:ascii="Arial" w:hAnsi="Arial" w:cs="Arial"/>
                <w:sz w:val="16"/>
                <w:szCs w:val="16"/>
              </w:rPr>
              <w:t xml:space="preserve">The profile of the budget requires correction.  </w:t>
            </w:r>
            <w:r w:rsidR="00127C34">
              <w:rPr>
                <w:rFonts w:ascii="Arial" w:hAnsi="Arial" w:cs="Arial"/>
                <w:sz w:val="16"/>
                <w:szCs w:val="16"/>
              </w:rPr>
              <w:t xml:space="preserve"> The </w:t>
            </w:r>
            <w:r w:rsidR="00DD6AFF">
              <w:rPr>
                <w:rFonts w:ascii="Arial" w:hAnsi="Arial" w:cs="Arial"/>
                <w:sz w:val="16"/>
                <w:szCs w:val="16"/>
              </w:rPr>
              <w:t>overs</w:t>
            </w:r>
            <w:r w:rsidR="00127C34">
              <w:rPr>
                <w:rFonts w:ascii="Arial" w:hAnsi="Arial" w:cs="Arial"/>
                <w:sz w:val="16"/>
                <w:szCs w:val="16"/>
              </w:rPr>
              <w:t xml:space="preserve">pend  </w:t>
            </w:r>
            <w:r w:rsidR="00DD6AFF">
              <w:rPr>
                <w:rFonts w:ascii="Arial" w:hAnsi="Arial" w:cs="Arial"/>
                <w:sz w:val="16"/>
                <w:szCs w:val="16"/>
              </w:rPr>
              <w:t>on other external contracts largely relates to the over run on the archiving project along with an incorrect treatment relating to an end of year 15/16 accrual double counted.  This will be corrected.</w:t>
            </w:r>
          </w:p>
        </w:tc>
      </w:tr>
    </w:tbl>
    <w:p w:rsidR="009B64AA" w:rsidRDefault="005373EA" w:rsidP="009B64AA">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9B64AA">
        <w:rPr>
          <w:rFonts w:ascii="Arial" w:eastAsia="Calibri" w:hAnsi="Arial"/>
          <w:b/>
          <w:bCs/>
          <w:color w:val="56008C"/>
          <w:szCs w:val="26"/>
          <w:lang w:eastAsia="en-US"/>
        </w:rPr>
        <w:lastRenderedPageBreak/>
        <w:t>HRA</w:t>
      </w:r>
      <w:r w:rsidRPr="009B64AA">
        <w:rPr>
          <w:rFonts w:ascii="Arial" w:eastAsia="Calibri" w:hAnsi="Arial"/>
          <w:b/>
          <w:bCs/>
          <w:color w:val="56008C"/>
          <w:szCs w:val="26"/>
          <w:highlight w:val="lightGray"/>
          <w:lang w:eastAsia="en-US"/>
        </w:rPr>
        <w:t xml:space="preserve"> </w:t>
      </w:r>
      <w:r w:rsidRPr="009B64AA">
        <w:rPr>
          <w:rFonts w:ascii="Arial" w:eastAsia="Calibri" w:hAnsi="Arial"/>
          <w:b/>
          <w:bCs/>
          <w:color w:val="56008C"/>
          <w:szCs w:val="26"/>
          <w:lang w:eastAsia="en-US"/>
        </w:rPr>
        <w:t>Better Payment Practice C</w:t>
      </w:r>
      <w:r w:rsidR="00606CBA" w:rsidRPr="009B64AA">
        <w:rPr>
          <w:rFonts w:ascii="Arial" w:eastAsia="Calibri" w:hAnsi="Arial"/>
          <w:b/>
          <w:bCs/>
          <w:color w:val="56008C"/>
          <w:szCs w:val="26"/>
          <w:lang w:eastAsia="en-US"/>
        </w:rPr>
        <w:t>ode</w:t>
      </w:r>
      <w:r w:rsidR="00714E4B" w:rsidRPr="009B64AA">
        <w:rPr>
          <w:rFonts w:ascii="Arial" w:eastAsia="Calibri" w:hAnsi="Arial"/>
          <w:b/>
          <w:bCs/>
          <w:color w:val="56008C"/>
          <w:szCs w:val="26"/>
          <w:lang w:eastAsia="en-US"/>
        </w:rPr>
        <w:t xml:space="preserve"> f</w:t>
      </w:r>
      <w:r w:rsidR="00D65E0A" w:rsidRPr="009B64AA">
        <w:rPr>
          <w:rFonts w:ascii="Arial" w:eastAsia="Calibri" w:hAnsi="Arial"/>
          <w:b/>
          <w:bCs/>
          <w:color w:val="56008C"/>
          <w:szCs w:val="26"/>
          <w:lang w:eastAsia="en-US"/>
        </w:rPr>
        <w:t xml:space="preserve">or </w:t>
      </w:r>
      <w:r w:rsidR="00F90C53" w:rsidRPr="009B64AA">
        <w:rPr>
          <w:rFonts w:ascii="Arial" w:eastAsia="Calibri" w:hAnsi="Arial"/>
          <w:b/>
          <w:bCs/>
          <w:color w:val="56008C"/>
          <w:szCs w:val="26"/>
          <w:lang w:eastAsia="en-US"/>
        </w:rPr>
        <w:t xml:space="preserve">the period 1 April </w:t>
      </w:r>
      <w:r w:rsidR="00B440D7">
        <w:rPr>
          <w:rFonts w:ascii="Arial" w:eastAsia="Calibri" w:hAnsi="Arial"/>
          <w:b/>
          <w:bCs/>
          <w:color w:val="56008C"/>
          <w:szCs w:val="26"/>
          <w:lang w:eastAsia="en-US"/>
        </w:rPr>
        <w:t xml:space="preserve">to 31 </w:t>
      </w:r>
      <w:r w:rsidR="006F24A4">
        <w:rPr>
          <w:rFonts w:ascii="Arial" w:eastAsia="Calibri" w:hAnsi="Arial"/>
          <w:b/>
          <w:bCs/>
          <w:color w:val="56008C"/>
          <w:szCs w:val="26"/>
          <w:lang w:eastAsia="en-US"/>
        </w:rPr>
        <w:t>May</w:t>
      </w:r>
      <w:r w:rsidR="00EE0578">
        <w:rPr>
          <w:rFonts w:ascii="Arial" w:eastAsia="Calibri" w:hAnsi="Arial"/>
          <w:b/>
          <w:bCs/>
          <w:color w:val="56008C"/>
          <w:szCs w:val="26"/>
          <w:lang w:eastAsia="en-US"/>
        </w:rPr>
        <w:t xml:space="preserve"> </w:t>
      </w:r>
      <w:r w:rsidR="00CA3C40">
        <w:rPr>
          <w:rFonts w:ascii="Arial" w:eastAsia="Calibri" w:hAnsi="Arial"/>
          <w:b/>
          <w:bCs/>
          <w:color w:val="56008C"/>
          <w:szCs w:val="26"/>
          <w:lang w:eastAsia="en-US"/>
        </w:rPr>
        <w:t>2016</w:t>
      </w:r>
      <w:r w:rsidR="00A46CA2">
        <w:rPr>
          <w:rFonts w:ascii="Arial" w:eastAsia="Calibri" w:hAnsi="Arial"/>
          <w:b/>
          <w:bCs/>
          <w:color w:val="56008C"/>
          <w:szCs w:val="26"/>
          <w:lang w:eastAsia="en-US"/>
        </w:rPr>
        <w:t xml:space="preserve">  </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C</w:t>
      </w:r>
    </w:p>
    <w:p w:rsidR="00E32CA3" w:rsidRDefault="00E32CA3" w:rsidP="007F458D">
      <w:pPr>
        <w:ind w:left="2160" w:firstLine="720"/>
        <w:rPr>
          <w:rFonts w:eastAsia="Calibri"/>
        </w:rPr>
      </w:pPr>
    </w:p>
    <w:p w:rsidR="00E32CA3" w:rsidRDefault="00E32CA3" w:rsidP="007F458D">
      <w:pPr>
        <w:ind w:left="2160" w:firstLine="720"/>
        <w:rPr>
          <w:rFonts w:eastAsia="Calibri"/>
        </w:rPr>
      </w:pPr>
      <w:r w:rsidRPr="00E32CA3">
        <w:rPr>
          <w:rFonts w:eastAsia="Calibri"/>
          <w:noProof/>
        </w:rPr>
        <w:drawing>
          <wp:inline distT="0" distB="0" distL="0" distR="0" wp14:anchorId="41A66209" wp14:editId="270BCAF0">
            <wp:extent cx="4533900" cy="2619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3900" cy="2619375"/>
                    </a:xfrm>
                    <a:prstGeom prst="rect">
                      <a:avLst/>
                    </a:prstGeom>
                    <a:noFill/>
                    <a:ln>
                      <a:noFill/>
                    </a:ln>
                  </pic:spPr>
                </pic:pic>
              </a:graphicData>
            </a:graphic>
          </wp:inline>
        </w:drawing>
      </w:r>
    </w:p>
    <w:p w:rsidR="00E32CA3" w:rsidRPr="007F458D" w:rsidRDefault="00E32CA3" w:rsidP="007F458D">
      <w:pPr>
        <w:rPr>
          <w:rFonts w:eastAsia="Calibri"/>
        </w:rPr>
      </w:pPr>
    </w:p>
    <w:p w:rsidR="00A05E1F" w:rsidRDefault="00606CBA" w:rsidP="007F458D">
      <w:pPr>
        <w:keepNext/>
        <w:keepLines/>
        <w:pBdr>
          <w:top w:val="single" w:sz="8" w:space="3" w:color="FFFFFF"/>
          <w:left w:val="single" w:sz="8" w:space="6"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88350C">
        <w:rPr>
          <w:rFonts w:ascii="Arial" w:eastAsia="Calibri" w:hAnsi="Arial"/>
          <w:b/>
          <w:bCs/>
          <w:color w:val="56008C"/>
          <w:szCs w:val="26"/>
          <w:lang w:eastAsia="en-US"/>
        </w:rPr>
        <w:t xml:space="preserve"> Cre</w:t>
      </w:r>
      <w:r w:rsidR="00996BCF">
        <w:rPr>
          <w:rFonts w:ascii="Arial" w:eastAsia="Calibri" w:hAnsi="Arial"/>
          <w:b/>
          <w:bCs/>
          <w:color w:val="56008C"/>
          <w:szCs w:val="26"/>
          <w:lang w:eastAsia="en-US"/>
        </w:rPr>
        <w:t>ditors at 31 Ma</w:t>
      </w:r>
      <w:r w:rsidR="00E32CA3">
        <w:rPr>
          <w:rFonts w:ascii="Arial" w:eastAsia="Calibri" w:hAnsi="Arial"/>
          <w:b/>
          <w:bCs/>
          <w:color w:val="56008C"/>
          <w:szCs w:val="26"/>
          <w:lang w:eastAsia="en-US"/>
        </w:rPr>
        <w:t>y</w:t>
      </w:r>
      <w:r w:rsidR="00CA3C40">
        <w:rPr>
          <w:rFonts w:ascii="Arial" w:eastAsia="Calibri" w:hAnsi="Arial"/>
          <w:b/>
          <w:bCs/>
          <w:color w:val="56008C"/>
          <w:szCs w:val="26"/>
          <w:lang w:eastAsia="en-US"/>
        </w:rPr>
        <w:t xml:space="preserve"> 2016</w:t>
      </w:r>
    </w:p>
    <w:p w:rsidR="009B64AA" w:rsidRPr="009B64AA" w:rsidRDefault="00A74E5F" w:rsidP="00A74E5F">
      <w:pPr>
        <w:rPr>
          <w:rFonts w:ascii="Arial" w:hAnsi="Arial" w:cs="Arial"/>
          <w:bCs/>
          <w:sz w:val="22"/>
          <w:szCs w:val="22"/>
        </w:rPr>
      </w:pPr>
      <w:r w:rsidRPr="009B64AA">
        <w:rPr>
          <w:rFonts w:ascii="Arial" w:hAnsi="Arial" w:cs="Arial"/>
          <w:bCs/>
          <w:sz w:val="22"/>
          <w:szCs w:val="22"/>
        </w:rPr>
        <w:t>Headlines</w:t>
      </w:r>
      <w:r w:rsidR="00357BF3" w:rsidRPr="009B64AA">
        <w:rPr>
          <w:rFonts w:ascii="Arial" w:hAnsi="Arial" w:cs="Arial"/>
          <w:bCs/>
          <w:sz w:val="22"/>
          <w:szCs w:val="22"/>
        </w:rPr>
        <w:t xml:space="preserve"> – clock start date is the invoice date (regardless of when the invoice is received in the system)</w:t>
      </w:r>
      <w:r w:rsidR="00AC3DE8" w:rsidRPr="009B64AA">
        <w:rPr>
          <w:rFonts w:ascii="Arial" w:hAnsi="Arial" w:cs="Arial"/>
          <w:bCs/>
          <w:sz w:val="22"/>
          <w:szCs w:val="22"/>
        </w:rPr>
        <w:t xml:space="preserve"> –</w:t>
      </w:r>
      <w:r w:rsidR="00CA3C40">
        <w:rPr>
          <w:rFonts w:ascii="Arial" w:hAnsi="Arial" w:cs="Arial"/>
          <w:bCs/>
          <w:sz w:val="22"/>
          <w:szCs w:val="22"/>
        </w:rPr>
        <w:t xml:space="preserve"> there are no issues of concer</w:t>
      </w:r>
      <w:r w:rsidR="00E32CA3">
        <w:rPr>
          <w:rFonts w:ascii="Arial" w:hAnsi="Arial" w:cs="Arial"/>
          <w:bCs/>
          <w:sz w:val="22"/>
          <w:szCs w:val="22"/>
        </w:rPr>
        <w:t>n</w:t>
      </w:r>
      <w:proofErr w:type="gramStart"/>
      <w:r w:rsidR="00E32CA3">
        <w:rPr>
          <w:rFonts w:ascii="Arial" w:hAnsi="Arial" w:cs="Arial"/>
          <w:bCs/>
          <w:sz w:val="22"/>
          <w:szCs w:val="22"/>
        </w:rPr>
        <w:t>.</w:t>
      </w:r>
      <w:r w:rsidR="00CA3C40">
        <w:rPr>
          <w:rFonts w:ascii="Arial" w:hAnsi="Arial" w:cs="Arial"/>
          <w:bCs/>
          <w:sz w:val="22"/>
          <w:szCs w:val="22"/>
        </w:rPr>
        <w:t>.</w:t>
      </w:r>
      <w:proofErr w:type="gramEnd"/>
      <w:r w:rsidR="009B64AA" w:rsidRPr="009B64AA">
        <w:rPr>
          <w:rFonts w:ascii="Arial" w:hAnsi="Arial" w:cs="Arial"/>
          <w:bCs/>
          <w:sz w:val="22"/>
          <w:szCs w:val="22"/>
        </w:rPr>
        <w:t xml:space="preserve"> </w:t>
      </w:r>
    </w:p>
    <w:p w:rsidR="009B64AA" w:rsidRPr="009B64AA" w:rsidRDefault="009B64AA" w:rsidP="00A74E5F">
      <w:pPr>
        <w:rPr>
          <w:rFonts w:ascii="Arial" w:hAnsi="Arial" w:cs="Arial"/>
          <w:bCs/>
          <w:sz w:val="22"/>
          <w:szCs w:val="22"/>
        </w:rPr>
      </w:pPr>
    </w:p>
    <w:p w:rsidR="00A74E5F" w:rsidRPr="00EC0486" w:rsidRDefault="00A74E5F" w:rsidP="00A74E5F">
      <w:pPr>
        <w:rPr>
          <w:rFonts w:eastAsia="Calibri"/>
          <w:highlight w:val="yellow"/>
          <w:lang w:eastAsia="en-US"/>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60 + days</w:t>
            </w:r>
          </w:p>
        </w:tc>
      </w:tr>
      <w:tr w:rsidR="00E32CA3"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E32CA3" w:rsidRPr="004C536A" w:rsidRDefault="00E32CA3"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E32CA3" w:rsidRDefault="00E32CA3">
            <w:pPr>
              <w:jc w:val="right"/>
              <w:rPr>
                <w:rFonts w:ascii="Calibri" w:hAnsi="Calibri" w:cs="Calibri"/>
                <w:color w:val="000000"/>
                <w:sz w:val="22"/>
                <w:szCs w:val="22"/>
              </w:rPr>
            </w:pPr>
            <w:r>
              <w:rPr>
                <w:rFonts w:ascii="Calibri" w:hAnsi="Calibri" w:cs="Calibri"/>
                <w:color w:val="000000"/>
                <w:sz w:val="22"/>
                <w:szCs w:val="22"/>
              </w:rPr>
              <w:t>4,077.38</w:t>
            </w:r>
          </w:p>
        </w:tc>
        <w:tc>
          <w:tcPr>
            <w:tcW w:w="2700" w:type="dxa"/>
            <w:tcBorders>
              <w:top w:val="nil"/>
              <w:left w:val="nil"/>
              <w:bottom w:val="single" w:sz="8" w:space="0" w:color="auto"/>
              <w:right w:val="single" w:sz="8" w:space="0" w:color="auto"/>
            </w:tcBorders>
            <w:shd w:val="clear" w:color="auto" w:fill="auto"/>
            <w:noWrap/>
            <w:vAlign w:val="bottom"/>
          </w:tcPr>
          <w:p w:rsidR="00E32CA3" w:rsidRDefault="00E32CA3">
            <w:pPr>
              <w:jc w:val="right"/>
              <w:rPr>
                <w:rFonts w:ascii="Calibri" w:hAnsi="Calibri" w:cs="Calibri"/>
                <w:color w:val="000000"/>
                <w:sz w:val="22"/>
                <w:szCs w:val="22"/>
              </w:rPr>
            </w:pPr>
            <w:r>
              <w:rPr>
                <w:rFonts w:ascii="Calibri" w:hAnsi="Calibri" w:cs="Calibri"/>
                <w:color w:val="000000"/>
                <w:sz w:val="22"/>
                <w:szCs w:val="22"/>
              </w:rPr>
              <w:t>576.00</w:t>
            </w:r>
          </w:p>
        </w:tc>
        <w:tc>
          <w:tcPr>
            <w:tcW w:w="2430" w:type="dxa"/>
            <w:tcBorders>
              <w:top w:val="nil"/>
              <w:left w:val="nil"/>
              <w:bottom w:val="single" w:sz="8" w:space="0" w:color="auto"/>
              <w:right w:val="single" w:sz="8" w:space="0" w:color="auto"/>
            </w:tcBorders>
            <w:shd w:val="clear" w:color="auto" w:fill="auto"/>
            <w:noWrap/>
            <w:vAlign w:val="bottom"/>
          </w:tcPr>
          <w:p w:rsidR="00E32CA3" w:rsidRDefault="00E32CA3">
            <w:pPr>
              <w:jc w:val="right"/>
              <w:rPr>
                <w:rFonts w:ascii="Calibri" w:hAnsi="Calibri" w:cs="Calibri"/>
                <w:color w:val="000000"/>
                <w:sz w:val="22"/>
                <w:szCs w:val="22"/>
              </w:rPr>
            </w:pPr>
            <w:r>
              <w:rPr>
                <w:rFonts w:ascii="Calibri" w:hAnsi="Calibri" w:cs="Calibri"/>
                <w:color w:val="FF0000"/>
                <w:sz w:val="22"/>
                <w:szCs w:val="22"/>
              </w:rPr>
              <w:t>(420.29)</w:t>
            </w:r>
          </w:p>
        </w:tc>
      </w:tr>
      <w:tr w:rsidR="00E32CA3"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E32CA3" w:rsidRPr="004C536A" w:rsidRDefault="00E32CA3"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E32CA3" w:rsidRDefault="00E32CA3">
            <w:pPr>
              <w:jc w:val="right"/>
              <w:rPr>
                <w:rFonts w:ascii="Calibri" w:hAnsi="Calibri" w:cs="Calibri"/>
                <w:color w:val="000000"/>
                <w:sz w:val="22"/>
                <w:szCs w:val="22"/>
              </w:rPr>
            </w:pPr>
            <w:r>
              <w:rPr>
                <w:rFonts w:ascii="Calibri" w:hAnsi="Calibri" w:cs="Calibri"/>
                <w:color w:val="000000"/>
                <w:sz w:val="22"/>
                <w:szCs w:val="22"/>
              </w:rPr>
              <w:t>415.91</w:t>
            </w:r>
          </w:p>
        </w:tc>
        <w:tc>
          <w:tcPr>
            <w:tcW w:w="2700" w:type="dxa"/>
            <w:tcBorders>
              <w:top w:val="nil"/>
              <w:left w:val="nil"/>
              <w:bottom w:val="nil"/>
              <w:right w:val="single" w:sz="8" w:space="0" w:color="auto"/>
            </w:tcBorders>
            <w:shd w:val="clear" w:color="auto" w:fill="auto"/>
            <w:noWrap/>
            <w:vAlign w:val="bottom"/>
          </w:tcPr>
          <w:p w:rsidR="00E32CA3" w:rsidRDefault="00E32CA3">
            <w:pPr>
              <w:jc w:val="right"/>
              <w:rPr>
                <w:rFonts w:ascii="Calibri" w:hAnsi="Calibri" w:cs="Calibri"/>
                <w:color w:val="000000"/>
                <w:sz w:val="22"/>
                <w:szCs w:val="22"/>
              </w:rPr>
            </w:pPr>
            <w:r>
              <w:rPr>
                <w:rFonts w:ascii="Calibri" w:hAnsi="Calibri" w:cs="Calibri"/>
                <w:color w:val="000000"/>
                <w:sz w:val="22"/>
                <w:szCs w:val="22"/>
              </w:rPr>
              <w:t>159.70</w:t>
            </w:r>
          </w:p>
        </w:tc>
        <w:tc>
          <w:tcPr>
            <w:tcW w:w="2430" w:type="dxa"/>
            <w:tcBorders>
              <w:top w:val="nil"/>
              <w:left w:val="nil"/>
              <w:bottom w:val="single" w:sz="8" w:space="0" w:color="auto"/>
              <w:right w:val="single" w:sz="8" w:space="0" w:color="auto"/>
            </w:tcBorders>
            <w:shd w:val="clear" w:color="auto" w:fill="auto"/>
            <w:noWrap/>
            <w:vAlign w:val="bottom"/>
          </w:tcPr>
          <w:p w:rsidR="00E32CA3" w:rsidRDefault="00E32CA3">
            <w:pPr>
              <w:jc w:val="right"/>
              <w:rPr>
                <w:rFonts w:ascii="Calibri" w:hAnsi="Calibri" w:cs="Calibri"/>
                <w:color w:val="000000"/>
                <w:sz w:val="22"/>
                <w:szCs w:val="22"/>
              </w:rPr>
            </w:pPr>
            <w:r>
              <w:rPr>
                <w:rFonts w:ascii="Calibri" w:hAnsi="Calibri" w:cs="Calibri"/>
                <w:color w:val="FF0000"/>
                <w:sz w:val="22"/>
                <w:szCs w:val="22"/>
              </w:rPr>
              <w:t>(17.10)</w:t>
            </w:r>
          </w:p>
        </w:tc>
      </w:tr>
      <w:tr w:rsidR="00E32CA3"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E32CA3" w:rsidRPr="004C536A" w:rsidRDefault="00E32CA3"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E32CA3" w:rsidRDefault="00E32CA3">
            <w:pPr>
              <w:jc w:val="right"/>
              <w:rPr>
                <w:rFonts w:ascii="Calibri" w:hAnsi="Calibri" w:cs="Calibri"/>
                <w:color w:val="000000"/>
                <w:sz w:val="22"/>
                <w:szCs w:val="22"/>
              </w:rPr>
            </w:pPr>
            <w:r>
              <w:rPr>
                <w:rFonts w:ascii="Calibri" w:hAnsi="Calibri" w:cs="Calibri"/>
                <w:color w:val="000000"/>
                <w:sz w:val="22"/>
                <w:szCs w:val="22"/>
              </w:rPr>
              <w:t>31,508.49</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E32CA3" w:rsidRDefault="00E32CA3">
            <w:pPr>
              <w:jc w:val="right"/>
              <w:rPr>
                <w:rFonts w:ascii="Calibri" w:hAnsi="Calibri" w:cs="Calibri"/>
                <w:color w:val="000000"/>
                <w:sz w:val="22"/>
                <w:szCs w:val="22"/>
              </w:rPr>
            </w:pPr>
            <w:r>
              <w:rPr>
                <w:rFonts w:ascii="Calibri" w:hAnsi="Calibri" w:cs="Calibri"/>
                <w:color w:val="000000"/>
                <w:sz w:val="22"/>
                <w:szCs w:val="22"/>
              </w:rPr>
              <w:t>26,806.16</w:t>
            </w:r>
          </w:p>
        </w:tc>
        <w:tc>
          <w:tcPr>
            <w:tcW w:w="2430" w:type="dxa"/>
            <w:tcBorders>
              <w:top w:val="nil"/>
              <w:left w:val="nil"/>
              <w:bottom w:val="single" w:sz="8" w:space="0" w:color="auto"/>
              <w:right w:val="single" w:sz="8" w:space="0" w:color="auto"/>
            </w:tcBorders>
            <w:shd w:val="clear" w:color="auto" w:fill="auto"/>
            <w:noWrap/>
            <w:vAlign w:val="bottom"/>
          </w:tcPr>
          <w:p w:rsidR="00E32CA3" w:rsidRDefault="00E32CA3">
            <w:pPr>
              <w:jc w:val="right"/>
              <w:rPr>
                <w:rFonts w:ascii="Calibri" w:hAnsi="Calibri" w:cs="Calibri"/>
                <w:color w:val="000000"/>
                <w:sz w:val="22"/>
                <w:szCs w:val="22"/>
              </w:rPr>
            </w:pPr>
            <w:r>
              <w:rPr>
                <w:rFonts w:ascii="Calibri" w:hAnsi="Calibri" w:cs="Calibri"/>
                <w:color w:val="000000"/>
                <w:sz w:val="22"/>
                <w:szCs w:val="22"/>
              </w:rPr>
              <w:t>75.48</w:t>
            </w:r>
          </w:p>
        </w:tc>
      </w:tr>
      <w:tr w:rsidR="00E32CA3"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E32CA3" w:rsidRPr="004C536A" w:rsidRDefault="00E32CA3"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E32CA3" w:rsidRDefault="00E32CA3">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E32CA3" w:rsidRDefault="00E32CA3">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E32CA3" w:rsidRDefault="00E32CA3">
            <w:pPr>
              <w:rPr>
                <w:rFonts w:ascii="Calibri" w:hAnsi="Calibri" w:cs="Calibri"/>
                <w:color w:val="000000"/>
                <w:sz w:val="22"/>
                <w:szCs w:val="22"/>
              </w:rPr>
            </w:pPr>
            <w:r>
              <w:rPr>
                <w:rFonts w:ascii="Calibri" w:hAnsi="Calibri" w:cs="Calibri"/>
                <w:color w:val="000000"/>
                <w:sz w:val="22"/>
                <w:szCs w:val="22"/>
              </w:rPr>
              <w:t> </w:t>
            </w:r>
          </w:p>
        </w:tc>
      </w:tr>
      <w:tr w:rsidR="00E32CA3"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2CA3" w:rsidRPr="004C536A" w:rsidRDefault="00E32CA3"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E32CA3" w:rsidRDefault="00E32CA3">
            <w:pPr>
              <w:jc w:val="right"/>
              <w:rPr>
                <w:rFonts w:ascii="Calibri" w:hAnsi="Calibri" w:cs="Calibri"/>
                <w:color w:val="000000"/>
                <w:sz w:val="22"/>
                <w:szCs w:val="22"/>
              </w:rPr>
            </w:pPr>
            <w:r>
              <w:rPr>
                <w:rFonts w:ascii="Calibri" w:hAnsi="Calibri" w:cs="Calibri"/>
                <w:color w:val="000000"/>
                <w:sz w:val="22"/>
                <w:szCs w:val="22"/>
              </w:rPr>
              <w:t>36,001.78</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E32CA3" w:rsidRDefault="00E32CA3">
            <w:pPr>
              <w:jc w:val="right"/>
              <w:rPr>
                <w:rFonts w:ascii="Calibri" w:hAnsi="Calibri" w:cs="Calibri"/>
                <w:color w:val="000000"/>
                <w:sz w:val="22"/>
                <w:szCs w:val="22"/>
              </w:rPr>
            </w:pPr>
            <w:r>
              <w:rPr>
                <w:rFonts w:ascii="Calibri" w:hAnsi="Calibri" w:cs="Calibri"/>
                <w:color w:val="000000"/>
                <w:sz w:val="22"/>
                <w:szCs w:val="22"/>
              </w:rPr>
              <w:t>27,541.86</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E32CA3" w:rsidRDefault="00E32CA3">
            <w:pPr>
              <w:jc w:val="right"/>
              <w:rPr>
                <w:rFonts w:ascii="Calibri" w:hAnsi="Calibri" w:cs="Calibri"/>
                <w:color w:val="000000"/>
                <w:sz w:val="22"/>
                <w:szCs w:val="22"/>
              </w:rPr>
            </w:pPr>
            <w:r>
              <w:rPr>
                <w:rFonts w:ascii="Calibri" w:hAnsi="Calibri" w:cs="Calibri"/>
                <w:color w:val="FF0000"/>
                <w:sz w:val="22"/>
                <w:szCs w:val="22"/>
              </w:rPr>
              <w:t>(361.91)</w:t>
            </w:r>
          </w:p>
        </w:tc>
      </w:tr>
      <w:bookmarkEnd w:id="1"/>
    </w:tbl>
    <w:p w:rsidR="00CA3C40" w:rsidRDefault="00CA3C40" w:rsidP="00015D1D">
      <w:pPr>
        <w:spacing w:after="200" w:line="276" w:lineRule="auto"/>
        <w:rPr>
          <w:rFonts w:ascii="Arial" w:eastAsia="Calibri" w:hAnsi="Arial"/>
          <w:b/>
          <w:bCs/>
          <w:color w:val="56008C"/>
          <w:szCs w:val="26"/>
          <w:lang w:eastAsia="en-US"/>
        </w:rPr>
      </w:pPr>
    </w:p>
    <w:p w:rsidR="00C52506"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w:t>
      </w:r>
      <w:r w:rsidR="00597AF4" w:rsidRPr="00A422D8">
        <w:rPr>
          <w:rFonts w:ascii="Arial" w:eastAsia="Calibri" w:hAnsi="Arial"/>
          <w:b/>
          <w:bCs/>
          <w:color w:val="56008C"/>
          <w:szCs w:val="26"/>
          <w:lang w:eastAsia="en-US"/>
        </w:rPr>
        <w:t xml:space="preserve">RA Revenue position for the period ended </w:t>
      </w:r>
      <w:r w:rsidR="00C3142C">
        <w:rPr>
          <w:rFonts w:ascii="Arial" w:eastAsia="Calibri" w:hAnsi="Arial"/>
          <w:b/>
          <w:bCs/>
          <w:color w:val="56008C"/>
          <w:szCs w:val="26"/>
          <w:lang w:eastAsia="en-US"/>
        </w:rPr>
        <w:t>31 Ma</w:t>
      </w:r>
      <w:r w:rsidR="00DD6AFF">
        <w:rPr>
          <w:rFonts w:ascii="Arial" w:eastAsia="Calibri" w:hAnsi="Arial"/>
          <w:b/>
          <w:bCs/>
          <w:color w:val="56008C"/>
          <w:szCs w:val="26"/>
          <w:lang w:eastAsia="en-US"/>
        </w:rPr>
        <w:t>y</w:t>
      </w:r>
      <w:r w:rsidR="00392A4F">
        <w:rPr>
          <w:rFonts w:ascii="Arial" w:eastAsia="Calibri" w:hAnsi="Arial"/>
          <w:b/>
          <w:bCs/>
          <w:color w:val="56008C"/>
          <w:szCs w:val="26"/>
          <w:lang w:eastAsia="en-US"/>
        </w:rPr>
        <w:t xml:space="preserve"> 2016</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D</w:t>
      </w:r>
    </w:p>
    <w:p w:rsidR="006935C1" w:rsidRDefault="00DD6AFF" w:rsidP="00015D1D">
      <w:pPr>
        <w:spacing w:after="200" w:line="276" w:lineRule="auto"/>
        <w:rPr>
          <w:rFonts w:ascii="Arial" w:eastAsia="Calibri" w:hAnsi="Arial"/>
          <w:b/>
          <w:bCs/>
          <w:color w:val="56008C"/>
          <w:szCs w:val="26"/>
          <w:lang w:eastAsia="en-US"/>
        </w:rPr>
      </w:pPr>
      <w:r w:rsidRPr="00DD6AFF">
        <w:rPr>
          <w:rFonts w:eastAsia="Calibri"/>
          <w:noProof/>
        </w:rPr>
        <w:drawing>
          <wp:inline distT="0" distB="0" distL="0" distR="0">
            <wp:extent cx="9601200" cy="3724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01200" cy="3724275"/>
                    </a:xfrm>
                    <a:prstGeom prst="rect">
                      <a:avLst/>
                    </a:prstGeom>
                    <a:noFill/>
                    <a:ln>
                      <a:noFill/>
                    </a:ln>
                  </pic:spPr>
                </pic:pic>
              </a:graphicData>
            </a:graphic>
          </wp:inline>
        </w:drawing>
      </w: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086661" w:rsidRDefault="00086661"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B43093" w:rsidRDefault="00B43093" w:rsidP="00273C65">
      <w:pPr>
        <w:spacing w:after="200" w:line="276" w:lineRule="auto"/>
        <w:rPr>
          <w:rFonts w:ascii="Arial" w:hAnsi="Arial" w:cs="Arial"/>
          <w:sz w:val="18"/>
          <w:szCs w:val="18"/>
        </w:rPr>
      </w:pPr>
    </w:p>
    <w:p w:rsidR="00B440D7" w:rsidRPr="00273C65" w:rsidRDefault="00B440D7" w:rsidP="007F458D">
      <w:pPr>
        <w:rPr>
          <w:rFonts w:cs="Arial"/>
          <w:sz w:val="18"/>
          <w:szCs w:val="18"/>
        </w:rPr>
      </w:pPr>
    </w:p>
    <w:sectPr w:rsidR="00B440D7" w:rsidRPr="00273C65"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1E" w:rsidRDefault="00B1511E" w:rsidP="00412C00">
      <w:r>
        <w:separator/>
      </w:r>
    </w:p>
  </w:endnote>
  <w:endnote w:type="continuationSeparator" w:id="0">
    <w:p w:rsidR="00B1511E" w:rsidRDefault="00B1511E"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1E" w:rsidRDefault="00B1511E" w:rsidP="00412C00">
      <w:r>
        <w:separator/>
      </w:r>
    </w:p>
  </w:footnote>
  <w:footnote w:type="continuationSeparator" w:id="0">
    <w:p w:rsidR="00B1511E" w:rsidRDefault="00B1511E"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1350"/>
      <w:docPartObj>
        <w:docPartGallery w:val="Watermarks"/>
        <w:docPartUnique/>
      </w:docPartObj>
    </w:sdtPr>
    <w:sdtEndPr/>
    <w:sdtContent>
      <w:p w:rsidR="00B1511E" w:rsidRDefault="00EF4FE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2">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8"/>
  </w:num>
  <w:num w:numId="4">
    <w:abstractNumId w:val="26"/>
  </w:num>
  <w:num w:numId="5">
    <w:abstractNumId w:val="15"/>
  </w:num>
  <w:num w:numId="6">
    <w:abstractNumId w:val="3"/>
  </w:num>
  <w:num w:numId="7">
    <w:abstractNumId w:val="4"/>
  </w:num>
  <w:num w:numId="8">
    <w:abstractNumId w:val="20"/>
  </w:num>
  <w:num w:numId="9">
    <w:abstractNumId w:val="12"/>
  </w:num>
  <w:num w:numId="10">
    <w:abstractNumId w:val="9"/>
  </w:num>
  <w:num w:numId="11">
    <w:abstractNumId w:val="7"/>
  </w:num>
  <w:num w:numId="12">
    <w:abstractNumId w:val="0"/>
  </w:num>
  <w:num w:numId="13">
    <w:abstractNumId w:val="5"/>
  </w:num>
  <w:num w:numId="14">
    <w:abstractNumId w:val="11"/>
  </w:num>
  <w:num w:numId="15">
    <w:abstractNumId w:val="2"/>
  </w:num>
  <w:num w:numId="16">
    <w:abstractNumId w:val="21"/>
  </w:num>
  <w:num w:numId="17">
    <w:abstractNumId w:val="25"/>
  </w:num>
  <w:num w:numId="18">
    <w:abstractNumId w:val="17"/>
  </w:num>
  <w:num w:numId="19">
    <w:abstractNumId w:val="13"/>
  </w:num>
  <w:num w:numId="20">
    <w:abstractNumId w:val="19"/>
  </w:num>
  <w:num w:numId="21">
    <w:abstractNumId w:val="18"/>
  </w:num>
  <w:num w:numId="22">
    <w:abstractNumId w:val="6"/>
  </w:num>
  <w:num w:numId="23">
    <w:abstractNumId w:val="14"/>
  </w:num>
  <w:num w:numId="24">
    <w:abstractNumId w:val="24"/>
  </w:num>
  <w:num w:numId="25">
    <w:abstractNumId w:val="22"/>
  </w:num>
  <w:num w:numId="26">
    <w:abstractNumId w:val="10"/>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11FDF"/>
    <w:rsid w:val="000140FE"/>
    <w:rsid w:val="00015D1D"/>
    <w:rsid w:val="00017760"/>
    <w:rsid w:val="000200FA"/>
    <w:rsid w:val="00020E2E"/>
    <w:rsid w:val="000217E9"/>
    <w:rsid w:val="00021ABB"/>
    <w:rsid w:val="00022301"/>
    <w:rsid w:val="0002376C"/>
    <w:rsid w:val="000239F7"/>
    <w:rsid w:val="0002461E"/>
    <w:rsid w:val="00024BC8"/>
    <w:rsid w:val="000271F4"/>
    <w:rsid w:val="00030167"/>
    <w:rsid w:val="0003250E"/>
    <w:rsid w:val="00033BC9"/>
    <w:rsid w:val="00033FF1"/>
    <w:rsid w:val="00034A25"/>
    <w:rsid w:val="00034D0F"/>
    <w:rsid w:val="00035367"/>
    <w:rsid w:val="0003758C"/>
    <w:rsid w:val="00037838"/>
    <w:rsid w:val="00040F35"/>
    <w:rsid w:val="00042A65"/>
    <w:rsid w:val="0004366E"/>
    <w:rsid w:val="0004442F"/>
    <w:rsid w:val="00044467"/>
    <w:rsid w:val="0004446C"/>
    <w:rsid w:val="00044D07"/>
    <w:rsid w:val="00047960"/>
    <w:rsid w:val="00053090"/>
    <w:rsid w:val="00054430"/>
    <w:rsid w:val="000550DF"/>
    <w:rsid w:val="00055303"/>
    <w:rsid w:val="00055506"/>
    <w:rsid w:val="00056576"/>
    <w:rsid w:val="0006158F"/>
    <w:rsid w:val="0006430C"/>
    <w:rsid w:val="000658EF"/>
    <w:rsid w:val="00066196"/>
    <w:rsid w:val="0006732B"/>
    <w:rsid w:val="00070A74"/>
    <w:rsid w:val="000719DD"/>
    <w:rsid w:val="00072739"/>
    <w:rsid w:val="00075A82"/>
    <w:rsid w:val="000776EB"/>
    <w:rsid w:val="0008641C"/>
    <w:rsid w:val="0008642A"/>
    <w:rsid w:val="00086661"/>
    <w:rsid w:val="00086665"/>
    <w:rsid w:val="000868B4"/>
    <w:rsid w:val="00087B0A"/>
    <w:rsid w:val="00090AC3"/>
    <w:rsid w:val="00091F54"/>
    <w:rsid w:val="000949D1"/>
    <w:rsid w:val="000958EB"/>
    <w:rsid w:val="0009591A"/>
    <w:rsid w:val="00096422"/>
    <w:rsid w:val="0009793E"/>
    <w:rsid w:val="000A0F37"/>
    <w:rsid w:val="000A469D"/>
    <w:rsid w:val="000A5374"/>
    <w:rsid w:val="000B79E8"/>
    <w:rsid w:val="000C0ACC"/>
    <w:rsid w:val="000C1DF1"/>
    <w:rsid w:val="000C29D5"/>
    <w:rsid w:val="000C5914"/>
    <w:rsid w:val="000C6150"/>
    <w:rsid w:val="000C6D92"/>
    <w:rsid w:val="000D0C92"/>
    <w:rsid w:val="000D1E92"/>
    <w:rsid w:val="000D2212"/>
    <w:rsid w:val="000D2990"/>
    <w:rsid w:val="000D2D89"/>
    <w:rsid w:val="000D3D3A"/>
    <w:rsid w:val="000D3DBD"/>
    <w:rsid w:val="000D4339"/>
    <w:rsid w:val="000D4449"/>
    <w:rsid w:val="000D471E"/>
    <w:rsid w:val="000D47A6"/>
    <w:rsid w:val="000D5B3D"/>
    <w:rsid w:val="000D6B10"/>
    <w:rsid w:val="000D6E69"/>
    <w:rsid w:val="000D711F"/>
    <w:rsid w:val="000D7316"/>
    <w:rsid w:val="000E0B72"/>
    <w:rsid w:val="000E66A4"/>
    <w:rsid w:val="000E694D"/>
    <w:rsid w:val="000E7FD2"/>
    <w:rsid w:val="000F0C7B"/>
    <w:rsid w:val="000F15BA"/>
    <w:rsid w:val="000F27AB"/>
    <w:rsid w:val="000F2E5B"/>
    <w:rsid w:val="000F4DF3"/>
    <w:rsid w:val="000F612E"/>
    <w:rsid w:val="000F71C0"/>
    <w:rsid w:val="0010188D"/>
    <w:rsid w:val="00105649"/>
    <w:rsid w:val="00105927"/>
    <w:rsid w:val="001059BA"/>
    <w:rsid w:val="00106106"/>
    <w:rsid w:val="00111951"/>
    <w:rsid w:val="0011341B"/>
    <w:rsid w:val="001138E6"/>
    <w:rsid w:val="0011557E"/>
    <w:rsid w:val="00115E84"/>
    <w:rsid w:val="00116098"/>
    <w:rsid w:val="001166D1"/>
    <w:rsid w:val="00122DA1"/>
    <w:rsid w:val="00123FF0"/>
    <w:rsid w:val="00124893"/>
    <w:rsid w:val="00124AA3"/>
    <w:rsid w:val="00124E28"/>
    <w:rsid w:val="00127B75"/>
    <w:rsid w:val="00127C34"/>
    <w:rsid w:val="00130783"/>
    <w:rsid w:val="00132DB0"/>
    <w:rsid w:val="001339A4"/>
    <w:rsid w:val="00135C17"/>
    <w:rsid w:val="00136DAB"/>
    <w:rsid w:val="0013718B"/>
    <w:rsid w:val="001415A5"/>
    <w:rsid w:val="00143415"/>
    <w:rsid w:val="001504B0"/>
    <w:rsid w:val="00150CE4"/>
    <w:rsid w:val="001516FA"/>
    <w:rsid w:val="001528FE"/>
    <w:rsid w:val="0015351D"/>
    <w:rsid w:val="00153A62"/>
    <w:rsid w:val="00153E82"/>
    <w:rsid w:val="001540D4"/>
    <w:rsid w:val="00154E36"/>
    <w:rsid w:val="00156315"/>
    <w:rsid w:val="0016044C"/>
    <w:rsid w:val="001609ED"/>
    <w:rsid w:val="00160F9B"/>
    <w:rsid w:val="00161C29"/>
    <w:rsid w:val="00162CB2"/>
    <w:rsid w:val="00163364"/>
    <w:rsid w:val="00163A5A"/>
    <w:rsid w:val="001679C3"/>
    <w:rsid w:val="00167A33"/>
    <w:rsid w:val="00167B08"/>
    <w:rsid w:val="00171C23"/>
    <w:rsid w:val="001721FC"/>
    <w:rsid w:val="00172DD0"/>
    <w:rsid w:val="00181BB8"/>
    <w:rsid w:val="00182577"/>
    <w:rsid w:val="00182D5E"/>
    <w:rsid w:val="001839DD"/>
    <w:rsid w:val="00185C18"/>
    <w:rsid w:val="0018609F"/>
    <w:rsid w:val="00187F7B"/>
    <w:rsid w:val="001924BC"/>
    <w:rsid w:val="00194497"/>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3CB"/>
    <w:rsid w:val="001C6861"/>
    <w:rsid w:val="001C6A8A"/>
    <w:rsid w:val="001C6C26"/>
    <w:rsid w:val="001D039E"/>
    <w:rsid w:val="001D083E"/>
    <w:rsid w:val="001D1C69"/>
    <w:rsid w:val="001D5F0F"/>
    <w:rsid w:val="001D76BF"/>
    <w:rsid w:val="001E1F42"/>
    <w:rsid w:val="001E2FDD"/>
    <w:rsid w:val="001E4B23"/>
    <w:rsid w:val="001E5CAA"/>
    <w:rsid w:val="001E5DDC"/>
    <w:rsid w:val="001E7EB7"/>
    <w:rsid w:val="001F0FB2"/>
    <w:rsid w:val="001F316E"/>
    <w:rsid w:val="001F321D"/>
    <w:rsid w:val="001F7421"/>
    <w:rsid w:val="00201909"/>
    <w:rsid w:val="00204E97"/>
    <w:rsid w:val="002071FA"/>
    <w:rsid w:val="0020721C"/>
    <w:rsid w:val="00210D21"/>
    <w:rsid w:val="00210E3A"/>
    <w:rsid w:val="002132A1"/>
    <w:rsid w:val="002132BF"/>
    <w:rsid w:val="00215D81"/>
    <w:rsid w:val="00217F4F"/>
    <w:rsid w:val="002220C8"/>
    <w:rsid w:val="002228B6"/>
    <w:rsid w:val="00222CFA"/>
    <w:rsid w:val="00222E1A"/>
    <w:rsid w:val="00225904"/>
    <w:rsid w:val="002260C0"/>
    <w:rsid w:val="002279D6"/>
    <w:rsid w:val="002303C6"/>
    <w:rsid w:val="00232B6B"/>
    <w:rsid w:val="0023394B"/>
    <w:rsid w:val="00234F1A"/>
    <w:rsid w:val="00237BF3"/>
    <w:rsid w:val="00240999"/>
    <w:rsid w:val="00241A21"/>
    <w:rsid w:val="002436F9"/>
    <w:rsid w:val="002441AD"/>
    <w:rsid w:val="00244AB6"/>
    <w:rsid w:val="002450FB"/>
    <w:rsid w:val="0024691C"/>
    <w:rsid w:val="0024697B"/>
    <w:rsid w:val="002472C7"/>
    <w:rsid w:val="0025092F"/>
    <w:rsid w:val="002510CE"/>
    <w:rsid w:val="00252EDF"/>
    <w:rsid w:val="0025337B"/>
    <w:rsid w:val="00254D93"/>
    <w:rsid w:val="0025538B"/>
    <w:rsid w:val="002570C1"/>
    <w:rsid w:val="002574E5"/>
    <w:rsid w:val="00257A11"/>
    <w:rsid w:val="00262B57"/>
    <w:rsid w:val="00262D70"/>
    <w:rsid w:val="00265C5D"/>
    <w:rsid w:val="002672C3"/>
    <w:rsid w:val="002675C3"/>
    <w:rsid w:val="00271399"/>
    <w:rsid w:val="0027173D"/>
    <w:rsid w:val="00271847"/>
    <w:rsid w:val="00272143"/>
    <w:rsid w:val="00272AA5"/>
    <w:rsid w:val="00272C4C"/>
    <w:rsid w:val="00273148"/>
    <w:rsid w:val="00273479"/>
    <w:rsid w:val="00273C65"/>
    <w:rsid w:val="00274232"/>
    <w:rsid w:val="00275BC6"/>
    <w:rsid w:val="00277DB0"/>
    <w:rsid w:val="0028079F"/>
    <w:rsid w:val="00285E21"/>
    <w:rsid w:val="00286591"/>
    <w:rsid w:val="00286A07"/>
    <w:rsid w:val="00286A74"/>
    <w:rsid w:val="00286BA4"/>
    <w:rsid w:val="002905D6"/>
    <w:rsid w:val="002914D3"/>
    <w:rsid w:val="0029266C"/>
    <w:rsid w:val="00292E08"/>
    <w:rsid w:val="00297100"/>
    <w:rsid w:val="002974DC"/>
    <w:rsid w:val="002A13D0"/>
    <w:rsid w:val="002A6EF8"/>
    <w:rsid w:val="002A77E4"/>
    <w:rsid w:val="002B0554"/>
    <w:rsid w:val="002B1ABB"/>
    <w:rsid w:val="002B2061"/>
    <w:rsid w:val="002B2EAA"/>
    <w:rsid w:val="002B3AF7"/>
    <w:rsid w:val="002B3BD5"/>
    <w:rsid w:val="002B41F8"/>
    <w:rsid w:val="002B587B"/>
    <w:rsid w:val="002B67AD"/>
    <w:rsid w:val="002B6BA1"/>
    <w:rsid w:val="002B72F1"/>
    <w:rsid w:val="002B7A58"/>
    <w:rsid w:val="002C0638"/>
    <w:rsid w:val="002C274E"/>
    <w:rsid w:val="002C31D0"/>
    <w:rsid w:val="002C390E"/>
    <w:rsid w:val="002C5578"/>
    <w:rsid w:val="002D1079"/>
    <w:rsid w:val="002D19A0"/>
    <w:rsid w:val="002D2375"/>
    <w:rsid w:val="002D25C2"/>
    <w:rsid w:val="002D34F7"/>
    <w:rsid w:val="002D3762"/>
    <w:rsid w:val="002D4299"/>
    <w:rsid w:val="002E0613"/>
    <w:rsid w:val="002E2D66"/>
    <w:rsid w:val="002E488E"/>
    <w:rsid w:val="002E5EDF"/>
    <w:rsid w:val="002E7A27"/>
    <w:rsid w:val="002E7DBF"/>
    <w:rsid w:val="002F0239"/>
    <w:rsid w:val="002F0DFF"/>
    <w:rsid w:val="002F2264"/>
    <w:rsid w:val="002F4277"/>
    <w:rsid w:val="002F5E6A"/>
    <w:rsid w:val="002F75F6"/>
    <w:rsid w:val="003001BE"/>
    <w:rsid w:val="00301714"/>
    <w:rsid w:val="003047AB"/>
    <w:rsid w:val="00305DE9"/>
    <w:rsid w:val="00306328"/>
    <w:rsid w:val="00306F9F"/>
    <w:rsid w:val="0030786C"/>
    <w:rsid w:val="003078FC"/>
    <w:rsid w:val="00307E54"/>
    <w:rsid w:val="00307FB7"/>
    <w:rsid w:val="00310095"/>
    <w:rsid w:val="00310852"/>
    <w:rsid w:val="00311080"/>
    <w:rsid w:val="00312045"/>
    <w:rsid w:val="00313F03"/>
    <w:rsid w:val="0031644E"/>
    <w:rsid w:val="00316BE4"/>
    <w:rsid w:val="003179D5"/>
    <w:rsid w:val="00320F7E"/>
    <w:rsid w:val="00322070"/>
    <w:rsid w:val="00323ABE"/>
    <w:rsid w:val="00333010"/>
    <w:rsid w:val="0033373F"/>
    <w:rsid w:val="003339C3"/>
    <w:rsid w:val="003342CA"/>
    <w:rsid w:val="003373AF"/>
    <w:rsid w:val="003374E1"/>
    <w:rsid w:val="003440AC"/>
    <w:rsid w:val="00344274"/>
    <w:rsid w:val="00344985"/>
    <w:rsid w:val="003449ED"/>
    <w:rsid w:val="003450BD"/>
    <w:rsid w:val="00354EC4"/>
    <w:rsid w:val="003562A2"/>
    <w:rsid w:val="00357BF3"/>
    <w:rsid w:val="00360238"/>
    <w:rsid w:val="00361367"/>
    <w:rsid w:val="00361479"/>
    <w:rsid w:val="00364482"/>
    <w:rsid w:val="00366C8F"/>
    <w:rsid w:val="00375EE1"/>
    <w:rsid w:val="003764E7"/>
    <w:rsid w:val="003771DA"/>
    <w:rsid w:val="003837D4"/>
    <w:rsid w:val="00386586"/>
    <w:rsid w:val="00386AD1"/>
    <w:rsid w:val="0039070C"/>
    <w:rsid w:val="003914C4"/>
    <w:rsid w:val="0039154E"/>
    <w:rsid w:val="00392A4F"/>
    <w:rsid w:val="00392D76"/>
    <w:rsid w:val="003930D4"/>
    <w:rsid w:val="00393BEC"/>
    <w:rsid w:val="0039756E"/>
    <w:rsid w:val="003A1D2D"/>
    <w:rsid w:val="003A3805"/>
    <w:rsid w:val="003A41AE"/>
    <w:rsid w:val="003A42A7"/>
    <w:rsid w:val="003A4D87"/>
    <w:rsid w:val="003B135C"/>
    <w:rsid w:val="003B2F87"/>
    <w:rsid w:val="003B711A"/>
    <w:rsid w:val="003C0EA6"/>
    <w:rsid w:val="003C121B"/>
    <w:rsid w:val="003C2211"/>
    <w:rsid w:val="003C483B"/>
    <w:rsid w:val="003C64BE"/>
    <w:rsid w:val="003C6EBD"/>
    <w:rsid w:val="003D17A0"/>
    <w:rsid w:val="003D211B"/>
    <w:rsid w:val="003D2D79"/>
    <w:rsid w:val="003D449D"/>
    <w:rsid w:val="003D4747"/>
    <w:rsid w:val="003D54A5"/>
    <w:rsid w:val="003D5874"/>
    <w:rsid w:val="003D76E0"/>
    <w:rsid w:val="003E2F76"/>
    <w:rsid w:val="003E3D23"/>
    <w:rsid w:val="003E70FC"/>
    <w:rsid w:val="003F3BB4"/>
    <w:rsid w:val="003F57C1"/>
    <w:rsid w:val="00401265"/>
    <w:rsid w:val="00405763"/>
    <w:rsid w:val="00406C23"/>
    <w:rsid w:val="0040751E"/>
    <w:rsid w:val="00411FE9"/>
    <w:rsid w:val="00412C00"/>
    <w:rsid w:val="00412F67"/>
    <w:rsid w:val="00413148"/>
    <w:rsid w:val="00413357"/>
    <w:rsid w:val="00416EA8"/>
    <w:rsid w:val="0042029E"/>
    <w:rsid w:val="00421288"/>
    <w:rsid w:val="0042146B"/>
    <w:rsid w:val="00422BCD"/>
    <w:rsid w:val="00425DFA"/>
    <w:rsid w:val="00430D14"/>
    <w:rsid w:val="00431F96"/>
    <w:rsid w:val="00435640"/>
    <w:rsid w:val="004365C6"/>
    <w:rsid w:val="0043662D"/>
    <w:rsid w:val="00440BCB"/>
    <w:rsid w:val="00442D4D"/>
    <w:rsid w:val="004458A7"/>
    <w:rsid w:val="00445C3C"/>
    <w:rsid w:val="00447C0C"/>
    <w:rsid w:val="00447D56"/>
    <w:rsid w:val="004516BD"/>
    <w:rsid w:val="00453EFB"/>
    <w:rsid w:val="00454254"/>
    <w:rsid w:val="00461A11"/>
    <w:rsid w:val="00461E1B"/>
    <w:rsid w:val="00467605"/>
    <w:rsid w:val="00467624"/>
    <w:rsid w:val="00467649"/>
    <w:rsid w:val="0047014D"/>
    <w:rsid w:val="004704FD"/>
    <w:rsid w:val="00470CB0"/>
    <w:rsid w:val="0047125F"/>
    <w:rsid w:val="004717CC"/>
    <w:rsid w:val="0047213E"/>
    <w:rsid w:val="00474415"/>
    <w:rsid w:val="004802BC"/>
    <w:rsid w:val="004805B0"/>
    <w:rsid w:val="00480953"/>
    <w:rsid w:val="004818C1"/>
    <w:rsid w:val="00482DF3"/>
    <w:rsid w:val="004835A1"/>
    <w:rsid w:val="0048441C"/>
    <w:rsid w:val="00484837"/>
    <w:rsid w:val="0048525C"/>
    <w:rsid w:val="00485908"/>
    <w:rsid w:val="00486466"/>
    <w:rsid w:val="0048687E"/>
    <w:rsid w:val="00486E8F"/>
    <w:rsid w:val="004912DB"/>
    <w:rsid w:val="004916BD"/>
    <w:rsid w:val="004959F4"/>
    <w:rsid w:val="00497F63"/>
    <w:rsid w:val="004A0539"/>
    <w:rsid w:val="004A1994"/>
    <w:rsid w:val="004A250F"/>
    <w:rsid w:val="004A26E0"/>
    <w:rsid w:val="004B1C3A"/>
    <w:rsid w:val="004B455E"/>
    <w:rsid w:val="004B5487"/>
    <w:rsid w:val="004B57FB"/>
    <w:rsid w:val="004B5BD8"/>
    <w:rsid w:val="004B5C87"/>
    <w:rsid w:val="004B6C9A"/>
    <w:rsid w:val="004C3A2F"/>
    <w:rsid w:val="004C536A"/>
    <w:rsid w:val="004C5CF8"/>
    <w:rsid w:val="004C68B2"/>
    <w:rsid w:val="004C6AF2"/>
    <w:rsid w:val="004C7812"/>
    <w:rsid w:val="004D1652"/>
    <w:rsid w:val="004D2387"/>
    <w:rsid w:val="004D3744"/>
    <w:rsid w:val="004D4716"/>
    <w:rsid w:val="004D5ABD"/>
    <w:rsid w:val="004D61B7"/>
    <w:rsid w:val="004D66B0"/>
    <w:rsid w:val="004E0021"/>
    <w:rsid w:val="004E06FA"/>
    <w:rsid w:val="004E25D4"/>
    <w:rsid w:val="004E2AEC"/>
    <w:rsid w:val="004E3AAD"/>
    <w:rsid w:val="004E73A6"/>
    <w:rsid w:val="004F1024"/>
    <w:rsid w:val="004F1E1A"/>
    <w:rsid w:val="004F3A45"/>
    <w:rsid w:val="004F4030"/>
    <w:rsid w:val="004F646F"/>
    <w:rsid w:val="005009CA"/>
    <w:rsid w:val="00500E52"/>
    <w:rsid w:val="005064E8"/>
    <w:rsid w:val="00506D7B"/>
    <w:rsid w:val="00513000"/>
    <w:rsid w:val="00513557"/>
    <w:rsid w:val="005137D7"/>
    <w:rsid w:val="005147D8"/>
    <w:rsid w:val="00516D7F"/>
    <w:rsid w:val="005200F4"/>
    <w:rsid w:val="0052112F"/>
    <w:rsid w:val="00527EDD"/>
    <w:rsid w:val="00527EE9"/>
    <w:rsid w:val="0053026B"/>
    <w:rsid w:val="00530ADB"/>
    <w:rsid w:val="00534292"/>
    <w:rsid w:val="0053517D"/>
    <w:rsid w:val="005373EA"/>
    <w:rsid w:val="00537B13"/>
    <w:rsid w:val="00537CC2"/>
    <w:rsid w:val="00540FAA"/>
    <w:rsid w:val="00542880"/>
    <w:rsid w:val="00542A77"/>
    <w:rsid w:val="005431F7"/>
    <w:rsid w:val="0054372F"/>
    <w:rsid w:val="00543FAF"/>
    <w:rsid w:val="00544EF0"/>
    <w:rsid w:val="005477F2"/>
    <w:rsid w:val="00552D9B"/>
    <w:rsid w:val="00553DC5"/>
    <w:rsid w:val="00553F42"/>
    <w:rsid w:val="0055512B"/>
    <w:rsid w:val="00560E95"/>
    <w:rsid w:val="00560F8E"/>
    <w:rsid w:val="00561B03"/>
    <w:rsid w:val="00562279"/>
    <w:rsid w:val="00563BB5"/>
    <w:rsid w:val="0056428E"/>
    <w:rsid w:val="005642DD"/>
    <w:rsid w:val="0057009C"/>
    <w:rsid w:val="00574331"/>
    <w:rsid w:val="005743EE"/>
    <w:rsid w:val="00575DD6"/>
    <w:rsid w:val="00577406"/>
    <w:rsid w:val="00577CC7"/>
    <w:rsid w:val="005836C1"/>
    <w:rsid w:val="0058476E"/>
    <w:rsid w:val="00584F18"/>
    <w:rsid w:val="00585FFC"/>
    <w:rsid w:val="00590197"/>
    <w:rsid w:val="0059044A"/>
    <w:rsid w:val="00592E36"/>
    <w:rsid w:val="00594040"/>
    <w:rsid w:val="00597AF4"/>
    <w:rsid w:val="005A096F"/>
    <w:rsid w:val="005A2A17"/>
    <w:rsid w:val="005A3E19"/>
    <w:rsid w:val="005B0FDB"/>
    <w:rsid w:val="005B2CF0"/>
    <w:rsid w:val="005B2ED3"/>
    <w:rsid w:val="005B3EAA"/>
    <w:rsid w:val="005B60D5"/>
    <w:rsid w:val="005B62D4"/>
    <w:rsid w:val="005B664E"/>
    <w:rsid w:val="005C0C86"/>
    <w:rsid w:val="005C0DAE"/>
    <w:rsid w:val="005C11A4"/>
    <w:rsid w:val="005C269A"/>
    <w:rsid w:val="005C3262"/>
    <w:rsid w:val="005C34A2"/>
    <w:rsid w:val="005C4B0A"/>
    <w:rsid w:val="005C652A"/>
    <w:rsid w:val="005C6E51"/>
    <w:rsid w:val="005C76AA"/>
    <w:rsid w:val="005D3876"/>
    <w:rsid w:val="005D3904"/>
    <w:rsid w:val="005E103E"/>
    <w:rsid w:val="005E10A2"/>
    <w:rsid w:val="005E4465"/>
    <w:rsid w:val="005E5369"/>
    <w:rsid w:val="005E6B5C"/>
    <w:rsid w:val="005E6E81"/>
    <w:rsid w:val="005E715B"/>
    <w:rsid w:val="005F05D0"/>
    <w:rsid w:val="005F2504"/>
    <w:rsid w:val="005F5FBB"/>
    <w:rsid w:val="005F6484"/>
    <w:rsid w:val="006006D4"/>
    <w:rsid w:val="0060330C"/>
    <w:rsid w:val="006054C2"/>
    <w:rsid w:val="00605553"/>
    <w:rsid w:val="006059DC"/>
    <w:rsid w:val="00606CBA"/>
    <w:rsid w:val="006120D4"/>
    <w:rsid w:val="0061231A"/>
    <w:rsid w:val="00612681"/>
    <w:rsid w:val="00613941"/>
    <w:rsid w:val="00615A53"/>
    <w:rsid w:val="00616C9F"/>
    <w:rsid w:val="00622610"/>
    <w:rsid w:val="00623DCB"/>
    <w:rsid w:val="0062568C"/>
    <w:rsid w:val="006256EB"/>
    <w:rsid w:val="006273CF"/>
    <w:rsid w:val="00627FC3"/>
    <w:rsid w:val="0063161D"/>
    <w:rsid w:val="00631A38"/>
    <w:rsid w:val="00633529"/>
    <w:rsid w:val="00633BB4"/>
    <w:rsid w:val="00634D6C"/>
    <w:rsid w:val="00634E33"/>
    <w:rsid w:val="00635B3F"/>
    <w:rsid w:val="00637E98"/>
    <w:rsid w:val="00641123"/>
    <w:rsid w:val="00642455"/>
    <w:rsid w:val="00643128"/>
    <w:rsid w:val="00643927"/>
    <w:rsid w:val="00643FCA"/>
    <w:rsid w:val="00645669"/>
    <w:rsid w:val="00646BC4"/>
    <w:rsid w:val="0064750A"/>
    <w:rsid w:val="00647D7D"/>
    <w:rsid w:val="00652DA7"/>
    <w:rsid w:val="006562DE"/>
    <w:rsid w:val="00661E0A"/>
    <w:rsid w:val="00667AA6"/>
    <w:rsid w:val="0067132A"/>
    <w:rsid w:val="00673ADE"/>
    <w:rsid w:val="006843BB"/>
    <w:rsid w:val="00684B3B"/>
    <w:rsid w:val="006874A4"/>
    <w:rsid w:val="0068754E"/>
    <w:rsid w:val="006908F4"/>
    <w:rsid w:val="006935C1"/>
    <w:rsid w:val="006941E3"/>
    <w:rsid w:val="00694679"/>
    <w:rsid w:val="00696B24"/>
    <w:rsid w:val="00696F60"/>
    <w:rsid w:val="00697117"/>
    <w:rsid w:val="0069728E"/>
    <w:rsid w:val="006976EC"/>
    <w:rsid w:val="006A08E2"/>
    <w:rsid w:val="006A19BA"/>
    <w:rsid w:val="006A2367"/>
    <w:rsid w:val="006A2789"/>
    <w:rsid w:val="006A2923"/>
    <w:rsid w:val="006A29F0"/>
    <w:rsid w:val="006A2EF1"/>
    <w:rsid w:val="006A4B31"/>
    <w:rsid w:val="006A67BA"/>
    <w:rsid w:val="006B165D"/>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D14D3"/>
    <w:rsid w:val="006D3824"/>
    <w:rsid w:val="006E24B3"/>
    <w:rsid w:val="006E46EB"/>
    <w:rsid w:val="006E5CB4"/>
    <w:rsid w:val="006E7D8D"/>
    <w:rsid w:val="006F15BD"/>
    <w:rsid w:val="006F24A4"/>
    <w:rsid w:val="006F2974"/>
    <w:rsid w:val="006F2E59"/>
    <w:rsid w:val="006F3E2E"/>
    <w:rsid w:val="006F53B9"/>
    <w:rsid w:val="007024E6"/>
    <w:rsid w:val="00703BA7"/>
    <w:rsid w:val="00704323"/>
    <w:rsid w:val="00706F89"/>
    <w:rsid w:val="007136E5"/>
    <w:rsid w:val="00714DBE"/>
    <w:rsid w:val="00714E4B"/>
    <w:rsid w:val="007162EA"/>
    <w:rsid w:val="00716AC4"/>
    <w:rsid w:val="007228B1"/>
    <w:rsid w:val="0072331F"/>
    <w:rsid w:val="00725C43"/>
    <w:rsid w:val="00727F62"/>
    <w:rsid w:val="007326AA"/>
    <w:rsid w:val="0073688F"/>
    <w:rsid w:val="00740CAA"/>
    <w:rsid w:val="007414C0"/>
    <w:rsid w:val="00743670"/>
    <w:rsid w:val="0074522C"/>
    <w:rsid w:val="00745FAD"/>
    <w:rsid w:val="00747756"/>
    <w:rsid w:val="00750654"/>
    <w:rsid w:val="0075125F"/>
    <w:rsid w:val="007517B3"/>
    <w:rsid w:val="007521C3"/>
    <w:rsid w:val="00752B9D"/>
    <w:rsid w:val="00754060"/>
    <w:rsid w:val="00754ACE"/>
    <w:rsid w:val="00755465"/>
    <w:rsid w:val="00755468"/>
    <w:rsid w:val="007561D4"/>
    <w:rsid w:val="00757DC4"/>
    <w:rsid w:val="00761B9E"/>
    <w:rsid w:val="0076244F"/>
    <w:rsid w:val="00762DFB"/>
    <w:rsid w:val="0076311E"/>
    <w:rsid w:val="00765609"/>
    <w:rsid w:val="00766455"/>
    <w:rsid w:val="007719C1"/>
    <w:rsid w:val="00771ADD"/>
    <w:rsid w:val="0077211A"/>
    <w:rsid w:val="00772701"/>
    <w:rsid w:val="00773FB5"/>
    <w:rsid w:val="00774CB5"/>
    <w:rsid w:val="007750D1"/>
    <w:rsid w:val="00781179"/>
    <w:rsid w:val="007813E1"/>
    <w:rsid w:val="00781D5C"/>
    <w:rsid w:val="0078207C"/>
    <w:rsid w:val="00784B55"/>
    <w:rsid w:val="00785D39"/>
    <w:rsid w:val="007913AA"/>
    <w:rsid w:val="00792336"/>
    <w:rsid w:val="00794745"/>
    <w:rsid w:val="007948D4"/>
    <w:rsid w:val="007A03AB"/>
    <w:rsid w:val="007A585B"/>
    <w:rsid w:val="007A5B29"/>
    <w:rsid w:val="007A7AB7"/>
    <w:rsid w:val="007B0DBE"/>
    <w:rsid w:val="007B0F30"/>
    <w:rsid w:val="007B31F5"/>
    <w:rsid w:val="007B5BC7"/>
    <w:rsid w:val="007B7FEB"/>
    <w:rsid w:val="007C1E31"/>
    <w:rsid w:val="007C3356"/>
    <w:rsid w:val="007C4EA5"/>
    <w:rsid w:val="007C542A"/>
    <w:rsid w:val="007C55A4"/>
    <w:rsid w:val="007C5F95"/>
    <w:rsid w:val="007C66A5"/>
    <w:rsid w:val="007C7418"/>
    <w:rsid w:val="007D0BF0"/>
    <w:rsid w:val="007D0D17"/>
    <w:rsid w:val="007D138D"/>
    <w:rsid w:val="007D5E35"/>
    <w:rsid w:val="007D6292"/>
    <w:rsid w:val="007E017B"/>
    <w:rsid w:val="007E40A4"/>
    <w:rsid w:val="007F4552"/>
    <w:rsid w:val="007F458D"/>
    <w:rsid w:val="0080199A"/>
    <w:rsid w:val="008034CE"/>
    <w:rsid w:val="00803D4B"/>
    <w:rsid w:val="008042F3"/>
    <w:rsid w:val="008053CB"/>
    <w:rsid w:val="00806DA2"/>
    <w:rsid w:val="00807387"/>
    <w:rsid w:val="00807CE9"/>
    <w:rsid w:val="00811F22"/>
    <w:rsid w:val="00812EC2"/>
    <w:rsid w:val="00814606"/>
    <w:rsid w:val="00814DFD"/>
    <w:rsid w:val="00820091"/>
    <w:rsid w:val="00820C02"/>
    <w:rsid w:val="008232B7"/>
    <w:rsid w:val="00826265"/>
    <w:rsid w:val="00826F20"/>
    <w:rsid w:val="00831566"/>
    <w:rsid w:val="00831A14"/>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8C5"/>
    <w:rsid w:val="00861C72"/>
    <w:rsid w:val="00863125"/>
    <w:rsid w:val="0086656B"/>
    <w:rsid w:val="0086694E"/>
    <w:rsid w:val="008704C8"/>
    <w:rsid w:val="00872522"/>
    <w:rsid w:val="00872F97"/>
    <w:rsid w:val="0087383E"/>
    <w:rsid w:val="00877858"/>
    <w:rsid w:val="00881798"/>
    <w:rsid w:val="00881A60"/>
    <w:rsid w:val="00882591"/>
    <w:rsid w:val="0088350C"/>
    <w:rsid w:val="00885376"/>
    <w:rsid w:val="00885A96"/>
    <w:rsid w:val="0088730C"/>
    <w:rsid w:val="008876BF"/>
    <w:rsid w:val="00890D27"/>
    <w:rsid w:val="008960CE"/>
    <w:rsid w:val="0089642A"/>
    <w:rsid w:val="008A0B50"/>
    <w:rsid w:val="008A2D27"/>
    <w:rsid w:val="008A31A7"/>
    <w:rsid w:val="008A730E"/>
    <w:rsid w:val="008A7910"/>
    <w:rsid w:val="008A7B94"/>
    <w:rsid w:val="008B46D1"/>
    <w:rsid w:val="008B5028"/>
    <w:rsid w:val="008B70B1"/>
    <w:rsid w:val="008B77EA"/>
    <w:rsid w:val="008C0981"/>
    <w:rsid w:val="008C1699"/>
    <w:rsid w:val="008C3DB3"/>
    <w:rsid w:val="008C4753"/>
    <w:rsid w:val="008C50D7"/>
    <w:rsid w:val="008C6ADC"/>
    <w:rsid w:val="008D1162"/>
    <w:rsid w:val="008D1704"/>
    <w:rsid w:val="008D2A86"/>
    <w:rsid w:val="008D435D"/>
    <w:rsid w:val="008D5822"/>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7981"/>
    <w:rsid w:val="0090472C"/>
    <w:rsid w:val="00905E9B"/>
    <w:rsid w:val="00907BC3"/>
    <w:rsid w:val="00910362"/>
    <w:rsid w:val="00911928"/>
    <w:rsid w:val="0091291C"/>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882"/>
    <w:rsid w:val="00951DD0"/>
    <w:rsid w:val="00953F8E"/>
    <w:rsid w:val="00954A12"/>
    <w:rsid w:val="0095771A"/>
    <w:rsid w:val="00960BE2"/>
    <w:rsid w:val="00960E89"/>
    <w:rsid w:val="00964491"/>
    <w:rsid w:val="009704EF"/>
    <w:rsid w:val="009748F9"/>
    <w:rsid w:val="0097609F"/>
    <w:rsid w:val="00976999"/>
    <w:rsid w:val="00976B43"/>
    <w:rsid w:val="009804CC"/>
    <w:rsid w:val="00981DAC"/>
    <w:rsid w:val="00981E48"/>
    <w:rsid w:val="00983569"/>
    <w:rsid w:val="00984611"/>
    <w:rsid w:val="00986583"/>
    <w:rsid w:val="00987F84"/>
    <w:rsid w:val="009911D1"/>
    <w:rsid w:val="00994215"/>
    <w:rsid w:val="0099485D"/>
    <w:rsid w:val="00994B77"/>
    <w:rsid w:val="00996AC5"/>
    <w:rsid w:val="00996BCF"/>
    <w:rsid w:val="00996C5F"/>
    <w:rsid w:val="00996DD6"/>
    <w:rsid w:val="009972EE"/>
    <w:rsid w:val="009A0D3D"/>
    <w:rsid w:val="009A430F"/>
    <w:rsid w:val="009A5782"/>
    <w:rsid w:val="009A5789"/>
    <w:rsid w:val="009A6EA9"/>
    <w:rsid w:val="009A7B0C"/>
    <w:rsid w:val="009B0129"/>
    <w:rsid w:val="009B097E"/>
    <w:rsid w:val="009B1C6A"/>
    <w:rsid w:val="009B2F1B"/>
    <w:rsid w:val="009B3468"/>
    <w:rsid w:val="009B4C8D"/>
    <w:rsid w:val="009B5D7F"/>
    <w:rsid w:val="009B64AA"/>
    <w:rsid w:val="009B73F7"/>
    <w:rsid w:val="009C0D17"/>
    <w:rsid w:val="009C19DA"/>
    <w:rsid w:val="009C23E7"/>
    <w:rsid w:val="009C2F88"/>
    <w:rsid w:val="009C423A"/>
    <w:rsid w:val="009C594C"/>
    <w:rsid w:val="009C5E6B"/>
    <w:rsid w:val="009C6E35"/>
    <w:rsid w:val="009C7573"/>
    <w:rsid w:val="009D1B59"/>
    <w:rsid w:val="009D2B26"/>
    <w:rsid w:val="009D48D2"/>
    <w:rsid w:val="009D60C8"/>
    <w:rsid w:val="009D724D"/>
    <w:rsid w:val="009E0E2F"/>
    <w:rsid w:val="009E101F"/>
    <w:rsid w:val="009E110B"/>
    <w:rsid w:val="009E14D7"/>
    <w:rsid w:val="009E1B54"/>
    <w:rsid w:val="009E247C"/>
    <w:rsid w:val="009E2CCC"/>
    <w:rsid w:val="009E3915"/>
    <w:rsid w:val="009E5B29"/>
    <w:rsid w:val="009E6647"/>
    <w:rsid w:val="009E6D54"/>
    <w:rsid w:val="009F0FA3"/>
    <w:rsid w:val="009F3FB3"/>
    <w:rsid w:val="009F5BD4"/>
    <w:rsid w:val="00A0085E"/>
    <w:rsid w:val="00A015C8"/>
    <w:rsid w:val="00A028DA"/>
    <w:rsid w:val="00A0358D"/>
    <w:rsid w:val="00A04714"/>
    <w:rsid w:val="00A05E1F"/>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14BB"/>
    <w:rsid w:val="00A51B6C"/>
    <w:rsid w:val="00A52ADF"/>
    <w:rsid w:val="00A53CE8"/>
    <w:rsid w:val="00A54C50"/>
    <w:rsid w:val="00A56559"/>
    <w:rsid w:val="00A566EC"/>
    <w:rsid w:val="00A56AA7"/>
    <w:rsid w:val="00A57A74"/>
    <w:rsid w:val="00A6115B"/>
    <w:rsid w:val="00A6201C"/>
    <w:rsid w:val="00A64613"/>
    <w:rsid w:val="00A65E0D"/>
    <w:rsid w:val="00A6685A"/>
    <w:rsid w:val="00A70357"/>
    <w:rsid w:val="00A71600"/>
    <w:rsid w:val="00A7163B"/>
    <w:rsid w:val="00A72531"/>
    <w:rsid w:val="00A74E5F"/>
    <w:rsid w:val="00A75048"/>
    <w:rsid w:val="00A7506A"/>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B7851"/>
    <w:rsid w:val="00AC163C"/>
    <w:rsid w:val="00AC26DF"/>
    <w:rsid w:val="00AC3DE8"/>
    <w:rsid w:val="00AC4AAD"/>
    <w:rsid w:val="00AC4D15"/>
    <w:rsid w:val="00AC7ABB"/>
    <w:rsid w:val="00AD0886"/>
    <w:rsid w:val="00AD22E4"/>
    <w:rsid w:val="00AD27CB"/>
    <w:rsid w:val="00AD400C"/>
    <w:rsid w:val="00AD43D2"/>
    <w:rsid w:val="00AD69BC"/>
    <w:rsid w:val="00AD76CF"/>
    <w:rsid w:val="00AD7838"/>
    <w:rsid w:val="00AE0798"/>
    <w:rsid w:val="00AE298D"/>
    <w:rsid w:val="00AE42CA"/>
    <w:rsid w:val="00AE471C"/>
    <w:rsid w:val="00AE63A6"/>
    <w:rsid w:val="00AE78EA"/>
    <w:rsid w:val="00AF00BB"/>
    <w:rsid w:val="00AF0718"/>
    <w:rsid w:val="00AF2EE1"/>
    <w:rsid w:val="00AF30AD"/>
    <w:rsid w:val="00AF37DF"/>
    <w:rsid w:val="00AF6932"/>
    <w:rsid w:val="00B01C8A"/>
    <w:rsid w:val="00B01D16"/>
    <w:rsid w:val="00B01FC4"/>
    <w:rsid w:val="00B02375"/>
    <w:rsid w:val="00B0474A"/>
    <w:rsid w:val="00B04A89"/>
    <w:rsid w:val="00B04C6C"/>
    <w:rsid w:val="00B06515"/>
    <w:rsid w:val="00B06977"/>
    <w:rsid w:val="00B06AFA"/>
    <w:rsid w:val="00B06BAE"/>
    <w:rsid w:val="00B076D7"/>
    <w:rsid w:val="00B07E4C"/>
    <w:rsid w:val="00B1174F"/>
    <w:rsid w:val="00B12846"/>
    <w:rsid w:val="00B134B9"/>
    <w:rsid w:val="00B14BF6"/>
    <w:rsid w:val="00B1511E"/>
    <w:rsid w:val="00B17169"/>
    <w:rsid w:val="00B2011F"/>
    <w:rsid w:val="00B21BB6"/>
    <w:rsid w:val="00B25826"/>
    <w:rsid w:val="00B26EFB"/>
    <w:rsid w:val="00B27E7E"/>
    <w:rsid w:val="00B30A18"/>
    <w:rsid w:val="00B3182C"/>
    <w:rsid w:val="00B3402D"/>
    <w:rsid w:val="00B40A76"/>
    <w:rsid w:val="00B40EA9"/>
    <w:rsid w:val="00B41C51"/>
    <w:rsid w:val="00B43093"/>
    <w:rsid w:val="00B430A1"/>
    <w:rsid w:val="00B43880"/>
    <w:rsid w:val="00B440D7"/>
    <w:rsid w:val="00B445AE"/>
    <w:rsid w:val="00B4473B"/>
    <w:rsid w:val="00B44CC0"/>
    <w:rsid w:val="00B45965"/>
    <w:rsid w:val="00B465A2"/>
    <w:rsid w:val="00B51F80"/>
    <w:rsid w:val="00B5494A"/>
    <w:rsid w:val="00B55417"/>
    <w:rsid w:val="00B5541D"/>
    <w:rsid w:val="00B603BD"/>
    <w:rsid w:val="00B61983"/>
    <w:rsid w:val="00B63E39"/>
    <w:rsid w:val="00B65461"/>
    <w:rsid w:val="00B654E3"/>
    <w:rsid w:val="00B7000D"/>
    <w:rsid w:val="00B7154A"/>
    <w:rsid w:val="00B72C94"/>
    <w:rsid w:val="00B734B9"/>
    <w:rsid w:val="00B7584B"/>
    <w:rsid w:val="00B75EB4"/>
    <w:rsid w:val="00B803BF"/>
    <w:rsid w:val="00B80995"/>
    <w:rsid w:val="00B80F37"/>
    <w:rsid w:val="00B81659"/>
    <w:rsid w:val="00B85394"/>
    <w:rsid w:val="00B85A40"/>
    <w:rsid w:val="00B90EA0"/>
    <w:rsid w:val="00B91545"/>
    <w:rsid w:val="00B91D33"/>
    <w:rsid w:val="00B9257E"/>
    <w:rsid w:val="00B93553"/>
    <w:rsid w:val="00B9445F"/>
    <w:rsid w:val="00BA0253"/>
    <w:rsid w:val="00BA3A5A"/>
    <w:rsid w:val="00BA4988"/>
    <w:rsid w:val="00BA60A6"/>
    <w:rsid w:val="00BA72BF"/>
    <w:rsid w:val="00BB25EF"/>
    <w:rsid w:val="00BB2B8A"/>
    <w:rsid w:val="00BB2F36"/>
    <w:rsid w:val="00BB4161"/>
    <w:rsid w:val="00BB55C4"/>
    <w:rsid w:val="00BB6714"/>
    <w:rsid w:val="00BB7F83"/>
    <w:rsid w:val="00BC027A"/>
    <w:rsid w:val="00BC0710"/>
    <w:rsid w:val="00BC0D6A"/>
    <w:rsid w:val="00BC4C58"/>
    <w:rsid w:val="00BC7822"/>
    <w:rsid w:val="00BD2534"/>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55A9"/>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25"/>
    <w:rsid w:val="00C247A6"/>
    <w:rsid w:val="00C2538D"/>
    <w:rsid w:val="00C25B34"/>
    <w:rsid w:val="00C25D57"/>
    <w:rsid w:val="00C3142C"/>
    <w:rsid w:val="00C31944"/>
    <w:rsid w:val="00C369E4"/>
    <w:rsid w:val="00C409A5"/>
    <w:rsid w:val="00C40EA7"/>
    <w:rsid w:val="00C40FC4"/>
    <w:rsid w:val="00C42136"/>
    <w:rsid w:val="00C42404"/>
    <w:rsid w:val="00C45ED2"/>
    <w:rsid w:val="00C4745A"/>
    <w:rsid w:val="00C4787B"/>
    <w:rsid w:val="00C51E87"/>
    <w:rsid w:val="00C52506"/>
    <w:rsid w:val="00C53CE3"/>
    <w:rsid w:val="00C550A2"/>
    <w:rsid w:val="00C56469"/>
    <w:rsid w:val="00C60C6D"/>
    <w:rsid w:val="00C62877"/>
    <w:rsid w:val="00C62D4B"/>
    <w:rsid w:val="00C64C09"/>
    <w:rsid w:val="00C67B11"/>
    <w:rsid w:val="00C70F53"/>
    <w:rsid w:val="00C71064"/>
    <w:rsid w:val="00C722B6"/>
    <w:rsid w:val="00C75C3C"/>
    <w:rsid w:val="00C76FF6"/>
    <w:rsid w:val="00C8038E"/>
    <w:rsid w:val="00C82BA9"/>
    <w:rsid w:val="00C91DE9"/>
    <w:rsid w:val="00C9206F"/>
    <w:rsid w:val="00C92EC3"/>
    <w:rsid w:val="00C931C3"/>
    <w:rsid w:val="00C95A63"/>
    <w:rsid w:val="00CA11B0"/>
    <w:rsid w:val="00CA15E0"/>
    <w:rsid w:val="00CA31C0"/>
    <w:rsid w:val="00CA3C40"/>
    <w:rsid w:val="00CA4004"/>
    <w:rsid w:val="00CA50D9"/>
    <w:rsid w:val="00CA57A5"/>
    <w:rsid w:val="00CB024E"/>
    <w:rsid w:val="00CB16E6"/>
    <w:rsid w:val="00CB2751"/>
    <w:rsid w:val="00CB29C4"/>
    <w:rsid w:val="00CB3CF6"/>
    <w:rsid w:val="00CB3D94"/>
    <w:rsid w:val="00CB464D"/>
    <w:rsid w:val="00CB49D6"/>
    <w:rsid w:val="00CB4D31"/>
    <w:rsid w:val="00CB5121"/>
    <w:rsid w:val="00CB5436"/>
    <w:rsid w:val="00CB79FE"/>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58C"/>
    <w:rsid w:val="00D01165"/>
    <w:rsid w:val="00D070F4"/>
    <w:rsid w:val="00D076C3"/>
    <w:rsid w:val="00D11734"/>
    <w:rsid w:val="00D1288F"/>
    <w:rsid w:val="00D144B8"/>
    <w:rsid w:val="00D15B33"/>
    <w:rsid w:val="00D15B88"/>
    <w:rsid w:val="00D15F0D"/>
    <w:rsid w:val="00D2020A"/>
    <w:rsid w:val="00D211BF"/>
    <w:rsid w:val="00D30586"/>
    <w:rsid w:val="00D31211"/>
    <w:rsid w:val="00D33070"/>
    <w:rsid w:val="00D33CFD"/>
    <w:rsid w:val="00D36331"/>
    <w:rsid w:val="00D363C2"/>
    <w:rsid w:val="00D363E9"/>
    <w:rsid w:val="00D37596"/>
    <w:rsid w:val="00D37753"/>
    <w:rsid w:val="00D427CB"/>
    <w:rsid w:val="00D428E3"/>
    <w:rsid w:val="00D429DF"/>
    <w:rsid w:val="00D46677"/>
    <w:rsid w:val="00D4764A"/>
    <w:rsid w:val="00D50BFA"/>
    <w:rsid w:val="00D51DEC"/>
    <w:rsid w:val="00D52847"/>
    <w:rsid w:val="00D552C4"/>
    <w:rsid w:val="00D55330"/>
    <w:rsid w:val="00D55E1F"/>
    <w:rsid w:val="00D55F0C"/>
    <w:rsid w:val="00D62F91"/>
    <w:rsid w:val="00D6518F"/>
    <w:rsid w:val="00D65E0A"/>
    <w:rsid w:val="00D66419"/>
    <w:rsid w:val="00D71CFA"/>
    <w:rsid w:val="00D750FE"/>
    <w:rsid w:val="00D75573"/>
    <w:rsid w:val="00D773F0"/>
    <w:rsid w:val="00D809B7"/>
    <w:rsid w:val="00D814C2"/>
    <w:rsid w:val="00D81504"/>
    <w:rsid w:val="00D831E5"/>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B1038"/>
    <w:rsid w:val="00DB1BB3"/>
    <w:rsid w:val="00DB1FC5"/>
    <w:rsid w:val="00DB275A"/>
    <w:rsid w:val="00DB3CAC"/>
    <w:rsid w:val="00DB4864"/>
    <w:rsid w:val="00DB51E0"/>
    <w:rsid w:val="00DB5E04"/>
    <w:rsid w:val="00DC096C"/>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33D0"/>
    <w:rsid w:val="00DE38D6"/>
    <w:rsid w:val="00DE3B1C"/>
    <w:rsid w:val="00DE659B"/>
    <w:rsid w:val="00DE7664"/>
    <w:rsid w:val="00DF00CA"/>
    <w:rsid w:val="00DF0843"/>
    <w:rsid w:val="00DF0A25"/>
    <w:rsid w:val="00DF1AD3"/>
    <w:rsid w:val="00DF3EE3"/>
    <w:rsid w:val="00DF4039"/>
    <w:rsid w:val="00DF44EE"/>
    <w:rsid w:val="00DF46BD"/>
    <w:rsid w:val="00DF4C69"/>
    <w:rsid w:val="00DF4D40"/>
    <w:rsid w:val="00E011DA"/>
    <w:rsid w:val="00E0146C"/>
    <w:rsid w:val="00E01D6B"/>
    <w:rsid w:val="00E02E6F"/>
    <w:rsid w:val="00E02F42"/>
    <w:rsid w:val="00E0364F"/>
    <w:rsid w:val="00E0502E"/>
    <w:rsid w:val="00E05C45"/>
    <w:rsid w:val="00E07A37"/>
    <w:rsid w:val="00E10273"/>
    <w:rsid w:val="00E13AF5"/>
    <w:rsid w:val="00E13E6E"/>
    <w:rsid w:val="00E14583"/>
    <w:rsid w:val="00E16DE6"/>
    <w:rsid w:val="00E16EDD"/>
    <w:rsid w:val="00E173B7"/>
    <w:rsid w:val="00E17F22"/>
    <w:rsid w:val="00E21205"/>
    <w:rsid w:val="00E23DA3"/>
    <w:rsid w:val="00E31839"/>
    <w:rsid w:val="00E31CA4"/>
    <w:rsid w:val="00E32CA3"/>
    <w:rsid w:val="00E32EB6"/>
    <w:rsid w:val="00E34821"/>
    <w:rsid w:val="00E350FE"/>
    <w:rsid w:val="00E44973"/>
    <w:rsid w:val="00E4531A"/>
    <w:rsid w:val="00E475D3"/>
    <w:rsid w:val="00E47B5B"/>
    <w:rsid w:val="00E50E55"/>
    <w:rsid w:val="00E51F68"/>
    <w:rsid w:val="00E5214C"/>
    <w:rsid w:val="00E5355C"/>
    <w:rsid w:val="00E53B49"/>
    <w:rsid w:val="00E53DE1"/>
    <w:rsid w:val="00E54475"/>
    <w:rsid w:val="00E550F2"/>
    <w:rsid w:val="00E575FA"/>
    <w:rsid w:val="00E601B0"/>
    <w:rsid w:val="00E61AA4"/>
    <w:rsid w:val="00E62B58"/>
    <w:rsid w:val="00E6328C"/>
    <w:rsid w:val="00E63F79"/>
    <w:rsid w:val="00E6420E"/>
    <w:rsid w:val="00E655FF"/>
    <w:rsid w:val="00E67747"/>
    <w:rsid w:val="00E71109"/>
    <w:rsid w:val="00E713F5"/>
    <w:rsid w:val="00E72B98"/>
    <w:rsid w:val="00E74373"/>
    <w:rsid w:val="00E75225"/>
    <w:rsid w:val="00E75517"/>
    <w:rsid w:val="00E825C5"/>
    <w:rsid w:val="00E82962"/>
    <w:rsid w:val="00E82F54"/>
    <w:rsid w:val="00E8417B"/>
    <w:rsid w:val="00E85298"/>
    <w:rsid w:val="00E87571"/>
    <w:rsid w:val="00E9014E"/>
    <w:rsid w:val="00E904C3"/>
    <w:rsid w:val="00E93E08"/>
    <w:rsid w:val="00E977B4"/>
    <w:rsid w:val="00E97EB3"/>
    <w:rsid w:val="00EA0507"/>
    <w:rsid w:val="00EA10AB"/>
    <w:rsid w:val="00EA4491"/>
    <w:rsid w:val="00EA580D"/>
    <w:rsid w:val="00EA77E1"/>
    <w:rsid w:val="00EB048A"/>
    <w:rsid w:val="00EB148B"/>
    <w:rsid w:val="00EB22E9"/>
    <w:rsid w:val="00EB3C17"/>
    <w:rsid w:val="00EC0486"/>
    <w:rsid w:val="00EC2525"/>
    <w:rsid w:val="00EC2EBA"/>
    <w:rsid w:val="00EC64D7"/>
    <w:rsid w:val="00ED1A56"/>
    <w:rsid w:val="00ED6F79"/>
    <w:rsid w:val="00ED7806"/>
    <w:rsid w:val="00EE0578"/>
    <w:rsid w:val="00EE12A9"/>
    <w:rsid w:val="00EE5E42"/>
    <w:rsid w:val="00EE6EE0"/>
    <w:rsid w:val="00EE76E6"/>
    <w:rsid w:val="00EE7DB7"/>
    <w:rsid w:val="00EF010F"/>
    <w:rsid w:val="00EF0952"/>
    <w:rsid w:val="00EF0A73"/>
    <w:rsid w:val="00EF2180"/>
    <w:rsid w:val="00EF27D7"/>
    <w:rsid w:val="00EF4A75"/>
    <w:rsid w:val="00EF4FE7"/>
    <w:rsid w:val="00EF6841"/>
    <w:rsid w:val="00F004E6"/>
    <w:rsid w:val="00F00ED6"/>
    <w:rsid w:val="00F02709"/>
    <w:rsid w:val="00F03CDB"/>
    <w:rsid w:val="00F0408B"/>
    <w:rsid w:val="00F04163"/>
    <w:rsid w:val="00F053C9"/>
    <w:rsid w:val="00F06479"/>
    <w:rsid w:val="00F1414F"/>
    <w:rsid w:val="00F14D16"/>
    <w:rsid w:val="00F15412"/>
    <w:rsid w:val="00F16278"/>
    <w:rsid w:val="00F16FCE"/>
    <w:rsid w:val="00F17BDD"/>
    <w:rsid w:val="00F24686"/>
    <w:rsid w:val="00F273CB"/>
    <w:rsid w:val="00F317A0"/>
    <w:rsid w:val="00F31B10"/>
    <w:rsid w:val="00F3391E"/>
    <w:rsid w:val="00F35350"/>
    <w:rsid w:val="00F408D6"/>
    <w:rsid w:val="00F415A3"/>
    <w:rsid w:val="00F42033"/>
    <w:rsid w:val="00F433DF"/>
    <w:rsid w:val="00F44362"/>
    <w:rsid w:val="00F44579"/>
    <w:rsid w:val="00F473D7"/>
    <w:rsid w:val="00F5045F"/>
    <w:rsid w:val="00F51731"/>
    <w:rsid w:val="00F52687"/>
    <w:rsid w:val="00F55B42"/>
    <w:rsid w:val="00F56A77"/>
    <w:rsid w:val="00F5706D"/>
    <w:rsid w:val="00F576C4"/>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5106"/>
    <w:rsid w:val="00F961F3"/>
    <w:rsid w:val="00FA0BBA"/>
    <w:rsid w:val="00FA1EAD"/>
    <w:rsid w:val="00FA1F5F"/>
    <w:rsid w:val="00FA2858"/>
    <w:rsid w:val="00FA3044"/>
    <w:rsid w:val="00FA37D5"/>
    <w:rsid w:val="00FA39CD"/>
    <w:rsid w:val="00FA507A"/>
    <w:rsid w:val="00FA74EF"/>
    <w:rsid w:val="00FA7D4D"/>
    <w:rsid w:val="00FB56CC"/>
    <w:rsid w:val="00FB71AF"/>
    <w:rsid w:val="00FC4C3F"/>
    <w:rsid w:val="00FC6EBF"/>
    <w:rsid w:val="00FD0AE5"/>
    <w:rsid w:val="00FD22AD"/>
    <w:rsid w:val="00FD451A"/>
    <w:rsid w:val="00FD47B4"/>
    <w:rsid w:val="00FE11E3"/>
    <w:rsid w:val="00FE3A8F"/>
    <w:rsid w:val="00FE71FF"/>
    <w:rsid w:val="00FE7B25"/>
    <w:rsid w:val="00FF0EB3"/>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FA8F-151C-437B-B6D5-7628F90F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6</cp:revision>
  <cp:lastPrinted>2015-04-24T15:52:00Z</cp:lastPrinted>
  <dcterms:created xsi:type="dcterms:W3CDTF">2016-06-23T08:53:00Z</dcterms:created>
  <dcterms:modified xsi:type="dcterms:W3CDTF">2016-07-12T13:29:00Z</dcterms:modified>
</cp:coreProperties>
</file>