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72" w:rsidRDefault="00AB5972" w:rsidP="00AB5972">
      <w:pPr>
        <w:ind w:right="-46"/>
        <w:jc w:val="center"/>
        <w:rPr>
          <w:rFonts w:cs="Arial"/>
          <w:b/>
          <w:sz w:val="28"/>
          <w:szCs w:val="28"/>
        </w:rPr>
      </w:pPr>
      <w:r>
        <w:rPr>
          <w:rFonts w:cs="Arial"/>
          <w:b/>
          <w:sz w:val="28"/>
          <w:szCs w:val="28"/>
        </w:rPr>
        <w:t>HEALTH RESEARCH AUTHORITY</w:t>
      </w:r>
    </w:p>
    <w:p w:rsidR="00AB5972" w:rsidRDefault="00B0392C" w:rsidP="00AB5972">
      <w:pPr>
        <w:ind w:right="-46"/>
        <w:jc w:val="center"/>
        <w:rPr>
          <w:rFonts w:cs="Arial"/>
          <w:b/>
          <w:sz w:val="28"/>
          <w:szCs w:val="28"/>
        </w:rPr>
      </w:pPr>
      <w:r>
        <w:rPr>
          <w:rFonts w:cs="Arial"/>
          <w:b/>
          <w:sz w:val="28"/>
          <w:szCs w:val="28"/>
        </w:rPr>
        <w:t>BOARD</w:t>
      </w:r>
      <w:r w:rsidR="00AB5972">
        <w:rPr>
          <w:rFonts w:cs="Arial"/>
          <w:b/>
          <w:sz w:val="28"/>
          <w:szCs w:val="28"/>
        </w:rPr>
        <w:t xml:space="preserve"> MEETING</w:t>
      </w:r>
    </w:p>
    <w:p w:rsidR="00CA528B" w:rsidRDefault="00CA528B" w:rsidP="00AB5972">
      <w:pPr>
        <w:ind w:right="-46"/>
        <w:jc w:val="center"/>
        <w:rPr>
          <w:rFonts w:cs="Arial"/>
          <w:b/>
          <w:sz w:val="28"/>
          <w:szCs w:val="28"/>
        </w:rPr>
      </w:pPr>
    </w:p>
    <w:p w:rsidR="0056698A" w:rsidRDefault="0056698A" w:rsidP="00AB5972">
      <w:pPr>
        <w:ind w:right="-46"/>
        <w:jc w:val="center"/>
        <w:rPr>
          <w:rFonts w:cs="Arial"/>
          <w:b/>
          <w:sz w:val="28"/>
          <w:szCs w:val="28"/>
        </w:rPr>
      </w:pPr>
      <w:r>
        <w:rPr>
          <w:rFonts w:cs="Arial"/>
          <w:b/>
          <w:sz w:val="28"/>
          <w:szCs w:val="28"/>
        </w:rPr>
        <w:t>PART 1</w:t>
      </w:r>
      <w:r w:rsidR="000D465B">
        <w:rPr>
          <w:rFonts w:cs="Arial"/>
          <w:b/>
          <w:sz w:val="28"/>
          <w:szCs w:val="28"/>
        </w:rPr>
        <w:t xml:space="preserve"> – PUBLIC SESSION</w:t>
      </w:r>
    </w:p>
    <w:p w:rsidR="00AB5972" w:rsidRDefault="00AB5972" w:rsidP="00AB5972">
      <w:pPr>
        <w:ind w:right="-188"/>
        <w:jc w:val="center"/>
        <w:rPr>
          <w:rFonts w:cs="Arial"/>
          <w:b/>
          <w:sz w:val="28"/>
          <w:szCs w:val="28"/>
        </w:rPr>
      </w:pPr>
    </w:p>
    <w:p w:rsidR="0010538B" w:rsidRPr="00C84360" w:rsidRDefault="0010538B" w:rsidP="0010538B">
      <w:pPr>
        <w:ind w:right="-188"/>
        <w:jc w:val="center"/>
        <w:rPr>
          <w:rFonts w:cs="Arial"/>
          <w:b/>
          <w:sz w:val="28"/>
          <w:szCs w:val="28"/>
        </w:rPr>
      </w:pPr>
      <w:bookmarkStart w:id="0" w:name="_GoBack"/>
      <w:bookmarkEnd w:id="0"/>
      <w:r w:rsidRPr="00C84360">
        <w:rPr>
          <w:rFonts w:cs="Arial"/>
          <w:b/>
          <w:sz w:val="28"/>
          <w:szCs w:val="28"/>
        </w:rPr>
        <w:t>Minutes of the Health Research Authority</w:t>
      </w:r>
      <w:r>
        <w:rPr>
          <w:rFonts w:cs="Arial"/>
          <w:b/>
          <w:sz w:val="28"/>
          <w:szCs w:val="28"/>
        </w:rPr>
        <w:t xml:space="preserve"> (HRA)</w:t>
      </w:r>
      <w:r w:rsidRPr="00C84360">
        <w:rPr>
          <w:rFonts w:cs="Arial"/>
          <w:b/>
          <w:sz w:val="28"/>
          <w:szCs w:val="28"/>
        </w:rPr>
        <w:t xml:space="preserve"> </w:t>
      </w:r>
      <w:r w:rsidRPr="00AF29A8">
        <w:rPr>
          <w:rFonts w:cs="Arial"/>
          <w:b/>
          <w:sz w:val="28"/>
          <w:szCs w:val="28"/>
        </w:rPr>
        <w:t xml:space="preserve">Board </w:t>
      </w:r>
      <w:r>
        <w:rPr>
          <w:rFonts w:cs="Arial"/>
          <w:b/>
          <w:sz w:val="28"/>
          <w:szCs w:val="28"/>
        </w:rPr>
        <w:t>meeting</w:t>
      </w:r>
      <w:r w:rsidRPr="00C84360">
        <w:rPr>
          <w:rFonts w:cs="Arial"/>
          <w:b/>
          <w:sz w:val="28"/>
          <w:szCs w:val="28"/>
        </w:rPr>
        <w:t xml:space="preserve">, held on </w:t>
      </w:r>
      <w:r>
        <w:rPr>
          <w:rFonts w:cs="Arial"/>
          <w:b/>
          <w:sz w:val="28"/>
          <w:szCs w:val="28"/>
        </w:rPr>
        <w:t>20</w:t>
      </w:r>
      <w:r w:rsidRPr="00BC7BFD">
        <w:rPr>
          <w:rFonts w:cs="Arial"/>
          <w:b/>
          <w:sz w:val="28"/>
          <w:szCs w:val="28"/>
          <w:vertAlign w:val="superscript"/>
        </w:rPr>
        <w:t>th</w:t>
      </w:r>
      <w:r>
        <w:rPr>
          <w:rFonts w:cs="Arial"/>
          <w:b/>
          <w:sz w:val="28"/>
          <w:szCs w:val="28"/>
        </w:rPr>
        <w:t xml:space="preserve"> May 2016 from 1.00pm – 3.00pm via teleconference / London HRA Centre</w:t>
      </w:r>
    </w:p>
    <w:p w:rsidR="00052A81" w:rsidRDefault="00052A81"/>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397"/>
        <w:gridCol w:w="1039"/>
      </w:tblGrid>
      <w:tr w:rsidR="00AB5972" w:rsidRPr="001657FC" w:rsidTr="003A4715">
        <w:tc>
          <w:tcPr>
            <w:tcW w:w="8356" w:type="dxa"/>
            <w:gridSpan w:val="2"/>
            <w:shd w:val="clear" w:color="auto" w:fill="D9D9D9"/>
          </w:tcPr>
          <w:p w:rsidR="00AB5972" w:rsidRPr="001657FC" w:rsidRDefault="00AB5972" w:rsidP="00DE5765">
            <w:pPr>
              <w:rPr>
                <w:rFonts w:cs="Arial"/>
                <w:b/>
              </w:rPr>
            </w:pPr>
            <w:r w:rsidRPr="001657FC">
              <w:rPr>
                <w:rFonts w:cs="Arial"/>
                <w:b/>
              </w:rPr>
              <w:t>Present</w:t>
            </w:r>
          </w:p>
        </w:tc>
        <w:tc>
          <w:tcPr>
            <w:tcW w:w="1039" w:type="dxa"/>
            <w:shd w:val="clear" w:color="auto" w:fill="D9D9D9"/>
          </w:tcPr>
          <w:p w:rsidR="00AB5972" w:rsidRPr="001657FC" w:rsidRDefault="00AB5972" w:rsidP="00DE5765">
            <w:pPr>
              <w:jc w:val="center"/>
              <w:rPr>
                <w:rFonts w:cs="Arial"/>
                <w:b/>
              </w:rPr>
            </w:pPr>
            <w:r w:rsidRPr="001657FC">
              <w:rPr>
                <w:rFonts w:cs="Arial"/>
                <w:b/>
              </w:rPr>
              <w:t>Initials</w:t>
            </w:r>
          </w:p>
        </w:tc>
      </w:tr>
      <w:tr w:rsidR="00AB5972" w:rsidRPr="000F74E6" w:rsidTr="00712645">
        <w:tc>
          <w:tcPr>
            <w:tcW w:w="8356" w:type="dxa"/>
            <w:gridSpan w:val="2"/>
            <w:tcBorders>
              <w:bottom w:val="single" w:sz="4" w:space="0" w:color="auto"/>
            </w:tcBorders>
            <w:shd w:val="clear" w:color="auto" w:fill="auto"/>
          </w:tcPr>
          <w:p w:rsidR="00046CB0" w:rsidRPr="00C9462A" w:rsidRDefault="00046CB0" w:rsidP="00046CB0">
            <w:pPr>
              <w:rPr>
                <w:highlight w:val="yellow"/>
              </w:rPr>
            </w:pPr>
          </w:p>
          <w:p w:rsidR="00CE3E6B" w:rsidRPr="00E91A2F" w:rsidRDefault="00CE3E6B" w:rsidP="00CE3E6B">
            <w:pPr>
              <w:rPr>
                <w:rFonts w:cs="Arial"/>
                <w:i/>
              </w:rPr>
            </w:pPr>
            <w:r w:rsidRPr="00E91A2F">
              <w:rPr>
                <w:rFonts w:cs="Arial"/>
                <w:i/>
              </w:rPr>
              <w:t>HRA Non-Executive and Executive Directors</w:t>
            </w:r>
          </w:p>
          <w:p w:rsidR="00ED23FC" w:rsidRPr="00E91A2F" w:rsidRDefault="00ED23FC" w:rsidP="00CE3E6B">
            <w:pPr>
              <w:rPr>
                <w:rFonts w:cs="Arial"/>
                <w:i/>
              </w:rPr>
            </w:pPr>
          </w:p>
          <w:p w:rsidR="00B24D55" w:rsidRPr="003313AF" w:rsidRDefault="00B24D55" w:rsidP="00B24D55">
            <w:pPr>
              <w:rPr>
                <w:rFonts w:cs="Arial"/>
              </w:rPr>
            </w:pPr>
            <w:r w:rsidRPr="003313AF">
              <w:rPr>
                <w:rFonts w:cs="Arial"/>
              </w:rPr>
              <w:t>Graham Clarke</w:t>
            </w:r>
            <w:r w:rsidRPr="003313AF">
              <w:rPr>
                <w:rFonts w:cs="Arial"/>
              </w:rPr>
              <w:tab/>
            </w:r>
            <w:r w:rsidRPr="003313AF">
              <w:rPr>
                <w:rFonts w:cs="Arial"/>
              </w:rPr>
              <w:tab/>
            </w:r>
            <w:r w:rsidRPr="003313AF">
              <w:rPr>
                <w:rFonts w:cs="Arial"/>
              </w:rPr>
              <w:tab/>
              <w:t>Non-Executive Director</w:t>
            </w:r>
          </w:p>
          <w:p w:rsidR="00635C5C" w:rsidRPr="003313AF" w:rsidRDefault="00635C5C" w:rsidP="00CE3E6B">
            <w:pPr>
              <w:rPr>
                <w:rFonts w:cs="Arial"/>
              </w:rPr>
            </w:pPr>
            <w:r w:rsidRPr="003313AF">
              <w:rPr>
                <w:rFonts w:cs="Arial"/>
              </w:rPr>
              <w:t>Ian Cook</w:t>
            </w:r>
            <w:r w:rsidRPr="003313AF">
              <w:rPr>
                <w:rFonts w:cs="Arial"/>
              </w:rPr>
              <w:tab/>
            </w:r>
            <w:r w:rsidRPr="003313AF">
              <w:rPr>
                <w:rFonts w:cs="Arial"/>
              </w:rPr>
              <w:tab/>
            </w:r>
            <w:r w:rsidRPr="003313AF">
              <w:rPr>
                <w:rFonts w:cs="Arial"/>
              </w:rPr>
              <w:tab/>
              <w:t>Director of Corporate Services</w:t>
            </w:r>
          </w:p>
          <w:p w:rsidR="00CE3E6B" w:rsidRPr="003313AF" w:rsidRDefault="00CE3E6B" w:rsidP="00CE3E6B">
            <w:pPr>
              <w:rPr>
                <w:rFonts w:cs="Arial"/>
              </w:rPr>
            </w:pPr>
            <w:r w:rsidRPr="003313AF">
              <w:rPr>
                <w:rFonts w:cs="Arial"/>
              </w:rPr>
              <w:t>Debbie Corrigan</w:t>
            </w:r>
            <w:r w:rsidRPr="003313AF">
              <w:rPr>
                <w:rFonts w:cs="Arial"/>
              </w:rPr>
              <w:tab/>
            </w:r>
            <w:r w:rsidRPr="003313AF">
              <w:rPr>
                <w:rFonts w:cs="Arial"/>
              </w:rPr>
              <w:tab/>
            </w:r>
            <w:r w:rsidR="00192155" w:rsidRPr="003313AF">
              <w:rPr>
                <w:bCs/>
              </w:rPr>
              <w:t>Director of Finance, Procurement and Estates</w:t>
            </w:r>
          </w:p>
          <w:p w:rsidR="00D65481" w:rsidRPr="003313AF" w:rsidRDefault="00D65481" w:rsidP="00D65481">
            <w:pPr>
              <w:rPr>
                <w:rFonts w:cs="Arial"/>
              </w:rPr>
            </w:pPr>
            <w:r w:rsidRPr="003313AF">
              <w:rPr>
                <w:rFonts w:cs="Arial"/>
              </w:rPr>
              <w:t>Allison Jeynes-Ellis</w:t>
            </w:r>
            <w:r w:rsidRPr="003313AF">
              <w:rPr>
                <w:rFonts w:cs="Arial"/>
              </w:rPr>
              <w:tab/>
            </w:r>
            <w:r w:rsidRPr="003313AF">
              <w:rPr>
                <w:rFonts w:cs="Arial"/>
              </w:rPr>
              <w:tab/>
              <w:t>Non-Executive Director</w:t>
            </w:r>
          </w:p>
          <w:p w:rsidR="002D4B88" w:rsidRPr="003313AF" w:rsidRDefault="002D4B88" w:rsidP="002D4B88">
            <w:pPr>
              <w:rPr>
                <w:rFonts w:cs="Arial"/>
              </w:rPr>
            </w:pPr>
            <w:r w:rsidRPr="003313AF">
              <w:rPr>
                <w:rFonts w:cs="Arial"/>
              </w:rPr>
              <w:t>Deirdre Kelly</w:t>
            </w:r>
            <w:r w:rsidRPr="003313AF">
              <w:rPr>
                <w:rFonts w:cs="Arial"/>
              </w:rPr>
              <w:tab/>
            </w:r>
            <w:r w:rsidRPr="003313AF">
              <w:rPr>
                <w:rFonts w:cs="Arial"/>
              </w:rPr>
              <w:tab/>
            </w:r>
            <w:r w:rsidRPr="003313AF">
              <w:rPr>
                <w:rFonts w:cs="Arial"/>
              </w:rPr>
              <w:tab/>
              <w:t>Non-Executive Director</w:t>
            </w:r>
          </w:p>
          <w:p w:rsidR="00CE3E6B" w:rsidRPr="003313AF" w:rsidRDefault="00CE3E6B" w:rsidP="00CE3E6B">
            <w:pPr>
              <w:rPr>
                <w:rFonts w:cs="Arial"/>
              </w:rPr>
            </w:pPr>
            <w:r w:rsidRPr="003313AF">
              <w:rPr>
                <w:rFonts w:cs="Arial"/>
              </w:rPr>
              <w:t xml:space="preserve">Jonathan Montgomery </w:t>
            </w:r>
            <w:r w:rsidRPr="003313AF">
              <w:rPr>
                <w:rFonts w:cs="Arial"/>
              </w:rPr>
              <w:tab/>
            </w:r>
            <w:r w:rsidRPr="003313AF">
              <w:rPr>
                <w:rFonts w:cs="Arial"/>
              </w:rPr>
              <w:tab/>
              <w:t>Chair</w:t>
            </w:r>
          </w:p>
          <w:p w:rsidR="00CE3E6B" w:rsidRPr="003313AF" w:rsidRDefault="00E91A2F" w:rsidP="00CE3E6B">
            <w:pPr>
              <w:rPr>
                <w:rFonts w:cs="Arial"/>
              </w:rPr>
            </w:pPr>
            <w:r w:rsidRPr="003313AF">
              <w:rPr>
                <w:rFonts w:cs="Arial"/>
              </w:rPr>
              <w:t>Nalin Thakke</w:t>
            </w:r>
            <w:r w:rsidR="00635C5C" w:rsidRPr="003313AF">
              <w:rPr>
                <w:rFonts w:cs="Arial"/>
              </w:rPr>
              <w:t>r</w:t>
            </w:r>
            <w:r w:rsidR="00CE3E6B" w:rsidRPr="003313AF">
              <w:rPr>
                <w:rFonts w:cs="Arial"/>
              </w:rPr>
              <w:tab/>
            </w:r>
            <w:r w:rsidR="00CE3E6B" w:rsidRPr="003313AF">
              <w:rPr>
                <w:rFonts w:cs="Arial"/>
              </w:rPr>
              <w:tab/>
            </w:r>
            <w:r w:rsidR="00CE3E6B" w:rsidRPr="003313AF">
              <w:rPr>
                <w:rFonts w:cs="Arial"/>
              </w:rPr>
              <w:tab/>
              <w:t>Non-Executive Director</w:t>
            </w:r>
          </w:p>
          <w:p w:rsidR="00D65481" w:rsidRPr="003313AF" w:rsidRDefault="00D65481" w:rsidP="00D65481">
            <w:pPr>
              <w:rPr>
                <w:rFonts w:cs="Arial"/>
                <w:i/>
              </w:rPr>
            </w:pPr>
            <w:r w:rsidRPr="003313AF">
              <w:rPr>
                <w:rFonts w:cs="Arial"/>
              </w:rPr>
              <w:t>Janet Wisely</w:t>
            </w:r>
            <w:r w:rsidRPr="003313AF">
              <w:rPr>
                <w:rFonts w:cs="Arial"/>
              </w:rPr>
              <w:tab/>
            </w:r>
            <w:r w:rsidRPr="003313AF">
              <w:rPr>
                <w:rFonts w:cs="Arial"/>
              </w:rPr>
              <w:tab/>
            </w:r>
            <w:r w:rsidRPr="003313AF">
              <w:rPr>
                <w:rFonts w:cs="Arial"/>
              </w:rPr>
              <w:tab/>
              <w:t>Chief Executive</w:t>
            </w:r>
            <w:r w:rsidR="002B6F2B" w:rsidRPr="003313AF">
              <w:rPr>
                <w:rFonts w:cs="Arial"/>
              </w:rPr>
              <w:t xml:space="preserve"> </w:t>
            </w:r>
            <w:r w:rsidR="002B6F2B" w:rsidRPr="003313AF">
              <w:rPr>
                <w:rFonts w:cs="Arial"/>
              </w:rPr>
              <w:tab/>
            </w:r>
            <w:r w:rsidR="002B6F2B" w:rsidRPr="003313AF">
              <w:rPr>
                <w:rFonts w:cs="Arial"/>
              </w:rPr>
              <w:tab/>
            </w:r>
          </w:p>
          <w:p w:rsidR="00CE3E6B" w:rsidRPr="00452775" w:rsidRDefault="00CE3E6B" w:rsidP="00CE3E6B">
            <w:pPr>
              <w:rPr>
                <w:rFonts w:cs="Arial"/>
                <w:i/>
                <w:highlight w:val="yellow"/>
              </w:rPr>
            </w:pPr>
          </w:p>
          <w:p w:rsidR="00CE3E6B" w:rsidRPr="003313AF" w:rsidRDefault="00CE3E6B" w:rsidP="00CE3E6B">
            <w:pPr>
              <w:rPr>
                <w:rFonts w:cs="Arial"/>
                <w:i/>
              </w:rPr>
            </w:pPr>
            <w:r w:rsidRPr="003313AF">
              <w:rPr>
                <w:rFonts w:cs="Arial"/>
                <w:i/>
              </w:rPr>
              <w:t xml:space="preserve">HRA Directors who attend the Board </w:t>
            </w:r>
          </w:p>
          <w:p w:rsidR="00CE3E6B" w:rsidRPr="00452775" w:rsidRDefault="00CE3E6B" w:rsidP="00CE3E6B">
            <w:pPr>
              <w:rPr>
                <w:rFonts w:cs="Arial"/>
                <w:i/>
                <w:highlight w:val="yellow"/>
              </w:rPr>
            </w:pPr>
          </w:p>
          <w:p w:rsidR="00975159" w:rsidRPr="003313AF" w:rsidRDefault="00192155" w:rsidP="00192155">
            <w:pPr>
              <w:ind w:left="2977" w:hanging="2977"/>
            </w:pPr>
            <w:r w:rsidRPr="003313AF">
              <w:t xml:space="preserve">Janet Messer   </w:t>
            </w:r>
            <w:r w:rsidR="00975159" w:rsidRPr="003313AF">
              <w:tab/>
            </w:r>
            <w:r w:rsidRPr="003313AF">
              <w:rPr>
                <w:bCs/>
              </w:rPr>
              <w:t>Director of Research Systems, Standards and HRA Approval Programme</w:t>
            </w:r>
          </w:p>
          <w:p w:rsidR="002D4B88" w:rsidRPr="00192155" w:rsidRDefault="002D4B88" w:rsidP="002D4B88">
            <w:pPr>
              <w:ind w:left="2977" w:hanging="2977"/>
              <w:rPr>
                <w:rFonts w:cs="Arial"/>
              </w:rPr>
            </w:pPr>
            <w:r w:rsidRPr="003313AF">
              <w:rPr>
                <w:rFonts w:cs="Arial"/>
              </w:rPr>
              <w:t>Tom Smith</w:t>
            </w:r>
            <w:r w:rsidRPr="003313AF">
              <w:rPr>
                <w:rFonts w:cs="Arial"/>
              </w:rPr>
              <w:tab/>
            </w:r>
            <w:r w:rsidRPr="003313AF">
              <w:rPr>
                <w:bCs/>
              </w:rPr>
              <w:t>Director of Quality, Guidance and Learning</w:t>
            </w:r>
          </w:p>
          <w:p w:rsidR="00D65481" w:rsidRPr="00C9462A" w:rsidRDefault="00D65481" w:rsidP="00A4071B">
            <w:pPr>
              <w:ind w:left="2977" w:hanging="2977"/>
              <w:rPr>
                <w:rFonts w:cs="Arial"/>
                <w:highlight w:val="yellow"/>
              </w:rPr>
            </w:pPr>
          </w:p>
        </w:tc>
        <w:tc>
          <w:tcPr>
            <w:tcW w:w="1039" w:type="dxa"/>
            <w:tcBorders>
              <w:bottom w:val="single" w:sz="4" w:space="0" w:color="auto"/>
            </w:tcBorders>
            <w:shd w:val="clear" w:color="auto" w:fill="auto"/>
          </w:tcPr>
          <w:p w:rsidR="00AB5972" w:rsidRPr="00C9462A" w:rsidRDefault="00AB5972" w:rsidP="00DE5765">
            <w:pPr>
              <w:jc w:val="center"/>
              <w:rPr>
                <w:rFonts w:cs="Arial"/>
                <w:b/>
                <w:highlight w:val="yellow"/>
              </w:rPr>
            </w:pPr>
          </w:p>
          <w:p w:rsidR="000070D4" w:rsidRPr="00C9462A" w:rsidRDefault="000070D4" w:rsidP="005D6CDE">
            <w:pPr>
              <w:jc w:val="center"/>
              <w:rPr>
                <w:rFonts w:cs="Arial"/>
                <w:highlight w:val="yellow"/>
              </w:rPr>
            </w:pPr>
          </w:p>
          <w:p w:rsidR="003A73D2" w:rsidRPr="00C9462A" w:rsidRDefault="003A73D2" w:rsidP="005D6CDE">
            <w:pPr>
              <w:jc w:val="center"/>
              <w:rPr>
                <w:rFonts w:cs="Arial"/>
                <w:highlight w:val="yellow"/>
              </w:rPr>
            </w:pPr>
          </w:p>
          <w:p w:rsidR="00CE3E6B" w:rsidRPr="00E91A2F" w:rsidRDefault="00B24D55" w:rsidP="005D6CDE">
            <w:pPr>
              <w:jc w:val="center"/>
              <w:rPr>
                <w:rFonts w:cs="Arial"/>
              </w:rPr>
            </w:pPr>
            <w:r>
              <w:rPr>
                <w:rFonts w:cs="Arial"/>
              </w:rPr>
              <w:t>G</w:t>
            </w:r>
            <w:r w:rsidR="00CE3E6B" w:rsidRPr="00E91A2F">
              <w:rPr>
                <w:rFonts w:cs="Arial"/>
              </w:rPr>
              <w:t>C</w:t>
            </w:r>
          </w:p>
          <w:p w:rsidR="00635C5C" w:rsidRPr="00E91A2F" w:rsidRDefault="00B24D55" w:rsidP="005D6CDE">
            <w:pPr>
              <w:jc w:val="center"/>
              <w:rPr>
                <w:rFonts w:cs="Arial"/>
              </w:rPr>
            </w:pPr>
            <w:r>
              <w:rPr>
                <w:rFonts w:cs="Arial"/>
              </w:rPr>
              <w:t>I</w:t>
            </w:r>
            <w:r w:rsidR="00635C5C" w:rsidRPr="00E91A2F">
              <w:rPr>
                <w:rFonts w:cs="Arial"/>
              </w:rPr>
              <w:t>C</w:t>
            </w:r>
          </w:p>
          <w:p w:rsidR="008A182A" w:rsidRDefault="000070D4" w:rsidP="005D6CDE">
            <w:pPr>
              <w:jc w:val="center"/>
              <w:rPr>
                <w:rFonts w:cs="Arial"/>
              </w:rPr>
            </w:pPr>
            <w:r w:rsidRPr="00E91A2F">
              <w:rPr>
                <w:rFonts w:cs="Arial"/>
              </w:rPr>
              <w:t>DC</w:t>
            </w:r>
          </w:p>
          <w:p w:rsidR="00D65481" w:rsidRDefault="00D65481" w:rsidP="005D6CDE">
            <w:pPr>
              <w:jc w:val="center"/>
              <w:rPr>
                <w:rFonts w:cs="Arial"/>
              </w:rPr>
            </w:pPr>
            <w:r>
              <w:rPr>
                <w:rFonts w:cs="Arial"/>
              </w:rPr>
              <w:t>AJE</w:t>
            </w:r>
          </w:p>
          <w:p w:rsidR="002D4B88" w:rsidRDefault="002D4B88" w:rsidP="005D6CDE">
            <w:pPr>
              <w:jc w:val="center"/>
              <w:rPr>
                <w:rFonts w:cs="Arial"/>
              </w:rPr>
            </w:pPr>
            <w:r>
              <w:rPr>
                <w:rFonts w:cs="Arial"/>
              </w:rPr>
              <w:t>DK</w:t>
            </w:r>
          </w:p>
          <w:p w:rsidR="00CE3E6B" w:rsidRPr="00E91A2F" w:rsidRDefault="00CE3E6B" w:rsidP="005D6CDE">
            <w:pPr>
              <w:jc w:val="center"/>
              <w:rPr>
                <w:rFonts w:cs="Arial"/>
              </w:rPr>
            </w:pPr>
            <w:r w:rsidRPr="00E91A2F">
              <w:rPr>
                <w:rFonts w:cs="Arial"/>
              </w:rPr>
              <w:t>JM</w:t>
            </w:r>
            <w:r w:rsidR="00552590" w:rsidRPr="00E91A2F">
              <w:rPr>
                <w:rFonts w:cs="Arial"/>
              </w:rPr>
              <w:t>o</w:t>
            </w:r>
          </w:p>
          <w:p w:rsidR="00CE3E6B" w:rsidRPr="00E91A2F" w:rsidRDefault="00635C5C" w:rsidP="005D6CDE">
            <w:pPr>
              <w:jc w:val="center"/>
              <w:rPr>
                <w:rFonts w:cs="Arial"/>
              </w:rPr>
            </w:pPr>
            <w:r w:rsidRPr="00E91A2F">
              <w:rPr>
                <w:rFonts w:cs="Arial"/>
              </w:rPr>
              <w:t>NT</w:t>
            </w:r>
          </w:p>
          <w:p w:rsidR="00CE3E6B" w:rsidRPr="00E91A2F" w:rsidRDefault="00CE3E6B" w:rsidP="005D6CDE">
            <w:pPr>
              <w:jc w:val="center"/>
              <w:rPr>
                <w:rFonts w:cs="Arial"/>
              </w:rPr>
            </w:pPr>
            <w:r w:rsidRPr="00E91A2F">
              <w:rPr>
                <w:rFonts w:cs="Arial"/>
              </w:rPr>
              <w:t>JW</w:t>
            </w:r>
          </w:p>
          <w:p w:rsidR="00CE3E6B" w:rsidRPr="00C9462A" w:rsidRDefault="00CE3E6B" w:rsidP="005D6CDE">
            <w:pPr>
              <w:jc w:val="center"/>
              <w:rPr>
                <w:rFonts w:cs="Arial"/>
                <w:highlight w:val="yellow"/>
              </w:rPr>
            </w:pPr>
          </w:p>
          <w:p w:rsidR="00CE3E6B" w:rsidRDefault="00CE3E6B" w:rsidP="005D6CDE">
            <w:pPr>
              <w:jc w:val="center"/>
              <w:rPr>
                <w:rFonts w:cs="Arial"/>
              </w:rPr>
            </w:pPr>
          </w:p>
          <w:p w:rsidR="009A6689" w:rsidRDefault="009A6689" w:rsidP="005D6CDE">
            <w:pPr>
              <w:jc w:val="center"/>
              <w:rPr>
                <w:rFonts w:cs="Arial"/>
              </w:rPr>
            </w:pPr>
          </w:p>
          <w:p w:rsidR="00635C5C" w:rsidRDefault="00975159" w:rsidP="005D6CDE">
            <w:pPr>
              <w:jc w:val="center"/>
              <w:rPr>
                <w:rFonts w:cs="Arial"/>
              </w:rPr>
            </w:pPr>
            <w:proofErr w:type="spellStart"/>
            <w:r>
              <w:rPr>
                <w:rFonts w:cs="Arial"/>
              </w:rPr>
              <w:t>JM</w:t>
            </w:r>
            <w:r w:rsidR="00550566">
              <w:rPr>
                <w:rFonts w:cs="Arial"/>
              </w:rPr>
              <w:t>e</w:t>
            </w:r>
            <w:proofErr w:type="spellEnd"/>
          </w:p>
          <w:p w:rsidR="002D4B88" w:rsidRDefault="002D4B88" w:rsidP="005D6CDE">
            <w:pPr>
              <w:jc w:val="center"/>
              <w:rPr>
                <w:rFonts w:cs="Arial"/>
              </w:rPr>
            </w:pPr>
          </w:p>
          <w:p w:rsidR="002D4B88" w:rsidRPr="00C9462A" w:rsidRDefault="002D4B88" w:rsidP="005D6CDE">
            <w:pPr>
              <w:jc w:val="center"/>
              <w:rPr>
                <w:rFonts w:cs="Arial"/>
                <w:highlight w:val="yellow"/>
              </w:rPr>
            </w:pPr>
            <w:r>
              <w:rPr>
                <w:rFonts w:cs="Arial"/>
              </w:rPr>
              <w:t>TS</w:t>
            </w:r>
          </w:p>
          <w:p w:rsidR="00635C5C" w:rsidRPr="00C9462A" w:rsidRDefault="00635C5C" w:rsidP="005D6CDE">
            <w:pPr>
              <w:jc w:val="center"/>
              <w:rPr>
                <w:rFonts w:cs="Arial"/>
                <w:highlight w:val="yellow"/>
              </w:rPr>
            </w:pPr>
          </w:p>
        </w:tc>
      </w:tr>
      <w:tr w:rsidR="00712645" w:rsidRPr="000F74E6" w:rsidTr="00712645">
        <w:tc>
          <w:tcPr>
            <w:tcW w:w="8356" w:type="dxa"/>
            <w:gridSpan w:val="2"/>
            <w:tcBorders>
              <w:bottom w:val="single" w:sz="4" w:space="0" w:color="auto"/>
            </w:tcBorders>
            <w:shd w:val="clear" w:color="auto" w:fill="D9D9D9" w:themeFill="background1" w:themeFillShade="D9"/>
          </w:tcPr>
          <w:p w:rsidR="00712645" w:rsidRPr="00712645" w:rsidRDefault="00712645" w:rsidP="00046CB0">
            <w:pPr>
              <w:rPr>
                <w:b/>
              </w:rPr>
            </w:pPr>
            <w:r w:rsidRPr="00712645">
              <w:rPr>
                <w:b/>
              </w:rPr>
              <w:t>In attendance</w:t>
            </w:r>
          </w:p>
        </w:tc>
        <w:tc>
          <w:tcPr>
            <w:tcW w:w="1039" w:type="dxa"/>
            <w:tcBorders>
              <w:bottom w:val="single" w:sz="4" w:space="0" w:color="auto"/>
            </w:tcBorders>
            <w:shd w:val="clear" w:color="auto" w:fill="D9D9D9" w:themeFill="background1" w:themeFillShade="D9"/>
          </w:tcPr>
          <w:p w:rsidR="00712645" w:rsidRPr="000F74E6" w:rsidRDefault="00712645" w:rsidP="00DE5765">
            <w:pPr>
              <w:jc w:val="center"/>
              <w:rPr>
                <w:rFonts w:cs="Arial"/>
                <w:b/>
              </w:rPr>
            </w:pPr>
          </w:p>
        </w:tc>
      </w:tr>
      <w:tr w:rsidR="00712645" w:rsidRPr="000F74E6" w:rsidTr="003A4715">
        <w:tc>
          <w:tcPr>
            <w:tcW w:w="8356" w:type="dxa"/>
            <w:gridSpan w:val="2"/>
            <w:tcBorders>
              <w:bottom w:val="single" w:sz="4" w:space="0" w:color="auto"/>
            </w:tcBorders>
            <w:shd w:val="clear" w:color="auto" w:fill="auto"/>
          </w:tcPr>
          <w:p w:rsidR="00712645" w:rsidRPr="00452775" w:rsidRDefault="00712645" w:rsidP="00046CB0">
            <w:pPr>
              <w:rPr>
                <w:highlight w:val="yellow"/>
              </w:rPr>
            </w:pPr>
          </w:p>
          <w:p w:rsidR="002D4B88" w:rsidRPr="005734C7" w:rsidRDefault="005734C7" w:rsidP="000F3D87">
            <w:pPr>
              <w:tabs>
                <w:tab w:val="left" w:pos="2900"/>
              </w:tabs>
            </w:pPr>
            <w:r w:rsidRPr="005734C7">
              <w:t>Sheila Oliver</w:t>
            </w:r>
            <w:r w:rsidRPr="005734C7">
              <w:tab/>
              <w:t>Head of Research Ethics Service (England)</w:t>
            </w:r>
          </w:p>
          <w:p w:rsidR="000F3D87" w:rsidRPr="005734C7" w:rsidRDefault="00225D1B" w:rsidP="000F3D87">
            <w:pPr>
              <w:tabs>
                <w:tab w:val="left" w:pos="2900"/>
              </w:tabs>
            </w:pPr>
            <w:r w:rsidRPr="005734C7">
              <w:t>Stephen Tebbutt</w:t>
            </w:r>
            <w:r w:rsidRPr="005734C7">
              <w:tab/>
            </w:r>
            <w:r w:rsidR="001037DA">
              <w:t>Head of Corporate Governance</w:t>
            </w:r>
          </w:p>
          <w:p w:rsidR="000F3960" w:rsidRPr="00452775" w:rsidRDefault="000F3960" w:rsidP="007363A1">
            <w:pPr>
              <w:tabs>
                <w:tab w:val="left" w:pos="2900"/>
              </w:tabs>
              <w:rPr>
                <w:highlight w:val="yellow"/>
              </w:rPr>
            </w:pPr>
          </w:p>
        </w:tc>
        <w:tc>
          <w:tcPr>
            <w:tcW w:w="1039" w:type="dxa"/>
            <w:tcBorders>
              <w:bottom w:val="single" w:sz="4" w:space="0" w:color="auto"/>
            </w:tcBorders>
            <w:shd w:val="clear" w:color="auto" w:fill="auto"/>
          </w:tcPr>
          <w:p w:rsidR="00F40555" w:rsidRDefault="00F40555" w:rsidP="00225D1B">
            <w:pPr>
              <w:jc w:val="center"/>
              <w:rPr>
                <w:rFonts w:cs="Arial"/>
                <w:b/>
              </w:rPr>
            </w:pPr>
          </w:p>
          <w:p w:rsidR="00CA3F43" w:rsidRDefault="005734C7" w:rsidP="00225D1B">
            <w:pPr>
              <w:jc w:val="center"/>
              <w:rPr>
                <w:rFonts w:cs="Arial"/>
              </w:rPr>
            </w:pPr>
            <w:r>
              <w:rPr>
                <w:rFonts w:cs="Arial"/>
              </w:rPr>
              <w:t>SO</w:t>
            </w:r>
          </w:p>
          <w:p w:rsidR="0031107A" w:rsidRPr="009A6689" w:rsidRDefault="007363A1" w:rsidP="00225D1B">
            <w:pPr>
              <w:jc w:val="center"/>
              <w:rPr>
                <w:rFonts w:cs="Arial"/>
              </w:rPr>
            </w:pPr>
            <w:r w:rsidRPr="009A6689">
              <w:rPr>
                <w:rFonts w:cs="Arial"/>
              </w:rPr>
              <w:t>S</w:t>
            </w:r>
            <w:r w:rsidR="00225D1B" w:rsidRPr="009A6689">
              <w:rPr>
                <w:rFonts w:cs="Arial"/>
              </w:rPr>
              <w:t>T</w:t>
            </w:r>
          </w:p>
        </w:tc>
      </w:tr>
      <w:tr w:rsidR="00712645" w:rsidRPr="000F74E6" w:rsidTr="003A4715">
        <w:tc>
          <w:tcPr>
            <w:tcW w:w="9395" w:type="dxa"/>
            <w:gridSpan w:val="3"/>
            <w:tcBorders>
              <w:bottom w:val="single" w:sz="4" w:space="0" w:color="auto"/>
            </w:tcBorders>
            <w:shd w:val="clear" w:color="auto" w:fill="D9D9D9"/>
          </w:tcPr>
          <w:p w:rsidR="00712645" w:rsidRPr="005734C7" w:rsidRDefault="00712645" w:rsidP="00DE5765">
            <w:pPr>
              <w:rPr>
                <w:rFonts w:cs="Arial"/>
                <w:b/>
              </w:rPr>
            </w:pPr>
            <w:r w:rsidRPr="005734C7">
              <w:rPr>
                <w:rFonts w:cs="Arial"/>
                <w:b/>
              </w:rPr>
              <w:t>Observer</w:t>
            </w:r>
            <w:r w:rsidR="00F64782" w:rsidRPr="005734C7">
              <w:rPr>
                <w:rFonts w:cs="Arial"/>
                <w:b/>
              </w:rPr>
              <w:t>s</w:t>
            </w:r>
          </w:p>
        </w:tc>
      </w:tr>
      <w:tr w:rsidR="00636B74" w:rsidRPr="000F74E6" w:rsidTr="006C1268">
        <w:tc>
          <w:tcPr>
            <w:tcW w:w="9395" w:type="dxa"/>
            <w:gridSpan w:val="3"/>
            <w:tcBorders>
              <w:bottom w:val="single" w:sz="4" w:space="0" w:color="auto"/>
            </w:tcBorders>
            <w:shd w:val="clear" w:color="auto" w:fill="auto"/>
          </w:tcPr>
          <w:p w:rsidR="0031107A" w:rsidRPr="00452775" w:rsidRDefault="0031107A" w:rsidP="00712645">
            <w:pPr>
              <w:rPr>
                <w:highlight w:val="yellow"/>
              </w:rPr>
            </w:pPr>
          </w:p>
          <w:p w:rsidR="003313AF" w:rsidRDefault="003313AF" w:rsidP="005734C7">
            <w:pPr>
              <w:tabs>
                <w:tab w:val="left" w:pos="2900"/>
              </w:tabs>
            </w:pPr>
            <w:r>
              <w:t>Sylvia Hazard</w:t>
            </w:r>
            <w:r>
              <w:tab/>
              <w:t xml:space="preserve">Health Research Authority </w:t>
            </w:r>
          </w:p>
          <w:p w:rsidR="003313AF" w:rsidRPr="005734C7" w:rsidRDefault="005734C7" w:rsidP="005734C7">
            <w:pPr>
              <w:tabs>
                <w:tab w:val="left" w:pos="2900"/>
              </w:tabs>
            </w:pPr>
            <w:r w:rsidRPr="005734C7">
              <w:t>Amanda Hunn</w:t>
            </w:r>
            <w:r w:rsidRPr="005734C7">
              <w:tab/>
            </w:r>
            <w:r>
              <w:t>Health Research Authority</w:t>
            </w:r>
          </w:p>
          <w:p w:rsidR="00636B74" w:rsidRPr="00452775" w:rsidRDefault="00636B74" w:rsidP="005734C7">
            <w:pPr>
              <w:rPr>
                <w:rFonts w:cs="Arial"/>
                <w:highlight w:val="yellow"/>
              </w:rPr>
            </w:pPr>
          </w:p>
        </w:tc>
      </w:tr>
      <w:tr w:rsidR="004722F7" w:rsidRPr="001657FC" w:rsidTr="003A4715">
        <w:trPr>
          <w:trHeight w:val="295"/>
        </w:trPr>
        <w:tc>
          <w:tcPr>
            <w:tcW w:w="959" w:type="dxa"/>
            <w:tcBorders>
              <w:bottom w:val="single" w:sz="4" w:space="0" w:color="auto"/>
            </w:tcBorders>
            <w:shd w:val="clear" w:color="auto" w:fill="D9D9D9"/>
          </w:tcPr>
          <w:p w:rsidR="004722F7" w:rsidRPr="001657FC" w:rsidRDefault="004722F7" w:rsidP="00DE5765">
            <w:pPr>
              <w:jc w:val="center"/>
              <w:rPr>
                <w:rFonts w:cs="Arial"/>
                <w:b/>
              </w:rPr>
            </w:pPr>
            <w:r w:rsidRPr="001657FC">
              <w:rPr>
                <w:rFonts w:cs="Arial"/>
                <w:b/>
              </w:rPr>
              <w:t>Item</w:t>
            </w:r>
          </w:p>
        </w:tc>
        <w:tc>
          <w:tcPr>
            <w:tcW w:w="7397" w:type="dxa"/>
            <w:tcBorders>
              <w:bottom w:val="single" w:sz="4" w:space="0" w:color="auto"/>
            </w:tcBorders>
            <w:shd w:val="clear" w:color="auto" w:fill="D9D9D9"/>
          </w:tcPr>
          <w:p w:rsidR="004722F7" w:rsidRPr="001657FC" w:rsidRDefault="004722F7" w:rsidP="00DE5765">
            <w:pPr>
              <w:rPr>
                <w:rFonts w:cs="Arial"/>
                <w:b/>
              </w:rPr>
            </w:pPr>
            <w:r w:rsidRPr="001657FC">
              <w:rPr>
                <w:rFonts w:cs="Arial"/>
                <w:b/>
              </w:rPr>
              <w:t>Item details</w:t>
            </w:r>
          </w:p>
        </w:tc>
        <w:tc>
          <w:tcPr>
            <w:tcW w:w="1039" w:type="dxa"/>
            <w:tcBorders>
              <w:bottom w:val="single" w:sz="4" w:space="0" w:color="auto"/>
            </w:tcBorders>
            <w:shd w:val="clear" w:color="auto" w:fill="D9D9D9"/>
          </w:tcPr>
          <w:p w:rsidR="004722F7" w:rsidRPr="001657FC" w:rsidRDefault="004722F7" w:rsidP="00DE5765">
            <w:pPr>
              <w:jc w:val="center"/>
              <w:rPr>
                <w:rFonts w:cs="Arial"/>
                <w:b/>
              </w:rPr>
            </w:pPr>
            <w:r w:rsidRPr="001657FC">
              <w:rPr>
                <w:rFonts w:cs="Arial"/>
                <w:b/>
              </w:rPr>
              <w:t>Action</w:t>
            </w:r>
          </w:p>
        </w:tc>
      </w:tr>
      <w:tr w:rsidR="000F3960" w:rsidRPr="001657FC" w:rsidTr="003A4715">
        <w:trPr>
          <w:trHeight w:val="295"/>
        </w:trPr>
        <w:tc>
          <w:tcPr>
            <w:tcW w:w="959" w:type="dxa"/>
            <w:shd w:val="clear" w:color="auto" w:fill="auto"/>
          </w:tcPr>
          <w:p w:rsidR="000F3960" w:rsidRPr="00E91A2F" w:rsidRDefault="000F3960" w:rsidP="00B205DF">
            <w:pPr>
              <w:numPr>
                <w:ilvl w:val="0"/>
                <w:numId w:val="1"/>
              </w:numPr>
              <w:rPr>
                <w:rFonts w:cs="Arial"/>
                <w:b/>
              </w:rPr>
            </w:pPr>
          </w:p>
        </w:tc>
        <w:tc>
          <w:tcPr>
            <w:tcW w:w="7397" w:type="dxa"/>
            <w:shd w:val="clear" w:color="auto" w:fill="auto"/>
          </w:tcPr>
          <w:p w:rsidR="000F3960" w:rsidRDefault="000F3960" w:rsidP="006C1268">
            <w:pPr>
              <w:rPr>
                <w:rFonts w:cs="Arial"/>
                <w:b/>
              </w:rPr>
            </w:pPr>
            <w:r>
              <w:rPr>
                <w:rFonts w:cs="Arial"/>
                <w:b/>
              </w:rPr>
              <w:t>Apologies</w:t>
            </w:r>
          </w:p>
          <w:p w:rsidR="000F3960" w:rsidRPr="00114EBA" w:rsidRDefault="000F3960" w:rsidP="006C1268">
            <w:pPr>
              <w:rPr>
                <w:rFonts w:cs="Arial"/>
                <w:b/>
                <w:sz w:val="16"/>
                <w:szCs w:val="16"/>
              </w:rPr>
            </w:pPr>
          </w:p>
          <w:p w:rsidR="0059599A" w:rsidRPr="002D4B88" w:rsidRDefault="005734C7" w:rsidP="002D4B88">
            <w:pPr>
              <w:ind w:left="2977" w:hanging="2977"/>
              <w:rPr>
                <w:rFonts w:cs="Arial"/>
              </w:rPr>
            </w:pPr>
            <w:r>
              <w:rPr>
                <w:rFonts w:cs="Arial"/>
              </w:rPr>
              <w:t>Joan Kirkbride, Director of Operations</w:t>
            </w:r>
          </w:p>
          <w:p w:rsidR="00850F6B" w:rsidRPr="00EE0650" w:rsidRDefault="00850F6B" w:rsidP="003313AF">
            <w:pPr>
              <w:rPr>
                <w:rFonts w:cs="Arial"/>
                <w:b/>
              </w:rPr>
            </w:pPr>
          </w:p>
        </w:tc>
        <w:tc>
          <w:tcPr>
            <w:tcW w:w="1039" w:type="dxa"/>
            <w:shd w:val="clear" w:color="auto" w:fill="auto"/>
          </w:tcPr>
          <w:p w:rsidR="000F3960" w:rsidRPr="001657FC" w:rsidRDefault="000F3960" w:rsidP="00DE5765">
            <w:pPr>
              <w:jc w:val="center"/>
              <w:rPr>
                <w:rFonts w:cs="Arial"/>
                <w:b/>
              </w:rPr>
            </w:pPr>
          </w:p>
        </w:tc>
      </w:tr>
      <w:tr w:rsidR="000F3960" w:rsidRPr="001657FC" w:rsidTr="003A4715">
        <w:trPr>
          <w:trHeight w:val="295"/>
        </w:trPr>
        <w:tc>
          <w:tcPr>
            <w:tcW w:w="959" w:type="dxa"/>
            <w:shd w:val="clear" w:color="auto" w:fill="auto"/>
          </w:tcPr>
          <w:p w:rsidR="000F3960" w:rsidRPr="001657FC" w:rsidRDefault="000F3960" w:rsidP="00B205DF">
            <w:pPr>
              <w:numPr>
                <w:ilvl w:val="0"/>
                <w:numId w:val="1"/>
              </w:numPr>
              <w:rPr>
                <w:rFonts w:cs="Arial"/>
                <w:b/>
              </w:rPr>
            </w:pPr>
          </w:p>
        </w:tc>
        <w:tc>
          <w:tcPr>
            <w:tcW w:w="7397" w:type="dxa"/>
            <w:shd w:val="clear" w:color="auto" w:fill="auto"/>
          </w:tcPr>
          <w:p w:rsidR="000F3960" w:rsidRDefault="000F3960" w:rsidP="006C1268">
            <w:pPr>
              <w:rPr>
                <w:rFonts w:cs="Arial"/>
                <w:b/>
              </w:rPr>
            </w:pPr>
            <w:r w:rsidRPr="00EE0650">
              <w:rPr>
                <w:rFonts w:cs="Arial"/>
                <w:b/>
              </w:rPr>
              <w:t>Conflicts of interest</w:t>
            </w:r>
          </w:p>
          <w:p w:rsidR="000F3960" w:rsidRDefault="000F3960" w:rsidP="006C1268">
            <w:pPr>
              <w:rPr>
                <w:rFonts w:cs="Arial"/>
                <w:b/>
              </w:rPr>
            </w:pPr>
          </w:p>
          <w:p w:rsidR="0059599A" w:rsidRPr="0059599A" w:rsidRDefault="0059599A" w:rsidP="0059599A">
            <w:pPr>
              <w:rPr>
                <w:rFonts w:cs="Arial"/>
              </w:rPr>
            </w:pPr>
            <w:r w:rsidRPr="0059599A">
              <w:rPr>
                <w:rFonts w:cs="Arial"/>
              </w:rPr>
              <w:t>None to note</w:t>
            </w:r>
          </w:p>
          <w:p w:rsidR="00754BA2" w:rsidRPr="00326203" w:rsidRDefault="00754BA2" w:rsidP="00D65481">
            <w:pPr>
              <w:rPr>
                <w:rFonts w:cs="Arial"/>
              </w:rPr>
            </w:pPr>
          </w:p>
        </w:tc>
        <w:tc>
          <w:tcPr>
            <w:tcW w:w="1039" w:type="dxa"/>
            <w:shd w:val="clear" w:color="auto" w:fill="auto"/>
          </w:tcPr>
          <w:p w:rsidR="000F3960" w:rsidRPr="001657FC" w:rsidRDefault="000F3960" w:rsidP="00DE5765">
            <w:pPr>
              <w:jc w:val="center"/>
              <w:rPr>
                <w:rFonts w:cs="Arial"/>
                <w:b/>
              </w:rPr>
            </w:pPr>
          </w:p>
        </w:tc>
      </w:tr>
      <w:tr w:rsidR="000F3960" w:rsidRPr="001657FC" w:rsidTr="003A4715">
        <w:trPr>
          <w:trHeight w:val="295"/>
        </w:trPr>
        <w:tc>
          <w:tcPr>
            <w:tcW w:w="959" w:type="dxa"/>
            <w:shd w:val="clear" w:color="auto" w:fill="auto"/>
          </w:tcPr>
          <w:p w:rsidR="000F3960" w:rsidRPr="001657FC" w:rsidRDefault="000F3960" w:rsidP="00B205DF">
            <w:pPr>
              <w:numPr>
                <w:ilvl w:val="0"/>
                <w:numId w:val="1"/>
              </w:numPr>
              <w:rPr>
                <w:rFonts w:cs="Arial"/>
                <w:b/>
              </w:rPr>
            </w:pPr>
          </w:p>
        </w:tc>
        <w:tc>
          <w:tcPr>
            <w:tcW w:w="7397" w:type="dxa"/>
            <w:shd w:val="clear" w:color="auto" w:fill="auto"/>
          </w:tcPr>
          <w:p w:rsidR="000F3960" w:rsidRPr="00EE0650" w:rsidRDefault="000F3960" w:rsidP="006C1268">
            <w:pPr>
              <w:rPr>
                <w:rFonts w:cs="Arial"/>
                <w:b/>
              </w:rPr>
            </w:pPr>
            <w:r w:rsidRPr="00EE0650">
              <w:rPr>
                <w:rFonts w:cs="Arial"/>
                <w:b/>
              </w:rPr>
              <w:t>Minutes of last meeting</w:t>
            </w:r>
          </w:p>
          <w:p w:rsidR="000F3960" w:rsidRDefault="000F3960" w:rsidP="006C1268">
            <w:pPr>
              <w:rPr>
                <w:rFonts w:cs="Arial"/>
                <w:b/>
              </w:rPr>
            </w:pPr>
          </w:p>
          <w:p w:rsidR="00B24D55" w:rsidRDefault="000F3960" w:rsidP="00AA66AB">
            <w:pPr>
              <w:rPr>
                <w:rFonts w:cs="Arial"/>
                <w:i/>
                <w:color w:val="00B0F0"/>
              </w:rPr>
            </w:pPr>
            <w:r w:rsidRPr="000F3960">
              <w:rPr>
                <w:rFonts w:cs="Arial"/>
              </w:rPr>
              <w:t xml:space="preserve">The Board agreed the minutes of the last meeting were a true and accurate </w:t>
            </w:r>
            <w:r w:rsidRPr="000F3960">
              <w:rPr>
                <w:rFonts w:cs="Arial"/>
              </w:rPr>
              <w:lastRenderedPageBreak/>
              <w:t>representation of the matters discussed without amendment</w:t>
            </w:r>
            <w:r w:rsidR="00AA66AB" w:rsidRPr="0059599A">
              <w:rPr>
                <w:rFonts w:cs="Arial"/>
              </w:rPr>
              <w:t>.</w:t>
            </w:r>
          </w:p>
          <w:p w:rsidR="0074243A" w:rsidRPr="00B24D55" w:rsidRDefault="0074243A" w:rsidP="00B24D55">
            <w:pPr>
              <w:rPr>
                <w:rFonts w:cs="Arial"/>
                <w:i/>
              </w:rPr>
            </w:pPr>
          </w:p>
        </w:tc>
        <w:tc>
          <w:tcPr>
            <w:tcW w:w="1039" w:type="dxa"/>
            <w:shd w:val="clear" w:color="auto" w:fill="auto"/>
          </w:tcPr>
          <w:p w:rsidR="000F3960" w:rsidRPr="001657FC" w:rsidRDefault="000F3960" w:rsidP="00DE5765">
            <w:pPr>
              <w:jc w:val="center"/>
              <w:rPr>
                <w:rFonts w:cs="Arial"/>
                <w:b/>
              </w:rPr>
            </w:pPr>
          </w:p>
        </w:tc>
      </w:tr>
      <w:tr w:rsidR="000F3960" w:rsidRPr="001657FC" w:rsidTr="003A4715">
        <w:trPr>
          <w:trHeight w:val="295"/>
        </w:trPr>
        <w:tc>
          <w:tcPr>
            <w:tcW w:w="959" w:type="dxa"/>
            <w:shd w:val="clear" w:color="auto" w:fill="auto"/>
          </w:tcPr>
          <w:p w:rsidR="000F3960" w:rsidRPr="001657FC" w:rsidRDefault="000F3960" w:rsidP="00B205DF">
            <w:pPr>
              <w:numPr>
                <w:ilvl w:val="0"/>
                <w:numId w:val="1"/>
              </w:numPr>
              <w:rPr>
                <w:rFonts w:cs="Arial"/>
                <w:b/>
              </w:rPr>
            </w:pPr>
          </w:p>
        </w:tc>
        <w:tc>
          <w:tcPr>
            <w:tcW w:w="7397" w:type="dxa"/>
            <w:shd w:val="clear" w:color="auto" w:fill="auto"/>
          </w:tcPr>
          <w:p w:rsidR="00754BA2" w:rsidRPr="0074243A" w:rsidRDefault="0074243A" w:rsidP="002D4B88">
            <w:pPr>
              <w:rPr>
                <w:rFonts w:cs="Arial"/>
                <w:b/>
              </w:rPr>
            </w:pPr>
            <w:r w:rsidRPr="0074243A">
              <w:rPr>
                <w:rFonts w:cs="Arial"/>
                <w:b/>
              </w:rPr>
              <w:t>Matters arising</w:t>
            </w:r>
          </w:p>
          <w:p w:rsidR="0074243A" w:rsidRDefault="0074243A" w:rsidP="002D4B88">
            <w:pPr>
              <w:rPr>
                <w:rFonts w:cs="Arial"/>
              </w:rPr>
            </w:pPr>
          </w:p>
          <w:p w:rsidR="003313AF" w:rsidRPr="003313AF" w:rsidRDefault="003313AF" w:rsidP="0074243A">
            <w:pPr>
              <w:rPr>
                <w:rFonts w:cs="Arial"/>
                <w:i/>
                <w:u w:val="single"/>
              </w:rPr>
            </w:pPr>
            <w:r w:rsidRPr="003313AF">
              <w:rPr>
                <w:rFonts w:cs="Arial"/>
                <w:i/>
                <w:u w:val="single"/>
              </w:rPr>
              <w:t xml:space="preserve">Risk discussion </w:t>
            </w:r>
          </w:p>
          <w:p w:rsidR="003313AF" w:rsidRDefault="003313AF" w:rsidP="0074243A">
            <w:pPr>
              <w:rPr>
                <w:rFonts w:cs="Arial"/>
              </w:rPr>
            </w:pPr>
            <w:r w:rsidRPr="003313AF">
              <w:rPr>
                <w:rFonts w:cs="Arial"/>
              </w:rPr>
              <w:t xml:space="preserve">The Board noted the </w:t>
            </w:r>
            <w:r w:rsidR="0074243A" w:rsidRPr="003313AF">
              <w:rPr>
                <w:rFonts w:cs="Arial"/>
              </w:rPr>
              <w:t xml:space="preserve">Audit &amp; Risk Committee </w:t>
            </w:r>
            <w:r>
              <w:rPr>
                <w:rFonts w:cs="Arial"/>
              </w:rPr>
              <w:t xml:space="preserve">had </w:t>
            </w:r>
            <w:r w:rsidR="0074243A" w:rsidRPr="003313AF">
              <w:rPr>
                <w:rFonts w:cs="Arial"/>
              </w:rPr>
              <w:t>discussed</w:t>
            </w:r>
            <w:r>
              <w:rPr>
                <w:rFonts w:cs="Arial"/>
              </w:rPr>
              <w:t xml:space="preserve"> at its April meeting</w:t>
            </w:r>
            <w:r w:rsidR="0074243A" w:rsidRPr="003313AF">
              <w:rPr>
                <w:rFonts w:cs="Arial"/>
              </w:rPr>
              <w:t xml:space="preserve"> </w:t>
            </w:r>
            <w:r>
              <w:rPr>
                <w:rFonts w:cs="Arial"/>
              </w:rPr>
              <w:t xml:space="preserve">the recommendations from the recent </w:t>
            </w:r>
            <w:r w:rsidR="0074243A" w:rsidRPr="003313AF">
              <w:rPr>
                <w:rFonts w:cs="Arial"/>
              </w:rPr>
              <w:t xml:space="preserve">Board </w:t>
            </w:r>
            <w:r w:rsidRPr="003313AF">
              <w:rPr>
                <w:rFonts w:cs="Arial"/>
              </w:rPr>
              <w:t xml:space="preserve">effectiveness </w:t>
            </w:r>
            <w:r>
              <w:rPr>
                <w:rFonts w:cs="Arial"/>
              </w:rPr>
              <w:t xml:space="preserve">and governance review. The Board noted the </w:t>
            </w:r>
            <w:r w:rsidR="0074243A" w:rsidRPr="003313AF">
              <w:rPr>
                <w:rFonts w:cs="Arial"/>
              </w:rPr>
              <w:t xml:space="preserve">Committee </w:t>
            </w:r>
            <w:r>
              <w:rPr>
                <w:rFonts w:cs="Arial"/>
              </w:rPr>
              <w:t>confirmed it was content</w:t>
            </w:r>
            <w:r w:rsidR="0074243A" w:rsidRPr="003313AF">
              <w:rPr>
                <w:rFonts w:cs="Arial"/>
              </w:rPr>
              <w:t xml:space="preserve"> to suggest items </w:t>
            </w:r>
            <w:r>
              <w:rPr>
                <w:rFonts w:cs="Arial"/>
              </w:rPr>
              <w:t>relating to risk to be consider at each Board meeting for a</w:t>
            </w:r>
            <w:r w:rsidR="0074243A" w:rsidRPr="003313AF">
              <w:rPr>
                <w:rFonts w:cs="Arial"/>
              </w:rPr>
              <w:t xml:space="preserve"> </w:t>
            </w:r>
            <w:r>
              <w:rPr>
                <w:rFonts w:cs="Arial"/>
              </w:rPr>
              <w:t>‘</w:t>
            </w:r>
            <w:r w:rsidR="0074243A" w:rsidRPr="003313AF">
              <w:rPr>
                <w:rFonts w:cs="Arial"/>
              </w:rPr>
              <w:t>deep dive</w:t>
            </w:r>
            <w:r>
              <w:rPr>
                <w:rFonts w:cs="Arial"/>
              </w:rPr>
              <w:t>’</w:t>
            </w:r>
            <w:r w:rsidR="0074243A" w:rsidRPr="003313AF">
              <w:rPr>
                <w:rFonts w:cs="Arial"/>
              </w:rPr>
              <w:t xml:space="preserve">. </w:t>
            </w:r>
          </w:p>
          <w:p w:rsidR="0074243A" w:rsidRPr="00E3590B" w:rsidRDefault="0074243A" w:rsidP="003313AF">
            <w:pPr>
              <w:rPr>
                <w:rFonts w:cs="Arial"/>
              </w:rPr>
            </w:pPr>
          </w:p>
        </w:tc>
        <w:tc>
          <w:tcPr>
            <w:tcW w:w="1039" w:type="dxa"/>
            <w:shd w:val="clear" w:color="auto" w:fill="auto"/>
          </w:tcPr>
          <w:p w:rsidR="000F3960" w:rsidRPr="001657FC" w:rsidRDefault="000F3960" w:rsidP="00DE5765">
            <w:pPr>
              <w:jc w:val="center"/>
              <w:rPr>
                <w:rFonts w:cs="Arial"/>
                <w:b/>
              </w:rPr>
            </w:pPr>
          </w:p>
        </w:tc>
      </w:tr>
      <w:tr w:rsidR="0059599A" w:rsidRPr="001657FC" w:rsidTr="003A4715">
        <w:trPr>
          <w:trHeight w:val="295"/>
        </w:trPr>
        <w:tc>
          <w:tcPr>
            <w:tcW w:w="959" w:type="dxa"/>
            <w:shd w:val="clear" w:color="auto" w:fill="auto"/>
          </w:tcPr>
          <w:p w:rsidR="0059599A" w:rsidRPr="001657FC" w:rsidRDefault="0059599A" w:rsidP="00B205DF">
            <w:pPr>
              <w:numPr>
                <w:ilvl w:val="0"/>
                <w:numId w:val="1"/>
              </w:numPr>
              <w:rPr>
                <w:rFonts w:cs="Arial"/>
                <w:b/>
              </w:rPr>
            </w:pPr>
          </w:p>
        </w:tc>
        <w:tc>
          <w:tcPr>
            <w:tcW w:w="7397" w:type="dxa"/>
            <w:shd w:val="clear" w:color="auto" w:fill="auto"/>
          </w:tcPr>
          <w:p w:rsidR="005A2013" w:rsidRPr="003313AF" w:rsidRDefault="0074243A" w:rsidP="002D4B88">
            <w:pPr>
              <w:rPr>
                <w:rFonts w:cs="Arial"/>
                <w:b/>
              </w:rPr>
            </w:pPr>
            <w:r w:rsidRPr="003313AF">
              <w:rPr>
                <w:rFonts w:cs="Arial"/>
                <w:b/>
              </w:rPr>
              <w:t>Update from Chair</w:t>
            </w:r>
          </w:p>
          <w:p w:rsidR="0074243A" w:rsidRDefault="0074243A" w:rsidP="002D4B88">
            <w:pPr>
              <w:rPr>
                <w:rFonts w:cs="Arial"/>
              </w:rPr>
            </w:pPr>
          </w:p>
          <w:p w:rsidR="003313AF" w:rsidRPr="003313AF" w:rsidRDefault="003313AF" w:rsidP="002D4B88">
            <w:pPr>
              <w:rPr>
                <w:rFonts w:cs="Arial"/>
                <w:i/>
                <w:u w:val="single"/>
              </w:rPr>
            </w:pPr>
            <w:r>
              <w:rPr>
                <w:rFonts w:cs="Arial"/>
                <w:i/>
                <w:u w:val="single"/>
              </w:rPr>
              <w:t>All S</w:t>
            </w:r>
            <w:r w:rsidRPr="003313AF">
              <w:rPr>
                <w:rFonts w:cs="Arial"/>
                <w:i/>
                <w:u w:val="single"/>
              </w:rPr>
              <w:t>taff day</w:t>
            </w:r>
          </w:p>
          <w:p w:rsidR="003313AF" w:rsidRDefault="003313AF" w:rsidP="002D4B88">
            <w:pPr>
              <w:rPr>
                <w:rFonts w:cs="Arial"/>
              </w:rPr>
            </w:pPr>
            <w:r>
              <w:rPr>
                <w:rFonts w:cs="Arial"/>
              </w:rPr>
              <w:t xml:space="preserve">The Board agreed the All Staff day had </w:t>
            </w:r>
            <w:r w:rsidR="00FD5138">
              <w:rPr>
                <w:rFonts w:cs="Arial"/>
              </w:rPr>
              <w:t>been excellent</w:t>
            </w:r>
            <w:r>
              <w:rPr>
                <w:rFonts w:cs="Arial"/>
              </w:rPr>
              <w:t xml:space="preserve"> and thanked all those involved in delivering a </w:t>
            </w:r>
            <w:r w:rsidR="00FD5138">
              <w:rPr>
                <w:rFonts w:cs="Arial"/>
              </w:rPr>
              <w:t>successful</w:t>
            </w:r>
            <w:r>
              <w:rPr>
                <w:rFonts w:cs="Arial"/>
              </w:rPr>
              <w:t xml:space="preserve"> event. </w:t>
            </w:r>
          </w:p>
          <w:p w:rsidR="003313AF" w:rsidRDefault="003313AF" w:rsidP="002D4B88">
            <w:pPr>
              <w:rPr>
                <w:rFonts w:cs="Arial"/>
              </w:rPr>
            </w:pPr>
          </w:p>
          <w:p w:rsidR="00FD5138" w:rsidRPr="00FD5138" w:rsidRDefault="00FD5138" w:rsidP="002D4B88">
            <w:pPr>
              <w:rPr>
                <w:rFonts w:cs="Arial"/>
                <w:i/>
                <w:u w:val="single"/>
              </w:rPr>
            </w:pPr>
            <w:r w:rsidRPr="00FD5138">
              <w:rPr>
                <w:rFonts w:cs="Arial"/>
                <w:i/>
                <w:u w:val="single"/>
              </w:rPr>
              <w:t>NIHR at 10 event</w:t>
            </w:r>
          </w:p>
          <w:p w:rsidR="00FD5138" w:rsidRPr="00013578" w:rsidRDefault="00FD5138" w:rsidP="00013578">
            <w:pPr>
              <w:rPr>
                <w:rFonts w:cs="Arial"/>
              </w:rPr>
            </w:pPr>
            <w:r>
              <w:rPr>
                <w:rFonts w:cs="Arial"/>
              </w:rPr>
              <w:t xml:space="preserve">The Board noted the National Institute for Health Research (NIHR) at 10 event </w:t>
            </w:r>
            <w:r w:rsidRPr="00013578">
              <w:rPr>
                <w:rFonts w:cstheme="minorHAnsi"/>
              </w:rPr>
              <w:t>had been held on 18</w:t>
            </w:r>
            <w:r w:rsidRPr="00013578">
              <w:rPr>
                <w:rFonts w:cstheme="minorHAnsi"/>
                <w:vertAlign w:val="superscript"/>
              </w:rPr>
              <w:t>th</w:t>
            </w:r>
            <w:r w:rsidRPr="00013578">
              <w:rPr>
                <w:rFonts w:cstheme="minorHAnsi"/>
              </w:rPr>
              <w:t xml:space="preserve"> May 2016 with keynote speeches by </w:t>
            </w:r>
            <w:r w:rsidRPr="00013578">
              <w:rPr>
                <w:rFonts w:cstheme="minorHAnsi"/>
                <w:lang w:val="en"/>
              </w:rPr>
              <w:t>the Secretary of State for Health, Jeremy Hunt MP, the Minister for Life Sciences, George Freeman MP, the Chief Scientific Adviser, Professor Chris Whitty and the Chief Medical Office</w:t>
            </w:r>
            <w:r w:rsidR="00013578" w:rsidRPr="00013578">
              <w:rPr>
                <w:rFonts w:cstheme="minorHAnsi"/>
                <w:lang w:val="en"/>
              </w:rPr>
              <w:t>r, Professor Dame Sally Davies with</w:t>
            </w:r>
            <w:r w:rsidRPr="00013578">
              <w:rPr>
                <w:rFonts w:cstheme="minorHAnsi"/>
                <w:lang w:val="en"/>
              </w:rPr>
              <w:t xml:space="preserve"> final words </w:t>
            </w:r>
            <w:r w:rsidR="00013578" w:rsidRPr="00013578">
              <w:rPr>
                <w:rFonts w:cstheme="minorHAnsi"/>
                <w:lang w:val="en"/>
              </w:rPr>
              <w:t>provided by Lord How</w:t>
            </w:r>
            <w:r w:rsidR="00013578">
              <w:rPr>
                <w:rFonts w:cstheme="minorHAnsi"/>
                <w:lang w:val="en"/>
              </w:rPr>
              <w:t>e</w:t>
            </w:r>
            <w:r w:rsidR="00013578" w:rsidRPr="00013578">
              <w:rPr>
                <w:rFonts w:cstheme="minorHAnsi"/>
                <w:lang w:val="en"/>
              </w:rPr>
              <w:t xml:space="preserve">, Deputy Leader for the House of Lords </w:t>
            </w:r>
            <w:r w:rsidR="00013578">
              <w:rPr>
                <w:rFonts w:cstheme="minorHAnsi"/>
                <w:lang w:val="en"/>
              </w:rPr>
              <w:t>and Minister of State (M</w:t>
            </w:r>
            <w:r w:rsidR="00013578" w:rsidRPr="00013578">
              <w:rPr>
                <w:rFonts w:cstheme="minorHAnsi"/>
                <w:lang w:val="en"/>
              </w:rPr>
              <w:t>inistry of Defence).</w:t>
            </w:r>
          </w:p>
          <w:p w:rsidR="0074243A" w:rsidRDefault="0074243A" w:rsidP="002D4B88">
            <w:pPr>
              <w:rPr>
                <w:rFonts w:cs="Arial"/>
              </w:rPr>
            </w:pPr>
          </w:p>
          <w:p w:rsidR="00013578" w:rsidRPr="00013578" w:rsidRDefault="00013578" w:rsidP="002D4B88">
            <w:pPr>
              <w:rPr>
                <w:rFonts w:cs="Arial"/>
                <w:i/>
                <w:u w:val="single"/>
              </w:rPr>
            </w:pPr>
            <w:r w:rsidRPr="00013578">
              <w:rPr>
                <w:rFonts w:cs="Arial"/>
                <w:i/>
                <w:u w:val="single"/>
              </w:rPr>
              <w:t>NREAP Hosted Chairs’ Meeting</w:t>
            </w:r>
          </w:p>
          <w:p w:rsidR="00013578" w:rsidRDefault="00013578" w:rsidP="002D4B88">
            <w:pPr>
              <w:rPr>
                <w:rFonts w:cs="Arial"/>
              </w:rPr>
            </w:pPr>
            <w:r>
              <w:rPr>
                <w:rFonts w:cs="Arial"/>
              </w:rPr>
              <w:t>DK advised she had recently attended a N</w:t>
            </w:r>
            <w:r w:rsidR="003E44DD">
              <w:rPr>
                <w:rFonts w:cs="Arial"/>
              </w:rPr>
              <w:t>ational Research Ethics Advisors’ Panel (NREAP)</w:t>
            </w:r>
            <w:r w:rsidR="00FE67C7">
              <w:rPr>
                <w:rFonts w:cs="Arial"/>
              </w:rPr>
              <w:t xml:space="preserve"> hosted Chair’s Meeting</w:t>
            </w:r>
            <w:r>
              <w:rPr>
                <w:rFonts w:cs="Arial"/>
              </w:rPr>
              <w:t xml:space="preserve"> which the Operations team had </w:t>
            </w:r>
            <w:r w:rsidR="003E44DD">
              <w:rPr>
                <w:rFonts w:cs="Arial"/>
              </w:rPr>
              <w:t>supported</w:t>
            </w:r>
            <w:r>
              <w:rPr>
                <w:rFonts w:cs="Arial"/>
              </w:rPr>
              <w:t xml:space="preserve"> excellently.</w:t>
            </w:r>
            <w:r w:rsidR="00FE67C7">
              <w:rPr>
                <w:rFonts w:cs="Arial"/>
              </w:rPr>
              <w:t xml:space="preserve"> DK however questioned the </w:t>
            </w:r>
            <w:r w:rsidR="003E44DD">
              <w:rPr>
                <w:rFonts w:cs="Arial"/>
              </w:rPr>
              <w:t>value</w:t>
            </w:r>
            <w:r w:rsidR="00FE67C7">
              <w:rPr>
                <w:rFonts w:cs="Arial"/>
              </w:rPr>
              <w:t xml:space="preserve"> of the NREAP involvement at the meeting which GC agreed with following attendance at a differe</w:t>
            </w:r>
            <w:r w:rsidR="003E44DD">
              <w:rPr>
                <w:rFonts w:cs="Arial"/>
              </w:rPr>
              <w:t>nt meeting. The Board noted a new model for NREAP is currently being developed and it may be appropriate at that time to move the meetings to be run solely by Operations.</w:t>
            </w:r>
          </w:p>
          <w:p w:rsidR="00A71D68" w:rsidRDefault="00A71D68" w:rsidP="002D4B88">
            <w:pPr>
              <w:rPr>
                <w:rFonts w:cs="Arial"/>
              </w:rPr>
            </w:pPr>
          </w:p>
          <w:p w:rsidR="003E44DD" w:rsidRDefault="003E44DD" w:rsidP="002D4B88">
            <w:pPr>
              <w:rPr>
                <w:rFonts w:cs="Arial"/>
                <w:i/>
                <w:u w:val="single"/>
              </w:rPr>
            </w:pPr>
            <w:r>
              <w:rPr>
                <w:rFonts w:cs="Arial"/>
                <w:i/>
                <w:u w:val="single"/>
              </w:rPr>
              <w:t>Audit and Risk Committee member recruitment</w:t>
            </w:r>
          </w:p>
          <w:p w:rsidR="003E44DD" w:rsidRDefault="003E44DD" w:rsidP="002D4B88">
            <w:pPr>
              <w:rPr>
                <w:rFonts w:cs="Arial"/>
              </w:rPr>
            </w:pPr>
            <w:r>
              <w:rPr>
                <w:rFonts w:cs="Arial"/>
              </w:rPr>
              <w:t>The Board noted the closing date for applications had now passed with shortlisting completed. An interview date is in the process of being confirmed for end of June.</w:t>
            </w:r>
          </w:p>
          <w:p w:rsidR="00A71D68" w:rsidRPr="0059599A" w:rsidRDefault="00A71D68" w:rsidP="003E44DD">
            <w:pPr>
              <w:rPr>
                <w:rFonts w:cs="Arial"/>
              </w:rPr>
            </w:pPr>
          </w:p>
        </w:tc>
        <w:tc>
          <w:tcPr>
            <w:tcW w:w="1039" w:type="dxa"/>
            <w:shd w:val="clear" w:color="auto" w:fill="auto"/>
          </w:tcPr>
          <w:p w:rsidR="0059599A" w:rsidRPr="001657FC" w:rsidRDefault="0059599A" w:rsidP="00DE5765">
            <w:pPr>
              <w:jc w:val="center"/>
              <w:rPr>
                <w:rFonts w:cs="Arial"/>
                <w:b/>
              </w:rPr>
            </w:pPr>
          </w:p>
        </w:tc>
      </w:tr>
      <w:tr w:rsidR="0059599A" w:rsidRPr="001657FC" w:rsidTr="003A4715">
        <w:trPr>
          <w:trHeight w:val="295"/>
        </w:trPr>
        <w:tc>
          <w:tcPr>
            <w:tcW w:w="959" w:type="dxa"/>
            <w:shd w:val="clear" w:color="auto" w:fill="auto"/>
          </w:tcPr>
          <w:p w:rsidR="0059599A" w:rsidRPr="001657FC" w:rsidRDefault="0059599A" w:rsidP="00B205DF">
            <w:pPr>
              <w:numPr>
                <w:ilvl w:val="0"/>
                <w:numId w:val="1"/>
              </w:numPr>
              <w:rPr>
                <w:rFonts w:cs="Arial"/>
                <w:b/>
              </w:rPr>
            </w:pPr>
          </w:p>
        </w:tc>
        <w:tc>
          <w:tcPr>
            <w:tcW w:w="7397" w:type="dxa"/>
            <w:shd w:val="clear" w:color="auto" w:fill="auto"/>
          </w:tcPr>
          <w:p w:rsidR="009A46FE" w:rsidRPr="00FC4125" w:rsidRDefault="00A71D68" w:rsidP="002D4B88">
            <w:pPr>
              <w:jc w:val="both"/>
              <w:rPr>
                <w:rFonts w:cstheme="minorHAnsi"/>
                <w:b/>
                <w:color w:val="000000"/>
              </w:rPr>
            </w:pPr>
            <w:r w:rsidRPr="00FC4125">
              <w:rPr>
                <w:rFonts w:cstheme="minorHAnsi"/>
                <w:b/>
                <w:color w:val="000000"/>
              </w:rPr>
              <w:t>Update from Chief Executive</w:t>
            </w:r>
          </w:p>
          <w:p w:rsidR="00582FD1" w:rsidRPr="00A16CEF" w:rsidRDefault="00582FD1" w:rsidP="00582FD1">
            <w:pPr>
              <w:spacing w:before="100" w:beforeAutospacing="1"/>
              <w:rPr>
                <w:rFonts w:cstheme="minorHAnsi"/>
                <w:b/>
                <w:i/>
              </w:rPr>
            </w:pPr>
            <w:r w:rsidRPr="00A16CEF">
              <w:rPr>
                <w:rFonts w:cstheme="minorHAnsi"/>
                <w:b/>
                <w:i/>
              </w:rPr>
              <w:t>HRA Approval Programme</w:t>
            </w:r>
          </w:p>
          <w:p w:rsidR="00582FD1" w:rsidRDefault="00582FD1" w:rsidP="00582FD1">
            <w:pPr>
              <w:spacing w:before="100" w:beforeAutospacing="1"/>
              <w:rPr>
                <w:rFonts w:cstheme="minorHAnsi"/>
              </w:rPr>
            </w:pPr>
            <w:r w:rsidRPr="00A16CEF">
              <w:rPr>
                <w:rFonts w:cstheme="minorHAnsi"/>
              </w:rPr>
              <w:t xml:space="preserve">HRA Approval is now receiving a very high volume of activity. The number of applications for HRA Approval for new studies is as anticipated. However, the volume of requests for HRA Approval for ongoing studies and for review of amendments is considerably higher than planned. In both cases, there appear to be a number of factors driving these numbers and further analysis is underway so that we can determine what the stable state might look like. A range of interventions are being put in place to manage the volume of activity, in addition to communications to encourage more efficient handling of </w:t>
            </w:r>
            <w:r w:rsidRPr="00A16CEF">
              <w:rPr>
                <w:rFonts w:cstheme="minorHAnsi"/>
              </w:rPr>
              <w:lastRenderedPageBreak/>
              <w:t>amendments by the community. It is likely that these volumes will also impact on timelines for HRA Approval over this period and we will need to manage expectations.</w:t>
            </w:r>
          </w:p>
          <w:p w:rsidR="000C278F" w:rsidRDefault="000C278F" w:rsidP="00582FD1">
            <w:pPr>
              <w:spacing w:before="100" w:beforeAutospacing="1"/>
              <w:rPr>
                <w:rFonts w:cstheme="minorHAnsi"/>
              </w:rPr>
            </w:pPr>
            <w:r>
              <w:rPr>
                <w:rFonts w:cstheme="minorHAnsi"/>
              </w:rPr>
              <w:t xml:space="preserve">The Board noted confusion amongst researchers regarding the need to request HRA Approval. The Board noted HRA Approval of pre-approval studies was only required for studies which require a new site and not any other amendment. The Board noted the communications had been made clearer with HRA Latest to be released detailing </w:t>
            </w:r>
            <w:r w:rsidR="009F5D73">
              <w:rPr>
                <w:rFonts w:cstheme="minorHAnsi"/>
              </w:rPr>
              <w:t>updated guidance. T</w:t>
            </w:r>
            <w:r>
              <w:rPr>
                <w:rFonts w:cstheme="minorHAnsi"/>
              </w:rPr>
              <w:t>he Association of British Pharmaceutical Industry (ABPI) and Ethical Medicines Industry Group (EMIG)</w:t>
            </w:r>
            <w:r w:rsidR="009F5D73">
              <w:rPr>
                <w:rFonts w:cstheme="minorHAnsi"/>
              </w:rPr>
              <w:t xml:space="preserve"> </w:t>
            </w:r>
            <w:r w:rsidR="001037DA">
              <w:rPr>
                <w:rFonts w:cstheme="minorHAnsi"/>
              </w:rPr>
              <w:t>had agreed to</w:t>
            </w:r>
            <w:r w:rsidR="009F5D73">
              <w:rPr>
                <w:rFonts w:cstheme="minorHAnsi"/>
              </w:rPr>
              <w:t xml:space="preserve"> escalate with a further update to be provided at the NHS R &amp; D Forum next week.</w:t>
            </w:r>
          </w:p>
          <w:p w:rsidR="009F5D73" w:rsidRDefault="009F5D73" w:rsidP="00582FD1">
            <w:pPr>
              <w:spacing w:before="100" w:beforeAutospacing="1"/>
              <w:rPr>
                <w:rFonts w:cstheme="minorHAnsi"/>
              </w:rPr>
            </w:pPr>
            <w:r>
              <w:rPr>
                <w:rFonts w:cstheme="minorHAnsi"/>
              </w:rPr>
              <w:t xml:space="preserve">The Board noted staff had been reassigned and </w:t>
            </w:r>
            <w:r w:rsidR="001037DA">
              <w:rPr>
                <w:rFonts w:cstheme="minorHAnsi"/>
              </w:rPr>
              <w:t xml:space="preserve">were </w:t>
            </w:r>
            <w:r>
              <w:rPr>
                <w:rFonts w:cstheme="minorHAnsi"/>
              </w:rPr>
              <w:t xml:space="preserve">working overtime to </w:t>
            </w:r>
            <w:r w:rsidR="001037DA">
              <w:rPr>
                <w:rFonts w:cstheme="minorHAnsi"/>
              </w:rPr>
              <w:t xml:space="preserve">address the backlog of </w:t>
            </w:r>
            <w:r>
              <w:rPr>
                <w:rFonts w:cstheme="minorHAnsi"/>
              </w:rPr>
              <w:t xml:space="preserve">amendments </w:t>
            </w:r>
            <w:r w:rsidR="001037DA">
              <w:rPr>
                <w:rFonts w:cstheme="minorHAnsi"/>
              </w:rPr>
              <w:t>(approximately 2000, although some of these may be duplicate).</w:t>
            </w:r>
          </w:p>
          <w:p w:rsidR="009F5D73" w:rsidRDefault="009F5D73" w:rsidP="00582FD1">
            <w:pPr>
              <w:spacing w:before="100" w:beforeAutospacing="1"/>
              <w:rPr>
                <w:rFonts w:cstheme="minorHAnsi"/>
              </w:rPr>
            </w:pPr>
            <w:r>
              <w:rPr>
                <w:rFonts w:cstheme="minorHAnsi"/>
              </w:rPr>
              <w:t xml:space="preserve">The Board was assured urgent safety measures could be implemented without amendment as per normal process and there was therefore no significant patient safety risk. </w:t>
            </w:r>
          </w:p>
          <w:p w:rsidR="009F5D73" w:rsidRDefault="009F5D73" w:rsidP="009F5D73">
            <w:pPr>
              <w:spacing w:before="100" w:beforeAutospacing="1"/>
              <w:rPr>
                <w:rFonts w:cstheme="minorHAnsi"/>
              </w:rPr>
            </w:pPr>
            <w:r>
              <w:rPr>
                <w:rFonts w:cstheme="minorHAnsi"/>
              </w:rPr>
              <w:t>The Board expressed its gratitude and thanks to the staff undertaking additional work to address the backlog and managing the concern. The Board</w:t>
            </w:r>
            <w:r w:rsidR="001037DA">
              <w:rPr>
                <w:rFonts w:cstheme="minorHAnsi"/>
              </w:rPr>
              <w:t xml:space="preserve"> was pleased to note that</w:t>
            </w:r>
            <w:r>
              <w:rPr>
                <w:rFonts w:cstheme="minorHAnsi"/>
              </w:rPr>
              <w:t xml:space="preserve"> new applications were being managed appropriately with good feedback received.</w:t>
            </w:r>
          </w:p>
          <w:p w:rsidR="00582FD1" w:rsidRPr="00A16CEF" w:rsidRDefault="00582FD1" w:rsidP="00582FD1">
            <w:pPr>
              <w:spacing w:before="100" w:beforeAutospacing="1"/>
              <w:rPr>
                <w:rFonts w:cstheme="minorHAnsi"/>
              </w:rPr>
            </w:pPr>
            <w:r w:rsidRPr="00A16CEF">
              <w:rPr>
                <w:rFonts w:cstheme="minorHAnsi"/>
              </w:rPr>
              <w:t>We continue to actively seek feedback to maintain early awareness of issues. The NHS R&amp;D Forum Annual Conference takes place in May and provides an opportunity to share information and hear feedback with a key audience of over 400 people.</w:t>
            </w:r>
          </w:p>
          <w:p w:rsidR="00582FD1" w:rsidRPr="00A16CEF" w:rsidRDefault="00582FD1" w:rsidP="00582FD1">
            <w:pPr>
              <w:spacing w:before="100" w:beforeAutospacing="1"/>
              <w:rPr>
                <w:rFonts w:cstheme="minorHAnsi"/>
                <w:b/>
                <w:i/>
              </w:rPr>
            </w:pPr>
            <w:r w:rsidRPr="00A16CEF">
              <w:rPr>
                <w:rFonts w:cstheme="minorHAnsi"/>
                <w:b/>
                <w:i/>
              </w:rPr>
              <w:t>Research Systems</w:t>
            </w:r>
          </w:p>
          <w:p w:rsidR="00582FD1" w:rsidRPr="00A16CEF" w:rsidRDefault="00582FD1" w:rsidP="00582FD1">
            <w:pPr>
              <w:spacing w:before="100" w:beforeAutospacing="1"/>
              <w:rPr>
                <w:rFonts w:cstheme="minorHAnsi"/>
                <w:u w:val="single"/>
              </w:rPr>
            </w:pPr>
            <w:r w:rsidRPr="00A16CEF">
              <w:rPr>
                <w:rFonts w:cstheme="minorHAnsi"/>
                <w:u w:val="single"/>
              </w:rPr>
              <w:t>HARP and IRAS</w:t>
            </w:r>
          </w:p>
          <w:p w:rsidR="00582FD1" w:rsidRPr="00A16CEF" w:rsidRDefault="00582FD1" w:rsidP="00582FD1">
            <w:pPr>
              <w:spacing w:before="100" w:beforeAutospacing="1"/>
              <w:rPr>
                <w:rFonts w:cstheme="minorHAnsi"/>
              </w:rPr>
            </w:pPr>
            <w:r w:rsidRPr="00A16CEF">
              <w:rPr>
                <w:rFonts w:cstheme="minorHAnsi"/>
              </w:rPr>
              <w:t>HARP 2.7 was released on 11 May 2016 and went smoothly. It incorporates a number of enhancements for REC and assessment purposes.</w:t>
            </w:r>
          </w:p>
          <w:p w:rsidR="00582FD1" w:rsidRPr="00A16CEF" w:rsidRDefault="00582FD1" w:rsidP="00582FD1">
            <w:pPr>
              <w:spacing w:before="100" w:beforeAutospacing="1"/>
              <w:rPr>
                <w:rFonts w:cstheme="minorHAnsi"/>
              </w:rPr>
            </w:pPr>
            <w:r w:rsidRPr="00A16CEF">
              <w:rPr>
                <w:rFonts w:cstheme="minorHAnsi"/>
              </w:rPr>
              <w:t>IRAS 5.3.1 will be released week commencing 8 June and is more of a maintenance release</w:t>
            </w:r>
          </w:p>
          <w:p w:rsidR="00582FD1" w:rsidRPr="00A16CEF" w:rsidRDefault="00582FD1" w:rsidP="00582FD1">
            <w:pPr>
              <w:spacing w:before="100" w:beforeAutospacing="1"/>
              <w:rPr>
                <w:rFonts w:cstheme="minorHAnsi"/>
                <w:u w:val="single"/>
              </w:rPr>
            </w:pPr>
            <w:r w:rsidRPr="00A16CEF">
              <w:rPr>
                <w:rFonts w:cstheme="minorHAnsi"/>
                <w:u w:val="single"/>
              </w:rPr>
              <w:t>Staffing</w:t>
            </w:r>
          </w:p>
          <w:p w:rsidR="00582FD1" w:rsidRPr="00A16CEF" w:rsidRDefault="00582FD1" w:rsidP="00582FD1">
            <w:pPr>
              <w:spacing w:before="100" w:beforeAutospacing="1"/>
              <w:rPr>
                <w:rFonts w:cstheme="minorHAnsi"/>
              </w:rPr>
            </w:pPr>
            <w:r w:rsidRPr="00A16CEF">
              <w:rPr>
                <w:rFonts w:cstheme="minorHAnsi"/>
              </w:rPr>
              <w:t>The following permanent HRA posts were advertised and successfully recruited to, to replace the contractor roles, with staff expected to join in late June:</w:t>
            </w:r>
          </w:p>
          <w:p w:rsidR="00582FD1" w:rsidRPr="00A16CEF" w:rsidRDefault="00582FD1" w:rsidP="00582FD1">
            <w:pPr>
              <w:pStyle w:val="ListParagraph"/>
              <w:numPr>
                <w:ilvl w:val="0"/>
                <w:numId w:val="16"/>
              </w:numPr>
              <w:spacing w:before="100" w:beforeAutospacing="1" w:line="276" w:lineRule="auto"/>
              <w:contextualSpacing w:val="0"/>
              <w:rPr>
                <w:rFonts w:asciiTheme="minorHAnsi" w:hAnsiTheme="minorHAnsi" w:cstheme="minorHAnsi"/>
              </w:rPr>
            </w:pPr>
            <w:r w:rsidRPr="00A16CEF">
              <w:rPr>
                <w:rFonts w:asciiTheme="minorHAnsi" w:hAnsiTheme="minorHAnsi" w:cstheme="minorHAnsi"/>
              </w:rPr>
              <w:t>Research Systems Quality Manager</w:t>
            </w:r>
          </w:p>
          <w:p w:rsidR="00582FD1" w:rsidRPr="00A16CEF" w:rsidRDefault="00582FD1" w:rsidP="00582FD1">
            <w:pPr>
              <w:pStyle w:val="ListParagraph"/>
              <w:numPr>
                <w:ilvl w:val="0"/>
                <w:numId w:val="16"/>
              </w:numPr>
              <w:spacing w:before="100" w:beforeAutospacing="1" w:line="276" w:lineRule="auto"/>
              <w:contextualSpacing w:val="0"/>
              <w:rPr>
                <w:rFonts w:asciiTheme="minorHAnsi" w:hAnsiTheme="minorHAnsi" w:cstheme="minorHAnsi"/>
              </w:rPr>
            </w:pPr>
            <w:r w:rsidRPr="00A16CEF">
              <w:rPr>
                <w:rFonts w:asciiTheme="minorHAnsi" w:hAnsiTheme="minorHAnsi" w:cstheme="minorHAnsi"/>
              </w:rPr>
              <w:t>Technical Documentation Specialist</w:t>
            </w:r>
          </w:p>
          <w:p w:rsidR="00582FD1" w:rsidRPr="00A16CEF" w:rsidRDefault="00582FD1" w:rsidP="00582FD1">
            <w:pPr>
              <w:pStyle w:val="ListParagraph"/>
              <w:numPr>
                <w:ilvl w:val="0"/>
                <w:numId w:val="16"/>
              </w:numPr>
              <w:spacing w:before="100" w:beforeAutospacing="1" w:line="276" w:lineRule="auto"/>
              <w:ind w:left="714" w:hanging="357"/>
              <w:contextualSpacing w:val="0"/>
              <w:rPr>
                <w:rFonts w:asciiTheme="minorHAnsi" w:hAnsiTheme="minorHAnsi" w:cstheme="minorHAnsi"/>
              </w:rPr>
            </w:pPr>
            <w:r w:rsidRPr="00A16CEF">
              <w:rPr>
                <w:rFonts w:asciiTheme="minorHAnsi" w:hAnsiTheme="minorHAnsi" w:cstheme="minorHAnsi"/>
              </w:rPr>
              <w:t>Business Analyst</w:t>
            </w:r>
          </w:p>
          <w:p w:rsidR="00582FD1" w:rsidRPr="00A16CEF" w:rsidRDefault="00582FD1" w:rsidP="00582FD1">
            <w:pPr>
              <w:spacing w:before="100" w:beforeAutospacing="1"/>
              <w:rPr>
                <w:rFonts w:cstheme="minorHAnsi"/>
                <w:u w:val="single"/>
              </w:rPr>
            </w:pPr>
            <w:r w:rsidRPr="00A16CEF">
              <w:rPr>
                <w:rFonts w:cstheme="minorHAnsi"/>
                <w:u w:val="single"/>
              </w:rPr>
              <w:lastRenderedPageBreak/>
              <w:t>Contract management – software development for HARP and IRAS</w:t>
            </w:r>
          </w:p>
          <w:p w:rsidR="00582FD1" w:rsidRPr="00A16CEF" w:rsidRDefault="00582FD1" w:rsidP="00582FD1">
            <w:pPr>
              <w:spacing w:before="100" w:beforeAutospacing="1"/>
              <w:rPr>
                <w:rFonts w:cstheme="minorHAnsi"/>
              </w:rPr>
            </w:pPr>
            <w:r w:rsidRPr="00A16CEF">
              <w:rPr>
                <w:rFonts w:cstheme="minorHAnsi"/>
              </w:rPr>
              <w:t>The first formal contract management review with BGO Software as part of the new arrangements will take place on 20 July. This will look at performance over the first quarter of the new arrangements.</w:t>
            </w:r>
          </w:p>
          <w:p w:rsidR="00582FD1" w:rsidRPr="00A16CEF" w:rsidRDefault="00582FD1" w:rsidP="00582FD1">
            <w:pPr>
              <w:spacing w:before="100" w:beforeAutospacing="1"/>
              <w:rPr>
                <w:rFonts w:cstheme="minorHAnsi"/>
                <w:b/>
                <w:i/>
              </w:rPr>
            </w:pPr>
            <w:r w:rsidRPr="00A16CEF">
              <w:rPr>
                <w:rFonts w:cstheme="minorHAnsi"/>
                <w:b/>
                <w:i/>
              </w:rPr>
              <w:t>Collaboration &amp; Development</w:t>
            </w:r>
          </w:p>
          <w:p w:rsidR="00582FD1" w:rsidRPr="00A16CEF" w:rsidRDefault="00582FD1" w:rsidP="00582FD1">
            <w:pPr>
              <w:spacing w:before="100" w:beforeAutospacing="1"/>
              <w:rPr>
                <w:rFonts w:cstheme="minorHAnsi"/>
              </w:rPr>
            </w:pPr>
            <w:r w:rsidRPr="00A16CEF">
              <w:rPr>
                <w:rFonts w:cstheme="minorHAnsi"/>
              </w:rPr>
              <w:t xml:space="preserve">DH SMT met in May to consider the paper developed jointly by HRA with the two NIHR funding coordination centres, NETSCC and CCF, on the timing of release of NIHR funding. We had collectively noted that the current DH contractual arrangements meant that funding was normally not released until after ethical approval, which did not allow researchers to undertake activities in preparation for HRA Approval and study set-up in the most efficient way.  DH SMT discussed the paper and agreed with the proposal to change the arrangements to permit earlier funding release. This is a significant change that will benefit many research </w:t>
            </w:r>
            <w:proofErr w:type="gramStart"/>
            <w:r w:rsidRPr="00A16CEF">
              <w:rPr>
                <w:rFonts w:cstheme="minorHAnsi"/>
              </w:rPr>
              <w:t>groups ,</w:t>
            </w:r>
            <w:proofErr w:type="gramEnd"/>
            <w:r w:rsidRPr="00A16CEF">
              <w:rPr>
                <w:rFonts w:cstheme="minorHAnsi"/>
              </w:rPr>
              <w:t xml:space="preserve"> resulting from effective partnership working.</w:t>
            </w:r>
          </w:p>
          <w:p w:rsidR="00582FD1" w:rsidRPr="00A16CEF" w:rsidRDefault="00582FD1" w:rsidP="00582FD1">
            <w:pPr>
              <w:spacing w:before="100" w:beforeAutospacing="1"/>
              <w:rPr>
                <w:rFonts w:cstheme="minorHAnsi"/>
                <w:b/>
                <w:i/>
              </w:rPr>
            </w:pPr>
            <w:r w:rsidRPr="00A16CEF">
              <w:rPr>
                <w:rFonts w:cstheme="minorHAnsi"/>
                <w:b/>
                <w:i/>
              </w:rPr>
              <w:t>Confidentiality Advice Service</w:t>
            </w:r>
          </w:p>
          <w:p w:rsidR="00582FD1" w:rsidRPr="00A16CEF" w:rsidRDefault="00582FD1" w:rsidP="00582FD1">
            <w:pPr>
              <w:spacing w:before="100" w:beforeAutospacing="1"/>
              <w:rPr>
                <w:rFonts w:cstheme="minorHAnsi"/>
              </w:rPr>
            </w:pPr>
            <w:r w:rsidRPr="00A16CEF">
              <w:rPr>
                <w:rFonts w:cstheme="minorHAnsi"/>
              </w:rPr>
              <w:t>This team have now moved line management to the Systems Directorate. Work continues to address the backlog of amendments. A process for managing annual reviews has been developed and a note has been added to the relevant section of the website to clarify that there is no requirement for the annual review to be completed in order for approval for the activity to continue.</w:t>
            </w:r>
          </w:p>
          <w:p w:rsidR="00582FD1" w:rsidRPr="00A16CEF" w:rsidRDefault="00582FD1" w:rsidP="00582FD1">
            <w:pPr>
              <w:spacing w:before="100" w:beforeAutospacing="1"/>
              <w:rPr>
                <w:rFonts w:cstheme="minorHAnsi"/>
                <w:b/>
                <w:i/>
              </w:rPr>
            </w:pPr>
            <w:r w:rsidRPr="00A16CEF">
              <w:rPr>
                <w:rFonts w:cstheme="minorHAnsi"/>
                <w:b/>
                <w:i/>
              </w:rPr>
              <w:t>Finance</w:t>
            </w:r>
          </w:p>
          <w:p w:rsidR="00582FD1" w:rsidRPr="00A16CEF" w:rsidRDefault="00582FD1" w:rsidP="00582FD1">
            <w:pPr>
              <w:spacing w:before="100" w:beforeAutospacing="1"/>
              <w:rPr>
                <w:rFonts w:cstheme="minorHAnsi"/>
                <w:b/>
                <w:i/>
              </w:rPr>
            </w:pPr>
            <w:r w:rsidRPr="00A16CEF">
              <w:rPr>
                <w:rFonts w:cstheme="minorHAnsi"/>
                <w:u w:val="single"/>
              </w:rPr>
              <w:t>Financial position</w:t>
            </w:r>
            <w:r w:rsidRPr="00A16CEF">
              <w:rPr>
                <w:rFonts w:cstheme="minorHAnsi"/>
              </w:rPr>
              <w:t xml:space="preserve"> – March position in line with updated expectations.  March year end closed within 19 calendar days compared to an NHS benchmark of 25.  Next target will be to reduce the % difference between forecast outturn at month 6 and the final outturn. </w:t>
            </w:r>
          </w:p>
          <w:p w:rsidR="00582FD1" w:rsidRPr="00A16CEF" w:rsidRDefault="00582FD1" w:rsidP="00582FD1">
            <w:pPr>
              <w:spacing w:before="100" w:beforeAutospacing="1"/>
              <w:rPr>
                <w:rFonts w:cstheme="minorHAnsi"/>
              </w:rPr>
            </w:pPr>
            <w:r w:rsidRPr="00A16CEF">
              <w:rPr>
                <w:rFonts w:cstheme="minorHAnsi"/>
              </w:rPr>
              <w:t>Draft annual report and accounts reported to audit committee.  External audit nearing completion. Comments received on the draft annual report and being reviewed.</w:t>
            </w:r>
          </w:p>
          <w:p w:rsidR="00582FD1" w:rsidRPr="00A16CEF" w:rsidRDefault="00582FD1" w:rsidP="00582FD1">
            <w:pPr>
              <w:spacing w:before="100" w:beforeAutospacing="1"/>
              <w:rPr>
                <w:rFonts w:cstheme="minorHAnsi"/>
              </w:rPr>
            </w:pPr>
            <w:r w:rsidRPr="00A16CEF">
              <w:rPr>
                <w:rFonts w:cstheme="minorHAnsi"/>
              </w:rPr>
              <w:t xml:space="preserve">Budget setting complete and all budgets on the financial reporting system and reported as part of month 1 soft close. </w:t>
            </w:r>
          </w:p>
          <w:p w:rsidR="00582FD1" w:rsidRPr="00A16CEF" w:rsidRDefault="00582FD1" w:rsidP="00582FD1">
            <w:pPr>
              <w:spacing w:before="100" w:beforeAutospacing="1"/>
              <w:rPr>
                <w:rFonts w:cstheme="minorHAnsi"/>
              </w:rPr>
            </w:pPr>
            <w:r w:rsidRPr="00A16CEF">
              <w:rPr>
                <w:rFonts w:cstheme="minorHAnsi"/>
              </w:rPr>
              <w:t>Finance meeting held with DH colleagues from sponsor and finance teams.  Awaiting final confirmation of grant in aid but expectation is that it will be as expected.  Further focus required on savings for future years.</w:t>
            </w:r>
          </w:p>
          <w:p w:rsidR="00582FD1" w:rsidRPr="00A16CEF" w:rsidRDefault="00582FD1" w:rsidP="00582FD1">
            <w:pPr>
              <w:spacing w:before="100" w:beforeAutospacing="1"/>
              <w:rPr>
                <w:rFonts w:cstheme="minorHAnsi"/>
              </w:rPr>
            </w:pPr>
            <w:r w:rsidRPr="00A16CEF">
              <w:rPr>
                <w:rFonts w:cstheme="minorHAnsi"/>
              </w:rPr>
              <w:t>Cycle to work scheme launched.</w:t>
            </w:r>
          </w:p>
          <w:p w:rsidR="00582FD1" w:rsidRPr="00A16CEF" w:rsidRDefault="00582FD1" w:rsidP="00582FD1">
            <w:pPr>
              <w:spacing w:before="100" w:beforeAutospacing="1"/>
              <w:rPr>
                <w:rFonts w:cstheme="minorHAnsi"/>
                <w:b/>
                <w:i/>
              </w:rPr>
            </w:pPr>
            <w:r w:rsidRPr="00A16CEF">
              <w:rPr>
                <w:rFonts w:cstheme="minorHAnsi"/>
                <w:b/>
                <w:i/>
              </w:rPr>
              <w:t xml:space="preserve">Estates </w:t>
            </w:r>
          </w:p>
          <w:p w:rsidR="00582FD1" w:rsidRPr="00A16CEF" w:rsidRDefault="00582FD1" w:rsidP="00582FD1">
            <w:pPr>
              <w:spacing w:before="100" w:beforeAutospacing="1"/>
              <w:rPr>
                <w:rFonts w:cstheme="minorHAnsi"/>
              </w:rPr>
            </w:pPr>
            <w:r w:rsidRPr="00A16CEF">
              <w:rPr>
                <w:rFonts w:cstheme="minorHAnsi"/>
                <w:u w:val="single"/>
              </w:rPr>
              <w:t>Flexible working roll out</w:t>
            </w:r>
            <w:r w:rsidRPr="00A16CEF">
              <w:rPr>
                <w:rFonts w:cstheme="minorHAnsi"/>
              </w:rPr>
              <w:t xml:space="preserve"> – Rollout completed. Draft report received.  Over 100 </w:t>
            </w:r>
            <w:r w:rsidRPr="00A16CEF">
              <w:rPr>
                <w:rFonts w:cstheme="minorHAnsi"/>
              </w:rPr>
              <w:lastRenderedPageBreak/>
              <w:t xml:space="preserve">staff attended awareness and training sessions provided and over 50 attended the Lync training sessions.  The project was used as a vehicle to formalise flexible home working arrangements for all staff.  A total of 50 applications were received with half from the Operations directorate.  The highest proportionate uptake was in Bristol where a third of staff submitted an application. At the end of the project 116 staff had engaged in home working with 68 staff being identified as office based.   </w:t>
            </w:r>
          </w:p>
          <w:p w:rsidR="00582FD1" w:rsidRPr="00A16CEF" w:rsidRDefault="00582FD1" w:rsidP="00582FD1">
            <w:pPr>
              <w:spacing w:before="100" w:beforeAutospacing="1"/>
              <w:rPr>
                <w:rFonts w:cstheme="minorHAnsi"/>
              </w:rPr>
            </w:pPr>
            <w:r w:rsidRPr="00A16CEF">
              <w:rPr>
                <w:rFonts w:cstheme="minorHAnsi"/>
                <w:u w:val="single"/>
              </w:rPr>
              <w:t>London property update</w:t>
            </w:r>
            <w:r w:rsidRPr="00A16CEF">
              <w:rPr>
                <w:rFonts w:cstheme="minorHAnsi"/>
              </w:rPr>
              <w:t xml:space="preserve"> – we continue to await further information on progress regarding a new lease for Skipton House.  </w:t>
            </w:r>
          </w:p>
          <w:p w:rsidR="00582FD1" w:rsidRPr="00A16CEF" w:rsidRDefault="00582FD1" w:rsidP="00582FD1">
            <w:pPr>
              <w:spacing w:before="100" w:beforeAutospacing="1"/>
              <w:rPr>
                <w:rFonts w:cstheme="minorHAnsi"/>
              </w:rPr>
            </w:pPr>
            <w:r w:rsidRPr="00A16CEF">
              <w:rPr>
                <w:rFonts w:cstheme="minorHAnsi"/>
                <w:u w:val="single"/>
              </w:rPr>
              <w:t>Nottingham</w:t>
            </w:r>
            <w:r w:rsidRPr="00A16CEF">
              <w:rPr>
                <w:rFonts w:cstheme="minorHAnsi"/>
              </w:rPr>
              <w:t xml:space="preserve"> – final lease nearing completion.</w:t>
            </w:r>
          </w:p>
          <w:p w:rsidR="00582FD1" w:rsidRPr="00A16CEF" w:rsidRDefault="00582FD1" w:rsidP="00582FD1">
            <w:pPr>
              <w:spacing w:before="100" w:beforeAutospacing="1"/>
              <w:rPr>
                <w:rFonts w:cstheme="minorHAnsi"/>
                <w:b/>
                <w:i/>
              </w:rPr>
            </w:pPr>
            <w:r w:rsidRPr="00A16CEF">
              <w:rPr>
                <w:rFonts w:cstheme="minorHAnsi"/>
                <w:b/>
                <w:i/>
              </w:rPr>
              <w:t>Procurement</w:t>
            </w:r>
          </w:p>
          <w:p w:rsidR="00582FD1" w:rsidRPr="00A16CEF" w:rsidRDefault="00582FD1" w:rsidP="00582FD1">
            <w:pPr>
              <w:spacing w:before="100" w:beforeAutospacing="1"/>
              <w:rPr>
                <w:rFonts w:cstheme="minorHAnsi"/>
              </w:rPr>
            </w:pPr>
            <w:r w:rsidRPr="00A16CEF">
              <w:rPr>
                <w:rFonts w:cstheme="minorHAnsi"/>
              </w:rPr>
              <w:t xml:space="preserve">Procurement audit completed with moderate rating and actions agreed.  Contract management audit due to start. </w:t>
            </w:r>
          </w:p>
          <w:p w:rsidR="00582FD1" w:rsidRPr="00A16CEF" w:rsidRDefault="00582FD1" w:rsidP="00582FD1">
            <w:pPr>
              <w:spacing w:before="100" w:beforeAutospacing="1"/>
              <w:rPr>
                <w:rFonts w:cstheme="minorHAnsi"/>
              </w:rPr>
            </w:pPr>
            <w:r w:rsidRPr="00A16CEF">
              <w:rPr>
                <w:rFonts w:cstheme="minorHAnsi"/>
              </w:rPr>
              <w:t>Procurement strategy and annual procurement plan reviewed.</w:t>
            </w:r>
          </w:p>
          <w:p w:rsidR="00582FD1" w:rsidRPr="00A16CEF" w:rsidRDefault="00582FD1" w:rsidP="00582FD1">
            <w:pPr>
              <w:spacing w:before="100" w:beforeAutospacing="1"/>
              <w:rPr>
                <w:rFonts w:eastAsia="Calibri" w:cstheme="minorHAnsi"/>
                <w:b/>
                <w:i/>
              </w:rPr>
            </w:pPr>
            <w:r w:rsidRPr="00A16CEF">
              <w:rPr>
                <w:rFonts w:eastAsia="Calibri" w:cstheme="minorHAnsi"/>
                <w:b/>
                <w:i/>
              </w:rPr>
              <w:t>Operations</w:t>
            </w:r>
          </w:p>
          <w:p w:rsidR="00582FD1" w:rsidRPr="00A16CEF" w:rsidRDefault="00582FD1" w:rsidP="00582FD1">
            <w:pPr>
              <w:spacing w:before="100" w:beforeAutospacing="1"/>
              <w:rPr>
                <w:rFonts w:eastAsia="Calibri" w:cstheme="minorHAnsi"/>
              </w:rPr>
            </w:pPr>
            <w:r w:rsidRPr="00A16CEF">
              <w:rPr>
                <w:rFonts w:eastAsia="Calibri" w:cstheme="minorHAnsi"/>
                <w:u w:val="single"/>
              </w:rPr>
              <w:t>Jersey Research Ethics Service</w:t>
            </w:r>
          </w:p>
          <w:p w:rsidR="00582FD1" w:rsidRPr="00A16CEF" w:rsidRDefault="00582FD1" w:rsidP="00582FD1">
            <w:pPr>
              <w:spacing w:before="100" w:beforeAutospacing="1"/>
              <w:rPr>
                <w:rFonts w:eastAsia="Calibri" w:cstheme="minorHAnsi"/>
              </w:rPr>
            </w:pPr>
            <w:r w:rsidRPr="00A16CEF">
              <w:rPr>
                <w:rFonts w:eastAsia="Calibri" w:cstheme="minorHAnsi"/>
              </w:rPr>
              <w:t>We have been approached to provide training to the Jersey research ethics service.  David Carpenter, REC Chair and Charlotte Allen from the operations will undertake this work.</w:t>
            </w:r>
          </w:p>
          <w:p w:rsidR="00582FD1" w:rsidRPr="00A16CEF" w:rsidRDefault="00582FD1" w:rsidP="00582FD1">
            <w:pPr>
              <w:spacing w:before="100" w:beforeAutospacing="1"/>
              <w:rPr>
                <w:rFonts w:eastAsia="Calibri" w:cstheme="minorHAnsi"/>
              </w:rPr>
            </w:pPr>
            <w:r w:rsidRPr="00A16CEF">
              <w:rPr>
                <w:rFonts w:eastAsia="Calibri" w:cstheme="minorHAnsi"/>
                <w:u w:val="single"/>
              </w:rPr>
              <w:t>Appeals against REC unfavourable opinion 2015-2016</w:t>
            </w:r>
          </w:p>
          <w:p w:rsidR="00582FD1" w:rsidRPr="00A16CEF" w:rsidRDefault="00582FD1" w:rsidP="00582FD1">
            <w:pPr>
              <w:spacing w:before="100" w:beforeAutospacing="1"/>
              <w:jc w:val="both"/>
              <w:rPr>
                <w:rFonts w:cstheme="minorHAnsi"/>
              </w:rPr>
            </w:pPr>
            <w:r w:rsidRPr="00A16CEF">
              <w:rPr>
                <w:rFonts w:cstheme="minorHAnsi"/>
              </w:rPr>
              <w:t xml:space="preserve">A total of 12 requests were received to appeal an unfavourable opinion for a new application. Of the total requests received, 6 were allowed, 1 did not proceed and 5 were resubmitted as a new application. On receipt of the appeal request, consideration is given to the various options available to proceed and the applicant is advised. Where it is clear that the applicant is able to make the changes requested as part of the unfavourable opinion, the applicant is advised that resubmission to the same REC after making the changes is advisable. All 5 applications which were resubmitted to the same REC instead of proceeding as an appeal received a favourable opinion from the REC after the second submission. </w:t>
            </w:r>
          </w:p>
          <w:p w:rsidR="00582FD1" w:rsidRPr="00A16CEF" w:rsidRDefault="00582FD1" w:rsidP="00582FD1">
            <w:pPr>
              <w:spacing w:before="100" w:beforeAutospacing="1"/>
              <w:jc w:val="both"/>
              <w:rPr>
                <w:rFonts w:cstheme="minorHAnsi"/>
              </w:rPr>
            </w:pPr>
            <w:r w:rsidRPr="00A16CEF">
              <w:rPr>
                <w:rFonts w:cstheme="minorHAnsi"/>
              </w:rPr>
              <w:t>Of the 6 applications which went to appeal, 3 received a further unfavourable opinion, one received a further information favourable opinion and two have not yet received a final opinion and currently have a provisional opinion.  An analysis was carried out on the application which received a favourable opinion to check for consistency of decision making.  The application had previously received an unfavourable opinion prior to the unfavourable opinion on appeal.  Both unfavourable opinions related to the lack of informed consent on behalf of some of the research participants.  The same issue was raised by the appeal REC and the researchers agreed to change the study to recruit only those participants who had given fully informed consent.</w:t>
            </w:r>
          </w:p>
          <w:p w:rsidR="00582FD1" w:rsidRPr="00A16CEF" w:rsidRDefault="00582FD1" w:rsidP="00582FD1">
            <w:pPr>
              <w:spacing w:before="100" w:beforeAutospacing="1"/>
              <w:rPr>
                <w:rFonts w:cstheme="minorHAnsi"/>
                <w:u w:val="single"/>
              </w:rPr>
            </w:pPr>
            <w:r w:rsidRPr="00A16CEF">
              <w:rPr>
                <w:rFonts w:cstheme="minorHAnsi"/>
                <w:u w:val="single"/>
              </w:rPr>
              <w:lastRenderedPageBreak/>
              <w:t>REC Performance 2015-16</w:t>
            </w:r>
          </w:p>
          <w:p w:rsidR="00582FD1" w:rsidRPr="00A16CEF" w:rsidRDefault="00582FD1" w:rsidP="00582FD1">
            <w:pPr>
              <w:spacing w:before="100" w:beforeAutospacing="1"/>
              <w:rPr>
                <w:rFonts w:cstheme="minorHAnsi"/>
              </w:rPr>
            </w:pPr>
            <w:r w:rsidRPr="00A16CEF">
              <w:rPr>
                <w:rFonts w:cstheme="minorHAnsi"/>
              </w:rPr>
              <w:t>The workload data for submission to RECs in 2015-16 showed that 4994 applications were submitted to RECs in England and 6220 across the UK.  This figure has been consistent now for a number of years.</w:t>
            </w:r>
          </w:p>
          <w:p w:rsidR="00582FD1" w:rsidRPr="00A16CEF" w:rsidRDefault="00582FD1" w:rsidP="00582FD1">
            <w:pPr>
              <w:spacing w:before="100" w:beforeAutospacing="1"/>
              <w:rPr>
                <w:rFonts w:cstheme="minorHAnsi"/>
              </w:rPr>
            </w:pPr>
            <w:r w:rsidRPr="00A16CEF">
              <w:rPr>
                <w:rFonts w:cstheme="minorHAnsi"/>
              </w:rPr>
              <w:t>Of the 68 RECs in England the following performance targets were achieved with 100% compliance.</w:t>
            </w:r>
          </w:p>
          <w:p w:rsidR="00582FD1" w:rsidRPr="00A16CEF" w:rsidRDefault="00582FD1" w:rsidP="00582FD1">
            <w:pPr>
              <w:spacing w:before="100" w:beforeAutospacing="1"/>
              <w:rPr>
                <w:rFonts w:cstheme="minorHAnsi"/>
                <w:u w:val="single"/>
              </w:rPr>
            </w:pPr>
            <w:r w:rsidRPr="00A16CEF">
              <w:rPr>
                <w:rFonts w:cstheme="minorHAnsi"/>
                <w:u w:val="single"/>
              </w:rPr>
              <w:t>Statutory</w:t>
            </w:r>
          </w:p>
          <w:p w:rsidR="00582FD1" w:rsidRPr="00A16CEF" w:rsidRDefault="00582FD1" w:rsidP="00582FD1">
            <w:pPr>
              <w:spacing w:before="100" w:beforeAutospacing="1"/>
              <w:rPr>
                <w:rFonts w:cstheme="minorHAnsi"/>
              </w:rPr>
            </w:pPr>
            <w:r w:rsidRPr="00A16CEF">
              <w:rPr>
                <w:rFonts w:cstheme="minorHAnsi"/>
              </w:rPr>
              <w:t xml:space="preserve">Full Applications – 48 RECs </w:t>
            </w:r>
          </w:p>
          <w:p w:rsidR="00582FD1" w:rsidRPr="00A16CEF" w:rsidRDefault="00582FD1" w:rsidP="00582FD1">
            <w:pPr>
              <w:spacing w:before="100" w:beforeAutospacing="1"/>
              <w:rPr>
                <w:rFonts w:cstheme="minorHAnsi"/>
              </w:rPr>
            </w:pPr>
            <w:r w:rsidRPr="00A16CEF">
              <w:rPr>
                <w:rFonts w:cstheme="minorHAnsi"/>
              </w:rPr>
              <w:t>Proportionate Review – 46 RECs</w:t>
            </w:r>
          </w:p>
          <w:p w:rsidR="00582FD1" w:rsidRPr="00A16CEF" w:rsidRDefault="00582FD1" w:rsidP="00582FD1">
            <w:pPr>
              <w:spacing w:before="100" w:beforeAutospacing="1"/>
              <w:rPr>
                <w:rFonts w:cstheme="minorHAnsi"/>
                <w:u w:val="single"/>
              </w:rPr>
            </w:pPr>
            <w:r w:rsidRPr="00A16CEF">
              <w:rPr>
                <w:rFonts w:cstheme="minorHAnsi"/>
                <w:u w:val="single"/>
              </w:rPr>
              <w:t>Stretch target</w:t>
            </w:r>
          </w:p>
          <w:p w:rsidR="00582FD1" w:rsidRPr="00A16CEF" w:rsidRDefault="00582FD1" w:rsidP="00582FD1">
            <w:pPr>
              <w:spacing w:before="100" w:beforeAutospacing="1"/>
              <w:rPr>
                <w:rFonts w:cstheme="minorHAnsi"/>
              </w:rPr>
            </w:pPr>
            <w:r w:rsidRPr="00A16CEF">
              <w:rPr>
                <w:rFonts w:cstheme="minorHAnsi"/>
              </w:rPr>
              <w:t>Full Applications - 30 RECs</w:t>
            </w:r>
          </w:p>
          <w:p w:rsidR="00582FD1" w:rsidRPr="00A16CEF" w:rsidRDefault="00582FD1" w:rsidP="00582FD1">
            <w:pPr>
              <w:spacing w:before="100" w:beforeAutospacing="1"/>
              <w:rPr>
                <w:rFonts w:cstheme="minorHAnsi"/>
              </w:rPr>
            </w:pPr>
            <w:r w:rsidRPr="00A16CEF">
              <w:rPr>
                <w:rFonts w:cstheme="minorHAnsi"/>
              </w:rPr>
              <w:t>Proportionate Review – 32 RECs</w:t>
            </w:r>
          </w:p>
          <w:p w:rsidR="00582FD1" w:rsidRPr="00A16CEF" w:rsidRDefault="00582FD1" w:rsidP="00582FD1">
            <w:pPr>
              <w:spacing w:before="100" w:beforeAutospacing="1"/>
              <w:rPr>
                <w:rFonts w:cstheme="minorHAnsi"/>
              </w:rPr>
            </w:pPr>
            <w:r w:rsidRPr="00A16CEF">
              <w:rPr>
                <w:rFonts w:cstheme="minorHAnsi"/>
              </w:rPr>
              <w:t>Amendments – 38 RECs</w:t>
            </w:r>
          </w:p>
          <w:p w:rsidR="00582FD1" w:rsidRPr="00A16CEF" w:rsidRDefault="00582FD1" w:rsidP="00582FD1">
            <w:pPr>
              <w:spacing w:before="100" w:beforeAutospacing="1"/>
              <w:rPr>
                <w:rFonts w:eastAsia="Calibri" w:cstheme="minorHAnsi"/>
                <w:b/>
                <w:u w:val="single"/>
              </w:rPr>
            </w:pPr>
            <w:r w:rsidRPr="00A16CEF">
              <w:rPr>
                <w:rFonts w:eastAsia="Calibri" w:cstheme="minorHAnsi"/>
                <w:u w:val="single"/>
              </w:rPr>
              <w:t>MI data per Centre</w:t>
            </w:r>
          </w:p>
          <w:p w:rsidR="00582FD1" w:rsidRDefault="00582FD1" w:rsidP="00582FD1">
            <w:pPr>
              <w:jc w:val="both"/>
              <w:rPr>
                <w:rFonts w:eastAsia="Calibri" w:cstheme="minorHAnsi"/>
                <w:i/>
              </w:rPr>
            </w:pPr>
            <w:r w:rsidRPr="00A16CEF">
              <w:rPr>
                <w:rFonts w:eastAsia="Calibri" w:cstheme="minorHAnsi"/>
                <w:i/>
              </w:rPr>
              <w:t>Full Applications</w:t>
            </w:r>
          </w:p>
          <w:tbl>
            <w:tblPr>
              <w:tblStyle w:val="TableGrid"/>
              <w:tblW w:w="0" w:type="auto"/>
              <w:tblLayout w:type="fixed"/>
              <w:tblLook w:val="04A0" w:firstRow="1" w:lastRow="0" w:firstColumn="1" w:lastColumn="0" w:noHBand="0" w:noVBand="1"/>
            </w:tblPr>
            <w:tblGrid>
              <w:gridCol w:w="1540"/>
              <w:gridCol w:w="980"/>
              <w:gridCol w:w="849"/>
              <w:gridCol w:w="1288"/>
              <w:gridCol w:w="888"/>
              <w:gridCol w:w="1429"/>
            </w:tblGrid>
            <w:tr w:rsidR="00582FD1" w:rsidRPr="00A16CEF" w:rsidTr="00582FD1">
              <w:tc>
                <w:tcPr>
                  <w:tcW w:w="1540" w:type="dxa"/>
                  <w:shd w:val="pct12" w:color="auto" w:fill="auto"/>
                </w:tcPr>
                <w:p w:rsidR="00582FD1" w:rsidRPr="00A16CEF" w:rsidRDefault="00582FD1" w:rsidP="00326EB1">
                  <w:pPr>
                    <w:spacing w:before="100" w:beforeAutospacing="1" w:line="276" w:lineRule="auto"/>
                    <w:rPr>
                      <w:rFonts w:eastAsia="Calibri" w:cstheme="minorHAnsi"/>
                    </w:rPr>
                  </w:pPr>
                </w:p>
              </w:tc>
              <w:tc>
                <w:tcPr>
                  <w:tcW w:w="980" w:type="dxa"/>
                  <w:shd w:val="pct12" w:color="auto" w:fill="auto"/>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Jarrow</w:t>
                  </w:r>
                </w:p>
              </w:tc>
              <w:tc>
                <w:tcPr>
                  <w:tcW w:w="849" w:type="dxa"/>
                  <w:shd w:val="pct12" w:color="auto" w:fill="auto"/>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Bristol</w:t>
                  </w:r>
                </w:p>
              </w:tc>
              <w:tc>
                <w:tcPr>
                  <w:tcW w:w="1288" w:type="dxa"/>
                  <w:shd w:val="pct12" w:color="auto" w:fill="auto"/>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Nottingham</w:t>
                  </w:r>
                </w:p>
              </w:tc>
              <w:tc>
                <w:tcPr>
                  <w:tcW w:w="888" w:type="dxa"/>
                  <w:shd w:val="pct12" w:color="auto" w:fill="auto"/>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London</w:t>
                  </w:r>
                </w:p>
              </w:tc>
              <w:tc>
                <w:tcPr>
                  <w:tcW w:w="1429" w:type="dxa"/>
                  <w:shd w:val="pct12" w:color="auto" w:fill="auto"/>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Manchester</w:t>
                  </w:r>
                </w:p>
              </w:tc>
            </w:tr>
            <w:tr w:rsidR="00582FD1" w:rsidRPr="00A16CEF" w:rsidTr="00582FD1">
              <w:tc>
                <w:tcPr>
                  <w:tcW w:w="1540"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 in Statutory target (60 days)</w:t>
                  </w:r>
                </w:p>
              </w:tc>
              <w:tc>
                <w:tcPr>
                  <w:tcW w:w="980"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99.8%</w:t>
                  </w:r>
                </w:p>
              </w:tc>
              <w:tc>
                <w:tcPr>
                  <w:tcW w:w="849"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99.6%</w:t>
                  </w:r>
                </w:p>
              </w:tc>
              <w:tc>
                <w:tcPr>
                  <w:tcW w:w="1288"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99.4%</w:t>
                  </w:r>
                </w:p>
              </w:tc>
              <w:tc>
                <w:tcPr>
                  <w:tcW w:w="888"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99.1%</w:t>
                  </w:r>
                </w:p>
              </w:tc>
              <w:tc>
                <w:tcPr>
                  <w:tcW w:w="1429"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99.6%</w:t>
                  </w:r>
                </w:p>
              </w:tc>
            </w:tr>
            <w:tr w:rsidR="00582FD1" w:rsidRPr="00A16CEF" w:rsidTr="00582FD1">
              <w:tc>
                <w:tcPr>
                  <w:tcW w:w="1540"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 xml:space="preserve">% in KPI (40 days) </w:t>
                  </w:r>
                </w:p>
              </w:tc>
              <w:tc>
                <w:tcPr>
                  <w:tcW w:w="980" w:type="dxa"/>
                </w:tcPr>
                <w:p w:rsidR="00582FD1" w:rsidRPr="00A16CEF" w:rsidRDefault="00582FD1" w:rsidP="00326EB1">
                  <w:pPr>
                    <w:spacing w:before="100" w:beforeAutospacing="1" w:line="276" w:lineRule="auto"/>
                    <w:rPr>
                      <w:rFonts w:eastAsia="Calibri" w:cstheme="minorHAnsi"/>
                    </w:rPr>
                  </w:pPr>
                  <w:r>
                    <w:rPr>
                      <w:rFonts w:eastAsia="Calibri" w:cstheme="minorHAnsi"/>
                    </w:rPr>
                    <w:t>95.6%</w:t>
                  </w:r>
                </w:p>
              </w:tc>
              <w:tc>
                <w:tcPr>
                  <w:tcW w:w="849"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88.2%</w:t>
                  </w:r>
                </w:p>
              </w:tc>
              <w:tc>
                <w:tcPr>
                  <w:tcW w:w="1288"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90.5%</w:t>
                  </w:r>
                </w:p>
              </w:tc>
              <w:tc>
                <w:tcPr>
                  <w:tcW w:w="888"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79.1%</w:t>
                  </w:r>
                </w:p>
              </w:tc>
              <w:tc>
                <w:tcPr>
                  <w:tcW w:w="1429"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92.3%</w:t>
                  </w:r>
                </w:p>
              </w:tc>
            </w:tr>
          </w:tbl>
          <w:p w:rsidR="00582FD1" w:rsidRPr="00A16CEF" w:rsidRDefault="00582FD1" w:rsidP="00582FD1">
            <w:pPr>
              <w:spacing w:before="100" w:beforeAutospacing="1"/>
              <w:rPr>
                <w:rFonts w:eastAsia="Calibri" w:cstheme="minorHAnsi"/>
                <w:i/>
              </w:rPr>
            </w:pPr>
            <w:r w:rsidRPr="00A16CEF">
              <w:rPr>
                <w:rFonts w:eastAsia="Calibri" w:cstheme="minorHAnsi"/>
                <w:i/>
              </w:rPr>
              <w:t xml:space="preserve">Proportionate Review Applications </w:t>
            </w:r>
          </w:p>
          <w:tbl>
            <w:tblPr>
              <w:tblStyle w:val="TableGrid"/>
              <w:tblW w:w="0" w:type="auto"/>
              <w:tblLayout w:type="fixed"/>
              <w:tblLook w:val="04A0" w:firstRow="1" w:lastRow="0" w:firstColumn="1" w:lastColumn="0" w:noHBand="0" w:noVBand="1"/>
            </w:tblPr>
            <w:tblGrid>
              <w:gridCol w:w="1540"/>
              <w:gridCol w:w="836"/>
              <w:gridCol w:w="851"/>
              <w:gridCol w:w="1288"/>
              <w:gridCol w:w="888"/>
              <w:gridCol w:w="1571"/>
            </w:tblGrid>
            <w:tr w:rsidR="00582FD1" w:rsidRPr="00A16CEF" w:rsidTr="00582FD1">
              <w:tc>
                <w:tcPr>
                  <w:tcW w:w="1540" w:type="dxa"/>
                  <w:shd w:val="pct10" w:color="auto" w:fill="auto"/>
                </w:tcPr>
                <w:p w:rsidR="00582FD1" w:rsidRPr="00A16CEF" w:rsidRDefault="00582FD1" w:rsidP="00326EB1">
                  <w:pPr>
                    <w:spacing w:before="100" w:beforeAutospacing="1" w:line="276" w:lineRule="auto"/>
                    <w:rPr>
                      <w:rFonts w:eastAsia="Calibri" w:cstheme="minorHAnsi"/>
                    </w:rPr>
                  </w:pPr>
                </w:p>
              </w:tc>
              <w:tc>
                <w:tcPr>
                  <w:tcW w:w="836" w:type="dxa"/>
                  <w:shd w:val="pct10" w:color="auto" w:fill="auto"/>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Jarrow</w:t>
                  </w:r>
                </w:p>
              </w:tc>
              <w:tc>
                <w:tcPr>
                  <w:tcW w:w="851" w:type="dxa"/>
                  <w:shd w:val="pct10" w:color="auto" w:fill="auto"/>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Bristol</w:t>
                  </w:r>
                </w:p>
              </w:tc>
              <w:tc>
                <w:tcPr>
                  <w:tcW w:w="1288" w:type="dxa"/>
                  <w:shd w:val="pct10" w:color="auto" w:fill="auto"/>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Nottingham</w:t>
                  </w:r>
                </w:p>
              </w:tc>
              <w:tc>
                <w:tcPr>
                  <w:tcW w:w="888" w:type="dxa"/>
                  <w:shd w:val="pct10" w:color="auto" w:fill="auto"/>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London</w:t>
                  </w:r>
                </w:p>
              </w:tc>
              <w:tc>
                <w:tcPr>
                  <w:tcW w:w="1571" w:type="dxa"/>
                  <w:shd w:val="pct10" w:color="auto" w:fill="auto"/>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Manchester</w:t>
                  </w:r>
                </w:p>
              </w:tc>
            </w:tr>
            <w:tr w:rsidR="00582FD1" w:rsidRPr="00A16CEF" w:rsidTr="00582FD1">
              <w:tc>
                <w:tcPr>
                  <w:tcW w:w="1540"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 xml:space="preserve">% reviewed in 14 calendar days </w:t>
                  </w:r>
                </w:p>
              </w:tc>
              <w:tc>
                <w:tcPr>
                  <w:tcW w:w="836"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97.7%</w:t>
                  </w:r>
                </w:p>
              </w:tc>
              <w:tc>
                <w:tcPr>
                  <w:tcW w:w="851"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93.2%</w:t>
                  </w:r>
                </w:p>
              </w:tc>
              <w:tc>
                <w:tcPr>
                  <w:tcW w:w="1288"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98.0%</w:t>
                  </w:r>
                </w:p>
              </w:tc>
              <w:tc>
                <w:tcPr>
                  <w:tcW w:w="888"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82.7%</w:t>
                  </w:r>
                </w:p>
              </w:tc>
              <w:tc>
                <w:tcPr>
                  <w:tcW w:w="1571"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93.1%</w:t>
                  </w:r>
                </w:p>
              </w:tc>
            </w:tr>
          </w:tbl>
          <w:p w:rsidR="00582FD1" w:rsidRPr="00A16CEF" w:rsidRDefault="00582FD1" w:rsidP="00582FD1">
            <w:pPr>
              <w:spacing w:before="100" w:beforeAutospacing="1"/>
              <w:rPr>
                <w:rFonts w:eastAsia="Calibri" w:cstheme="minorHAnsi"/>
                <w:i/>
              </w:rPr>
            </w:pPr>
            <w:r w:rsidRPr="00A16CEF">
              <w:rPr>
                <w:rFonts w:eastAsia="Calibri" w:cstheme="minorHAnsi"/>
                <w:i/>
              </w:rPr>
              <w:t xml:space="preserve">Substantial Amendments </w:t>
            </w:r>
          </w:p>
          <w:tbl>
            <w:tblPr>
              <w:tblStyle w:val="TableGrid"/>
              <w:tblW w:w="0" w:type="auto"/>
              <w:tblLayout w:type="fixed"/>
              <w:tblLook w:val="04A0" w:firstRow="1" w:lastRow="0" w:firstColumn="1" w:lastColumn="0" w:noHBand="0" w:noVBand="1"/>
            </w:tblPr>
            <w:tblGrid>
              <w:gridCol w:w="1540"/>
              <w:gridCol w:w="875"/>
              <w:gridCol w:w="812"/>
              <w:gridCol w:w="1288"/>
              <w:gridCol w:w="980"/>
              <w:gridCol w:w="1479"/>
            </w:tblGrid>
            <w:tr w:rsidR="00582FD1" w:rsidRPr="00A16CEF" w:rsidTr="00582FD1">
              <w:tc>
                <w:tcPr>
                  <w:tcW w:w="1540" w:type="dxa"/>
                  <w:shd w:val="pct10" w:color="auto" w:fill="auto"/>
                </w:tcPr>
                <w:p w:rsidR="00582FD1" w:rsidRPr="00A16CEF" w:rsidRDefault="00582FD1" w:rsidP="00326EB1">
                  <w:pPr>
                    <w:spacing w:before="100" w:beforeAutospacing="1" w:line="276" w:lineRule="auto"/>
                    <w:rPr>
                      <w:rFonts w:eastAsia="Calibri" w:cstheme="minorHAnsi"/>
                    </w:rPr>
                  </w:pPr>
                </w:p>
              </w:tc>
              <w:tc>
                <w:tcPr>
                  <w:tcW w:w="875" w:type="dxa"/>
                  <w:shd w:val="pct10" w:color="auto" w:fill="auto"/>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Jarrow</w:t>
                  </w:r>
                </w:p>
              </w:tc>
              <w:tc>
                <w:tcPr>
                  <w:tcW w:w="812" w:type="dxa"/>
                  <w:shd w:val="pct10" w:color="auto" w:fill="auto"/>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Bristol</w:t>
                  </w:r>
                </w:p>
              </w:tc>
              <w:tc>
                <w:tcPr>
                  <w:tcW w:w="1288" w:type="dxa"/>
                  <w:shd w:val="pct10" w:color="auto" w:fill="auto"/>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Nottingham</w:t>
                  </w:r>
                </w:p>
              </w:tc>
              <w:tc>
                <w:tcPr>
                  <w:tcW w:w="980" w:type="dxa"/>
                  <w:shd w:val="pct10" w:color="auto" w:fill="auto"/>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London</w:t>
                  </w:r>
                </w:p>
              </w:tc>
              <w:tc>
                <w:tcPr>
                  <w:tcW w:w="1479" w:type="dxa"/>
                  <w:shd w:val="pct10" w:color="auto" w:fill="auto"/>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Manchester</w:t>
                  </w:r>
                </w:p>
              </w:tc>
            </w:tr>
            <w:tr w:rsidR="00582FD1" w:rsidRPr="00A16CEF" w:rsidTr="00582FD1">
              <w:tc>
                <w:tcPr>
                  <w:tcW w:w="1540"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 in Statutory target (35 days)</w:t>
                  </w:r>
                </w:p>
              </w:tc>
              <w:tc>
                <w:tcPr>
                  <w:tcW w:w="875"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100.0%</w:t>
                  </w:r>
                </w:p>
              </w:tc>
              <w:tc>
                <w:tcPr>
                  <w:tcW w:w="812"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99.5%</w:t>
                  </w:r>
                </w:p>
              </w:tc>
              <w:tc>
                <w:tcPr>
                  <w:tcW w:w="1288"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99.9%</w:t>
                  </w:r>
                </w:p>
              </w:tc>
              <w:tc>
                <w:tcPr>
                  <w:tcW w:w="980"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98.8%</w:t>
                  </w:r>
                </w:p>
              </w:tc>
              <w:tc>
                <w:tcPr>
                  <w:tcW w:w="1479"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98.6%</w:t>
                  </w:r>
                </w:p>
              </w:tc>
            </w:tr>
            <w:tr w:rsidR="00582FD1" w:rsidRPr="00A16CEF" w:rsidTr="00582FD1">
              <w:tc>
                <w:tcPr>
                  <w:tcW w:w="1540"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 in KPI (28 days)</w:t>
                  </w:r>
                </w:p>
              </w:tc>
              <w:tc>
                <w:tcPr>
                  <w:tcW w:w="875"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97.3%</w:t>
                  </w:r>
                </w:p>
              </w:tc>
              <w:tc>
                <w:tcPr>
                  <w:tcW w:w="812"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92.7%</w:t>
                  </w:r>
                </w:p>
              </w:tc>
              <w:tc>
                <w:tcPr>
                  <w:tcW w:w="1288"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96.6%</w:t>
                  </w:r>
                </w:p>
              </w:tc>
              <w:tc>
                <w:tcPr>
                  <w:tcW w:w="980"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86.6%</w:t>
                  </w:r>
                </w:p>
              </w:tc>
              <w:tc>
                <w:tcPr>
                  <w:tcW w:w="1479" w:type="dxa"/>
                </w:tcPr>
                <w:p w:rsidR="00582FD1" w:rsidRPr="00A16CEF" w:rsidRDefault="00582FD1" w:rsidP="00326EB1">
                  <w:pPr>
                    <w:spacing w:before="100" w:beforeAutospacing="1" w:line="276" w:lineRule="auto"/>
                    <w:rPr>
                      <w:rFonts w:eastAsia="Calibri" w:cstheme="minorHAnsi"/>
                    </w:rPr>
                  </w:pPr>
                  <w:r w:rsidRPr="00A16CEF">
                    <w:rPr>
                      <w:rFonts w:eastAsia="Calibri" w:cstheme="minorHAnsi"/>
                    </w:rPr>
                    <w:t>91.9%</w:t>
                  </w:r>
                </w:p>
              </w:tc>
            </w:tr>
          </w:tbl>
          <w:p w:rsidR="00582FD1" w:rsidRPr="00A16CEF" w:rsidRDefault="00582FD1" w:rsidP="00582FD1">
            <w:pPr>
              <w:pStyle w:val="NormalWeb"/>
              <w:spacing w:line="276" w:lineRule="auto"/>
              <w:rPr>
                <w:rFonts w:asciiTheme="minorHAnsi" w:hAnsiTheme="minorHAnsi" w:cstheme="minorHAnsi"/>
                <w:b/>
                <w:bCs/>
                <w:i/>
                <w:sz w:val="22"/>
                <w:szCs w:val="22"/>
              </w:rPr>
            </w:pPr>
            <w:r w:rsidRPr="00A16CEF">
              <w:rPr>
                <w:rFonts w:asciiTheme="minorHAnsi" w:hAnsiTheme="minorHAnsi" w:cstheme="minorHAnsi"/>
                <w:b/>
                <w:bCs/>
                <w:i/>
                <w:sz w:val="22"/>
                <w:szCs w:val="22"/>
              </w:rPr>
              <w:lastRenderedPageBreak/>
              <w:t>HRA Queries Line service</w:t>
            </w:r>
          </w:p>
          <w:p w:rsidR="00582FD1" w:rsidRPr="00A16CEF" w:rsidRDefault="00582FD1" w:rsidP="00582FD1">
            <w:pPr>
              <w:spacing w:before="100" w:beforeAutospacing="1"/>
              <w:rPr>
                <w:rFonts w:cstheme="minorHAnsi"/>
                <w:lang w:eastAsia="en-GB"/>
              </w:rPr>
            </w:pPr>
            <w:r w:rsidRPr="00A16CEF">
              <w:rPr>
                <w:rFonts w:cstheme="minorHAnsi"/>
                <w:lang w:eastAsia="en-GB"/>
              </w:rPr>
              <w:t xml:space="preserve">As reported in the last CE update, during the last quarter of 2015-16 there was a steady increase in the number of queries received by the HRA Queries Line meaning that by the end of Q4 the number of queries received had increased by approximately 45% as compared to Q1-Q3 of 2015-16. However, despite this increase demand on the service it appears that it is continuing to rate well, with the most recent HRA User Satisfaction survey showing that during October 2015 – March 2016 an average of 87% of respondents to the survey rated the HRA Queries Line service as excellent or good. (This compares with an average of 92% rating it as good or excellent </w:t>
            </w:r>
            <w:proofErr w:type="gramStart"/>
            <w:r w:rsidRPr="00A16CEF">
              <w:rPr>
                <w:rFonts w:cstheme="minorHAnsi"/>
                <w:lang w:eastAsia="en-GB"/>
              </w:rPr>
              <w:t>between April 2014 – March 2016</w:t>
            </w:r>
            <w:proofErr w:type="gramEnd"/>
            <w:r w:rsidRPr="00A16CEF">
              <w:rPr>
                <w:rFonts w:cstheme="minorHAnsi"/>
                <w:lang w:eastAsia="en-GB"/>
              </w:rPr>
              <w:t xml:space="preserve">). This increased demand on the service appears to be continuing in Q1 of 2016-17 and the Guidance &amp; Advice team are continuing to carefully monitor the volume and nature of queries received to ensure current service levels continue to be maintained. </w:t>
            </w:r>
          </w:p>
          <w:p w:rsidR="00582FD1" w:rsidRPr="00A16CEF" w:rsidRDefault="00582FD1" w:rsidP="00582FD1">
            <w:pPr>
              <w:pStyle w:val="NormalWeb"/>
              <w:spacing w:line="276" w:lineRule="auto"/>
              <w:rPr>
                <w:rFonts w:asciiTheme="minorHAnsi" w:hAnsiTheme="minorHAnsi" w:cstheme="minorHAnsi"/>
                <w:i/>
                <w:sz w:val="22"/>
                <w:szCs w:val="22"/>
              </w:rPr>
            </w:pPr>
            <w:r w:rsidRPr="00A16CEF">
              <w:rPr>
                <w:rFonts w:asciiTheme="minorHAnsi" w:hAnsiTheme="minorHAnsi" w:cstheme="minorHAnsi"/>
                <w:b/>
                <w:bCs/>
                <w:i/>
                <w:sz w:val="22"/>
                <w:szCs w:val="22"/>
              </w:rPr>
              <w:t>Updated IRAS E-learning module</w:t>
            </w:r>
            <w:r w:rsidRPr="00A16CEF">
              <w:rPr>
                <w:rFonts w:asciiTheme="minorHAnsi" w:hAnsiTheme="minorHAnsi" w:cstheme="minorHAnsi"/>
                <w:i/>
                <w:sz w:val="22"/>
                <w:szCs w:val="22"/>
              </w:rPr>
              <w:t xml:space="preserve"> </w:t>
            </w:r>
          </w:p>
          <w:p w:rsidR="00582FD1" w:rsidRPr="00A16CEF" w:rsidRDefault="00582FD1" w:rsidP="00582FD1">
            <w:pPr>
              <w:pStyle w:val="NormalWeb"/>
              <w:spacing w:line="276" w:lineRule="auto"/>
              <w:rPr>
                <w:rFonts w:asciiTheme="minorHAnsi" w:hAnsiTheme="minorHAnsi" w:cstheme="minorHAnsi"/>
                <w:sz w:val="22"/>
                <w:szCs w:val="22"/>
              </w:rPr>
            </w:pPr>
            <w:r w:rsidRPr="00A16CEF">
              <w:rPr>
                <w:rFonts w:asciiTheme="minorHAnsi" w:hAnsiTheme="minorHAnsi" w:cstheme="minorHAnsi"/>
                <w:sz w:val="22"/>
                <w:szCs w:val="22"/>
              </w:rPr>
              <w:t xml:space="preserve">An updated version of the IRAS e-learning module has been prepared and will be published on the IRAS website in the coming weeks. This version, which replaces the original module that was published in 2009, has a revised layout as well as updating and expanding the content in response to common queries from </w:t>
            </w:r>
            <w:proofErr w:type="gramStart"/>
            <w:r w:rsidRPr="00A16CEF">
              <w:rPr>
                <w:rFonts w:asciiTheme="minorHAnsi" w:hAnsiTheme="minorHAnsi" w:cstheme="minorHAnsi"/>
                <w:sz w:val="22"/>
                <w:szCs w:val="22"/>
              </w:rPr>
              <w:t>IRAS</w:t>
            </w:r>
            <w:proofErr w:type="gramEnd"/>
            <w:r w:rsidRPr="00A16CEF">
              <w:rPr>
                <w:rFonts w:asciiTheme="minorHAnsi" w:hAnsiTheme="minorHAnsi" w:cstheme="minorHAnsi"/>
                <w:sz w:val="22"/>
                <w:szCs w:val="22"/>
              </w:rPr>
              <w:t xml:space="preserve"> users. The module continues to provide an online guide to IRAS and the functionality that the system offers. Users can still choose whether to work through the whole module or just specific sections of interest and it will remain free to use with no need to register prior to using. </w:t>
            </w:r>
          </w:p>
          <w:p w:rsidR="00582FD1" w:rsidRPr="00A16CEF" w:rsidRDefault="00582FD1" w:rsidP="00582FD1">
            <w:pPr>
              <w:spacing w:before="100" w:beforeAutospacing="1"/>
              <w:rPr>
                <w:rFonts w:cstheme="minorHAnsi"/>
                <w:b/>
                <w:i/>
              </w:rPr>
            </w:pPr>
            <w:r w:rsidRPr="00A16CEF">
              <w:rPr>
                <w:rFonts w:cstheme="minorHAnsi"/>
                <w:b/>
                <w:i/>
              </w:rPr>
              <w:t>Communications</w:t>
            </w:r>
          </w:p>
          <w:p w:rsidR="00582FD1" w:rsidRPr="00A16CEF" w:rsidRDefault="00582FD1" w:rsidP="00582FD1">
            <w:pPr>
              <w:spacing w:before="100" w:beforeAutospacing="1"/>
              <w:rPr>
                <w:rFonts w:cstheme="minorHAnsi"/>
              </w:rPr>
            </w:pPr>
            <w:r w:rsidRPr="00A16CEF">
              <w:rPr>
                <w:rFonts w:cstheme="minorHAnsi"/>
              </w:rPr>
              <w:t>During the last month the Comms team have been supporting preparations for our attendance at the NHS R&amp;D forum on 23 &amp; 24 May and also for the ARMA conference in June. This has also involved working closely with the public involvement team to prepare for the launch of the joint HRA/INVOLVE statement on Public involvement in research and research ethics committee review and a  joint briefing from the Health Research Authority and INVOLVE on how public involvement can help in the ethical design and conduct of research.</w:t>
            </w:r>
          </w:p>
          <w:p w:rsidR="00582FD1" w:rsidRPr="00A16CEF" w:rsidRDefault="00582FD1" w:rsidP="00582FD1">
            <w:pPr>
              <w:spacing w:before="100" w:beforeAutospacing="1"/>
              <w:rPr>
                <w:rFonts w:cstheme="minorHAnsi"/>
              </w:rPr>
            </w:pPr>
            <w:r w:rsidRPr="00A16CEF">
              <w:rPr>
                <w:rFonts w:cstheme="minorHAnsi"/>
              </w:rPr>
              <w:t>They have continued to deliver Comms</w:t>
            </w:r>
            <w:r>
              <w:rPr>
                <w:rFonts w:cstheme="minorHAnsi"/>
              </w:rPr>
              <w:t xml:space="preserve"> in</w:t>
            </w:r>
            <w:r w:rsidRPr="00A16CEF">
              <w:rPr>
                <w:rFonts w:cstheme="minorHAnsi"/>
              </w:rPr>
              <w:t> support of HRA Approval which has been a key priority.</w:t>
            </w:r>
          </w:p>
          <w:p w:rsidR="00582FD1" w:rsidRPr="00A16CEF" w:rsidRDefault="00582FD1" w:rsidP="00582FD1">
            <w:pPr>
              <w:spacing w:before="100" w:beforeAutospacing="1"/>
              <w:rPr>
                <w:rFonts w:cstheme="minorHAnsi"/>
              </w:rPr>
            </w:pPr>
            <w:r w:rsidRPr="00A16CEF">
              <w:rPr>
                <w:rFonts w:cstheme="minorHAnsi"/>
              </w:rPr>
              <w:t>Work has been underway to develop the next issue of HRA Latest which will be due out shortly.</w:t>
            </w:r>
          </w:p>
          <w:p w:rsidR="00582FD1" w:rsidRPr="00A16CEF" w:rsidRDefault="00582FD1" w:rsidP="00582FD1">
            <w:pPr>
              <w:spacing w:before="100" w:beforeAutospacing="1"/>
              <w:rPr>
                <w:rFonts w:cstheme="minorHAnsi"/>
              </w:rPr>
            </w:pPr>
            <w:r w:rsidRPr="00A16CEF">
              <w:rPr>
                <w:rFonts w:cstheme="minorHAnsi"/>
              </w:rPr>
              <w:t xml:space="preserve">Progress in relation to the web redevelopment work has included recruitment activity for a product and delivery manager, development of the project documentation and taking forward discussions with finance and procurement for the hosting and maintenance contract. The existing programme of review and updates to the website has been maintained and the new section for the patients and public is close to being finalised in conjunction with the public </w:t>
            </w:r>
            <w:r w:rsidRPr="00A16CEF">
              <w:rPr>
                <w:rFonts w:cstheme="minorHAnsi"/>
              </w:rPr>
              <w:lastRenderedPageBreak/>
              <w:t>involvement team.</w:t>
            </w:r>
          </w:p>
          <w:p w:rsidR="00582FD1" w:rsidRPr="00A16CEF" w:rsidRDefault="00582FD1" w:rsidP="00582FD1">
            <w:pPr>
              <w:spacing w:before="100" w:beforeAutospacing="1"/>
              <w:rPr>
                <w:rFonts w:cstheme="minorHAnsi"/>
              </w:rPr>
            </w:pPr>
            <w:r w:rsidRPr="00A16CEF">
              <w:rPr>
                <w:rFonts w:cstheme="minorHAnsi"/>
              </w:rPr>
              <w:t>Regular weekly newsletters and intranet updates have been made to keep staff aware of any key information and developments, including supporting staff in preparing for the new VC system and making training materials available for utilising Lync to enable homeworking as part of the estates strategy. Support has also been provided for the all staff VCs and for the organisation’s all staff day.</w:t>
            </w:r>
          </w:p>
          <w:p w:rsidR="00582FD1" w:rsidRPr="00A16CEF" w:rsidRDefault="00582FD1" w:rsidP="00582FD1">
            <w:pPr>
              <w:spacing w:before="100" w:beforeAutospacing="1"/>
              <w:rPr>
                <w:rFonts w:cstheme="minorHAnsi"/>
              </w:rPr>
            </w:pPr>
            <w:r w:rsidRPr="00A16CEF">
              <w:rPr>
                <w:rFonts w:cstheme="minorHAnsi"/>
              </w:rPr>
              <w:t>The team have been working alongside colleagues in the MHRA to develop some joint communications planning in relation to the EU Clinical Trials regulations.</w:t>
            </w:r>
          </w:p>
          <w:p w:rsidR="00582FD1" w:rsidRPr="00A16CEF" w:rsidRDefault="00582FD1" w:rsidP="00582FD1">
            <w:pPr>
              <w:spacing w:before="100" w:beforeAutospacing="1"/>
              <w:rPr>
                <w:rFonts w:cstheme="minorHAnsi"/>
              </w:rPr>
            </w:pPr>
            <w:r w:rsidRPr="00A16CEF">
              <w:rPr>
                <w:rFonts w:cstheme="minorHAnsi"/>
              </w:rPr>
              <w:t>The team has supported the training team with updating the e-learning management system branding and pictures in support of the work on the system.</w:t>
            </w:r>
          </w:p>
          <w:p w:rsidR="00582FD1" w:rsidRPr="00A16CEF" w:rsidRDefault="00582FD1" w:rsidP="00582FD1">
            <w:pPr>
              <w:spacing w:before="100" w:beforeAutospacing="1"/>
              <w:rPr>
                <w:rFonts w:cstheme="minorHAnsi"/>
              </w:rPr>
            </w:pPr>
            <w:r w:rsidRPr="00A16CEF">
              <w:rPr>
                <w:rFonts w:cstheme="minorHAnsi"/>
              </w:rPr>
              <w:t>Some initial discussions have taken place and agreement has been reached to deliver the Year in Review in the autumn, which will allow us to align timings with the planned AMS stakeholder event as well as having the opportunity to share in more detail how HRA Approval has embedded.</w:t>
            </w:r>
          </w:p>
          <w:p w:rsidR="00582FD1" w:rsidRPr="00A16CEF" w:rsidRDefault="00582FD1" w:rsidP="00582FD1">
            <w:pPr>
              <w:spacing w:before="100" w:beforeAutospacing="1"/>
              <w:rPr>
                <w:rFonts w:cstheme="minorHAnsi"/>
              </w:rPr>
            </w:pPr>
            <w:r w:rsidRPr="00A16CEF">
              <w:rPr>
                <w:rFonts w:cstheme="minorHAnsi"/>
              </w:rPr>
              <w:t>The team have been handling a number of media enquiries over the period, predominately linked to the role of CAG in relation to news reports about a hospital trust’s technical development in relation to patient data.</w:t>
            </w:r>
          </w:p>
          <w:p w:rsidR="00582FD1" w:rsidRPr="00A16CEF" w:rsidRDefault="00582FD1" w:rsidP="00582FD1">
            <w:pPr>
              <w:spacing w:before="100" w:beforeAutospacing="1"/>
              <w:rPr>
                <w:rFonts w:cstheme="minorHAnsi"/>
                <w:b/>
                <w:bCs/>
                <w:i/>
              </w:rPr>
            </w:pPr>
            <w:r w:rsidRPr="00A16CEF">
              <w:rPr>
                <w:rFonts w:cstheme="minorHAnsi"/>
                <w:b/>
                <w:bCs/>
                <w:i/>
              </w:rPr>
              <w:t>Stakeholder Management</w:t>
            </w:r>
          </w:p>
          <w:p w:rsidR="00582FD1" w:rsidRPr="00A16CEF" w:rsidRDefault="00582FD1" w:rsidP="00582FD1">
            <w:pPr>
              <w:spacing w:before="100" w:beforeAutospacing="1"/>
              <w:rPr>
                <w:rFonts w:cstheme="minorHAnsi"/>
              </w:rPr>
            </w:pPr>
            <w:r w:rsidRPr="00A16CEF">
              <w:rPr>
                <w:rFonts w:cstheme="minorHAnsi"/>
              </w:rPr>
              <w:t>The stakeholder management group have continued to meet and have been reviewing both our attendance at</w:t>
            </w:r>
            <w:r>
              <w:rPr>
                <w:rFonts w:cstheme="minorHAnsi"/>
              </w:rPr>
              <w:t>,</w:t>
            </w:r>
            <w:r w:rsidRPr="00A16CEF">
              <w:rPr>
                <w:rFonts w:cstheme="minorHAnsi"/>
              </w:rPr>
              <w:t xml:space="preserve"> and co-ordination of</w:t>
            </w:r>
            <w:r>
              <w:rPr>
                <w:rFonts w:cstheme="minorHAnsi"/>
              </w:rPr>
              <w:t>,</w:t>
            </w:r>
            <w:r w:rsidRPr="00A16CEF">
              <w:rPr>
                <w:rFonts w:cstheme="minorHAnsi"/>
              </w:rPr>
              <w:t xml:space="preserve"> stakeholder meetings. The next quarterly planning session will take place in June when the group will give further consideration to its role and ways to evolve and build on its progress to date.</w:t>
            </w:r>
          </w:p>
          <w:p w:rsidR="00582FD1" w:rsidRPr="00A16CEF" w:rsidRDefault="00582FD1" w:rsidP="00582FD1">
            <w:pPr>
              <w:spacing w:before="100" w:beforeAutospacing="1"/>
              <w:rPr>
                <w:rFonts w:cstheme="minorHAnsi"/>
                <w:b/>
                <w:bCs/>
                <w:i/>
              </w:rPr>
            </w:pPr>
            <w:r w:rsidRPr="00A16CEF">
              <w:rPr>
                <w:rFonts w:cstheme="minorHAnsi"/>
                <w:b/>
                <w:bCs/>
                <w:i/>
              </w:rPr>
              <w:t>Business Unit</w:t>
            </w:r>
          </w:p>
          <w:p w:rsidR="00582FD1" w:rsidRPr="00A16CEF" w:rsidRDefault="00582FD1" w:rsidP="00582FD1">
            <w:pPr>
              <w:spacing w:before="100" w:beforeAutospacing="1"/>
              <w:rPr>
                <w:rFonts w:cstheme="minorHAnsi"/>
                <w:bCs/>
                <w:u w:val="single"/>
              </w:rPr>
            </w:pPr>
            <w:r w:rsidRPr="00A16CEF">
              <w:rPr>
                <w:rFonts w:cstheme="minorHAnsi"/>
                <w:bCs/>
                <w:u w:val="single"/>
              </w:rPr>
              <w:t>Travel and Accommodation</w:t>
            </w:r>
          </w:p>
          <w:p w:rsidR="00582FD1" w:rsidRPr="00A16CEF" w:rsidRDefault="00582FD1" w:rsidP="00582FD1">
            <w:pPr>
              <w:spacing w:before="100" w:beforeAutospacing="1"/>
              <w:rPr>
                <w:rFonts w:cstheme="minorHAnsi"/>
              </w:rPr>
            </w:pPr>
            <w:r w:rsidRPr="00A16CEF">
              <w:rPr>
                <w:rFonts w:cstheme="minorHAnsi"/>
              </w:rPr>
              <w:t>Excellent efforts have been made by bookers and travellers in keeping accommodation costs down for the quarter: Average for London - £95: Average for regions - £61.95. Well below our upper limit rates on £115 and &amp; £75 respectively. Consistently booking in rail tickets in advance has also generated ‘savings’ against those costs if booked on same day (See table below).</w:t>
            </w:r>
          </w:p>
          <w:p w:rsidR="00582FD1" w:rsidRPr="00A16CEF" w:rsidRDefault="00582FD1" w:rsidP="00582FD1">
            <w:pPr>
              <w:spacing w:before="100" w:beforeAutospacing="1"/>
              <w:rPr>
                <w:rFonts w:cstheme="minorHAnsi"/>
              </w:rPr>
            </w:pPr>
            <w:r w:rsidRPr="00A16CEF">
              <w:rPr>
                <w:rFonts w:cstheme="minorHAnsi"/>
              </w:rPr>
              <w:t xml:space="preserve">Average savings per ticket when booked in advance </w:t>
            </w:r>
            <w:proofErr w:type="spellStart"/>
            <w:r w:rsidRPr="00A16CEF">
              <w:rPr>
                <w:rFonts w:cstheme="minorHAnsi"/>
              </w:rPr>
              <w:t>Qtr</w:t>
            </w:r>
            <w:proofErr w:type="spellEnd"/>
            <w:r w:rsidRPr="00A16CEF">
              <w:rPr>
                <w:rFonts w:cstheme="minorHAnsi"/>
              </w:rPr>
              <w:t xml:space="preserve"> 4 2015/16</w:t>
            </w:r>
          </w:p>
          <w:p w:rsidR="00582FD1" w:rsidRPr="00A16CEF" w:rsidRDefault="00582FD1" w:rsidP="00582FD1">
            <w:pPr>
              <w:spacing w:before="100" w:beforeAutospacing="1"/>
              <w:rPr>
                <w:rFonts w:cstheme="minorHAnsi"/>
              </w:rPr>
            </w:pPr>
            <w:r w:rsidRPr="00A16CEF">
              <w:rPr>
                <w:rFonts w:cstheme="minorHAnsi"/>
              </w:rPr>
              <w:t>0-2 Days               237         £21.89 = £5,187.93</w:t>
            </w:r>
          </w:p>
          <w:p w:rsidR="00582FD1" w:rsidRPr="00A16CEF" w:rsidRDefault="00582FD1" w:rsidP="00582FD1">
            <w:pPr>
              <w:spacing w:before="100" w:beforeAutospacing="1"/>
              <w:rPr>
                <w:rFonts w:cstheme="minorHAnsi"/>
              </w:rPr>
            </w:pPr>
            <w:r w:rsidRPr="00A16CEF">
              <w:rPr>
                <w:rFonts w:cstheme="minorHAnsi"/>
              </w:rPr>
              <w:t>3-6 Days               402         £24.45 = £9,828.90</w:t>
            </w:r>
          </w:p>
          <w:p w:rsidR="00582FD1" w:rsidRPr="00A16CEF" w:rsidRDefault="00582FD1" w:rsidP="00582FD1">
            <w:pPr>
              <w:spacing w:before="100" w:beforeAutospacing="1"/>
              <w:rPr>
                <w:rFonts w:cstheme="minorHAnsi"/>
              </w:rPr>
            </w:pPr>
            <w:r w:rsidRPr="00A16CEF">
              <w:rPr>
                <w:rFonts w:cstheme="minorHAnsi"/>
              </w:rPr>
              <w:t>7-11 Days             337         £31.49 = £10,612.13</w:t>
            </w:r>
          </w:p>
          <w:p w:rsidR="00582FD1" w:rsidRPr="00A16CEF" w:rsidRDefault="00582FD1" w:rsidP="00582FD1">
            <w:pPr>
              <w:spacing w:before="100" w:beforeAutospacing="1"/>
              <w:rPr>
                <w:rFonts w:cstheme="minorHAnsi"/>
              </w:rPr>
            </w:pPr>
            <w:r w:rsidRPr="00A16CEF">
              <w:rPr>
                <w:rFonts w:cstheme="minorHAnsi"/>
              </w:rPr>
              <w:lastRenderedPageBreak/>
              <w:t>12+ Days              866         £35.55 = £30,786.30</w:t>
            </w:r>
          </w:p>
          <w:p w:rsidR="00582FD1" w:rsidRPr="00A16CEF" w:rsidRDefault="00582FD1" w:rsidP="00582FD1">
            <w:pPr>
              <w:spacing w:before="100" w:beforeAutospacing="1"/>
              <w:rPr>
                <w:rFonts w:cstheme="minorHAnsi"/>
              </w:rPr>
            </w:pPr>
            <w:r w:rsidRPr="00A16CEF">
              <w:rPr>
                <w:rFonts w:cstheme="minorHAnsi"/>
              </w:rPr>
              <w:t>Total ‘saved’                                      £56,415.26</w:t>
            </w:r>
          </w:p>
          <w:p w:rsidR="00582FD1" w:rsidRPr="00A16CEF" w:rsidRDefault="00582FD1" w:rsidP="00582FD1">
            <w:pPr>
              <w:spacing w:before="100" w:beforeAutospacing="1"/>
              <w:rPr>
                <w:rFonts w:cstheme="minorHAnsi"/>
                <w:b/>
                <w:bCs/>
                <w:i/>
              </w:rPr>
            </w:pPr>
            <w:r w:rsidRPr="00A16CEF">
              <w:rPr>
                <w:rFonts w:cstheme="minorHAnsi"/>
                <w:b/>
                <w:bCs/>
                <w:i/>
              </w:rPr>
              <w:t>PMO</w:t>
            </w:r>
          </w:p>
          <w:p w:rsidR="00582FD1" w:rsidRPr="00A16CEF" w:rsidRDefault="00582FD1" w:rsidP="00582FD1">
            <w:pPr>
              <w:spacing w:before="100" w:beforeAutospacing="1"/>
              <w:rPr>
                <w:rFonts w:cstheme="minorHAnsi"/>
              </w:rPr>
            </w:pPr>
            <w:r>
              <w:rPr>
                <w:rFonts w:cstheme="minorHAnsi"/>
              </w:rPr>
              <w:t>A c</w:t>
            </w:r>
            <w:r w:rsidRPr="00A16CEF">
              <w:rPr>
                <w:rFonts w:cstheme="minorHAnsi"/>
              </w:rPr>
              <w:t>omprehensive report on key project/activity progress was recently presented to EMT. This offers a high level view on significant deliverables planned for 16/17. A summary report is planned to come to the board in July which will cover progress against key programmes of work contained in the business plan as well as  consolidated view of progress against other projects or activities which are responsible for realising organisational and ‘system’ benefits</w:t>
            </w:r>
          </w:p>
          <w:p w:rsidR="00582FD1" w:rsidRPr="00A16CEF" w:rsidRDefault="00582FD1" w:rsidP="00582FD1">
            <w:pPr>
              <w:spacing w:before="100" w:beforeAutospacing="1"/>
              <w:rPr>
                <w:rFonts w:cstheme="minorHAnsi"/>
                <w:b/>
                <w:bCs/>
                <w:i/>
              </w:rPr>
            </w:pPr>
            <w:r w:rsidRPr="00A16CEF">
              <w:rPr>
                <w:rFonts w:cstheme="minorHAnsi"/>
                <w:b/>
                <w:bCs/>
                <w:i/>
              </w:rPr>
              <w:t xml:space="preserve">Training </w:t>
            </w:r>
          </w:p>
          <w:p w:rsidR="00582FD1" w:rsidRPr="00A16CEF" w:rsidRDefault="00582FD1" w:rsidP="00582FD1">
            <w:pPr>
              <w:spacing w:before="100" w:beforeAutospacing="1"/>
              <w:rPr>
                <w:rFonts w:cstheme="minorHAnsi"/>
                <w:bCs/>
                <w:u w:val="single"/>
              </w:rPr>
            </w:pPr>
            <w:r w:rsidRPr="00A16CEF">
              <w:rPr>
                <w:rFonts w:cstheme="minorHAnsi"/>
                <w:bCs/>
                <w:u w:val="single"/>
              </w:rPr>
              <w:t xml:space="preserve">All Staff Day </w:t>
            </w:r>
          </w:p>
          <w:p w:rsidR="00582FD1" w:rsidRPr="00A16CEF" w:rsidRDefault="00582FD1" w:rsidP="00582FD1">
            <w:pPr>
              <w:spacing w:before="100" w:beforeAutospacing="1"/>
              <w:rPr>
                <w:rFonts w:cstheme="minorHAnsi"/>
              </w:rPr>
            </w:pPr>
            <w:r w:rsidRPr="00A16CEF">
              <w:rPr>
                <w:rFonts w:cstheme="minorHAnsi"/>
              </w:rPr>
              <w:t>Very positive feedback received regarding the All Staff Day held on 5</w:t>
            </w:r>
            <w:r w:rsidRPr="00A16CEF">
              <w:rPr>
                <w:rFonts w:cstheme="minorHAnsi"/>
                <w:vertAlign w:val="superscript"/>
              </w:rPr>
              <w:t>th</w:t>
            </w:r>
            <w:r w:rsidRPr="00A16CEF">
              <w:rPr>
                <w:rFonts w:cstheme="minorHAnsi"/>
              </w:rPr>
              <w:t xml:space="preserve"> May.  Over 170 attended. Comments from staff included </w:t>
            </w:r>
            <w:r w:rsidRPr="00A16CEF">
              <w:rPr>
                <w:rFonts w:cstheme="minorHAnsi"/>
                <w:i/>
                <w:iCs/>
              </w:rPr>
              <w:t>‘A really good day - great to be able to get the whole organisation together’, ‘A very good atmosphere and working with people from other teams’, ‘It is great to have external speakers and remind us how important our work is in the wider world’</w:t>
            </w:r>
            <w:r w:rsidRPr="00A16CEF">
              <w:rPr>
                <w:rFonts w:cstheme="minorHAnsi"/>
              </w:rPr>
              <w:t xml:space="preserve"> The session on Genomics was particularly well received with the speaker, Mark Caulfield receiving a satisfaction rating of 97%</w:t>
            </w:r>
          </w:p>
          <w:p w:rsidR="00582FD1" w:rsidRPr="00A16CEF" w:rsidRDefault="00582FD1" w:rsidP="00582FD1">
            <w:pPr>
              <w:spacing w:before="100" w:beforeAutospacing="1"/>
              <w:rPr>
                <w:rFonts w:cstheme="minorHAnsi"/>
                <w:b/>
                <w:i/>
              </w:rPr>
            </w:pPr>
            <w:r w:rsidRPr="00A16CEF">
              <w:rPr>
                <w:rFonts w:cstheme="minorHAnsi"/>
                <w:b/>
                <w:i/>
              </w:rPr>
              <w:t>Public Involvement</w:t>
            </w:r>
          </w:p>
          <w:p w:rsidR="00582FD1" w:rsidRPr="00A16CEF" w:rsidRDefault="00582FD1" w:rsidP="00582FD1">
            <w:pPr>
              <w:pStyle w:val="Heading2"/>
              <w:spacing w:before="100" w:beforeAutospacing="1"/>
              <w:rPr>
                <w:rFonts w:asciiTheme="minorHAnsi" w:hAnsiTheme="minorHAnsi" w:cstheme="minorHAnsi"/>
                <w:b/>
                <w:bCs/>
                <w:color w:val="auto"/>
                <w:sz w:val="22"/>
                <w:szCs w:val="22"/>
              </w:rPr>
            </w:pPr>
            <w:r w:rsidRPr="00A16CEF">
              <w:rPr>
                <w:rFonts w:asciiTheme="minorHAnsi" w:hAnsiTheme="minorHAnsi" w:cstheme="minorHAnsi"/>
                <w:color w:val="auto"/>
                <w:sz w:val="22"/>
                <w:szCs w:val="22"/>
              </w:rPr>
              <w:t xml:space="preserve">The public involvement team will be publishing new HRA/INVOLVE joint guidance and a briefing on involving the public in health and social care research and the relevance of public involvement to the role of Research Ethics Committees. Both will be held in a new </w:t>
            </w:r>
            <w:r w:rsidRPr="00A16CEF">
              <w:rPr>
                <w:rFonts w:asciiTheme="minorHAnsi" w:hAnsiTheme="minorHAnsi" w:cstheme="minorHAnsi"/>
                <w:i/>
                <w:iCs/>
                <w:color w:val="auto"/>
                <w:sz w:val="22"/>
                <w:szCs w:val="22"/>
              </w:rPr>
              <w:t>public involvement in research</w:t>
            </w:r>
            <w:r w:rsidRPr="00A16CEF">
              <w:rPr>
                <w:rFonts w:asciiTheme="minorHAnsi" w:hAnsiTheme="minorHAnsi" w:cstheme="minorHAnsi"/>
                <w:color w:val="auto"/>
                <w:sz w:val="22"/>
                <w:szCs w:val="22"/>
              </w:rPr>
              <w:t xml:space="preserve"> resources pages on the HRA website. We will be launching the guidance and briefing on 23</w:t>
            </w:r>
            <w:r w:rsidRPr="00A16CEF">
              <w:rPr>
                <w:rFonts w:asciiTheme="minorHAnsi" w:hAnsiTheme="minorHAnsi" w:cstheme="minorHAnsi"/>
                <w:color w:val="auto"/>
                <w:sz w:val="22"/>
                <w:szCs w:val="22"/>
                <w:vertAlign w:val="superscript"/>
              </w:rPr>
              <w:t>rd</w:t>
            </w:r>
            <w:r w:rsidRPr="00A16CEF">
              <w:rPr>
                <w:rFonts w:asciiTheme="minorHAnsi" w:hAnsiTheme="minorHAnsi" w:cstheme="minorHAnsi"/>
                <w:color w:val="auto"/>
                <w:sz w:val="22"/>
                <w:szCs w:val="22"/>
              </w:rPr>
              <w:t xml:space="preserve"> May at the annual R&amp;D Forum conference. </w:t>
            </w:r>
          </w:p>
          <w:p w:rsidR="00582FD1" w:rsidRPr="00A16CEF" w:rsidRDefault="00582FD1" w:rsidP="00582FD1">
            <w:pPr>
              <w:spacing w:before="100" w:beforeAutospacing="1"/>
              <w:rPr>
                <w:rFonts w:cstheme="minorHAnsi"/>
              </w:rPr>
            </w:pPr>
            <w:r w:rsidRPr="00A16CEF">
              <w:rPr>
                <w:rFonts w:cstheme="minorHAnsi"/>
              </w:rPr>
              <w:t xml:space="preserve">Following publication, the public involvement team will be taking forward our wider programme of work on public involvement within ethical review, working closely with colleagues and external stakeholders. </w:t>
            </w:r>
          </w:p>
          <w:p w:rsidR="00582FD1" w:rsidRPr="00A16CEF" w:rsidRDefault="00582FD1" w:rsidP="00582FD1">
            <w:pPr>
              <w:spacing w:before="100" w:beforeAutospacing="1"/>
              <w:rPr>
                <w:rFonts w:cstheme="minorHAnsi"/>
              </w:rPr>
            </w:pPr>
            <w:r w:rsidRPr="00A16CEF">
              <w:rPr>
                <w:rFonts w:cstheme="minorHAnsi"/>
              </w:rPr>
              <w:t xml:space="preserve">Two public contributors were successfully involved in the interview process for the new HRA Director of Finance. </w:t>
            </w:r>
          </w:p>
          <w:p w:rsidR="00582FD1" w:rsidRPr="00A16CEF" w:rsidRDefault="00582FD1" w:rsidP="00582FD1">
            <w:pPr>
              <w:spacing w:before="100" w:beforeAutospacing="1"/>
              <w:rPr>
                <w:rFonts w:cstheme="minorHAnsi"/>
                <w:b/>
                <w:i/>
              </w:rPr>
            </w:pPr>
            <w:r w:rsidRPr="00A16CEF">
              <w:rPr>
                <w:rFonts w:cstheme="minorHAnsi"/>
                <w:b/>
                <w:i/>
              </w:rPr>
              <w:t>Human Resources</w:t>
            </w:r>
          </w:p>
          <w:p w:rsidR="00582FD1" w:rsidRDefault="00582FD1" w:rsidP="00582FD1">
            <w:pPr>
              <w:jc w:val="both"/>
              <w:rPr>
                <w:rFonts w:cstheme="minorHAnsi"/>
                <w:color w:val="000000"/>
              </w:rPr>
            </w:pPr>
            <w:r w:rsidRPr="00A16CEF">
              <w:rPr>
                <w:rFonts w:cstheme="minorHAnsi"/>
              </w:rPr>
              <w:t>An updated retirement policy has been provided to SEMT for consideration. Work has also been ongoing with BSA in developing an MOU for 16/17 (with agreed performance targets) and is now ready to sign off by respective organisational leads. More recently the HR Team has offered significant support to the Director</w:t>
            </w:r>
            <w:r>
              <w:rPr>
                <w:rFonts w:cstheme="minorHAnsi"/>
              </w:rPr>
              <w:t xml:space="preserve"> of Finance recruitment process</w:t>
            </w:r>
          </w:p>
          <w:p w:rsidR="00EC5020" w:rsidRPr="002B5F70" w:rsidRDefault="00EC5020" w:rsidP="00582FD1">
            <w:pPr>
              <w:jc w:val="both"/>
              <w:rPr>
                <w:rFonts w:cstheme="minorHAnsi"/>
                <w:color w:val="000000"/>
              </w:rPr>
            </w:pPr>
          </w:p>
        </w:tc>
        <w:tc>
          <w:tcPr>
            <w:tcW w:w="1039" w:type="dxa"/>
            <w:shd w:val="clear" w:color="auto" w:fill="auto"/>
          </w:tcPr>
          <w:p w:rsidR="0059599A" w:rsidRPr="001657FC" w:rsidRDefault="0059599A" w:rsidP="00DE5765">
            <w:pPr>
              <w:jc w:val="center"/>
              <w:rPr>
                <w:rFonts w:cs="Arial"/>
                <w:b/>
              </w:rPr>
            </w:pPr>
          </w:p>
        </w:tc>
      </w:tr>
      <w:tr w:rsidR="006D0DBB" w:rsidRPr="001657FC" w:rsidTr="003A4715">
        <w:trPr>
          <w:trHeight w:val="295"/>
        </w:trPr>
        <w:tc>
          <w:tcPr>
            <w:tcW w:w="959" w:type="dxa"/>
            <w:shd w:val="clear" w:color="auto" w:fill="auto"/>
          </w:tcPr>
          <w:p w:rsidR="006D0DBB" w:rsidRPr="001657FC" w:rsidRDefault="006D0DBB" w:rsidP="00B205DF">
            <w:pPr>
              <w:numPr>
                <w:ilvl w:val="0"/>
                <w:numId w:val="1"/>
              </w:numPr>
              <w:rPr>
                <w:rFonts w:cs="Arial"/>
                <w:b/>
              </w:rPr>
            </w:pPr>
          </w:p>
        </w:tc>
        <w:tc>
          <w:tcPr>
            <w:tcW w:w="7397" w:type="dxa"/>
            <w:shd w:val="clear" w:color="auto" w:fill="auto"/>
          </w:tcPr>
          <w:p w:rsidR="006D0DBB" w:rsidRDefault="00EC5020" w:rsidP="00452775">
            <w:pPr>
              <w:rPr>
                <w:b/>
              </w:rPr>
            </w:pPr>
            <w:r>
              <w:rPr>
                <w:b/>
              </w:rPr>
              <w:t xml:space="preserve">HRA Key Performance </w:t>
            </w:r>
            <w:r w:rsidR="005E5B07">
              <w:rPr>
                <w:b/>
              </w:rPr>
              <w:t>Indicators</w:t>
            </w:r>
          </w:p>
          <w:p w:rsidR="00EC5020" w:rsidRDefault="00EC5020" w:rsidP="00452775">
            <w:pPr>
              <w:rPr>
                <w:b/>
              </w:rPr>
            </w:pPr>
          </w:p>
          <w:p w:rsidR="00EC5020" w:rsidRDefault="005E5B07" w:rsidP="005E5B07">
            <w:r>
              <w:lastRenderedPageBreak/>
              <w:t xml:space="preserve">The Board received the KPIs for Quarter 4 2015/16 plus the Annual Summary Report. The Board agreed the dashboard was helpful. The Board noted the sickness absence rate and agreed to consider if there were any trends under part 2 of the meeting. </w:t>
            </w:r>
          </w:p>
          <w:p w:rsidR="005E5B07" w:rsidRDefault="005E5B07" w:rsidP="005E5B07"/>
          <w:p w:rsidR="005E5B07" w:rsidRDefault="005E5B07" w:rsidP="005E5B07">
            <w:r>
              <w:t xml:space="preserve">The Board noted some indicators showed the target had not been met for the whole year and were highlighted as red on the dashboard e.g. rail travel. The Board queried if the target is realistic and what is </w:t>
            </w:r>
            <w:r w:rsidR="00640C9B">
              <w:t>achievable</w:t>
            </w:r>
            <w:r>
              <w:t xml:space="preserve"> linked to the needs of the organisation. IC clar</w:t>
            </w:r>
            <w:r w:rsidR="001037DA">
              <w:t xml:space="preserve">ified the </w:t>
            </w:r>
            <w:r>
              <w:t xml:space="preserve">indicator regarding rail travel did not reflect how well the HRA has done in comparison with the Department of Health and other Arm’s Length Bodies. The Board agreed the targets should be </w:t>
            </w:r>
            <w:r w:rsidR="00640C9B">
              <w:t>reflected</w:t>
            </w:r>
            <w:r>
              <w:t xml:space="preserve"> upon for the future year.</w:t>
            </w:r>
          </w:p>
          <w:p w:rsidR="00761CC5" w:rsidRDefault="00761CC5" w:rsidP="00452775"/>
          <w:p w:rsidR="009975E3" w:rsidRDefault="005E5B07" w:rsidP="00452775">
            <w:r>
              <w:t xml:space="preserve">The Board approved the report and </w:t>
            </w:r>
            <w:r w:rsidR="001037DA">
              <w:t xml:space="preserve">was pleased to </w:t>
            </w:r>
            <w:r>
              <w:t xml:space="preserve">note the consistently impressive </w:t>
            </w:r>
            <w:r w:rsidR="00640C9B">
              <w:t>performance</w:t>
            </w:r>
            <w:r>
              <w:t xml:space="preserve"> and </w:t>
            </w:r>
            <w:r w:rsidR="00640C9B">
              <w:t>achievements against stretched targets over the year.</w:t>
            </w:r>
          </w:p>
          <w:p w:rsidR="009975E3" w:rsidRPr="00EC5020" w:rsidRDefault="009975E3" w:rsidP="00640C9B"/>
        </w:tc>
        <w:tc>
          <w:tcPr>
            <w:tcW w:w="1039" w:type="dxa"/>
            <w:shd w:val="clear" w:color="auto" w:fill="auto"/>
          </w:tcPr>
          <w:p w:rsidR="006D0DBB" w:rsidRPr="001657FC" w:rsidRDefault="006D0DBB" w:rsidP="00DE5765">
            <w:pPr>
              <w:jc w:val="center"/>
              <w:rPr>
                <w:rFonts w:cs="Arial"/>
                <w:b/>
              </w:rPr>
            </w:pPr>
          </w:p>
        </w:tc>
      </w:tr>
      <w:tr w:rsidR="0059599A" w:rsidRPr="001657FC" w:rsidTr="003A4715">
        <w:trPr>
          <w:trHeight w:val="295"/>
        </w:trPr>
        <w:tc>
          <w:tcPr>
            <w:tcW w:w="959" w:type="dxa"/>
            <w:shd w:val="clear" w:color="auto" w:fill="auto"/>
          </w:tcPr>
          <w:p w:rsidR="0059599A" w:rsidRPr="009975E3" w:rsidRDefault="0059599A" w:rsidP="00B205DF">
            <w:pPr>
              <w:numPr>
                <w:ilvl w:val="0"/>
                <w:numId w:val="1"/>
              </w:numPr>
              <w:rPr>
                <w:rFonts w:cs="Arial"/>
                <w:b/>
              </w:rPr>
            </w:pPr>
          </w:p>
        </w:tc>
        <w:tc>
          <w:tcPr>
            <w:tcW w:w="7397" w:type="dxa"/>
            <w:shd w:val="clear" w:color="auto" w:fill="auto"/>
          </w:tcPr>
          <w:p w:rsidR="00326EB1" w:rsidRDefault="00326EB1" w:rsidP="00326EB1">
            <w:pPr>
              <w:rPr>
                <w:rFonts w:cstheme="minorHAnsi"/>
                <w:b/>
              </w:rPr>
            </w:pPr>
            <w:r>
              <w:rPr>
                <w:rFonts w:cstheme="minorHAnsi"/>
                <w:b/>
              </w:rPr>
              <w:t>HRA Corporate Risk Register Q4 2015/16</w:t>
            </w:r>
          </w:p>
          <w:p w:rsidR="009975E3" w:rsidRPr="009975E3" w:rsidRDefault="009975E3" w:rsidP="00D34D67">
            <w:pPr>
              <w:rPr>
                <w:rFonts w:cstheme="minorHAnsi"/>
              </w:rPr>
            </w:pPr>
          </w:p>
          <w:p w:rsidR="00AD14A2" w:rsidRDefault="00326EB1" w:rsidP="00AD14A2">
            <w:pPr>
              <w:rPr>
                <w:rFonts w:cstheme="minorHAnsi"/>
              </w:rPr>
            </w:pPr>
            <w:r>
              <w:rPr>
                <w:rFonts w:cstheme="minorHAnsi"/>
              </w:rPr>
              <w:t>The Board reviewed and approved the risk overview summary and register for Q4 2015/16. The Board agreed the summary was a useful tool at providing a snapshot of risks faced by the organisation.</w:t>
            </w:r>
            <w:r w:rsidR="00AD14A2">
              <w:rPr>
                <w:rFonts w:cstheme="minorHAnsi"/>
              </w:rPr>
              <w:t xml:space="preserve"> ST highlighted a</w:t>
            </w:r>
            <w:r w:rsidR="00AD14A2" w:rsidRPr="00A1399F">
              <w:t xml:space="preserve"> total of 7 new risks </w:t>
            </w:r>
            <w:r w:rsidR="00AD14A2">
              <w:t>had been</w:t>
            </w:r>
            <w:r w:rsidR="00AD14A2" w:rsidRPr="00A1399F">
              <w:t xml:space="preserve"> added in Quarter 4 with a further 2 ‘old’ risks raised to the Board which </w:t>
            </w:r>
            <w:r w:rsidR="00AD14A2">
              <w:t>had</w:t>
            </w:r>
            <w:r w:rsidR="00AD14A2" w:rsidRPr="00A1399F">
              <w:t xml:space="preserve"> not </w:t>
            </w:r>
            <w:r w:rsidR="00AD14A2">
              <w:t xml:space="preserve"> been </w:t>
            </w:r>
            <w:r w:rsidR="00AD14A2" w:rsidRPr="00A1399F">
              <w:t>considered in the previous quarter.</w:t>
            </w:r>
            <w:r w:rsidR="00AD14A2">
              <w:t xml:space="preserve"> The Board noted i</w:t>
            </w:r>
            <w:r w:rsidR="00AD14A2" w:rsidRPr="00A1399F">
              <w:t>n Quarter 4 there continued to be movement in HRA Approval risks with the addition of new risks / closing or reduction of risks, as the programme moved through the final phases of roll out prior to 1</w:t>
            </w:r>
            <w:r w:rsidR="00AD14A2" w:rsidRPr="00A1399F">
              <w:rPr>
                <w:vertAlign w:val="superscript"/>
              </w:rPr>
              <w:t>st</w:t>
            </w:r>
            <w:r w:rsidR="00AD14A2" w:rsidRPr="00A1399F">
              <w:t xml:space="preserve"> April 2016</w:t>
            </w:r>
          </w:p>
          <w:p w:rsidR="00326EB1" w:rsidRDefault="00326EB1" w:rsidP="00D34D67">
            <w:pPr>
              <w:rPr>
                <w:rFonts w:cstheme="minorHAnsi"/>
              </w:rPr>
            </w:pPr>
          </w:p>
          <w:p w:rsidR="00326EB1" w:rsidRDefault="00326EB1" w:rsidP="00D34D67">
            <w:pPr>
              <w:rPr>
                <w:rFonts w:cstheme="minorHAnsi"/>
              </w:rPr>
            </w:pPr>
            <w:r>
              <w:rPr>
                <w:rFonts w:cstheme="minorHAnsi"/>
              </w:rPr>
              <w:t>The Board noted a discussion had already taken place under item 6 regarding the two new risks relating to HRA Approval and amendments (452 and 453).</w:t>
            </w:r>
          </w:p>
          <w:p w:rsidR="00326EB1" w:rsidRDefault="00326EB1" w:rsidP="00D34D67">
            <w:pPr>
              <w:rPr>
                <w:rFonts w:cstheme="minorHAnsi"/>
              </w:rPr>
            </w:pPr>
          </w:p>
          <w:p w:rsidR="00326EB1" w:rsidRDefault="00326EB1" w:rsidP="00D34D67">
            <w:pPr>
              <w:rPr>
                <w:rFonts w:cstheme="minorHAnsi"/>
              </w:rPr>
            </w:pPr>
            <w:r>
              <w:rPr>
                <w:rFonts w:cstheme="minorHAnsi"/>
              </w:rPr>
              <w:t xml:space="preserve">The Board discussed the risk relating to a shift in financial position (471). DC flagged a number of mitigations had been put in place with an audit due to begin this week however the risk had been escalated to the corporate risk register to provide reassurance to the Board and allow a watching brief to be kept. DC advised a good meeting had been held with DH finance colleagues and the budget for this year is expected to be what was agreed. DC flagged a potential longer term risk regarding future years’ budgets being reduced. </w:t>
            </w:r>
          </w:p>
          <w:p w:rsidR="009975E3" w:rsidRPr="009975E3" w:rsidRDefault="009975E3" w:rsidP="00D34D67">
            <w:pPr>
              <w:rPr>
                <w:rFonts w:cstheme="minorHAnsi"/>
              </w:rPr>
            </w:pPr>
          </w:p>
          <w:p w:rsidR="009975E3" w:rsidRPr="009975E3" w:rsidRDefault="00326EB1" w:rsidP="00D34D67">
            <w:pPr>
              <w:rPr>
                <w:rFonts w:cstheme="minorHAnsi"/>
              </w:rPr>
            </w:pPr>
            <w:r>
              <w:rPr>
                <w:rFonts w:cstheme="minorHAnsi"/>
              </w:rPr>
              <w:t xml:space="preserve">The Board </w:t>
            </w:r>
            <w:r w:rsidR="00A90EAA">
              <w:rPr>
                <w:rFonts w:cstheme="minorHAnsi"/>
              </w:rPr>
              <w:t>noted</w:t>
            </w:r>
            <w:r>
              <w:rPr>
                <w:rFonts w:cstheme="minorHAnsi"/>
              </w:rPr>
              <w:t xml:space="preserve"> the risk relating to IRAS and </w:t>
            </w:r>
            <w:r w:rsidR="00A90EAA">
              <w:rPr>
                <w:rFonts w:cstheme="minorHAnsi"/>
              </w:rPr>
              <w:t>the alignment of technical requirements in comparison with business requirements of the HRA, Devolved Administrations and other IRAS Partners (468).</w:t>
            </w:r>
          </w:p>
          <w:p w:rsidR="009975E3" w:rsidRPr="009975E3" w:rsidRDefault="009975E3" w:rsidP="009975E3">
            <w:pPr>
              <w:rPr>
                <w:rFonts w:cstheme="minorHAnsi"/>
              </w:rPr>
            </w:pPr>
          </w:p>
        </w:tc>
        <w:tc>
          <w:tcPr>
            <w:tcW w:w="1039" w:type="dxa"/>
            <w:shd w:val="clear" w:color="auto" w:fill="auto"/>
          </w:tcPr>
          <w:p w:rsidR="00CD20E8" w:rsidRPr="001657FC" w:rsidRDefault="00CD20E8" w:rsidP="00DE5765">
            <w:pPr>
              <w:jc w:val="center"/>
              <w:rPr>
                <w:rFonts w:cs="Arial"/>
                <w:b/>
              </w:rPr>
            </w:pPr>
          </w:p>
        </w:tc>
      </w:tr>
      <w:tr w:rsidR="00254165" w:rsidRPr="001657FC" w:rsidTr="003A4715">
        <w:trPr>
          <w:trHeight w:val="295"/>
        </w:trPr>
        <w:tc>
          <w:tcPr>
            <w:tcW w:w="959" w:type="dxa"/>
            <w:shd w:val="clear" w:color="auto" w:fill="auto"/>
          </w:tcPr>
          <w:p w:rsidR="00254165" w:rsidRPr="001657FC" w:rsidRDefault="00254165" w:rsidP="00B205DF">
            <w:pPr>
              <w:numPr>
                <w:ilvl w:val="0"/>
                <w:numId w:val="1"/>
              </w:numPr>
              <w:rPr>
                <w:rFonts w:cs="Arial"/>
                <w:b/>
              </w:rPr>
            </w:pPr>
          </w:p>
        </w:tc>
        <w:tc>
          <w:tcPr>
            <w:tcW w:w="7397" w:type="dxa"/>
            <w:shd w:val="clear" w:color="auto" w:fill="auto"/>
          </w:tcPr>
          <w:p w:rsidR="007B21CF" w:rsidRDefault="009975E3" w:rsidP="006E7978">
            <w:pPr>
              <w:rPr>
                <w:rFonts w:cs="Arial"/>
                <w:b/>
              </w:rPr>
            </w:pPr>
            <w:r>
              <w:rPr>
                <w:rFonts w:cs="Arial"/>
                <w:b/>
              </w:rPr>
              <w:t>Finance report</w:t>
            </w:r>
          </w:p>
          <w:p w:rsidR="009975E3" w:rsidRDefault="009975E3" w:rsidP="006E7978">
            <w:pPr>
              <w:rPr>
                <w:rFonts w:cs="Arial"/>
                <w:b/>
              </w:rPr>
            </w:pPr>
          </w:p>
          <w:p w:rsidR="00AD14A2" w:rsidRDefault="00A90EAA" w:rsidP="00AD14A2">
            <w:pPr>
              <w:rPr>
                <w:rFonts w:cstheme="minorHAnsi"/>
              </w:rPr>
            </w:pPr>
            <w:r>
              <w:rPr>
                <w:rFonts w:cs="Arial"/>
              </w:rPr>
              <w:t>The Board received and approved the finance report for March 2016.</w:t>
            </w:r>
            <w:r w:rsidR="00AD14A2">
              <w:rPr>
                <w:rFonts w:cs="Arial"/>
              </w:rPr>
              <w:t xml:space="preserve"> DC advised the </w:t>
            </w:r>
            <w:r w:rsidR="00AD14A2">
              <w:rPr>
                <w:rFonts w:cstheme="minorHAnsi"/>
              </w:rPr>
              <w:t>final under spend position stood at £931</w:t>
            </w:r>
            <w:r w:rsidR="00AD14A2" w:rsidRPr="004A0539">
              <w:rPr>
                <w:rFonts w:cstheme="minorHAnsi"/>
              </w:rPr>
              <w:t xml:space="preserve">k </w:t>
            </w:r>
            <w:r w:rsidR="00AD14A2">
              <w:rPr>
                <w:rFonts w:cstheme="minorHAnsi"/>
              </w:rPr>
              <w:t>(£489k February 2016</w:t>
            </w:r>
            <w:r w:rsidR="00AD14A2" w:rsidRPr="004A0539">
              <w:rPr>
                <w:rFonts w:cstheme="minorHAnsi"/>
              </w:rPr>
              <w:t>),</w:t>
            </w:r>
            <w:r w:rsidR="00AD14A2">
              <w:rPr>
                <w:rFonts w:cstheme="minorHAnsi"/>
              </w:rPr>
              <w:t xml:space="preserve"> largely increased due to the predicted release of reserves in month 12 (£557k). </w:t>
            </w:r>
          </w:p>
          <w:p w:rsidR="00AD14A2" w:rsidRDefault="00AD14A2" w:rsidP="00AD14A2">
            <w:pPr>
              <w:rPr>
                <w:rFonts w:cstheme="minorHAnsi"/>
              </w:rPr>
            </w:pPr>
          </w:p>
          <w:p w:rsidR="00AD14A2" w:rsidRDefault="00AD14A2" w:rsidP="00AD14A2">
            <w:pPr>
              <w:rPr>
                <w:rFonts w:cstheme="minorHAnsi"/>
              </w:rPr>
            </w:pPr>
            <w:r>
              <w:rPr>
                <w:rFonts w:cstheme="minorHAnsi"/>
              </w:rPr>
              <w:t>The Board noted the underspend of £122k w</w:t>
            </w:r>
            <w:r w:rsidRPr="004A0539">
              <w:rPr>
                <w:rFonts w:cstheme="minorHAnsi"/>
              </w:rPr>
              <w:t xml:space="preserve">ithin the Operations Directorate and mostly due to the </w:t>
            </w:r>
            <w:r>
              <w:rPr>
                <w:rFonts w:cstheme="minorHAnsi"/>
              </w:rPr>
              <w:t xml:space="preserve">unique </w:t>
            </w:r>
            <w:r w:rsidRPr="004A0539">
              <w:rPr>
                <w:rFonts w:cstheme="minorHAnsi"/>
              </w:rPr>
              <w:t xml:space="preserve">number of vacancies that have arisen either </w:t>
            </w:r>
            <w:r w:rsidRPr="004A0539">
              <w:rPr>
                <w:rFonts w:cstheme="minorHAnsi"/>
              </w:rPr>
              <w:lastRenderedPageBreak/>
              <w:t xml:space="preserve">because of successful applications for roles linked to HRA Approval or due to the move of </w:t>
            </w:r>
            <w:r>
              <w:rPr>
                <w:rFonts w:cstheme="minorHAnsi"/>
              </w:rPr>
              <w:t>Research Ethics Committees (</w:t>
            </w:r>
            <w:r w:rsidRPr="004A0539">
              <w:rPr>
                <w:rFonts w:cstheme="minorHAnsi"/>
              </w:rPr>
              <w:t>RECs</w:t>
            </w:r>
            <w:r>
              <w:rPr>
                <w:rFonts w:cstheme="minorHAnsi"/>
              </w:rPr>
              <w:t>)</w:t>
            </w:r>
            <w:r w:rsidRPr="004A0539">
              <w:rPr>
                <w:rFonts w:cstheme="minorHAnsi"/>
              </w:rPr>
              <w:t xml:space="preserve"> between HRA Offices in order to spread the support more equitably.</w:t>
            </w:r>
            <w:r>
              <w:rPr>
                <w:rFonts w:cstheme="minorHAnsi"/>
              </w:rPr>
              <w:t xml:space="preserve">  These vacancies have taken longer than expected to fill due to the knock on vacancies that have resulted from successful internal candidates. The Board noted work with the Business Services Authority (BSA), improvements to the Vacancy Control Form plus organisational learning has helped reduced timelines for recruitment over the last quarter. IC flagged BSA had been through a significant organisation change however the HRA had managed to retain a dedicated named contact.</w:t>
            </w:r>
          </w:p>
          <w:p w:rsidR="00AD14A2" w:rsidRDefault="00AD14A2" w:rsidP="00AD14A2">
            <w:pPr>
              <w:rPr>
                <w:rFonts w:cstheme="minorHAnsi"/>
              </w:rPr>
            </w:pPr>
          </w:p>
          <w:p w:rsidR="00AD14A2" w:rsidRPr="00AD14A2" w:rsidRDefault="00AD14A2" w:rsidP="00AD14A2">
            <w:pPr>
              <w:spacing w:after="200" w:line="276" w:lineRule="auto"/>
              <w:rPr>
                <w:rFonts w:cstheme="minorHAnsi"/>
              </w:rPr>
            </w:pPr>
            <w:r>
              <w:rPr>
                <w:rFonts w:cstheme="minorHAnsi"/>
              </w:rPr>
              <w:t xml:space="preserve">The Board noted the </w:t>
            </w:r>
            <w:r w:rsidRPr="00AD14A2">
              <w:rPr>
                <w:rFonts w:cstheme="minorHAnsi"/>
              </w:rPr>
              <w:t xml:space="preserve">unprecedented </w:t>
            </w:r>
            <w:r>
              <w:rPr>
                <w:rFonts w:cstheme="minorHAnsi"/>
              </w:rPr>
              <w:t xml:space="preserve">levels of </w:t>
            </w:r>
            <w:r w:rsidRPr="00AD14A2">
              <w:rPr>
                <w:rFonts w:cstheme="minorHAnsi"/>
              </w:rPr>
              <w:t>recruitment within the</w:t>
            </w:r>
            <w:r>
              <w:rPr>
                <w:rFonts w:cstheme="minorHAnsi"/>
              </w:rPr>
              <w:t xml:space="preserve"> organis</w:t>
            </w:r>
            <w:r w:rsidRPr="00AD14A2">
              <w:rPr>
                <w:rFonts w:cstheme="minorHAnsi"/>
              </w:rPr>
              <w:t xml:space="preserve">ation over the last 12 months with 167 VCFs raised compared with 92 </w:t>
            </w:r>
            <w:r>
              <w:rPr>
                <w:rFonts w:cstheme="minorHAnsi"/>
              </w:rPr>
              <w:t>the previous</w:t>
            </w:r>
            <w:r w:rsidRPr="00AD14A2">
              <w:rPr>
                <w:rFonts w:cstheme="minorHAnsi"/>
              </w:rPr>
              <w:t xml:space="preserve"> year.  46% of these relate to the Operations Directorate.  Whilst the volume was expected within the Research Systems Directorate, the extent of the knock on recruitment in Operations was not.  </w:t>
            </w:r>
          </w:p>
          <w:p w:rsidR="00A90EAA" w:rsidRPr="005F5A7E" w:rsidRDefault="00AD14A2" w:rsidP="005F5A7E">
            <w:pPr>
              <w:spacing w:after="200" w:line="276" w:lineRule="auto"/>
              <w:rPr>
                <w:rFonts w:cstheme="minorHAnsi"/>
              </w:rPr>
            </w:pPr>
            <w:r>
              <w:rPr>
                <w:rFonts w:cstheme="minorHAnsi"/>
              </w:rPr>
              <w:t>DC advised t</w:t>
            </w:r>
            <w:r w:rsidRPr="00AD14A2">
              <w:rPr>
                <w:rFonts w:cstheme="minorHAnsi"/>
              </w:rPr>
              <w:t>he final capital underspend position was £190k, which is in line with the upper range underspend of the forecast.</w:t>
            </w:r>
            <w:r>
              <w:rPr>
                <w:rFonts w:cstheme="minorHAnsi"/>
              </w:rPr>
              <w:t xml:space="preserve"> </w:t>
            </w:r>
            <w:r w:rsidR="005F5A7E">
              <w:rPr>
                <w:rFonts w:cstheme="minorHAnsi"/>
              </w:rPr>
              <w:t>The Board noted the capital budget available for the forthcoming year had not been impacted upon with DH confirming the budget to match the capital plan as previously agreed. The Board was pleased to note the contract with BGOmedia was operating smoothly and productively.</w:t>
            </w:r>
            <w:r>
              <w:rPr>
                <w:rFonts w:cstheme="minorHAnsi"/>
              </w:rPr>
              <w:t xml:space="preserve"> </w:t>
            </w:r>
          </w:p>
          <w:p w:rsidR="00AD14A2" w:rsidRDefault="00AD14A2" w:rsidP="006E7978">
            <w:pPr>
              <w:rPr>
                <w:rFonts w:cs="Arial"/>
              </w:rPr>
            </w:pPr>
            <w:r>
              <w:rPr>
                <w:rFonts w:cs="Arial"/>
              </w:rPr>
              <w:t>DC advised a revised report with minor narrative changes would be circulated for information to the Board.</w:t>
            </w:r>
          </w:p>
          <w:p w:rsidR="009975E3" w:rsidRDefault="009975E3" w:rsidP="00AD14A2">
            <w:pPr>
              <w:rPr>
                <w:rFonts w:cs="Arial"/>
                <w:b/>
              </w:rPr>
            </w:pPr>
          </w:p>
        </w:tc>
        <w:tc>
          <w:tcPr>
            <w:tcW w:w="1039" w:type="dxa"/>
            <w:shd w:val="clear" w:color="auto" w:fill="auto"/>
          </w:tcPr>
          <w:p w:rsidR="00254165" w:rsidRDefault="00254165" w:rsidP="00DE5765">
            <w:pPr>
              <w:jc w:val="center"/>
              <w:rPr>
                <w:rFonts w:cs="Arial"/>
                <w:b/>
              </w:rPr>
            </w:pPr>
          </w:p>
        </w:tc>
      </w:tr>
      <w:tr w:rsidR="00254165" w:rsidRPr="001657FC" w:rsidTr="00BA4BE5">
        <w:trPr>
          <w:trHeight w:val="1195"/>
        </w:trPr>
        <w:tc>
          <w:tcPr>
            <w:tcW w:w="959" w:type="dxa"/>
            <w:shd w:val="clear" w:color="auto" w:fill="auto"/>
          </w:tcPr>
          <w:p w:rsidR="00254165" w:rsidRPr="001657FC" w:rsidRDefault="00254165" w:rsidP="00B205DF">
            <w:pPr>
              <w:numPr>
                <w:ilvl w:val="0"/>
                <w:numId w:val="1"/>
              </w:numPr>
              <w:rPr>
                <w:rFonts w:cs="Arial"/>
                <w:b/>
              </w:rPr>
            </w:pPr>
          </w:p>
        </w:tc>
        <w:tc>
          <w:tcPr>
            <w:tcW w:w="7397" w:type="dxa"/>
            <w:shd w:val="clear" w:color="auto" w:fill="auto"/>
          </w:tcPr>
          <w:p w:rsidR="007B21CF" w:rsidRDefault="00BA4BE5" w:rsidP="0046482E">
            <w:pPr>
              <w:rPr>
                <w:rFonts w:cs="Arial"/>
                <w:b/>
              </w:rPr>
            </w:pPr>
            <w:r>
              <w:rPr>
                <w:rFonts w:cs="Arial"/>
                <w:b/>
              </w:rPr>
              <w:t>Management response to staff survey</w:t>
            </w:r>
          </w:p>
          <w:p w:rsidR="00BA4BE5" w:rsidRDefault="00BA4BE5" w:rsidP="0046482E">
            <w:pPr>
              <w:rPr>
                <w:rFonts w:cs="Arial"/>
                <w:b/>
              </w:rPr>
            </w:pPr>
          </w:p>
          <w:p w:rsidR="005F5A7E" w:rsidRDefault="005F5A7E" w:rsidP="0046482E">
            <w:pPr>
              <w:rPr>
                <w:rFonts w:cs="Arial"/>
              </w:rPr>
            </w:pPr>
            <w:r>
              <w:rPr>
                <w:rFonts w:cs="Arial"/>
              </w:rPr>
              <w:t xml:space="preserve">The Board noted the full presentation of staff survey results had taken place at the February Board meeting which had highlighted very encouraging feedback which compared favourable against benchmarks. IC presented </w:t>
            </w:r>
            <w:r w:rsidR="001037DA">
              <w:rPr>
                <w:rFonts w:cs="Arial"/>
              </w:rPr>
              <w:t>a</w:t>
            </w:r>
            <w:r>
              <w:rPr>
                <w:rFonts w:cs="Arial"/>
              </w:rPr>
              <w:t xml:space="preserve"> paper which focused on areas of the survey which required further action from management. </w:t>
            </w:r>
          </w:p>
          <w:p w:rsidR="005F5A7E" w:rsidRDefault="005F5A7E" w:rsidP="0046482E">
            <w:pPr>
              <w:rPr>
                <w:rFonts w:cs="Arial"/>
              </w:rPr>
            </w:pPr>
          </w:p>
          <w:p w:rsidR="005F5A7E" w:rsidRDefault="005F5A7E" w:rsidP="0046482E">
            <w:pPr>
              <w:rPr>
                <w:rFonts w:cs="Arial"/>
              </w:rPr>
            </w:pPr>
            <w:r>
              <w:rPr>
                <w:rFonts w:cs="Arial"/>
              </w:rPr>
              <w:t xml:space="preserve">The Board noted, following detailed analysis by the survey provider, an outlier with </w:t>
            </w:r>
            <w:r w:rsidR="00C56731">
              <w:rPr>
                <w:rFonts w:cs="Arial"/>
              </w:rPr>
              <w:t xml:space="preserve">the results from one regional office </w:t>
            </w:r>
            <w:r>
              <w:rPr>
                <w:rFonts w:cs="Arial"/>
              </w:rPr>
              <w:t xml:space="preserve">being noticeably lower than other areas of the organisation. The Board noted interventions had taken pace with the Operations </w:t>
            </w:r>
            <w:r w:rsidR="0009407A">
              <w:rPr>
                <w:rFonts w:cs="Arial"/>
              </w:rPr>
              <w:t xml:space="preserve">staff based in the </w:t>
            </w:r>
            <w:r w:rsidR="006D104F">
              <w:rPr>
                <w:rFonts w:cs="Arial"/>
              </w:rPr>
              <w:t>office</w:t>
            </w:r>
            <w:r w:rsidR="0009407A">
              <w:rPr>
                <w:rFonts w:cs="Arial"/>
              </w:rPr>
              <w:t xml:space="preserve"> </w:t>
            </w:r>
            <w:r>
              <w:rPr>
                <w:rFonts w:cs="Arial"/>
              </w:rPr>
              <w:t>which had been welcomed by some</w:t>
            </w:r>
            <w:r w:rsidR="001037DA">
              <w:rPr>
                <w:rFonts w:cs="Arial"/>
              </w:rPr>
              <w:t>.</w:t>
            </w:r>
          </w:p>
          <w:p w:rsidR="005F5A7E" w:rsidRDefault="005F5A7E" w:rsidP="0046482E">
            <w:pPr>
              <w:rPr>
                <w:rFonts w:cs="Arial"/>
              </w:rPr>
            </w:pPr>
          </w:p>
          <w:p w:rsidR="00BB5737" w:rsidRDefault="0009407A" w:rsidP="0046482E">
            <w:pPr>
              <w:rPr>
                <w:rFonts w:cs="Arial"/>
              </w:rPr>
            </w:pPr>
            <w:r>
              <w:rPr>
                <w:rFonts w:cs="Arial"/>
              </w:rPr>
              <w:t>The Board discussed the findings for new starters in comparison with existing staff. The Board noted new starters were in general more positive than existing staff however this was very similar to the benchmark figures. The Board was assured this aspect had been appropriately</w:t>
            </w:r>
            <w:r w:rsidR="001037DA">
              <w:rPr>
                <w:rFonts w:cs="Arial"/>
              </w:rPr>
              <w:t xml:space="preserve"> explored</w:t>
            </w:r>
            <w:r>
              <w:rPr>
                <w:rFonts w:cs="Arial"/>
              </w:rPr>
              <w:t>.</w:t>
            </w:r>
          </w:p>
          <w:p w:rsidR="004F050B" w:rsidRDefault="004F050B" w:rsidP="0046482E">
            <w:pPr>
              <w:rPr>
                <w:rFonts w:cs="Arial"/>
              </w:rPr>
            </w:pPr>
          </w:p>
          <w:p w:rsidR="0009407A" w:rsidRDefault="0009407A" w:rsidP="00C56731">
            <w:pPr>
              <w:rPr>
                <w:rFonts w:cs="Arial"/>
              </w:rPr>
            </w:pPr>
            <w:r>
              <w:rPr>
                <w:rFonts w:cs="Arial"/>
              </w:rPr>
              <w:t>The Board discussed whether it was possible to capture all concerns raised by staff. The Board however noted the variety of means by which staff ca</w:t>
            </w:r>
            <w:r w:rsidR="001037DA">
              <w:rPr>
                <w:rFonts w:cs="Arial"/>
              </w:rPr>
              <w:t xml:space="preserve">n raise a concern and agreed would </w:t>
            </w:r>
            <w:r>
              <w:rPr>
                <w:rFonts w:cs="Arial"/>
              </w:rPr>
              <w:t>not</w:t>
            </w:r>
            <w:r w:rsidR="001037DA">
              <w:rPr>
                <w:rFonts w:cs="Arial"/>
              </w:rPr>
              <w:t xml:space="preserve"> be</w:t>
            </w:r>
            <w:r>
              <w:rPr>
                <w:rFonts w:cs="Arial"/>
              </w:rPr>
              <w:t xml:space="preserve"> possible to capture all </w:t>
            </w:r>
            <w:r w:rsidR="00C56731">
              <w:rPr>
                <w:rFonts w:cs="Arial"/>
              </w:rPr>
              <w:t>concerns</w:t>
            </w:r>
            <w:r>
              <w:rPr>
                <w:rFonts w:cs="Arial"/>
              </w:rPr>
              <w:t xml:space="preserve">. IC advised the written comments from the staff survey had been considered and no specific theme of concern had been identified.  </w:t>
            </w:r>
            <w:r w:rsidR="00C56731">
              <w:rPr>
                <w:rFonts w:cs="Arial"/>
              </w:rPr>
              <w:t xml:space="preserve">The Board discussed the importance of the culture of the organisation and ensuring staff feel able to </w:t>
            </w:r>
            <w:r w:rsidR="00C56731">
              <w:rPr>
                <w:rFonts w:cs="Arial"/>
              </w:rPr>
              <w:lastRenderedPageBreak/>
              <w:t xml:space="preserve">raise concerns and speak their minds. </w:t>
            </w:r>
          </w:p>
          <w:p w:rsidR="00097730" w:rsidRDefault="00097730" w:rsidP="0046482E">
            <w:pPr>
              <w:rPr>
                <w:rFonts w:cs="Arial"/>
              </w:rPr>
            </w:pPr>
          </w:p>
          <w:p w:rsidR="0009407A" w:rsidRDefault="0009407A" w:rsidP="0046482E">
            <w:pPr>
              <w:rPr>
                <w:rFonts w:cs="Arial"/>
              </w:rPr>
            </w:pPr>
            <w:r>
              <w:rPr>
                <w:rFonts w:cs="Arial"/>
              </w:rPr>
              <w:t xml:space="preserve">The Board </w:t>
            </w:r>
            <w:r w:rsidR="001037DA">
              <w:rPr>
                <w:rFonts w:cs="Arial"/>
              </w:rPr>
              <w:t>agreed</w:t>
            </w:r>
            <w:r>
              <w:rPr>
                <w:rFonts w:cs="Arial"/>
              </w:rPr>
              <w:t xml:space="preserve"> succession planning regarding staff forum membership was an important consideration and was pleased to hear discussions regarding encouraging others to join the forum to replace outgoing members</w:t>
            </w:r>
            <w:r w:rsidR="001037DA">
              <w:rPr>
                <w:rFonts w:cs="Arial"/>
              </w:rPr>
              <w:t xml:space="preserve"> were taking place</w:t>
            </w:r>
            <w:r>
              <w:rPr>
                <w:rFonts w:cs="Arial"/>
              </w:rPr>
              <w:t>.</w:t>
            </w:r>
          </w:p>
          <w:p w:rsidR="006D104F" w:rsidRDefault="006D104F" w:rsidP="0046482E">
            <w:pPr>
              <w:rPr>
                <w:rFonts w:cs="Arial"/>
              </w:rPr>
            </w:pPr>
            <w:r>
              <w:rPr>
                <w:rFonts w:cs="Arial"/>
              </w:rPr>
              <w:br/>
              <w:t>The Board approved the response and was pleased to see the findings from the survey were being utilised efficiently to help improve the service provided by the HRA.</w:t>
            </w:r>
          </w:p>
          <w:p w:rsidR="00061A68" w:rsidRPr="00BA4BE5" w:rsidRDefault="00061A68" w:rsidP="0046482E">
            <w:pPr>
              <w:rPr>
                <w:rFonts w:cs="Arial"/>
              </w:rPr>
            </w:pPr>
            <w:r>
              <w:rPr>
                <w:rFonts w:cs="Arial"/>
              </w:rPr>
              <w:t xml:space="preserve"> </w:t>
            </w:r>
          </w:p>
        </w:tc>
        <w:tc>
          <w:tcPr>
            <w:tcW w:w="1039" w:type="dxa"/>
            <w:shd w:val="clear" w:color="auto" w:fill="auto"/>
          </w:tcPr>
          <w:p w:rsidR="00254165" w:rsidRDefault="00254165" w:rsidP="00DE5765">
            <w:pPr>
              <w:jc w:val="center"/>
              <w:rPr>
                <w:rFonts w:cs="Arial"/>
                <w:b/>
              </w:rPr>
            </w:pPr>
          </w:p>
        </w:tc>
      </w:tr>
      <w:tr w:rsidR="00254165" w:rsidRPr="001657FC" w:rsidTr="003A4715">
        <w:trPr>
          <w:trHeight w:val="295"/>
        </w:trPr>
        <w:tc>
          <w:tcPr>
            <w:tcW w:w="959" w:type="dxa"/>
            <w:shd w:val="clear" w:color="auto" w:fill="auto"/>
          </w:tcPr>
          <w:p w:rsidR="00254165" w:rsidRPr="001657FC" w:rsidRDefault="00254165" w:rsidP="00B205DF">
            <w:pPr>
              <w:numPr>
                <w:ilvl w:val="0"/>
                <w:numId w:val="1"/>
              </w:numPr>
              <w:rPr>
                <w:rFonts w:cs="Arial"/>
                <w:b/>
              </w:rPr>
            </w:pPr>
          </w:p>
        </w:tc>
        <w:tc>
          <w:tcPr>
            <w:tcW w:w="7397" w:type="dxa"/>
            <w:shd w:val="clear" w:color="auto" w:fill="auto"/>
          </w:tcPr>
          <w:p w:rsidR="00254165" w:rsidRDefault="00254165" w:rsidP="0046482E">
            <w:pPr>
              <w:rPr>
                <w:rFonts w:cs="Arial"/>
                <w:b/>
              </w:rPr>
            </w:pPr>
            <w:r>
              <w:rPr>
                <w:rFonts w:cs="Arial"/>
                <w:b/>
              </w:rPr>
              <w:t>Audit and Risk Committee minutes (2016.01.20)</w:t>
            </w:r>
          </w:p>
          <w:p w:rsidR="00254165" w:rsidRDefault="00254165" w:rsidP="0046482E">
            <w:pPr>
              <w:rPr>
                <w:rFonts w:cs="Arial"/>
                <w:b/>
              </w:rPr>
            </w:pPr>
          </w:p>
          <w:p w:rsidR="00BC71C2" w:rsidRDefault="00BC71C2" w:rsidP="007B21CF">
            <w:pPr>
              <w:rPr>
                <w:bCs/>
              </w:rPr>
            </w:pPr>
            <w:r>
              <w:rPr>
                <w:bCs/>
              </w:rPr>
              <w:t xml:space="preserve">The Board noted the Audit and Risk Committee minutes. </w:t>
            </w:r>
          </w:p>
          <w:p w:rsidR="007B21CF" w:rsidRPr="00C50830" w:rsidRDefault="007B21CF" w:rsidP="00BC71C2">
            <w:pPr>
              <w:rPr>
                <w:rFonts w:cs="Arial"/>
                <w:b/>
              </w:rPr>
            </w:pPr>
          </w:p>
        </w:tc>
        <w:tc>
          <w:tcPr>
            <w:tcW w:w="1039" w:type="dxa"/>
            <w:shd w:val="clear" w:color="auto" w:fill="auto"/>
          </w:tcPr>
          <w:p w:rsidR="00254165" w:rsidRDefault="00254165" w:rsidP="00DE5765">
            <w:pPr>
              <w:jc w:val="center"/>
              <w:rPr>
                <w:rFonts w:cs="Arial"/>
                <w:b/>
              </w:rPr>
            </w:pPr>
          </w:p>
        </w:tc>
      </w:tr>
      <w:tr w:rsidR="00254165" w:rsidRPr="001657FC" w:rsidTr="003A4715">
        <w:trPr>
          <w:trHeight w:val="295"/>
        </w:trPr>
        <w:tc>
          <w:tcPr>
            <w:tcW w:w="959" w:type="dxa"/>
            <w:shd w:val="clear" w:color="auto" w:fill="auto"/>
          </w:tcPr>
          <w:p w:rsidR="00254165" w:rsidRPr="000F3960" w:rsidRDefault="00254165" w:rsidP="00B205DF">
            <w:pPr>
              <w:numPr>
                <w:ilvl w:val="0"/>
                <w:numId w:val="1"/>
              </w:numPr>
              <w:rPr>
                <w:rFonts w:cs="Arial"/>
                <w:b/>
              </w:rPr>
            </w:pPr>
          </w:p>
        </w:tc>
        <w:tc>
          <w:tcPr>
            <w:tcW w:w="7397" w:type="dxa"/>
            <w:shd w:val="clear" w:color="auto" w:fill="auto"/>
          </w:tcPr>
          <w:p w:rsidR="00254165" w:rsidRDefault="00254165" w:rsidP="00B05797">
            <w:pPr>
              <w:rPr>
                <w:rFonts w:cs="Arial"/>
                <w:b/>
              </w:rPr>
            </w:pPr>
            <w:r>
              <w:rPr>
                <w:rFonts w:cs="Arial"/>
                <w:b/>
              </w:rPr>
              <w:t>Any other business</w:t>
            </w:r>
          </w:p>
          <w:p w:rsidR="00254165" w:rsidRDefault="00254165" w:rsidP="00FA5744">
            <w:pPr>
              <w:rPr>
                <w:rFonts w:cs="Arial"/>
              </w:rPr>
            </w:pPr>
          </w:p>
          <w:p w:rsidR="00254165" w:rsidRDefault="00254165" w:rsidP="00FA5744">
            <w:pPr>
              <w:rPr>
                <w:rFonts w:cs="Arial"/>
              </w:rPr>
            </w:pPr>
            <w:r>
              <w:rPr>
                <w:rFonts w:cs="Arial"/>
              </w:rPr>
              <w:t>None to note</w:t>
            </w:r>
          </w:p>
          <w:p w:rsidR="00254165" w:rsidRPr="009F7CA8" w:rsidRDefault="00254165" w:rsidP="00A4071B"/>
        </w:tc>
        <w:tc>
          <w:tcPr>
            <w:tcW w:w="1039" w:type="dxa"/>
            <w:shd w:val="clear" w:color="auto" w:fill="auto"/>
          </w:tcPr>
          <w:p w:rsidR="00254165" w:rsidRDefault="00254165" w:rsidP="00DE5765">
            <w:pPr>
              <w:jc w:val="center"/>
              <w:rPr>
                <w:rFonts w:cs="Arial"/>
                <w:b/>
              </w:rPr>
            </w:pPr>
          </w:p>
        </w:tc>
      </w:tr>
      <w:tr w:rsidR="00254165" w:rsidRPr="001657FC" w:rsidTr="003A4715">
        <w:trPr>
          <w:trHeight w:val="295"/>
        </w:trPr>
        <w:tc>
          <w:tcPr>
            <w:tcW w:w="959" w:type="dxa"/>
            <w:shd w:val="clear" w:color="auto" w:fill="auto"/>
          </w:tcPr>
          <w:p w:rsidR="00254165" w:rsidRPr="001657FC" w:rsidRDefault="00254165" w:rsidP="00B205DF">
            <w:pPr>
              <w:numPr>
                <w:ilvl w:val="0"/>
                <w:numId w:val="1"/>
              </w:numPr>
              <w:rPr>
                <w:rFonts w:cs="Arial"/>
                <w:b/>
              </w:rPr>
            </w:pPr>
          </w:p>
        </w:tc>
        <w:tc>
          <w:tcPr>
            <w:tcW w:w="7397" w:type="dxa"/>
            <w:shd w:val="clear" w:color="auto" w:fill="auto"/>
          </w:tcPr>
          <w:p w:rsidR="00254165" w:rsidRPr="006E73FF" w:rsidRDefault="00254165" w:rsidP="006C1268">
            <w:pPr>
              <w:rPr>
                <w:rFonts w:cs="Arial"/>
                <w:b/>
              </w:rPr>
            </w:pPr>
            <w:r w:rsidRPr="006E73FF">
              <w:rPr>
                <w:rFonts w:cs="Arial"/>
                <w:b/>
              </w:rPr>
              <w:t>Questions from the public</w:t>
            </w:r>
          </w:p>
          <w:p w:rsidR="00254165" w:rsidRDefault="00254165" w:rsidP="006C1268">
            <w:pPr>
              <w:rPr>
                <w:rFonts w:cs="Arial"/>
                <w:b/>
              </w:rPr>
            </w:pPr>
          </w:p>
          <w:p w:rsidR="00254165" w:rsidRPr="000F3960" w:rsidRDefault="00254165" w:rsidP="006C1268">
            <w:pPr>
              <w:rPr>
                <w:rFonts w:cs="Arial"/>
              </w:rPr>
            </w:pPr>
            <w:r>
              <w:rPr>
                <w:rFonts w:cs="Arial"/>
              </w:rPr>
              <w:t>None to note</w:t>
            </w:r>
          </w:p>
          <w:p w:rsidR="00254165" w:rsidRPr="006E73FF" w:rsidRDefault="00254165" w:rsidP="006C1268">
            <w:pPr>
              <w:rPr>
                <w:rFonts w:cs="Arial"/>
                <w:b/>
              </w:rPr>
            </w:pPr>
          </w:p>
        </w:tc>
        <w:tc>
          <w:tcPr>
            <w:tcW w:w="1039" w:type="dxa"/>
            <w:shd w:val="clear" w:color="auto" w:fill="auto"/>
          </w:tcPr>
          <w:p w:rsidR="00254165" w:rsidRDefault="00254165" w:rsidP="00DE5765">
            <w:pPr>
              <w:jc w:val="center"/>
              <w:rPr>
                <w:rFonts w:cs="Arial"/>
                <w:b/>
              </w:rPr>
            </w:pPr>
          </w:p>
        </w:tc>
      </w:tr>
      <w:tr w:rsidR="00254165" w:rsidRPr="001657FC" w:rsidTr="003A4715">
        <w:trPr>
          <w:trHeight w:val="295"/>
        </w:trPr>
        <w:tc>
          <w:tcPr>
            <w:tcW w:w="959" w:type="dxa"/>
            <w:shd w:val="clear" w:color="auto" w:fill="auto"/>
          </w:tcPr>
          <w:p w:rsidR="00254165" w:rsidRPr="001657FC" w:rsidRDefault="00254165" w:rsidP="00B205DF">
            <w:pPr>
              <w:numPr>
                <w:ilvl w:val="0"/>
                <w:numId w:val="1"/>
              </w:numPr>
              <w:rPr>
                <w:rFonts w:cs="Arial"/>
                <w:b/>
              </w:rPr>
            </w:pPr>
          </w:p>
        </w:tc>
        <w:tc>
          <w:tcPr>
            <w:tcW w:w="7397" w:type="dxa"/>
            <w:shd w:val="clear" w:color="auto" w:fill="auto"/>
          </w:tcPr>
          <w:p w:rsidR="00254165" w:rsidRDefault="00254165" w:rsidP="006C1268">
            <w:pPr>
              <w:rPr>
                <w:rFonts w:cs="Arial"/>
                <w:b/>
              </w:rPr>
            </w:pPr>
            <w:r>
              <w:rPr>
                <w:rFonts w:cs="Arial"/>
                <w:b/>
              </w:rPr>
              <w:t>Date of next meeting</w:t>
            </w:r>
          </w:p>
          <w:p w:rsidR="00254165" w:rsidRDefault="00254165" w:rsidP="006C1268">
            <w:pPr>
              <w:rPr>
                <w:rFonts w:cs="Arial"/>
                <w:b/>
              </w:rPr>
            </w:pPr>
          </w:p>
          <w:p w:rsidR="00254165" w:rsidRPr="0054118E" w:rsidRDefault="006F7080" w:rsidP="00452775">
            <w:pPr>
              <w:rPr>
                <w:rFonts w:cs="Arial"/>
              </w:rPr>
            </w:pPr>
            <w:r w:rsidRPr="0054118E">
              <w:rPr>
                <w:rFonts w:cs="Arial"/>
              </w:rPr>
              <w:t>20</w:t>
            </w:r>
            <w:r w:rsidRPr="0054118E">
              <w:rPr>
                <w:rFonts w:cs="Arial"/>
                <w:vertAlign w:val="superscript"/>
              </w:rPr>
              <w:t>th</w:t>
            </w:r>
            <w:r w:rsidR="006D104F">
              <w:rPr>
                <w:rFonts w:cs="Arial"/>
              </w:rPr>
              <w:t xml:space="preserve"> July 2016, </w:t>
            </w:r>
            <w:r w:rsidR="006D104F" w:rsidRPr="006D104F">
              <w:rPr>
                <w:rFonts w:cs="Arial"/>
              </w:rPr>
              <w:t>to include</w:t>
            </w:r>
            <w:r w:rsidR="006D104F">
              <w:rPr>
                <w:rFonts w:cs="Arial"/>
              </w:rPr>
              <w:t xml:space="preserve"> a </w:t>
            </w:r>
            <w:r w:rsidR="006D104F" w:rsidRPr="006D104F">
              <w:rPr>
                <w:rFonts w:cs="Arial"/>
              </w:rPr>
              <w:t>seminar</w:t>
            </w:r>
            <w:r w:rsidR="006D104F">
              <w:rPr>
                <w:rFonts w:cs="Arial"/>
              </w:rPr>
              <w:t xml:space="preserve"> on strategy</w:t>
            </w:r>
            <w:r w:rsidR="006D104F" w:rsidRPr="006D104F">
              <w:rPr>
                <w:rFonts w:cs="Arial"/>
              </w:rPr>
              <w:t xml:space="preserve"> with PEST analysis</w:t>
            </w:r>
            <w:r w:rsidR="006D104F">
              <w:rPr>
                <w:rFonts w:cs="Arial"/>
              </w:rPr>
              <w:t>,</w:t>
            </w:r>
            <w:r w:rsidR="006D104F" w:rsidRPr="006D104F">
              <w:rPr>
                <w:rFonts w:cs="Arial"/>
              </w:rPr>
              <w:t xml:space="preserve"> facilitated by Adrienne Fresko, Foresight Partnership</w:t>
            </w:r>
          </w:p>
          <w:p w:rsidR="006F7080" w:rsidRDefault="006F7080" w:rsidP="00452775">
            <w:pPr>
              <w:rPr>
                <w:rFonts w:cs="Arial"/>
                <w:b/>
              </w:rPr>
            </w:pPr>
          </w:p>
        </w:tc>
        <w:tc>
          <w:tcPr>
            <w:tcW w:w="1039" w:type="dxa"/>
            <w:shd w:val="clear" w:color="auto" w:fill="auto"/>
          </w:tcPr>
          <w:p w:rsidR="00254165" w:rsidRDefault="00254165" w:rsidP="00DE5765">
            <w:pPr>
              <w:jc w:val="center"/>
              <w:rPr>
                <w:rFonts w:cs="Arial"/>
                <w:b/>
              </w:rPr>
            </w:pPr>
          </w:p>
        </w:tc>
      </w:tr>
    </w:tbl>
    <w:p w:rsidR="00D65481" w:rsidRDefault="00D65481" w:rsidP="00EA2442"/>
    <w:sectPr w:rsidR="00D65481" w:rsidSect="00AB5972">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B1" w:rsidRDefault="00326EB1" w:rsidP="00362FCD">
      <w:r>
        <w:separator/>
      </w:r>
    </w:p>
  </w:endnote>
  <w:endnote w:type="continuationSeparator" w:id="0">
    <w:p w:rsidR="00326EB1" w:rsidRDefault="00326EB1" w:rsidP="0036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184506"/>
      <w:docPartObj>
        <w:docPartGallery w:val="Page Numbers (Top of Page)"/>
        <w:docPartUnique/>
      </w:docPartObj>
    </w:sdtPr>
    <w:sdtEndPr/>
    <w:sdtContent>
      <w:p w:rsidR="00326EB1" w:rsidRDefault="00326EB1" w:rsidP="00F40555">
        <w:pPr>
          <w:pStyle w:val="Footer"/>
          <w:jc w:val="right"/>
          <w:rPr>
            <w:bCs/>
            <w:sz w:val="18"/>
            <w:szCs w:val="18"/>
          </w:rPr>
        </w:pPr>
        <w:r>
          <w:rPr>
            <w:sz w:val="18"/>
            <w:szCs w:val="18"/>
          </w:rPr>
          <w:t xml:space="preserve">Page </w:t>
        </w:r>
        <w:r>
          <w:rPr>
            <w:bCs/>
            <w:sz w:val="18"/>
            <w:szCs w:val="18"/>
          </w:rPr>
          <w:fldChar w:fldCharType="begin"/>
        </w:r>
        <w:r>
          <w:rPr>
            <w:bCs/>
            <w:sz w:val="18"/>
            <w:szCs w:val="18"/>
          </w:rPr>
          <w:instrText xml:space="preserve"> PAGE </w:instrText>
        </w:r>
        <w:r>
          <w:rPr>
            <w:bCs/>
            <w:sz w:val="18"/>
            <w:szCs w:val="18"/>
          </w:rPr>
          <w:fldChar w:fldCharType="separate"/>
        </w:r>
        <w:r w:rsidR="00451A67">
          <w:rPr>
            <w:bCs/>
            <w:noProof/>
            <w:sz w:val="18"/>
            <w:szCs w:val="18"/>
          </w:rPr>
          <w:t>2</w:t>
        </w:r>
        <w:r>
          <w:rPr>
            <w:bCs/>
            <w:sz w:val="18"/>
            <w:szCs w:val="18"/>
          </w:rPr>
          <w:fldChar w:fldCharType="end"/>
        </w:r>
        <w:r>
          <w:rPr>
            <w:sz w:val="18"/>
            <w:szCs w:val="18"/>
          </w:rPr>
          <w:t xml:space="preserve"> of </w:t>
        </w:r>
        <w:r>
          <w:rPr>
            <w:bCs/>
            <w:sz w:val="18"/>
            <w:szCs w:val="18"/>
          </w:rPr>
          <w:fldChar w:fldCharType="begin"/>
        </w:r>
        <w:r>
          <w:rPr>
            <w:bCs/>
            <w:sz w:val="18"/>
            <w:szCs w:val="18"/>
          </w:rPr>
          <w:instrText xml:space="preserve"> NUMPAGES  </w:instrText>
        </w:r>
        <w:r>
          <w:rPr>
            <w:bCs/>
            <w:sz w:val="18"/>
            <w:szCs w:val="18"/>
          </w:rPr>
          <w:fldChar w:fldCharType="separate"/>
        </w:r>
        <w:r w:rsidR="00451A67">
          <w:rPr>
            <w:bCs/>
            <w:noProof/>
            <w:sz w:val="18"/>
            <w:szCs w:val="18"/>
          </w:rPr>
          <w:t>12</w:t>
        </w:r>
        <w:r>
          <w:rPr>
            <w:bCs/>
            <w:sz w:val="18"/>
            <w:szCs w:val="18"/>
          </w:rPr>
          <w:fldChar w:fldCharType="end"/>
        </w:r>
      </w:p>
      <w:p w:rsidR="00326EB1" w:rsidRDefault="00326EB1" w:rsidP="00F40555">
        <w:pPr>
          <w:pStyle w:val="Footer"/>
        </w:pPr>
        <w:r>
          <w:rPr>
            <w:bCs/>
            <w:sz w:val="18"/>
            <w:szCs w:val="18"/>
          </w:rPr>
          <w:t>2016.05.20 HRA Board Minutes – Part 1 (</w:t>
        </w:r>
        <w:r w:rsidR="00451A67">
          <w:rPr>
            <w:bCs/>
            <w:sz w:val="18"/>
            <w:szCs w:val="18"/>
          </w:rPr>
          <w:t>FINAL</w:t>
        </w:r>
        <w:r>
          <w:rPr>
            <w:bCs/>
            <w:sz w:val="18"/>
            <w:szCs w:val="1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88312"/>
      <w:docPartObj>
        <w:docPartGallery w:val="Page Numbers (Top of Page)"/>
        <w:docPartUnique/>
      </w:docPartObj>
    </w:sdtPr>
    <w:sdtEndPr/>
    <w:sdtContent>
      <w:p w:rsidR="00326EB1" w:rsidRDefault="00326EB1" w:rsidP="009F4640">
        <w:pPr>
          <w:pStyle w:val="Footer"/>
          <w:jc w:val="right"/>
          <w:rPr>
            <w:bCs/>
            <w:sz w:val="18"/>
            <w:szCs w:val="18"/>
          </w:rPr>
        </w:pPr>
        <w:r>
          <w:rPr>
            <w:sz w:val="18"/>
            <w:szCs w:val="18"/>
          </w:rPr>
          <w:t xml:space="preserve">Page </w:t>
        </w:r>
        <w:r>
          <w:rPr>
            <w:bCs/>
            <w:sz w:val="18"/>
            <w:szCs w:val="18"/>
          </w:rPr>
          <w:fldChar w:fldCharType="begin"/>
        </w:r>
        <w:r>
          <w:rPr>
            <w:bCs/>
            <w:sz w:val="18"/>
            <w:szCs w:val="18"/>
          </w:rPr>
          <w:instrText xml:space="preserve"> PAGE </w:instrText>
        </w:r>
        <w:r>
          <w:rPr>
            <w:bCs/>
            <w:sz w:val="18"/>
            <w:szCs w:val="18"/>
          </w:rPr>
          <w:fldChar w:fldCharType="separate"/>
        </w:r>
        <w:r w:rsidR="00451A67">
          <w:rPr>
            <w:bCs/>
            <w:noProof/>
            <w:sz w:val="18"/>
            <w:szCs w:val="18"/>
          </w:rPr>
          <w:t>1</w:t>
        </w:r>
        <w:r>
          <w:rPr>
            <w:bCs/>
            <w:sz w:val="18"/>
            <w:szCs w:val="18"/>
          </w:rPr>
          <w:fldChar w:fldCharType="end"/>
        </w:r>
        <w:r>
          <w:rPr>
            <w:sz w:val="18"/>
            <w:szCs w:val="18"/>
          </w:rPr>
          <w:t xml:space="preserve"> of </w:t>
        </w:r>
        <w:r>
          <w:rPr>
            <w:bCs/>
            <w:sz w:val="18"/>
            <w:szCs w:val="18"/>
          </w:rPr>
          <w:fldChar w:fldCharType="begin"/>
        </w:r>
        <w:r>
          <w:rPr>
            <w:bCs/>
            <w:sz w:val="18"/>
            <w:szCs w:val="18"/>
          </w:rPr>
          <w:instrText xml:space="preserve"> NUMPAGES  </w:instrText>
        </w:r>
        <w:r>
          <w:rPr>
            <w:bCs/>
            <w:sz w:val="18"/>
            <w:szCs w:val="18"/>
          </w:rPr>
          <w:fldChar w:fldCharType="separate"/>
        </w:r>
        <w:r w:rsidR="00451A67">
          <w:rPr>
            <w:bCs/>
            <w:noProof/>
            <w:sz w:val="18"/>
            <w:szCs w:val="18"/>
          </w:rPr>
          <w:t>12</w:t>
        </w:r>
        <w:r>
          <w:rPr>
            <w:bCs/>
            <w:sz w:val="18"/>
            <w:szCs w:val="18"/>
          </w:rPr>
          <w:fldChar w:fldCharType="end"/>
        </w:r>
      </w:p>
      <w:p w:rsidR="00326EB1" w:rsidRDefault="00326EB1" w:rsidP="00D736CF">
        <w:pPr>
          <w:pStyle w:val="Footer"/>
        </w:pPr>
        <w:r>
          <w:rPr>
            <w:bCs/>
            <w:sz w:val="18"/>
            <w:szCs w:val="18"/>
          </w:rPr>
          <w:t xml:space="preserve">2016.05.20 HRA Board </w:t>
        </w:r>
        <w:r w:rsidR="00451A67">
          <w:rPr>
            <w:bCs/>
            <w:sz w:val="18"/>
            <w:szCs w:val="18"/>
          </w:rPr>
          <w:t>Minutes – Part 1 (FINAL</w:t>
        </w:r>
        <w:r>
          <w:rPr>
            <w:bCs/>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B1" w:rsidRDefault="00326EB1" w:rsidP="00362FCD">
      <w:r>
        <w:separator/>
      </w:r>
    </w:p>
  </w:footnote>
  <w:footnote w:type="continuationSeparator" w:id="0">
    <w:p w:rsidR="00326EB1" w:rsidRDefault="00326EB1" w:rsidP="0036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B1" w:rsidRDefault="00326EB1" w:rsidP="00AB5972">
    <w:pPr>
      <w:pStyle w:val="Header"/>
      <w:jc w:val="right"/>
    </w:pPr>
    <w:r>
      <w:rPr>
        <w:noProof/>
        <w:lang w:eastAsia="en-GB"/>
      </w:rPr>
      <w:drawing>
        <wp:inline distT="0" distB="0" distL="0" distR="0" wp14:anchorId="6FF3421F" wp14:editId="623CA588">
          <wp:extent cx="18669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0DDB"/>
    <w:multiLevelType w:val="hybridMultilevel"/>
    <w:tmpl w:val="678AA2B0"/>
    <w:lvl w:ilvl="0" w:tplc="9B1C090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64BBD"/>
    <w:multiLevelType w:val="hybridMultilevel"/>
    <w:tmpl w:val="B9520DA8"/>
    <w:lvl w:ilvl="0" w:tplc="549EA7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F91EB5"/>
    <w:multiLevelType w:val="hybridMultilevel"/>
    <w:tmpl w:val="7842F43E"/>
    <w:lvl w:ilvl="0" w:tplc="F620F3B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AE751D1"/>
    <w:multiLevelType w:val="hybridMultilevel"/>
    <w:tmpl w:val="3BEE9EA0"/>
    <w:lvl w:ilvl="0" w:tplc="0B28796E">
      <w:start w:val="1"/>
      <w:numFmt w:val="decimal"/>
      <w:lvlText w:val="%1."/>
      <w:lvlJc w:val="left"/>
      <w:pPr>
        <w:ind w:left="720" w:hanging="436"/>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8117A3"/>
    <w:multiLevelType w:val="hybridMultilevel"/>
    <w:tmpl w:val="D87C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62E04"/>
    <w:multiLevelType w:val="hybridMultilevel"/>
    <w:tmpl w:val="F8EC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3F1B6E"/>
    <w:multiLevelType w:val="hybridMultilevel"/>
    <w:tmpl w:val="B93CA172"/>
    <w:lvl w:ilvl="0" w:tplc="96CCB0B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480988"/>
    <w:multiLevelType w:val="hybridMultilevel"/>
    <w:tmpl w:val="B9C413BA"/>
    <w:lvl w:ilvl="0" w:tplc="9B1C090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4A958A7"/>
    <w:multiLevelType w:val="hybridMultilevel"/>
    <w:tmpl w:val="0480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F761C7"/>
    <w:multiLevelType w:val="hybridMultilevel"/>
    <w:tmpl w:val="903CB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D336CA9"/>
    <w:multiLevelType w:val="hybridMultilevel"/>
    <w:tmpl w:val="BF40A30E"/>
    <w:lvl w:ilvl="0" w:tplc="078CC3B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C67005"/>
    <w:multiLevelType w:val="hybridMultilevel"/>
    <w:tmpl w:val="92100972"/>
    <w:lvl w:ilvl="0" w:tplc="D4C4019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7AC32D0"/>
    <w:multiLevelType w:val="hybridMultilevel"/>
    <w:tmpl w:val="A1B2C1AE"/>
    <w:lvl w:ilvl="0" w:tplc="B6EAB3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F978AB"/>
    <w:multiLevelType w:val="hybridMultilevel"/>
    <w:tmpl w:val="1920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FD6D65"/>
    <w:multiLevelType w:val="hybridMultilevel"/>
    <w:tmpl w:val="4C188846"/>
    <w:lvl w:ilvl="0" w:tplc="900A481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tplc="868400AE">
      <w:start w:val="1"/>
      <w:numFmt w:val="lowerLetter"/>
      <w:lvlText w:val="%2."/>
      <w:lvlJc w:val="left"/>
      <w:pPr>
        <w:tabs>
          <w:tab w:val="num" w:pos="1440"/>
        </w:tabs>
        <w:ind w:left="1440" w:hanging="360"/>
      </w:pPr>
    </w:lvl>
    <w:lvl w:ilvl="2" w:tplc="7B88B020">
      <w:start w:val="1"/>
      <w:numFmt w:val="lowerRoman"/>
      <w:lvlText w:val="%3."/>
      <w:lvlJc w:val="right"/>
      <w:pPr>
        <w:tabs>
          <w:tab w:val="num" w:pos="2160"/>
        </w:tabs>
        <w:ind w:left="2160" w:hanging="180"/>
      </w:pPr>
    </w:lvl>
    <w:lvl w:ilvl="3" w:tplc="67CA2C1A">
      <w:start w:val="1"/>
      <w:numFmt w:val="decimal"/>
      <w:lvlText w:val="%4."/>
      <w:lvlJc w:val="left"/>
      <w:pPr>
        <w:tabs>
          <w:tab w:val="num" w:pos="2880"/>
        </w:tabs>
        <w:ind w:left="2880" w:hanging="360"/>
      </w:pPr>
    </w:lvl>
    <w:lvl w:ilvl="4" w:tplc="422AAFE4">
      <w:start w:val="1"/>
      <w:numFmt w:val="lowerLetter"/>
      <w:lvlText w:val="%5."/>
      <w:lvlJc w:val="left"/>
      <w:pPr>
        <w:tabs>
          <w:tab w:val="num" w:pos="3600"/>
        </w:tabs>
        <w:ind w:left="3600" w:hanging="360"/>
      </w:pPr>
    </w:lvl>
    <w:lvl w:ilvl="5" w:tplc="70B692E2">
      <w:start w:val="1"/>
      <w:numFmt w:val="lowerRoman"/>
      <w:lvlText w:val="%6."/>
      <w:lvlJc w:val="right"/>
      <w:pPr>
        <w:tabs>
          <w:tab w:val="num" w:pos="4320"/>
        </w:tabs>
        <w:ind w:left="4320" w:hanging="180"/>
      </w:pPr>
    </w:lvl>
    <w:lvl w:ilvl="6" w:tplc="678E119A">
      <w:start w:val="1"/>
      <w:numFmt w:val="decimal"/>
      <w:lvlText w:val="%7."/>
      <w:lvlJc w:val="left"/>
      <w:pPr>
        <w:tabs>
          <w:tab w:val="num" w:pos="5040"/>
        </w:tabs>
        <w:ind w:left="5040" w:hanging="360"/>
      </w:pPr>
    </w:lvl>
    <w:lvl w:ilvl="7" w:tplc="8FC85328">
      <w:start w:val="1"/>
      <w:numFmt w:val="lowerLetter"/>
      <w:lvlText w:val="%8."/>
      <w:lvlJc w:val="left"/>
      <w:pPr>
        <w:tabs>
          <w:tab w:val="num" w:pos="5760"/>
        </w:tabs>
        <w:ind w:left="5760" w:hanging="360"/>
      </w:pPr>
    </w:lvl>
    <w:lvl w:ilvl="8" w:tplc="95323334">
      <w:start w:val="1"/>
      <w:numFmt w:val="lowerRoman"/>
      <w:lvlText w:val="%9."/>
      <w:lvlJc w:val="right"/>
      <w:pPr>
        <w:tabs>
          <w:tab w:val="num" w:pos="6480"/>
        </w:tabs>
        <w:ind w:left="6480" w:hanging="180"/>
      </w:pPr>
    </w:lvl>
  </w:abstractNum>
  <w:abstractNum w:abstractNumId="17">
    <w:nsid w:val="6E7D6FD7"/>
    <w:multiLevelType w:val="hybridMultilevel"/>
    <w:tmpl w:val="BBB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14"/>
  </w:num>
  <w:num w:numId="6">
    <w:abstractNumId w:val="8"/>
  </w:num>
  <w:num w:numId="7">
    <w:abstractNumId w:val="3"/>
  </w:num>
  <w:num w:numId="8">
    <w:abstractNumId w:val="13"/>
  </w:num>
  <w:num w:numId="9">
    <w:abstractNumId w:val="11"/>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7"/>
  </w:num>
  <w:num w:numId="15">
    <w:abstractNumId w:val="1"/>
  </w:num>
  <w:num w:numId="16">
    <w:abstractNumId w:val="6"/>
  </w:num>
  <w:num w:numId="17">
    <w:abstractNumId w:val="17"/>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39"/>
    <w:rsid w:val="000070D4"/>
    <w:rsid w:val="00013578"/>
    <w:rsid w:val="000135EB"/>
    <w:rsid w:val="00016FF6"/>
    <w:rsid w:val="000223DC"/>
    <w:rsid w:val="000237B6"/>
    <w:rsid w:val="00026C64"/>
    <w:rsid w:val="00027A9E"/>
    <w:rsid w:val="00031C08"/>
    <w:rsid w:val="00032392"/>
    <w:rsid w:val="0003546C"/>
    <w:rsid w:val="00035882"/>
    <w:rsid w:val="00035AA6"/>
    <w:rsid w:val="000378C3"/>
    <w:rsid w:val="00040880"/>
    <w:rsid w:val="000454CE"/>
    <w:rsid w:val="00046CB0"/>
    <w:rsid w:val="00047FE5"/>
    <w:rsid w:val="00052A81"/>
    <w:rsid w:val="00054C5B"/>
    <w:rsid w:val="00057681"/>
    <w:rsid w:val="0006088E"/>
    <w:rsid w:val="00061420"/>
    <w:rsid w:val="00061A68"/>
    <w:rsid w:val="0007215D"/>
    <w:rsid w:val="0008046F"/>
    <w:rsid w:val="00080FA4"/>
    <w:rsid w:val="00086C7B"/>
    <w:rsid w:val="00087C82"/>
    <w:rsid w:val="0009407A"/>
    <w:rsid w:val="00097414"/>
    <w:rsid w:val="00097730"/>
    <w:rsid w:val="000A1D30"/>
    <w:rsid w:val="000A46BF"/>
    <w:rsid w:val="000A6355"/>
    <w:rsid w:val="000B5AE3"/>
    <w:rsid w:val="000C10A2"/>
    <w:rsid w:val="000C278F"/>
    <w:rsid w:val="000C3669"/>
    <w:rsid w:val="000C4210"/>
    <w:rsid w:val="000C45A3"/>
    <w:rsid w:val="000C7B51"/>
    <w:rsid w:val="000D0BFE"/>
    <w:rsid w:val="000D465B"/>
    <w:rsid w:val="000D68B9"/>
    <w:rsid w:val="000E1199"/>
    <w:rsid w:val="000E34E1"/>
    <w:rsid w:val="000E68C8"/>
    <w:rsid w:val="000F074B"/>
    <w:rsid w:val="000F17CF"/>
    <w:rsid w:val="000F22E2"/>
    <w:rsid w:val="000F3960"/>
    <w:rsid w:val="000F3D87"/>
    <w:rsid w:val="000F3FAF"/>
    <w:rsid w:val="000F46F1"/>
    <w:rsid w:val="000F7A52"/>
    <w:rsid w:val="001037DA"/>
    <w:rsid w:val="0010538B"/>
    <w:rsid w:val="00106C77"/>
    <w:rsid w:val="00114EBA"/>
    <w:rsid w:val="001205F6"/>
    <w:rsid w:val="00133657"/>
    <w:rsid w:val="00135328"/>
    <w:rsid w:val="00136B4B"/>
    <w:rsid w:val="00143511"/>
    <w:rsid w:val="00143F8D"/>
    <w:rsid w:val="001448FE"/>
    <w:rsid w:val="001456D1"/>
    <w:rsid w:val="00152F12"/>
    <w:rsid w:val="001551BB"/>
    <w:rsid w:val="00155853"/>
    <w:rsid w:val="001613C8"/>
    <w:rsid w:val="00162991"/>
    <w:rsid w:val="00163127"/>
    <w:rsid w:val="00163CCD"/>
    <w:rsid w:val="00165F8D"/>
    <w:rsid w:val="00165F97"/>
    <w:rsid w:val="00172D84"/>
    <w:rsid w:val="001758B8"/>
    <w:rsid w:val="00180102"/>
    <w:rsid w:val="00180F7A"/>
    <w:rsid w:val="00181848"/>
    <w:rsid w:val="00182A14"/>
    <w:rsid w:val="00183464"/>
    <w:rsid w:val="001845F9"/>
    <w:rsid w:val="00186BCC"/>
    <w:rsid w:val="001904E2"/>
    <w:rsid w:val="001906F5"/>
    <w:rsid w:val="00192155"/>
    <w:rsid w:val="001947CB"/>
    <w:rsid w:val="00196555"/>
    <w:rsid w:val="0019702F"/>
    <w:rsid w:val="0019710B"/>
    <w:rsid w:val="001A00AD"/>
    <w:rsid w:val="001A6E97"/>
    <w:rsid w:val="001B145D"/>
    <w:rsid w:val="001B49E3"/>
    <w:rsid w:val="001B69D8"/>
    <w:rsid w:val="001C31B2"/>
    <w:rsid w:val="001C3499"/>
    <w:rsid w:val="001C4652"/>
    <w:rsid w:val="001D2039"/>
    <w:rsid w:val="001D30B5"/>
    <w:rsid w:val="001D3A31"/>
    <w:rsid w:val="001D45DF"/>
    <w:rsid w:val="001D5A8B"/>
    <w:rsid w:val="001D7472"/>
    <w:rsid w:val="001E15BE"/>
    <w:rsid w:val="001E3F25"/>
    <w:rsid w:val="001E57B3"/>
    <w:rsid w:val="001E7074"/>
    <w:rsid w:val="001F23E4"/>
    <w:rsid w:val="001F2DF8"/>
    <w:rsid w:val="00204F35"/>
    <w:rsid w:val="00205CA2"/>
    <w:rsid w:val="00205D34"/>
    <w:rsid w:val="0020729A"/>
    <w:rsid w:val="00211723"/>
    <w:rsid w:val="00213DA1"/>
    <w:rsid w:val="00216975"/>
    <w:rsid w:val="00217DB9"/>
    <w:rsid w:val="00220187"/>
    <w:rsid w:val="00222652"/>
    <w:rsid w:val="00222BBE"/>
    <w:rsid w:val="00225D1B"/>
    <w:rsid w:val="002316EA"/>
    <w:rsid w:val="002329CB"/>
    <w:rsid w:val="002347F3"/>
    <w:rsid w:val="0023596E"/>
    <w:rsid w:val="00241897"/>
    <w:rsid w:val="002432FE"/>
    <w:rsid w:val="00244FC1"/>
    <w:rsid w:val="002465AB"/>
    <w:rsid w:val="00251C90"/>
    <w:rsid w:val="00252825"/>
    <w:rsid w:val="00254165"/>
    <w:rsid w:val="00261AB4"/>
    <w:rsid w:val="002622D5"/>
    <w:rsid w:val="002649DC"/>
    <w:rsid w:val="002657F6"/>
    <w:rsid w:val="00266B84"/>
    <w:rsid w:val="00266C68"/>
    <w:rsid w:val="00267C70"/>
    <w:rsid w:val="00274F4B"/>
    <w:rsid w:val="00275D27"/>
    <w:rsid w:val="0027672F"/>
    <w:rsid w:val="002807F0"/>
    <w:rsid w:val="00280CF2"/>
    <w:rsid w:val="0028119D"/>
    <w:rsid w:val="00283D0A"/>
    <w:rsid w:val="00284130"/>
    <w:rsid w:val="00286FAA"/>
    <w:rsid w:val="00290289"/>
    <w:rsid w:val="00290FEE"/>
    <w:rsid w:val="00292D97"/>
    <w:rsid w:val="00296CEF"/>
    <w:rsid w:val="002A12AF"/>
    <w:rsid w:val="002A32A7"/>
    <w:rsid w:val="002A35ED"/>
    <w:rsid w:val="002A3B6F"/>
    <w:rsid w:val="002A475F"/>
    <w:rsid w:val="002A58D4"/>
    <w:rsid w:val="002B5F70"/>
    <w:rsid w:val="002B6F2B"/>
    <w:rsid w:val="002C74BB"/>
    <w:rsid w:val="002C7DE0"/>
    <w:rsid w:val="002D20C2"/>
    <w:rsid w:val="002D2860"/>
    <w:rsid w:val="002D4B88"/>
    <w:rsid w:val="002D53C3"/>
    <w:rsid w:val="002D7279"/>
    <w:rsid w:val="002D769B"/>
    <w:rsid w:val="002E1467"/>
    <w:rsid w:val="002E2B20"/>
    <w:rsid w:val="002E682C"/>
    <w:rsid w:val="002F2365"/>
    <w:rsid w:val="002F3415"/>
    <w:rsid w:val="002F42B4"/>
    <w:rsid w:val="0031107A"/>
    <w:rsid w:val="00311E3B"/>
    <w:rsid w:val="003152F5"/>
    <w:rsid w:val="00317CC6"/>
    <w:rsid w:val="00326203"/>
    <w:rsid w:val="00326EB1"/>
    <w:rsid w:val="003313AF"/>
    <w:rsid w:val="003332A3"/>
    <w:rsid w:val="00333A52"/>
    <w:rsid w:val="00335A7A"/>
    <w:rsid w:val="003365EB"/>
    <w:rsid w:val="00337980"/>
    <w:rsid w:val="0034517D"/>
    <w:rsid w:val="00346002"/>
    <w:rsid w:val="00351BEB"/>
    <w:rsid w:val="00354CF0"/>
    <w:rsid w:val="003556ED"/>
    <w:rsid w:val="00355B14"/>
    <w:rsid w:val="00355EBA"/>
    <w:rsid w:val="00362652"/>
    <w:rsid w:val="00362FCD"/>
    <w:rsid w:val="00370FEF"/>
    <w:rsid w:val="00372539"/>
    <w:rsid w:val="00376010"/>
    <w:rsid w:val="0037681B"/>
    <w:rsid w:val="00383921"/>
    <w:rsid w:val="00384273"/>
    <w:rsid w:val="003863E3"/>
    <w:rsid w:val="003907A5"/>
    <w:rsid w:val="00390B98"/>
    <w:rsid w:val="003920DC"/>
    <w:rsid w:val="00396CD2"/>
    <w:rsid w:val="003A0193"/>
    <w:rsid w:val="003A0281"/>
    <w:rsid w:val="003A4715"/>
    <w:rsid w:val="003A5A8D"/>
    <w:rsid w:val="003A73D2"/>
    <w:rsid w:val="003A78A4"/>
    <w:rsid w:val="003A79EC"/>
    <w:rsid w:val="003B4A69"/>
    <w:rsid w:val="003B7D3B"/>
    <w:rsid w:val="003C04A0"/>
    <w:rsid w:val="003C2DCC"/>
    <w:rsid w:val="003C3162"/>
    <w:rsid w:val="003D195E"/>
    <w:rsid w:val="003D2A2A"/>
    <w:rsid w:val="003D4268"/>
    <w:rsid w:val="003E07F6"/>
    <w:rsid w:val="003E25C1"/>
    <w:rsid w:val="003E36EC"/>
    <w:rsid w:val="003E44DD"/>
    <w:rsid w:val="003E6E78"/>
    <w:rsid w:val="003E7EA4"/>
    <w:rsid w:val="003F1F4A"/>
    <w:rsid w:val="003F3B8C"/>
    <w:rsid w:val="003F4732"/>
    <w:rsid w:val="003F517C"/>
    <w:rsid w:val="003F58CB"/>
    <w:rsid w:val="003F5CF0"/>
    <w:rsid w:val="00401B79"/>
    <w:rsid w:val="004031E5"/>
    <w:rsid w:val="00404D76"/>
    <w:rsid w:val="004054F0"/>
    <w:rsid w:val="004121AC"/>
    <w:rsid w:val="0042095A"/>
    <w:rsid w:val="00422AB0"/>
    <w:rsid w:val="0043064E"/>
    <w:rsid w:val="00440330"/>
    <w:rsid w:val="00440945"/>
    <w:rsid w:val="004418BE"/>
    <w:rsid w:val="00441E4B"/>
    <w:rsid w:val="004427DD"/>
    <w:rsid w:val="00442B9D"/>
    <w:rsid w:val="00450551"/>
    <w:rsid w:val="00451A67"/>
    <w:rsid w:val="00452775"/>
    <w:rsid w:val="00454725"/>
    <w:rsid w:val="0045560C"/>
    <w:rsid w:val="0045575E"/>
    <w:rsid w:val="004565ED"/>
    <w:rsid w:val="0045667B"/>
    <w:rsid w:val="004614C8"/>
    <w:rsid w:val="0046482E"/>
    <w:rsid w:val="00467D6D"/>
    <w:rsid w:val="00470DD3"/>
    <w:rsid w:val="004722F7"/>
    <w:rsid w:val="004742CB"/>
    <w:rsid w:val="00474FD0"/>
    <w:rsid w:val="00475CA5"/>
    <w:rsid w:val="004845F5"/>
    <w:rsid w:val="00485AA5"/>
    <w:rsid w:val="00487EC4"/>
    <w:rsid w:val="00490B0F"/>
    <w:rsid w:val="00493006"/>
    <w:rsid w:val="00494839"/>
    <w:rsid w:val="00494E81"/>
    <w:rsid w:val="004A0E17"/>
    <w:rsid w:val="004A1995"/>
    <w:rsid w:val="004A4489"/>
    <w:rsid w:val="004C153F"/>
    <w:rsid w:val="004C2E28"/>
    <w:rsid w:val="004C3B4D"/>
    <w:rsid w:val="004C3FC5"/>
    <w:rsid w:val="004E185D"/>
    <w:rsid w:val="004E1AE4"/>
    <w:rsid w:val="004E6E6C"/>
    <w:rsid w:val="004F050B"/>
    <w:rsid w:val="004F2978"/>
    <w:rsid w:val="004F3AE7"/>
    <w:rsid w:val="004F3B72"/>
    <w:rsid w:val="005012FC"/>
    <w:rsid w:val="00505BEC"/>
    <w:rsid w:val="00506CD1"/>
    <w:rsid w:val="00515B0B"/>
    <w:rsid w:val="005226FA"/>
    <w:rsid w:val="00525F04"/>
    <w:rsid w:val="005332B8"/>
    <w:rsid w:val="00533A52"/>
    <w:rsid w:val="0054118E"/>
    <w:rsid w:val="005447D4"/>
    <w:rsid w:val="00545A28"/>
    <w:rsid w:val="00547ED4"/>
    <w:rsid w:val="00550566"/>
    <w:rsid w:val="005523E4"/>
    <w:rsid w:val="00552590"/>
    <w:rsid w:val="00557DFC"/>
    <w:rsid w:val="00562304"/>
    <w:rsid w:val="005646D6"/>
    <w:rsid w:val="0056698A"/>
    <w:rsid w:val="00566EBF"/>
    <w:rsid w:val="00570914"/>
    <w:rsid w:val="00573256"/>
    <w:rsid w:val="005734C7"/>
    <w:rsid w:val="00573697"/>
    <w:rsid w:val="005745E4"/>
    <w:rsid w:val="005813BC"/>
    <w:rsid w:val="0058170B"/>
    <w:rsid w:val="00582FD1"/>
    <w:rsid w:val="00585D25"/>
    <w:rsid w:val="0058794B"/>
    <w:rsid w:val="0059144F"/>
    <w:rsid w:val="00594797"/>
    <w:rsid w:val="0059599A"/>
    <w:rsid w:val="00596C92"/>
    <w:rsid w:val="005A2013"/>
    <w:rsid w:val="005A28B6"/>
    <w:rsid w:val="005A5A5C"/>
    <w:rsid w:val="005A7A65"/>
    <w:rsid w:val="005B49CA"/>
    <w:rsid w:val="005C02E1"/>
    <w:rsid w:val="005C062D"/>
    <w:rsid w:val="005C41B7"/>
    <w:rsid w:val="005C5DFB"/>
    <w:rsid w:val="005C72F6"/>
    <w:rsid w:val="005D4D88"/>
    <w:rsid w:val="005D511C"/>
    <w:rsid w:val="005D5CFE"/>
    <w:rsid w:val="005D6CDE"/>
    <w:rsid w:val="005E244D"/>
    <w:rsid w:val="005E4E82"/>
    <w:rsid w:val="005E5B07"/>
    <w:rsid w:val="005E7AC4"/>
    <w:rsid w:val="005F0C27"/>
    <w:rsid w:val="005F2A3A"/>
    <w:rsid w:val="005F5A7E"/>
    <w:rsid w:val="005F604E"/>
    <w:rsid w:val="005F7661"/>
    <w:rsid w:val="006010F1"/>
    <w:rsid w:val="00601C2C"/>
    <w:rsid w:val="006026BA"/>
    <w:rsid w:val="00603C03"/>
    <w:rsid w:val="006073DF"/>
    <w:rsid w:val="00621A6D"/>
    <w:rsid w:val="00622580"/>
    <w:rsid w:val="0063166D"/>
    <w:rsid w:val="00632D70"/>
    <w:rsid w:val="00635C5C"/>
    <w:rsid w:val="006369C5"/>
    <w:rsid w:val="00636A05"/>
    <w:rsid w:val="00636B74"/>
    <w:rsid w:val="00637BD6"/>
    <w:rsid w:val="00640C9B"/>
    <w:rsid w:val="00644C73"/>
    <w:rsid w:val="00647D27"/>
    <w:rsid w:val="006545E5"/>
    <w:rsid w:val="006554CF"/>
    <w:rsid w:val="00662115"/>
    <w:rsid w:val="006639B9"/>
    <w:rsid w:val="00664C2A"/>
    <w:rsid w:val="00664F4A"/>
    <w:rsid w:val="006703DE"/>
    <w:rsid w:val="00670486"/>
    <w:rsid w:val="006714A2"/>
    <w:rsid w:val="00673DA9"/>
    <w:rsid w:val="0067637D"/>
    <w:rsid w:val="0068038A"/>
    <w:rsid w:val="00683BD3"/>
    <w:rsid w:val="00684BB5"/>
    <w:rsid w:val="00685A2F"/>
    <w:rsid w:val="00690029"/>
    <w:rsid w:val="00693C2E"/>
    <w:rsid w:val="006953DA"/>
    <w:rsid w:val="006A327A"/>
    <w:rsid w:val="006B1107"/>
    <w:rsid w:val="006B31F7"/>
    <w:rsid w:val="006B5AA6"/>
    <w:rsid w:val="006B5F05"/>
    <w:rsid w:val="006B7823"/>
    <w:rsid w:val="006C09BF"/>
    <w:rsid w:val="006C1268"/>
    <w:rsid w:val="006C4B9F"/>
    <w:rsid w:val="006C5C46"/>
    <w:rsid w:val="006C6948"/>
    <w:rsid w:val="006D0DBB"/>
    <w:rsid w:val="006D104F"/>
    <w:rsid w:val="006D19C8"/>
    <w:rsid w:val="006D5AFA"/>
    <w:rsid w:val="006E4C34"/>
    <w:rsid w:val="006E608D"/>
    <w:rsid w:val="006E60AA"/>
    <w:rsid w:val="006E7978"/>
    <w:rsid w:val="006E7B47"/>
    <w:rsid w:val="006F32E6"/>
    <w:rsid w:val="006F66AA"/>
    <w:rsid w:val="006F7080"/>
    <w:rsid w:val="00703416"/>
    <w:rsid w:val="00703D05"/>
    <w:rsid w:val="007048A0"/>
    <w:rsid w:val="00712645"/>
    <w:rsid w:val="007150EA"/>
    <w:rsid w:val="007205AD"/>
    <w:rsid w:val="00724664"/>
    <w:rsid w:val="00724BF2"/>
    <w:rsid w:val="00725E35"/>
    <w:rsid w:val="00731309"/>
    <w:rsid w:val="00732135"/>
    <w:rsid w:val="00732782"/>
    <w:rsid w:val="00733D26"/>
    <w:rsid w:val="007344F8"/>
    <w:rsid w:val="007363A1"/>
    <w:rsid w:val="0074234C"/>
    <w:rsid w:val="0074243A"/>
    <w:rsid w:val="0074285F"/>
    <w:rsid w:val="00743049"/>
    <w:rsid w:val="00744362"/>
    <w:rsid w:val="00745EBD"/>
    <w:rsid w:val="00746570"/>
    <w:rsid w:val="007530E5"/>
    <w:rsid w:val="00754BA2"/>
    <w:rsid w:val="00756991"/>
    <w:rsid w:val="00761CC5"/>
    <w:rsid w:val="007667E0"/>
    <w:rsid w:val="007712D8"/>
    <w:rsid w:val="00772A76"/>
    <w:rsid w:val="00774397"/>
    <w:rsid w:val="00776ECC"/>
    <w:rsid w:val="00791DB2"/>
    <w:rsid w:val="00795019"/>
    <w:rsid w:val="0079671B"/>
    <w:rsid w:val="007A00CA"/>
    <w:rsid w:val="007A1B65"/>
    <w:rsid w:val="007A4A5A"/>
    <w:rsid w:val="007A5409"/>
    <w:rsid w:val="007A7FB3"/>
    <w:rsid w:val="007B0EB5"/>
    <w:rsid w:val="007B16CA"/>
    <w:rsid w:val="007B21CF"/>
    <w:rsid w:val="007B345D"/>
    <w:rsid w:val="007B42BC"/>
    <w:rsid w:val="007B59BB"/>
    <w:rsid w:val="007B6276"/>
    <w:rsid w:val="007B6E27"/>
    <w:rsid w:val="007C6199"/>
    <w:rsid w:val="007D206E"/>
    <w:rsid w:val="007D3568"/>
    <w:rsid w:val="007E000B"/>
    <w:rsid w:val="007E0057"/>
    <w:rsid w:val="007E204D"/>
    <w:rsid w:val="007E3D1B"/>
    <w:rsid w:val="007F0844"/>
    <w:rsid w:val="007F5975"/>
    <w:rsid w:val="007F6319"/>
    <w:rsid w:val="008008CA"/>
    <w:rsid w:val="00805963"/>
    <w:rsid w:val="008077F9"/>
    <w:rsid w:val="008078B3"/>
    <w:rsid w:val="0081193F"/>
    <w:rsid w:val="00816433"/>
    <w:rsid w:val="00817A9B"/>
    <w:rsid w:val="00826A5C"/>
    <w:rsid w:val="00827772"/>
    <w:rsid w:val="00827EC4"/>
    <w:rsid w:val="008461BF"/>
    <w:rsid w:val="00850F6B"/>
    <w:rsid w:val="0085446F"/>
    <w:rsid w:val="008568A5"/>
    <w:rsid w:val="00857316"/>
    <w:rsid w:val="008611C5"/>
    <w:rsid w:val="008700BF"/>
    <w:rsid w:val="00876ACB"/>
    <w:rsid w:val="00880C14"/>
    <w:rsid w:val="008818CF"/>
    <w:rsid w:val="00883449"/>
    <w:rsid w:val="008909AB"/>
    <w:rsid w:val="00891532"/>
    <w:rsid w:val="008953AF"/>
    <w:rsid w:val="00895F09"/>
    <w:rsid w:val="008A182A"/>
    <w:rsid w:val="008A1B97"/>
    <w:rsid w:val="008A3EE7"/>
    <w:rsid w:val="008B29FF"/>
    <w:rsid w:val="008B2F25"/>
    <w:rsid w:val="008B701B"/>
    <w:rsid w:val="008C0094"/>
    <w:rsid w:val="008D13E4"/>
    <w:rsid w:val="008D6B9A"/>
    <w:rsid w:val="008E47A0"/>
    <w:rsid w:val="008E4FF0"/>
    <w:rsid w:val="008E6431"/>
    <w:rsid w:val="008F0049"/>
    <w:rsid w:val="008F0E9A"/>
    <w:rsid w:val="008F69AD"/>
    <w:rsid w:val="008F7593"/>
    <w:rsid w:val="00900425"/>
    <w:rsid w:val="00904C07"/>
    <w:rsid w:val="00913FBC"/>
    <w:rsid w:val="00915294"/>
    <w:rsid w:val="00924401"/>
    <w:rsid w:val="00924F65"/>
    <w:rsid w:val="00931682"/>
    <w:rsid w:val="00933025"/>
    <w:rsid w:val="009347D5"/>
    <w:rsid w:val="00936680"/>
    <w:rsid w:val="00937786"/>
    <w:rsid w:val="00937EC2"/>
    <w:rsid w:val="00945BF4"/>
    <w:rsid w:val="00947025"/>
    <w:rsid w:val="00951A27"/>
    <w:rsid w:val="00954159"/>
    <w:rsid w:val="009567DE"/>
    <w:rsid w:val="0096151E"/>
    <w:rsid w:val="00967F01"/>
    <w:rsid w:val="009703BD"/>
    <w:rsid w:val="00971509"/>
    <w:rsid w:val="0097415C"/>
    <w:rsid w:val="009743B4"/>
    <w:rsid w:val="00975159"/>
    <w:rsid w:val="00982E6E"/>
    <w:rsid w:val="009835B1"/>
    <w:rsid w:val="00983765"/>
    <w:rsid w:val="00984BF5"/>
    <w:rsid w:val="00985053"/>
    <w:rsid w:val="00986A66"/>
    <w:rsid w:val="009902EB"/>
    <w:rsid w:val="00992202"/>
    <w:rsid w:val="00992E06"/>
    <w:rsid w:val="00992F5D"/>
    <w:rsid w:val="009975E3"/>
    <w:rsid w:val="00997B46"/>
    <w:rsid w:val="009A393E"/>
    <w:rsid w:val="009A4533"/>
    <w:rsid w:val="009A460E"/>
    <w:rsid w:val="009A46FE"/>
    <w:rsid w:val="009A6689"/>
    <w:rsid w:val="009B1AEA"/>
    <w:rsid w:val="009B5F08"/>
    <w:rsid w:val="009C2D12"/>
    <w:rsid w:val="009C30A9"/>
    <w:rsid w:val="009C3B91"/>
    <w:rsid w:val="009C3F3D"/>
    <w:rsid w:val="009C6ECE"/>
    <w:rsid w:val="009C7B8A"/>
    <w:rsid w:val="009D0471"/>
    <w:rsid w:val="009D4408"/>
    <w:rsid w:val="009E233C"/>
    <w:rsid w:val="009E24E0"/>
    <w:rsid w:val="009E2EB5"/>
    <w:rsid w:val="009E38DF"/>
    <w:rsid w:val="009E6622"/>
    <w:rsid w:val="009F0E48"/>
    <w:rsid w:val="009F120D"/>
    <w:rsid w:val="009F441B"/>
    <w:rsid w:val="009F4640"/>
    <w:rsid w:val="009F4768"/>
    <w:rsid w:val="009F5D73"/>
    <w:rsid w:val="009F7CA8"/>
    <w:rsid w:val="00A01705"/>
    <w:rsid w:val="00A01D6E"/>
    <w:rsid w:val="00A01DD3"/>
    <w:rsid w:val="00A04E11"/>
    <w:rsid w:val="00A069B2"/>
    <w:rsid w:val="00A1001D"/>
    <w:rsid w:val="00A1118A"/>
    <w:rsid w:val="00A145FD"/>
    <w:rsid w:val="00A20B6C"/>
    <w:rsid w:val="00A21E0F"/>
    <w:rsid w:val="00A2213B"/>
    <w:rsid w:val="00A245DB"/>
    <w:rsid w:val="00A24CFC"/>
    <w:rsid w:val="00A318AA"/>
    <w:rsid w:val="00A35E6D"/>
    <w:rsid w:val="00A367E9"/>
    <w:rsid w:val="00A375F7"/>
    <w:rsid w:val="00A37BFC"/>
    <w:rsid w:val="00A4071B"/>
    <w:rsid w:val="00A46BA7"/>
    <w:rsid w:val="00A50C9D"/>
    <w:rsid w:val="00A51FA2"/>
    <w:rsid w:val="00A55B10"/>
    <w:rsid w:val="00A57E71"/>
    <w:rsid w:val="00A625EF"/>
    <w:rsid w:val="00A63F78"/>
    <w:rsid w:val="00A64658"/>
    <w:rsid w:val="00A71D68"/>
    <w:rsid w:val="00A71FE0"/>
    <w:rsid w:val="00A72F89"/>
    <w:rsid w:val="00A73EBE"/>
    <w:rsid w:val="00A74D2D"/>
    <w:rsid w:val="00A74F35"/>
    <w:rsid w:val="00A759FC"/>
    <w:rsid w:val="00A75D26"/>
    <w:rsid w:val="00A8001F"/>
    <w:rsid w:val="00A82F6D"/>
    <w:rsid w:val="00A83F9E"/>
    <w:rsid w:val="00A8411E"/>
    <w:rsid w:val="00A85F6E"/>
    <w:rsid w:val="00A8787E"/>
    <w:rsid w:val="00A90EAA"/>
    <w:rsid w:val="00A920B1"/>
    <w:rsid w:val="00A9249C"/>
    <w:rsid w:val="00A94076"/>
    <w:rsid w:val="00A9505E"/>
    <w:rsid w:val="00AA66AB"/>
    <w:rsid w:val="00AB2FBC"/>
    <w:rsid w:val="00AB5155"/>
    <w:rsid w:val="00AB5972"/>
    <w:rsid w:val="00AB5AAB"/>
    <w:rsid w:val="00AB5C7B"/>
    <w:rsid w:val="00AB645E"/>
    <w:rsid w:val="00AB6C1D"/>
    <w:rsid w:val="00AC48A0"/>
    <w:rsid w:val="00AC6442"/>
    <w:rsid w:val="00AD14A2"/>
    <w:rsid w:val="00AD192E"/>
    <w:rsid w:val="00AD22BC"/>
    <w:rsid w:val="00AD6108"/>
    <w:rsid w:val="00AE1594"/>
    <w:rsid w:val="00AE1D2D"/>
    <w:rsid w:val="00AE4499"/>
    <w:rsid w:val="00AF1ABB"/>
    <w:rsid w:val="00AF29A8"/>
    <w:rsid w:val="00AF4EB7"/>
    <w:rsid w:val="00AF611A"/>
    <w:rsid w:val="00AF73E9"/>
    <w:rsid w:val="00B002DE"/>
    <w:rsid w:val="00B0392C"/>
    <w:rsid w:val="00B040FA"/>
    <w:rsid w:val="00B05797"/>
    <w:rsid w:val="00B05DF5"/>
    <w:rsid w:val="00B123B4"/>
    <w:rsid w:val="00B1410A"/>
    <w:rsid w:val="00B14A2B"/>
    <w:rsid w:val="00B17530"/>
    <w:rsid w:val="00B205DF"/>
    <w:rsid w:val="00B21AFD"/>
    <w:rsid w:val="00B2439A"/>
    <w:rsid w:val="00B24845"/>
    <w:rsid w:val="00B24D55"/>
    <w:rsid w:val="00B250F6"/>
    <w:rsid w:val="00B25311"/>
    <w:rsid w:val="00B27979"/>
    <w:rsid w:val="00B307FB"/>
    <w:rsid w:val="00B44039"/>
    <w:rsid w:val="00B4496D"/>
    <w:rsid w:val="00B46025"/>
    <w:rsid w:val="00B50365"/>
    <w:rsid w:val="00B50DC2"/>
    <w:rsid w:val="00B50EF5"/>
    <w:rsid w:val="00B52CBC"/>
    <w:rsid w:val="00B54668"/>
    <w:rsid w:val="00B5520A"/>
    <w:rsid w:val="00B71875"/>
    <w:rsid w:val="00B77418"/>
    <w:rsid w:val="00B926C8"/>
    <w:rsid w:val="00B929C6"/>
    <w:rsid w:val="00B93305"/>
    <w:rsid w:val="00B93E29"/>
    <w:rsid w:val="00BA0379"/>
    <w:rsid w:val="00BA0414"/>
    <w:rsid w:val="00BA31B7"/>
    <w:rsid w:val="00BA493C"/>
    <w:rsid w:val="00BA4BE5"/>
    <w:rsid w:val="00BA5A03"/>
    <w:rsid w:val="00BA6B8C"/>
    <w:rsid w:val="00BB3168"/>
    <w:rsid w:val="00BB3424"/>
    <w:rsid w:val="00BB5737"/>
    <w:rsid w:val="00BC71C2"/>
    <w:rsid w:val="00BC7F08"/>
    <w:rsid w:val="00BD23B0"/>
    <w:rsid w:val="00BD3AB4"/>
    <w:rsid w:val="00BE2F50"/>
    <w:rsid w:val="00BE5BB9"/>
    <w:rsid w:val="00BE680A"/>
    <w:rsid w:val="00BF3489"/>
    <w:rsid w:val="00BF3C40"/>
    <w:rsid w:val="00BF45AC"/>
    <w:rsid w:val="00BF743F"/>
    <w:rsid w:val="00BF7C60"/>
    <w:rsid w:val="00C00608"/>
    <w:rsid w:val="00C035D8"/>
    <w:rsid w:val="00C07536"/>
    <w:rsid w:val="00C104ED"/>
    <w:rsid w:val="00C127EF"/>
    <w:rsid w:val="00C236A2"/>
    <w:rsid w:val="00C26040"/>
    <w:rsid w:val="00C26B2B"/>
    <w:rsid w:val="00C33AEC"/>
    <w:rsid w:val="00C33F66"/>
    <w:rsid w:val="00C352B4"/>
    <w:rsid w:val="00C35921"/>
    <w:rsid w:val="00C40619"/>
    <w:rsid w:val="00C42979"/>
    <w:rsid w:val="00C45539"/>
    <w:rsid w:val="00C46D18"/>
    <w:rsid w:val="00C5444A"/>
    <w:rsid w:val="00C5455C"/>
    <w:rsid w:val="00C5561F"/>
    <w:rsid w:val="00C56731"/>
    <w:rsid w:val="00C60C50"/>
    <w:rsid w:val="00C62312"/>
    <w:rsid w:val="00C66505"/>
    <w:rsid w:val="00C71AC3"/>
    <w:rsid w:val="00C734DD"/>
    <w:rsid w:val="00C73D9D"/>
    <w:rsid w:val="00C75B65"/>
    <w:rsid w:val="00C75C11"/>
    <w:rsid w:val="00C812E6"/>
    <w:rsid w:val="00C842E9"/>
    <w:rsid w:val="00C8684B"/>
    <w:rsid w:val="00C87F81"/>
    <w:rsid w:val="00C9031C"/>
    <w:rsid w:val="00C91C2A"/>
    <w:rsid w:val="00C9462A"/>
    <w:rsid w:val="00C94824"/>
    <w:rsid w:val="00C95C67"/>
    <w:rsid w:val="00CA3F43"/>
    <w:rsid w:val="00CA528B"/>
    <w:rsid w:val="00CB0FCD"/>
    <w:rsid w:val="00CB3CF2"/>
    <w:rsid w:val="00CB4FBF"/>
    <w:rsid w:val="00CB6150"/>
    <w:rsid w:val="00CC2C2C"/>
    <w:rsid w:val="00CC2E94"/>
    <w:rsid w:val="00CC4CC0"/>
    <w:rsid w:val="00CC4E67"/>
    <w:rsid w:val="00CC62D1"/>
    <w:rsid w:val="00CC71C2"/>
    <w:rsid w:val="00CC7613"/>
    <w:rsid w:val="00CD0C1B"/>
    <w:rsid w:val="00CD14D8"/>
    <w:rsid w:val="00CD20E8"/>
    <w:rsid w:val="00CD4784"/>
    <w:rsid w:val="00CD5367"/>
    <w:rsid w:val="00CD582F"/>
    <w:rsid w:val="00CD7F57"/>
    <w:rsid w:val="00CE0F3A"/>
    <w:rsid w:val="00CE3E6B"/>
    <w:rsid w:val="00CE46DF"/>
    <w:rsid w:val="00CF0CFD"/>
    <w:rsid w:val="00D01888"/>
    <w:rsid w:val="00D029F9"/>
    <w:rsid w:val="00D04527"/>
    <w:rsid w:val="00D066FB"/>
    <w:rsid w:val="00D10652"/>
    <w:rsid w:val="00D10696"/>
    <w:rsid w:val="00D12874"/>
    <w:rsid w:val="00D14233"/>
    <w:rsid w:val="00D20BBD"/>
    <w:rsid w:val="00D2209E"/>
    <w:rsid w:val="00D267CD"/>
    <w:rsid w:val="00D27FC8"/>
    <w:rsid w:val="00D31164"/>
    <w:rsid w:val="00D3131E"/>
    <w:rsid w:val="00D31624"/>
    <w:rsid w:val="00D323B2"/>
    <w:rsid w:val="00D34D67"/>
    <w:rsid w:val="00D356DB"/>
    <w:rsid w:val="00D37B50"/>
    <w:rsid w:val="00D51E2B"/>
    <w:rsid w:val="00D55180"/>
    <w:rsid w:val="00D5530C"/>
    <w:rsid w:val="00D56DAC"/>
    <w:rsid w:val="00D577DD"/>
    <w:rsid w:val="00D57BBD"/>
    <w:rsid w:val="00D62287"/>
    <w:rsid w:val="00D65174"/>
    <w:rsid w:val="00D65481"/>
    <w:rsid w:val="00D67774"/>
    <w:rsid w:val="00D736CF"/>
    <w:rsid w:val="00D73D67"/>
    <w:rsid w:val="00D773D9"/>
    <w:rsid w:val="00D80C04"/>
    <w:rsid w:val="00D81400"/>
    <w:rsid w:val="00D831D7"/>
    <w:rsid w:val="00D86F96"/>
    <w:rsid w:val="00D90B4E"/>
    <w:rsid w:val="00D916EA"/>
    <w:rsid w:val="00D946B4"/>
    <w:rsid w:val="00DA1436"/>
    <w:rsid w:val="00DA4D97"/>
    <w:rsid w:val="00DB37F1"/>
    <w:rsid w:val="00DB45C8"/>
    <w:rsid w:val="00DB46C7"/>
    <w:rsid w:val="00DC1656"/>
    <w:rsid w:val="00DC1C36"/>
    <w:rsid w:val="00DC213A"/>
    <w:rsid w:val="00DC2BC5"/>
    <w:rsid w:val="00DC4671"/>
    <w:rsid w:val="00DC67E4"/>
    <w:rsid w:val="00DC7CF0"/>
    <w:rsid w:val="00DD2016"/>
    <w:rsid w:val="00DD2070"/>
    <w:rsid w:val="00DD3ACC"/>
    <w:rsid w:val="00DD607A"/>
    <w:rsid w:val="00DD6AE8"/>
    <w:rsid w:val="00DD7653"/>
    <w:rsid w:val="00DE2A3A"/>
    <w:rsid w:val="00DE515D"/>
    <w:rsid w:val="00DE5765"/>
    <w:rsid w:val="00DF16D7"/>
    <w:rsid w:val="00DF2F56"/>
    <w:rsid w:val="00DF532C"/>
    <w:rsid w:val="00E02F4E"/>
    <w:rsid w:val="00E06236"/>
    <w:rsid w:val="00E068D8"/>
    <w:rsid w:val="00E07AA9"/>
    <w:rsid w:val="00E13FBE"/>
    <w:rsid w:val="00E14CC3"/>
    <w:rsid w:val="00E16834"/>
    <w:rsid w:val="00E16A25"/>
    <w:rsid w:val="00E16BAB"/>
    <w:rsid w:val="00E2020A"/>
    <w:rsid w:val="00E23E2E"/>
    <w:rsid w:val="00E314D4"/>
    <w:rsid w:val="00E33380"/>
    <w:rsid w:val="00E35681"/>
    <w:rsid w:val="00E3590B"/>
    <w:rsid w:val="00E37DFF"/>
    <w:rsid w:val="00E40BA3"/>
    <w:rsid w:val="00E425F9"/>
    <w:rsid w:val="00E433CD"/>
    <w:rsid w:val="00E47989"/>
    <w:rsid w:val="00E5130F"/>
    <w:rsid w:val="00E526E6"/>
    <w:rsid w:val="00E568CC"/>
    <w:rsid w:val="00E56C3B"/>
    <w:rsid w:val="00E60C7E"/>
    <w:rsid w:val="00E61745"/>
    <w:rsid w:val="00E75B62"/>
    <w:rsid w:val="00E77331"/>
    <w:rsid w:val="00E8712A"/>
    <w:rsid w:val="00E87B72"/>
    <w:rsid w:val="00E90C6E"/>
    <w:rsid w:val="00E910BF"/>
    <w:rsid w:val="00E91A2F"/>
    <w:rsid w:val="00E92E48"/>
    <w:rsid w:val="00E96C1D"/>
    <w:rsid w:val="00E9788D"/>
    <w:rsid w:val="00EA0379"/>
    <w:rsid w:val="00EA1A90"/>
    <w:rsid w:val="00EA2442"/>
    <w:rsid w:val="00EA584C"/>
    <w:rsid w:val="00EB1559"/>
    <w:rsid w:val="00EB2398"/>
    <w:rsid w:val="00EB2888"/>
    <w:rsid w:val="00EB5923"/>
    <w:rsid w:val="00EC01AB"/>
    <w:rsid w:val="00EC2ECE"/>
    <w:rsid w:val="00EC5020"/>
    <w:rsid w:val="00EC5AC0"/>
    <w:rsid w:val="00EC5FCB"/>
    <w:rsid w:val="00EC6678"/>
    <w:rsid w:val="00ED1317"/>
    <w:rsid w:val="00ED23FC"/>
    <w:rsid w:val="00ED6369"/>
    <w:rsid w:val="00ED673B"/>
    <w:rsid w:val="00EE4A4E"/>
    <w:rsid w:val="00EE63AC"/>
    <w:rsid w:val="00EF03F9"/>
    <w:rsid w:val="00EF1C21"/>
    <w:rsid w:val="00EF3B25"/>
    <w:rsid w:val="00EF4EEC"/>
    <w:rsid w:val="00F00B2E"/>
    <w:rsid w:val="00F05459"/>
    <w:rsid w:val="00F16EF3"/>
    <w:rsid w:val="00F177F7"/>
    <w:rsid w:val="00F25260"/>
    <w:rsid w:val="00F25914"/>
    <w:rsid w:val="00F304DE"/>
    <w:rsid w:val="00F31FA6"/>
    <w:rsid w:val="00F370A3"/>
    <w:rsid w:val="00F37BD0"/>
    <w:rsid w:val="00F37D10"/>
    <w:rsid w:val="00F40555"/>
    <w:rsid w:val="00F4481D"/>
    <w:rsid w:val="00F475A5"/>
    <w:rsid w:val="00F500D0"/>
    <w:rsid w:val="00F51EEC"/>
    <w:rsid w:val="00F56088"/>
    <w:rsid w:val="00F60CC9"/>
    <w:rsid w:val="00F64782"/>
    <w:rsid w:val="00F65B0F"/>
    <w:rsid w:val="00F67961"/>
    <w:rsid w:val="00F71715"/>
    <w:rsid w:val="00F71B29"/>
    <w:rsid w:val="00F7340C"/>
    <w:rsid w:val="00F764FD"/>
    <w:rsid w:val="00F768C3"/>
    <w:rsid w:val="00F77239"/>
    <w:rsid w:val="00F77A8A"/>
    <w:rsid w:val="00F82FB8"/>
    <w:rsid w:val="00F86329"/>
    <w:rsid w:val="00F87B66"/>
    <w:rsid w:val="00F906CD"/>
    <w:rsid w:val="00F9123A"/>
    <w:rsid w:val="00F918CE"/>
    <w:rsid w:val="00FA0A6B"/>
    <w:rsid w:val="00FA1394"/>
    <w:rsid w:val="00FA1CF7"/>
    <w:rsid w:val="00FA31EC"/>
    <w:rsid w:val="00FA446C"/>
    <w:rsid w:val="00FA5744"/>
    <w:rsid w:val="00FA61B1"/>
    <w:rsid w:val="00FA7AEA"/>
    <w:rsid w:val="00FB0469"/>
    <w:rsid w:val="00FB0812"/>
    <w:rsid w:val="00FB1404"/>
    <w:rsid w:val="00FB16FF"/>
    <w:rsid w:val="00FB4028"/>
    <w:rsid w:val="00FB7278"/>
    <w:rsid w:val="00FB749D"/>
    <w:rsid w:val="00FC02A4"/>
    <w:rsid w:val="00FC2C31"/>
    <w:rsid w:val="00FC33B7"/>
    <w:rsid w:val="00FC4125"/>
    <w:rsid w:val="00FC49DE"/>
    <w:rsid w:val="00FC5E81"/>
    <w:rsid w:val="00FC7CD6"/>
    <w:rsid w:val="00FD27E8"/>
    <w:rsid w:val="00FD5138"/>
    <w:rsid w:val="00FD51AF"/>
    <w:rsid w:val="00FD5405"/>
    <w:rsid w:val="00FD7FA5"/>
    <w:rsid w:val="00FE11C5"/>
    <w:rsid w:val="00FE67C7"/>
    <w:rsid w:val="00FF05AE"/>
    <w:rsid w:val="00FF2E30"/>
    <w:rsid w:val="00FF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D2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0914"/>
    <w:pPr>
      <w:outlineLvl w:val="1"/>
    </w:pPr>
    <w:rPr>
      <w:rFonts w:ascii="Helvetica" w:eastAsia="Times New Roman" w:hAnsi="Helvetica" w:cs="Times New Roman"/>
      <w:color w:val="332A85"/>
      <w:sz w:val="30"/>
      <w:szCs w:val="30"/>
      <w:lang w:eastAsia="en-GB"/>
    </w:rPr>
  </w:style>
  <w:style w:type="paragraph" w:styleId="Heading3">
    <w:name w:val="heading 3"/>
    <w:basedOn w:val="Normal"/>
    <w:next w:val="Normal"/>
    <w:link w:val="Heading3Char"/>
    <w:uiPriority w:val="9"/>
    <w:semiHidden/>
    <w:unhideWhenUsed/>
    <w:qFormat/>
    <w:rsid w:val="002D4B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4D"/>
    <w:pPr>
      <w:ind w:left="720"/>
      <w:contextualSpacing/>
    </w:pPr>
    <w:rPr>
      <w:rFonts w:ascii="Calibri" w:eastAsia="Calibri" w:hAnsi="Calibri" w:cs="Times New Roman"/>
    </w:rPr>
  </w:style>
  <w:style w:type="table" w:styleId="TableGrid">
    <w:name w:val="Table Grid"/>
    <w:basedOn w:val="TableNormal"/>
    <w:uiPriority w:val="59"/>
    <w:rsid w:val="007E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FCD"/>
    <w:pPr>
      <w:tabs>
        <w:tab w:val="center" w:pos="4513"/>
        <w:tab w:val="right" w:pos="9026"/>
      </w:tabs>
    </w:pPr>
  </w:style>
  <w:style w:type="character" w:customStyle="1" w:styleId="HeaderChar">
    <w:name w:val="Header Char"/>
    <w:basedOn w:val="DefaultParagraphFont"/>
    <w:link w:val="Header"/>
    <w:uiPriority w:val="99"/>
    <w:rsid w:val="00362FCD"/>
  </w:style>
  <w:style w:type="paragraph" w:styleId="Footer">
    <w:name w:val="footer"/>
    <w:basedOn w:val="Normal"/>
    <w:link w:val="FooterChar"/>
    <w:uiPriority w:val="99"/>
    <w:unhideWhenUsed/>
    <w:rsid w:val="00362FCD"/>
    <w:pPr>
      <w:tabs>
        <w:tab w:val="center" w:pos="4513"/>
        <w:tab w:val="right" w:pos="9026"/>
      </w:tabs>
    </w:pPr>
  </w:style>
  <w:style w:type="character" w:customStyle="1" w:styleId="FooterChar">
    <w:name w:val="Footer Char"/>
    <w:basedOn w:val="DefaultParagraphFont"/>
    <w:link w:val="Footer"/>
    <w:uiPriority w:val="99"/>
    <w:rsid w:val="00362FCD"/>
  </w:style>
  <w:style w:type="paragraph" w:styleId="BalloonText">
    <w:name w:val="Balloon Text"/>
    <w:basedOn w:val="Normal"/>
    <w:link w:val="BalloonTextChar"/>
    <w:uiPriority w:val="99"/>
    <w:semiHidden/>
    <w:unhideWhenUsed/>
    <w:rsid w:val="00AB5972"/>
    <w:rPr>
      <w:rFonts w:ascii="Tahoma" w:hAnsi="Tahoma" w:cs="Tahoma"/>
      <w:sz w:val="16"/>
      <w:szCs w:val="16"/>
    </w:rPr>
  </w:style>
  <w:style w:type="character" w:customStyle="1" w:styleId="BalloonTextChar">
    <w:name w:val="Balloon Text Char"/>
    <w:basedOn w:val="DefaultParagraphFont"/>
    <w:link w:val="BalloonText"/>
    <w:uiPriority w:val="99"/>
    <w:semiHidden/>
    <w:rsid w:val="00AB5972"/>
    <w:rPr>
      <w:rFonts w:ascii="Tahoma" w:hAnsi="Tahoma" w:cs="Tahoma"/>
      <w:sz w:val="16"/>
      <w:szCs w:val="16"/>
    </w:rPr>
  </w:style>
  <w:style w:type="paragraph" w:styleId="PlainText">
    <w:name w:val="Plain Text"/>
    <w:basedOn w:val="Normal"/>
    <w:link w:val="PlainTextChar"/>
    <w:uiPriority w:val="99"/>
    <w:semiHidden/>
    <w:unhideWhenUsed/>
    <w:rsid w:val="00CE0F3A"/>
    <w:rPr>
      <w:rFonts w:ascii="Calibri" w:hAnsi="Calibri"/>
      <w:szCs w:val="21"/>
    </w:rPr>
  </w:style>
  <w:style w:type="character" w:customStyle="1" w:styleId="PlainTextChar">
    <w:name w:val="Plain Text Char"/>
    <w:basedOn w:val="DefaultParagraphFont"/>
    <w:link w:val="PlainText"/>
    <w:uiPriority w:val="99"/>
    <w:semiHidden/>
    <w:rsid w:val="00CE0F3A"/>
    <w:rPr>
      <w:rFonts w:ascii="Calibri" w:hAnsi="Calibri"/>
      <w:szCs w:val="21"/>
    </w:rPr>
  </w:style>
  <w:style w:type="character" w:customStyle="1" w:styleId="Heading2Char">
    <w:name w:val="Heading 2 Char"/>
    <w:basedOn w:val="DefaultParagraphFont"/>
    <w:link w:val="Heading2"/>
    <w:uiPriority w:val="9"/>
    <w:rsid w:val="00570914"/>
    <w:rPr>
      <w:rFonts w:ascii="Helvetica" w:eastAsia="Times New Roman" w:hAnsi="Helvetica" w:cs="Times New Roman"/>
      <w:color w:val="332A85"/>
      <w:sz w:val="30"/>
      <w:szCs w:val="30"/>
      <w:lang w:eastAsia="en-GB"/>
    </w:rPr>
  </w:style>
  <w:style w:type="character" w:styleId="Hyperlink">
    <w:name w:val="Hyperlink"/>
    <w:basedOn w:val="DefaultParagraphFont"/>
    <w:uiPriority w:val="99"/>
    <w:unhideWhenUsed/>
    <w:rsid w:val="00422AB0"/>
    <w:rPr>
      <w:color w:val="0000FF" w:themeColor="hyperlink"/>
      <w:u w:val="single"/>
    </w:rPr>
  </w:style>
  <w:style w:type="paragraph" w:customStyle="1" w:styleId="Body">
    <w:name w:val="Body"/>
    <w:rsid w:val="00985053"/>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character" w:styleId="Emphasis">
    <w:name w:val="Emphasis"/>
    <w:basedOn w:val="DefaultParagraphFont"/>
    <w:uiPriority w:val="20"/>
    <w:qFormat/>
    <w:rsid w:val="00F51EEC"/>
    <w:rPr>
      <w:b/>
      <w:bCs/>
      <w:i w:val="0"/>
      <w:iCs w:val="0"/>
    </w:rPr>
  </w:style>
  <w:style w:type="paragraph" w:styleId="NoSpacing">
    <w:name w:val="No Spacing"/>
    <w:uiPriority w:val="1"/>
    <w:qFormat/>
    <w:rsid w:val="00FA446C"/>
    <w:rPr>
      <w:rFonts w:ascii="Calibri" w:eastAsia="Times New Roman" w:hAnsi="Calibri" w:cs="Times New Roman"/>
      <w:lang w:val="en-US"/>
    </w:rPr>
  </w:style>
  <w:style w:type="character" w:customStyle="1" w:styleId="s2">
    <w:name w:val="s2"/>
    <w:basedOn w:val="DefaultParagraphFont"/>
    <w:rsid w:val="009E38DF"/>
  </w:style>
  <w:style w:type="character" w:customStyle="1" w:styleId="Heading1Char">
    <w:name w:val="Heading 1 Char"/>
    <w:basedOn w:val="DefaultParagraphFont"/>
    <w:link w:val="Heading1"/>
    <w:uiPriority w:val="9"/>
    <w:rsid w:val="00A75D2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22652"/>
    <w:rPr>
      <w:color w:val="800080" w:themeColor="followedHyperlink"/>
      <w:u w:val="single"/>
    </w:rPr>
  </w:style>
  <w:style w:type="paragraph" w:customStyle="1" w:styleId="yiv1238096596msolistparagraph">
    <w:name w:val="yiv1238096596msolistparagraph"/>
    <w:basedOn w:val="Normal"/>
    <w:rsid w:val="0059599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9599A"/>
  </w:style>
  <w:style w:type="paragraph" w:customStyle="1" w:styleId="yiv1238096596msonormal">
    <w:name w:val="yiv1238096596msonormal"/>
    <w:basedOn w:val="Normal"/>
    <w:rsid w:val="005959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72452153msonormal">
    <w:name w:val="yiv7472452153msonormal"/>
    <w:basedOn w:val="Normal"/>
    <w:rsid w:val="005959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59599A"/>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664C2A"/>
    <w:rPr>
      <w:b/>
      <w:bCs/>
    </w:rPr>
  </w:style>
  <w:style w:type="character" w:customStyle="1" w:styleId="Heading3Char">
    <w:name w:val="Heading 3 Char"/>
    <w:basedOn w:val="DefaultParagraphFont"/>
    <w:link w:val="Heading3"/>
    <w:uiPriority w:val="9"/>
    <w:semiHidden/>
    <w:rsid w:val="002D4B8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D5138"/>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D2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0914"/>
    <w:pPr>
      <w:outlineLvl w:val="1"/>
    </w:pPr>
    <w:rPr>
      <w:rFonts w:ascii="Helvetica" w:eastAsia="Times New Roman" w:hAnsi="Helvetica" w:cs="Times New Roman"/>
      <w:color w:val="332A85"/>
      <w:sz w:val="30"/>
      <w:szCs w:val="30"/>
      <w:lang w:eastAsia="en-GB"/>
    </w:rPr>
  </w:style>
  <w:style w:type="paragraph" w:styleId="Heading3">
    <w:name w:val="heading 3"/>
    <w:basedOn w:val="Normal"/>
    <w:next w:val="Normal"/>
    <w:link w:val="Heading3Char"/>
    <w:uiPriority w:val="9"/>
    <w:semiHidden/>
    <w:unhideWhenUsed/>
    <w:qFormat/>
    <w:rsid w:val="002D4B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4D"/>
    <w:pPr>
      <w:ind w:left="720"/>
      <w:contextualSpacing/>
    </w:pPr>
    <w:rPr>
      <w:rFonts w:ascii="Calibri" w:eastAsia="Calibri" w:hAnsi="Calibri" w:cs="Times New Roman"/>
    </w:rPr>
  </w:style>
  <w:style w:type="table" w:styleId="TableGrid">
    <w:name w:val="Table Grid"/>
    <w:basedOn w:val="TableNormal"/>
    <w:uiPriority w:val="59"/>
    <w:rsid w:val="007E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FCD"/>
    <w:pPr>
      <w:tabs>
        <w:tab w:val="center" w:pos="4513"/>
        <w:tab w:val="right" w:pos="9026"/>
      </w:tabs>
    </w:pPr>
  </w:style>
  <w:style w:type="character" w:customStyle="1" w:styleId="HeaderChar">
    <w:name w:val="Header Char"/>
    <w:basedOn w:val="DefaultParagraphFont"/>
    <w:link w:val="Header"/>
    <w:uiPriority w:val="99"/>
    <w:rsid w:val="00362FCD"/>
  </w:style>
  <w:style w:type="paragraph" w:styleId="Footer">
    <w:name w:val="footer"/>
    <w:basedOn w:val="Normal"/>
    <w:link w:val="FooterChar"/>
    <w:uiPriority w:val="99"/>
    <w:unhideWhenUsed/>
    <w:rsid w:val="00362FCD"/>
    <w:pPr>
      <w:tabs>
        <w:tab w:val="center" w:pos="4513"/>
        <w:tab w:val="right" w:pos="9026"/>
      </w:tabs>
    </w:pPr>
  </w:style>
  <w:style w:type="character" w:customStyle="1" w:styleId="FooterChar">
    <w:name w:val="Footer Char"/>
    <w:basedOn w:val="DefaultParagraphFont"/>
    <w:link w:val="Footer"/>
    <w:uiPriority w:val="99"/>
    <w:rsid w:val="00362FCD"/>
  </w:style>
  <w:style w:type="paragraph" w:styleId="BalloonText">
    <w:name w:val="Balloon Text"/>
    <w:basedOn w:val="Normal"/>
    <w:link w:val="BalloonTextChar"/>
    <w:uiPriority w:val="99"/>
    <w:semiHidden/>
    <w:unhideWhenUsed/>
    <w:rsid w:val="00AB5972"/>
    <w:rPr>
      <w:rFonts w:ascii="Tahoma" w:hAnsi="Tahoma" w:cs="Tahoma"/>
      <w:sz w:val="16"/>
      <w:szCs w:val="16"/>
    </w:rPr>
  </w:style>
  <w:style w:type="character" w:customStyle="1" w:styleId="BalloonTextChar">
    <w:name w:val="Balloon Text Char"/>
    <w:basedOn w:val="DefaultParagraphFont"/>
    <w:link w:val="BalloonText"/>
    <w:uiPriority w:val="99"/>
    <w:semiHidden/>
    <w:rsid w:val="00AB5972"/>
    <w:rPr>
      <w:rFonts w:ascii="Tahoma" w:hAnsi="Tahoma" w:cs="Tahoma"/>
      <w:sz w:val="16"/>
      <w:szCs w:val="16"/>
    </w:rPr>
  </w:style>
  <w:style w:type="paragraph" w:styleId="PlainText">
    <w:name w:val="Plain Text"/>
    <w:basedOn w:val="Normal"/>
    <w:link w:val="PlainTextChar"/>
    <w:uiPriority w:val="99"/>
    <w:semiHidden/>
    <w:unhideWhenUsed/>
    <w:rsid w:val="00CE0F3A"/>
    <w:rPr>
      <w:rFonts w:ascii="Calibri" w:hAnsi="Calibri"/>
      <w:szCs w:val="21"/>
    </w:rPr>
  </w:style>
  <w:style w:type="character" w:customStyle="1" w:styleId="PlainTextChar">
    <w:name w:val="Plain Text Char"/>
    <w:basedOn w:val="DefaultParagraphFont"/>
    <w:link w:val="PlainText"/>
    <w:uiPriority w:val="99"/>
    <w:semiHidden/>
    <w:rsid w:val="00CE0F3A"/>
    <w:rPr>
      <w:rFonts w:ascii="Calibri" w:hAnsi="Calibri"/>
      <w:szCs w:val="21"/>
    </w:rPr>
  </w:style>
  <w:style w:type="character" w:customStyle="1" w:styleId="Heading2Char">
    <w:name w:val="Heading 2 Char"/>
    <w:basedOn w:val="DefaultParagraphFont"/>
    <w:link w:val="Heading2"/>
    <w:uiPriority w:val="9"/>
    <w:rsid w:val="00570914"/>
    <w:rPr>
      <w:rFonts w:ascii="Helvetica" w:eastAsia="Times New Roman" w:hAnsi="Helvetica" w:cs="Times New Roman"/>
      <w:color w:val="332A85"/>
      <w:sz w:val="30"/>
      <w:szCs w:val="30"/>
      <w:lang w:eastAsia="en-GB"/>
    </w:rPr>
  </w:style>
  <w:style w:type="character" w:styleId="Hyperlink">
    <w:name w:val="Hyperlink"/>
    <w:basedOn w:val="DefaultParagraphFont"/>
    <w:uiPriority w:val="99"/>
    <w:unhideWhenUsed/>
    <w:rsid w:val="00422AB0"/>
    <w:rPr>
      <w:color w:val="0000FF" w:themeColor="hyperlink"/>
      <w:u w:val="single"/>
    </w:rPr>
  </w:style>
  <w:style w:type="paragraph" w:customStyle="1" w:styleId="Body">
    <w:name w:val="Body"/>
    <w:rsid w:val="00985053"/>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character" w:styleId="Emphasis">
    <w:name w:val="Emphasis"/>
    <w:basedOn w:val="DefaultParagraphFont"/>
    <w:uiPriority w:val="20"/>
    <w:qFormat/>
    <w:rsid w:val="00F51EEC"/>
    <w:rPr>
      <w:b/>
      <w:bCs/>
      <w:i w:val="0"/>
      <w:iCs w:val="0"/>
    </w:rPr>
  </w:style>
  <w:style w:type="paragraph" w:styleId="NoSpacing">
    <w:name w:val="No Spacing"/>
    <w:uiPriority w:val="1"/>
    <w:qFormat/>
    <w:rsid w:val="00FA446C"/>
    <w:rPr>
      <w:rFonts w:ascii="Calibri" w:eastAsia="Times New Roman" w:hAnsi="Calibri" w:cs="Times New Roman"/>
      <w:lang w:val="en-US"/>
    </w:rPr>
  </w:style>
  <w:style w:type="character" w:customStyle="1" w:styleId="s2">
    <w:name w:val="s2"/>
    <w:basedOn w:val="DefaultParagraphFont"/>
    <w:rsid w:val="009E38DF"/>
  </w:style>
  <w:style w:type="character" w:customStyle="1" w:styleId="Heading1Char">
    <w:name w:val="Heading 1 Char"/>
    <w:basedOn w:val="DefaultParagraphFont"/>
    <w:link w:val="Heading1"/>
    <w:uiPriority w:val="9"/>
    <w:rsid w:val="00A75D2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22652"/>
    <w:rPr>
      <w:color w:val="800080" w:themeColor="followedHyperlink"/>
      <w:u w:val="single"/>
    </w:rPr>
  </w:style>
  <w:style w:type="paragraph" w:customStyle="1" w:styleId="yiv1238096596msolistparagraph">
    <w:name w:val="yiv1238096596msolistparagraph"/>
    <w:basedOn w:val="Normal"/>
    <w:rsid w:val="0059599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9599A"/>
  </w:style>
  <w:style w:type="paragraph" w:customStyle="1" w:styleId="yiv1238096596msonormal">
    <w:name w:val="yiv1238096596msonormal"/>
    <w:basedOn w:val="Normal"/>
    <w:rsid w:val="005959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72452153msonormal">
    <w:name w:val="yiv7472452153msonormal"/>
    <w:basedOn w:val="Normal"/>
    <w:rsid w:val="005959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59599A"/>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664C2A"/>
    <w:rPr>
      <w:b/>
      <w:bCs/>
    </w:rPr>
  </w:style>
  <w:style w:type="character" w:customStyle="1" w:styleId="Heading3Char">
    <w:name w:val="Heading 3 Char"/>
    <w:basedOn w:val="DefaultParagraphFont"/>
    <w:link w:val="Heading3"/>
    <w:uiPriority w:val="9"/>
    <w:semiHidden/>
    <w:rsid w:val="002D4B8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D513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0588">
      <w:bodyDiv w:val="1"/>
      <w:marLeft w:val="0"/>
      <w:marRight w:val="0"/>
      <w:marTop w:val="0"/>
      <w:marBottom w:val="0"/>
      <w:divBdr>
        <w:top w:val="none" w:sz="0" w:space="0" w:color="auto"/>
        <w:left w:val="none" w:sz="0" w:space="0" w:color="auto"/>
        <w:bottom w:val="none" w:sz="0" w:space="0" w:color="auto"/>
        <w:right w:val="none" w:sz="0" w:space="0" w:color="auto"/>
      </w:divBdr>
    </w:div>
    <w:div w:id="183330423">
      <w:bodyDiv w:val="1"/>
      <w:marLeft w:val="0"/>
      <w:marRight w:val="0"/>
      <w:marTop w:val="0"/>
      <w:marBottom w:val="0"/>
      <w:divBdr>
        <w:top w:val="none" w:sz="0" w:space="0" w:color="auto"/>
        <w:left w:val="none" w:sz="0" w:space="0" w:color="auto"/>
        <w:bottom w:val="none" w:sz="0" w:space="0" w:color="auto"/>
        <w:right w:val="none" w:sz="0" w:space="0" w:color="auto"/>
      </w:divBdr>
      <w:divsChild>
        <w:div w:id="2012482945">
          <w:marLeft w:val="-300"/>
          <w:marRight w:val="0"/>
          <w:marTop w:val="0"/>
          <w:marBottom w:val="0"/>
          <w:divBdr>
            <w:top w:val="none" w:sz="0" w:space="0" w:color="auto"/>
            <w:left w:val="none" w:sz="0" w:space="0" w:color="auto"/>
            <w:bottom w:val="none" w:sz="0" w:space="0" w:color="auto"/>
            <w:right w:val="none" w:sz="0" w:space="0" w:color="auto"/>
          </w:divBdr>
          <w:divsChild>
            <w:div w:id="302270022">
              <w:marLeft w:val="0"/>
              <w:marRight w:val="0"/>
              <w:marTop w:val="0"/>
              <w:marBottom w:val="0"/>
              <w:divBdr>
                <w:top w:val="none" w:sz="0" w:space="0" w:color="auto"/>
                <w:left w:val="none" w:sz="0" w:space="0" w:color="auto"/>
                <w:bottom w:val="none" w:sz="0" w:space="0" w:color="auto"/>
                <w:right w:val="none" w:sz="0" w:space="0" w:color="auto"/>
              </w:divBdr>
              <w:divsChild>
                <w:div w:id="17899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57886">
      <w:bodyDiv w:val="1"/>
      <w:marLeft w:val="0"/>
      <w:marRight w:val="0"/>
      <w:marTop w:val="0"/>
      <w:marBottom w:val="0"/>
      <w:divBdr>
        <w:top w:val="none" w:sz="0" w:space="0" w:color="auto"/>
        <w:left w:val="none" w:sz="0" w:space="0" w:color="auto"/>
        <w:bottom w:val="none" w:sz="0" w:space="0" w:color="auto"/>
        <w:right w:val="none" w:sz="0" w:space="0" w:color="auto"/>
      </w:divBdr>
    </w:div>
    <w:div w:id="283578437">
      <w:bodyDiv w:val="1"/>
      <w:marLeft w:val="0"/>
      <w:marRight w:val="0"/>
      <w:marTop w:val="0"/>
      <w:marBottom w:val="0"/>
      <w:divBdr>
        <w:top w:val="none" w:sz="0" w:space="0" w:color="auto"/>
        <w:left w:val="none" w:sz="0" w:space="0" w:color="auto"/>
        <w:bottom w:val="none" w:sz="0" w:space="0" w:color="auto"/>
        <w:right w:val="none" w:sz="0" w:space="0" w:color="auto"/>
      </w:divBdr>
    </w:div>
    <w:div w:id="386227129">
      <w:bodyDiv w:val="1"/>
      <w:marLeft w:val="0"/>
      <w:marRight w:val="0"/>
      <w:marTop w:val="0"/>
      <w:marBottom w:val="0"/>
      <w:divBdr>
        <w:top w:val="none" w:sz="0" w:space="0" w:color="auto"/>
        <w:left w:val="none" w:sz="0" w:space="0" w:color="auto"/>
        <w:bottom w:val="none" w:sz="0" w:space="0" w:color="auto"/>
        <w:right w:val="none" w:sz="0" w:space="0" w:color="auto"/>
      </w:divBdr>
    </w:div>
    <w:div w:id="531961453">
      <w:bodyDiv w:val="1"/>
      <w:marLeft w:val="0"/>
      <w:marRight w:val="0"/>
      <w:marTop w:val="0"/>
      <w:marBottom w:val="0"/>
      <w:divBdr>
        <w:top w:val="none" w:sz="0" w:space="0" w:color="auto"/>
        <w:left w:val="none" w:sz="0" w:space="0" w:color="auto"/>
        <w:bottom w:val="none" w:sz="0" w:space="0" w:color="auto"/>
        <w:right w:val="none" w:sz="0" w:space="0" w:color="auto"/>
      </w:divBdr>
    </w:div>
    <w:div w:id="755246862">
      <w:bodyDiv w:val="1"/>
      <w:marLeft w:val="0"/>
      <w:marRight w:val="0"/>
      <w:marTop w:val="0"/>
      <w:marBottom w:val="0"/>
      <w:divBdr>
        <w:top w:val="none" w:sz="0" w:space="0" w:color="auto"/>
        <w:left w:val="none" w:sz="0" w:space="0" w:color="auto"/>
        <w:bottom w:val="none" w:sz="0" w:space="0" w:color="auto"/>
        <w:right w:val="none" w:sz="0" w:space="0" w:color="auto"/>
      </w:divBdr>
    </w:div>
    <w:div w:id="900169699">
      <w:bodyDiv w:val="1"/>
      <w:marLeft w:val="0"/>
      <w:marRight w:val="0"/>
      <w:marTop w:val="0"/>
      <w:marBottom w:val="0"/>
      <w:divBdr>
        <w:top w:val="none" w:sz="0" w:space="0" w:color="auto"/>
        <w:left w:val="none" w:sz="0" w:space="0" w:color="auto"/>
        <w:bottom w:val="none" w:sz="0" w:space="0" w:color="auto"/>
        <w:right w:val="none" w:sz="0" w:space="0" w:color="auto"/>
      </w:divBdr>
      <w:divsChild>
        <w:div w:id="915868200">
          <w:marLeft w:val="0"/>
          <w:marRight w:val="0"/>
          <w:marTop w:val="0"/>
          <w:marBottom w:val="0"/>
          <w:divBdr>
            <w:top w:val="none" w:sz="0" w:space="0" w:color="auto"/>
            <w:left w:val="none" w:sz="0" w:space="0" w:color="auto"/>
            <w:bottom w:val="none" w:sz="0" w:space="0" w:color="auto"/>
            <w:right w:val="none" w:sz="0" w:space="0" w:color="auto"/>
          </w:divBdr>
          <w:divsChild>
            <w:div w:id="1831284370">
              <w:marLeft w:val="150"/>
              <w:marRight w:val="150"/>
              <w:marTop w:val="0"/>
              <w:marBottom w:val="600"/>
              <w:divBdr>
                <w:top w:val="none" w:sz="0" w:space="0" w:color="auto"/>
                <w:left w:val="none" w:sz="0" w:space="0" w:color="auto"/>
                <w:bottom w:val="none" w:sz="0" w:space="0" w:color="auto"/>
                <w:right w:val="none" w:sz="0" w:space="0" w:color="auto"/>
              </w:divBdr>
              <w:divsChild>
                <w:div w:id="1555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2565">
      <w:bodyDiv w:val="1"/>
      <w:marLeft w:val="0"/>
      <w:marRight w:val="0"/>
      <w:marTop w:val="0"/>
      <w:marBottom w:val="0"/>
      <w:divBdr>
        <w:top w:val="none" w:sz="0" w:space="0" w:color="auto"/>
        <w:left w:val="none" w:sz="0" w:space="0" w:color="auto"/>
        <w:bottom w:val="none" w:sz="0" w:space="0" w:color="auto"/>
        <w:right w:val="none" w:sz="0" w:space="0" w:color="auto"/>
      </w:divBdr>
    </w:div>
    <w:div w:id="970794003">
      <w:bodyDiv w:val="1"/>
      <w:marLeft w:val="0"/>
      <w:marRight w:val="0"/>
      <w:marTop w:val="0"/>
      <w:marBottom w:val="0"/>
      <w:divBdr>
        <w:top w:val="none" w:sz="0" w:space="0" w:color="auto"/>
        <w:left w:val="none" w:sz="0" w:space="0" w:color="auto"/>
        <w:bottom w:val="none" w:sz="0" w:space="0" w:color="auto"/>
        <w:right w:val="none" w:sz="0" w:space="0" w:color="auto"/>
      </w:divBdr>
    </w:div>
    <w:div w:id="1404252380">
      <w:bodyDiv w:val="1"/>
      <w:marLeft w:val="0"/>
      <w:marRight w:val="0"/>
      <w:marTop w:val="0"/>
      <w:marBottom w:val="0"/>
      <w:divBdr>
        <w:top w:val="none" w:sz="0" w:space="0" w:color="auto"/>
        <w:left w:val="none" w:sz="0" w:space="0" w:color="auto"/>
        <w:bottom w:val="none" w:sz="0" w:space="0" w:color="auto"/>
        <w:right w:val="none" w:sz="0" w:space="0" w:color="auto"/>
      </w:divBdr>
    </w:div>
    <w:div w:id="1405643277">
      <w:bodyDiv w:val="1"/>
      <w:marLeft w:val="0"/>
      <w:marRight w:val="0"/>
      <w:marTop w:val="0"/>
      <w:marBottom w:val="0"/>
      <w:divBdr>
        <w:top w:val="none" w:sz="0" w:space="0" w:color="auto"/>
        <w:left w:val="none" w:sz="0" w:space="0" w:color="auto"/>
        <w:bottom w:val="none" w:sz="0" w:space="0" w:color="auto"/>
        <w:right w:val="none" w:sz="0" w:space="0" w:color="auto"/>
      </w:divBdr>
      <w:divsChild>
        <w:div w:id="1261521554">
          <w:marLeft w:val="547"/>
          <w:marRight w:val="0"/>
          <w:marTop w:val="77"/>
          <w:marBottom w:val="0"/>
          <w:divBdr>
            <w:top w:val="none" w:sz="0" w:space="0" w:color="auto"/>
            <w:left w:val="none" w:sz="0" w:space="0" w:color="auto"/>
            <w:bottom w:val="none" w:sz="0" w:space="0" w:color="auto"/>
            <w:right w:val="none" w:sz="0" w:space="0" w:color="auto"/>
          </w:divBdr>
        </w:div>
        <w:div w:id="1086457932">
          <w:marLeft w:val="547"/>
          <w:marRight w:val="0"/>
          <w:marTop w:val="77"/>
          <w:marBottom w:val="0"/>
          <w:divBdr>
            <w:top w:val="none" w:sz="0" w:space="0" w:color="auto"/>
            <w:left w:val="none" w:sz="0" w:space="0" w:color="auto"/>
            <w:bottom w:val="none" w:sz="0" w:space="0" w:color="auto"/>
            <w:right w:val="none" w:sz="0" w:space="0" w:color="auto"/>
          </w:divBdr>
        </w:div>
        <w:div w:id="318267964">
          <w:marLeft w:val="547"/>
          <w:marRight w:val="0"/>
          <w:marTop w:val="77"/>
          <w:marBottom w:val="0"/>
          <w:divBdr>
            <w:top w:val="none" w:sz="0" w:space="0" w:color="auto"/>
            <w:left w:val="none" w:sz="0" w:space="0" w:color="auto"/>
            <w:bottom w:val="none" w:sz="0" w:space="0" w:color="auto"/>
            <w:right w:val="none" w:sz="0" w:space="0" w:color="auto"/>
          </w:divBdr>
        </w:div>
        <w:div w:id="869952768">
          <w:marLeft w:val="547"/>
          <w:marRight w:val="0"/>
          <w:marTop w:val="77"/>
          <w:marBottom w:val="0"/>
          <w:divBdr>
            <w:top w:val="none" w:sz="0" w:space="0" w:color="auto"/>
            <w:left w:val="none" w:sz="0" w:space="0" w:color="auto"/>
            <w:bottom w:val="none" w:sz="0" w:space="0" w:color="auto"/>
            <w:right w:val="none" w:sz="0" w:space="0" w:color="auto"/>
          </w:divBdr>
        </w:div>
        <w:div w:id="1267620899">
          <w:marLeft w:val="547"/>
          <w:marRight w:val="0"/>
          <w:marTop w:val="77"/>
          <w:marBottom w:val="0"/>
          <w:divBdr>
            <w:top w:val="none" w:sz="0" w:space="0" w:color="auto"/>
            <w:left w:val="none" w:sz="0" w:space="0" w:color="auto"/>
            <w:bottom w:val="none" w:sz="0" w:space="0" w:color="auto"/>
            <w:right w:val="none" w:sz="0" w:space="0" w:color="auto"/>
          </w:divBdr>
        </w:div>
        <w:div w:id="1425539764">
          <w:marLeft w:val="547"/>
          <w:marRight w:val="0"/>
          <w:marTop w:val="77"/>
          <w:marBottom w:val="0"/>
          <w:divBdr>
            <w:top w:val="none" w:sz="0" w:space="0" w:color="auto"/>
            <w:left w:val="none" w:sz="0" w:space="0" w:color="auto"/>
            <w:bottom w:val="none" w:sz="0" w:space="0" w:color="auto"/>
            <w:right w:val="none" w:sz="0" w:space="0" w:color="auto"/>
          </w:divBdr>
        </w:div>
        <w:div w:id="343553186">
          <w:marLeft w:val="547"/>
          <w:marRight w:val="0"/>
          <w:marTop w:val="77"/>
          <w:marBottom w:val="0"/>
          <w:divBdr>
            <w:top w:val="none" w:sz="0" w:space="0" w:color="auto"/>
            <w:left w:val="none" w:sz="0" w:space="0" w:color="auto"/>
            <w:bottom w:val="none" w:sz="0" w:space="0" w:color="auto"/>
            <w:right w:val="none" w:sz="0" w:space="0" w:color="auto"/>
          </w:divBdr>
        </w:div>
      </w:divsChild>
    </w:div>
    <w:div w:id="1434979759">
      <w:bodyDiv w:val="1"/>
      <w:marLeft w:val="0"/>
      <w:marRight w:val="0"/>
      <w:marTop w:val="0"/>
      <w:marBottom w:val="0"/>
      <w:divBdr>
        <w:top w:val="none" w:sz="0" w:space="0" w:color="auto"/>
        <w:left w:val="none" w:sz="0" w:space="0" w:color="auto"/>
        <w:bottom w:val="none" w:sz="0" w:space="0" w:color="auto"/>
        <w:right w:val="none" w:sz="0" w:space="0" w:color="auto"/>
      </w:divBdr>
    </w:div>
    <w:div w:id="1452894632">
      <w:bodyDiv w:val="1"/>
      <w:marLeft w:val="0"/>
      <w:marRight w:val="0"/>
      <w:marTop w:val="0"/>
      <w:marBottom w:val="0"/>
      <w:divBdr>
        <w:top w:val="none" w:sz="0" w:space="0" w:color="auto"/>
        <w:left w:val="none" w:sz="0" w:space="0" w:color="auto"/>
        <w:bottom w:val="none" w:sz="0" w:space="0" w:color="auto"/>
        <w:right w:val="none" w:sz="0" w:space="0" w:color="auto"/>
      </w:divBdr>
    </w:div>
    <w:div w:id="21211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E0A1-4EA8-42D7-A69D-CEE80328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3775</Words>
  <Characters>21523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3</cp:revision>
  <cp:lastPrinted>2016-05-23T14:39:00Z</cp:lastPrinted>
  <dcterms:created xsi:type="dcterms:W3CDTF">2016-07-21T08:51:00Z</dcterms:created>
  <dcterms:modified xsi:type="dcterms:W3CDTF">2016-07-21T08:51:00Z</dcterms:modified>
</cp:coreProperties>
</file>