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E1" w:rsidRDefault="000B6BE1" w:rsidP="0034541B">
      <w:pPr>
        <w:pStyle w:val="Default"/>
        <w:jc w:val="center"/>
        <w:rPr>
          <w:b/>
          <w:sz w:val="22"/>
          <w:szCs w:val="22"/>
          <w:u w:val="single"/>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F8223F" w:rsidTr="001A7C1D">
        <w:tc>
          <w:tcPr>
            <w:tcW w:w="3420" w:type="dxa"/>
          </w:tcPr>
          <w:p w:rsidR="00F8223F" w:rsidRPr="001B0E16" w:rsidRDefault="00F8223F" w:rsidP="001A7C1D">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F8223F" w:rsidRPr="001B0E16" w:rsidRDefault="00FD4AA8" w:rsidP="001A7C1D">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10</w:t>
            </w:r>
          </w:p>
        </w:tc>
      </w:tr>
      <w:tr w:rsidR="00F8223F" w:rsidTr="001A7C1D">
        <w:tc>
          <w:tcPr>
            <w:tcW w:w="3420" w:type="dxa"/>
          </w:tcPr>
          <w:p w:rsidR="00F8223F" w:rsidRPr="001B0E16" w:rsidRDefault="00F8223F" w:rsidP="001A7C1D">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F8223F" w:rsidRPr="001B0E16" w:rsidRDefault="00FD4AA8" w:rsidP="00FD4AA8">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E</w:t>
            </w:r>
          </w:p>
        </w:tc>
      </w:tr>
    </w:tbl>
    <w:p w:rsidR="00F8223F" w:rsidRDefault="00F8223F" w:rsidP="00F8223F">
      <w:pPr>
        <w:spacing w:after="0" w:line="240" w:lineRule="auto"/>
        <w:jc w:val="center"/>
        <w:rPr>
          <w:rFonts w:cstheme="minorHAnsi"/>
          <w:b/>
          <w:sz w:val="44"/>
          <w:szCs w:val="44"/>
        </w:rPr>
      </w:pPr>
    </w:p>
    <w:p w:rsidR="00F8223F" w:rsidRDefault="00F8223F" w:rsidP="00F8223F">
      <w:pPr>
        <w:spacing w:after="0" w:line="240" w:lineRule="auto"/>
        <w:jc w:val="center"/>
        <w:rPr>
          <w:rFonts w:cstheme="minorHAnsi"/>
          <w:b/>
          <w:sz w:val="44"/>
          <w:szCs w:val="44"/>
        </w:rPr>
      </w:pPr>
    </w:p>
    <w:p w:rsidR="00F8223F" w:rsidRDefault="00F8223F" w:rsidP="00F8223F">
      <w:pPr>
        <w:spacing w:after="0" w:line="240" w:lineRule="auto"/>
        <w:jc w:val="center"/>
        <w:rPr>
          <w:rFonts w:cstheme="minorHAnsi"/>
          <w:b/>
          <w:sz w:val="44"/>
          <w:szCs w:val="44"/>
        </w:rPr>
      </w:pPr>
    </w:p>
    <w:p w:rsidR="00F8223F" w:rsidRPr="00151DBF" w:rsidRDefault="00F8223F" w:rsidP="00F8223F">
      <w:pPr>
        <w:spacing w:after="0" w:line="240" w:lineRule="auto"/>
        <w:jc w:val="center"/>
        <w:rPr>
          <w:rFonts w:cstheme="minorHAnsi"/>
          <w:b/>
          <w:sz w:val="44"/>
          <w:szCs w:val="44"/>
        </w:rPr>
      </w:pPr>
      <w:r w:rsidRPr="00151DBF">
        <w:rPr>
          <w:rFonts w:cstheme="minorHAnsi"/>
          <w:b/>
          <w:sz w:val="44"/>
          <w:szCs w:val="44"/>
        </w:rPr>
        <w:t xml:space="preserve">HRA </w:t>
      </w:r>
      <w:r>
        <w:rPr>
          <w:rFonts w:cstheme="minorHAnsi"/>
          <w:b/>
          <w:sz w:val="44"/>
          <w:szCs w:val="44"/>
        </w:rPr>
        <w:t>BOARD</w:t>
      </w:r>
      <w:r w:rsidRPr="00151DBF">
        <w:rPr>
          <w:rFonts w:cstheme="minorHAnsi"/>
          <w:b/>
          <w:sz w:val="44"/>
          <w:szCs w:val="44"/>
        </w:rPr>
        <w:t xml:space="preserve"> COVER SHEET</w:t>
      </w:r>
    </w:p>
    <w:p w:rsidR="00F8223F" w:rsidRDefault="00F8223F" w:rsidP="00F8223F">
      <w:pPr>
        <w:spacing w:after="0"/>
        <w:jc w:val="center"/>
        <w:rPr>
          <w:rFonts w:cstheme="minorHAnsi"/>
          <w:b/>
          <w:sz w:val="24"/>
          <w:szCs w:val="24"/>
        </w:rPr>
      </w:pPr>
    </w:p>
    <w:tbl>
      <w:tblPr>
        <w:tblStyle w:val="TableGrid"/>
        <w:tblW w:w="0" w:type="auto"/>
        <w:tblLook w:val="04A0" w:firstRow="1" w:lastRow="0" w:firstColumn="1" w:lastColumn="0" w:noHBand="0" w:noVBand="1"/>
      </w:tblPr>
      <w:tblGrid>
        <w:gridCol w:w="2628"/>
        <w:gridCol w:w="6320"/>
      </w:tblGrid>
      <w:tr w:rsidR="00F8223F" w:rsidRPr="00C90060" w:rsidTr="001A7C1D">
        <w:tc>
          <w:tcPr>
            <w:tcW w:w="2628" w:type="dxa"/>
          </w:tcPr>
          <w:p w:rsidR="00F8223F" w:rsidRPr="00C90060" w:rsidRDefault="00F8223F" w:rsidP="001A7C1D">
            <w:pPr>
              <w:rPr>
                <w:rFonts w:cstheme="minorHAnsi"/>
                <w:b/>
              </w:rPr>
            </w:pPr>
            <w:r w:rsidRPr="00C90060">
              <w:rPr>
                <w:rFonts w:cstheme="minorHAnsi"/>
                <w:b/>
              </w:rPr>
              <w:t>Date of Meeting:</w:t>
            </w:r>
          </w:p>
          <w:p w:rsidR="00F8223F" w:rsidRPr="00C90060" w:rsidRDefault="00F8223F" w:rsidP="001A7C1D">
            <w:pPr>
              <w:rPr>
                <w:rFonts w:cstheme="minorHAnsi"/>
                <w:b/>
              </w:rPr>
            </w:pPr>
          </w:p>
        </w:tc>
        <w:tc>
          <w:tcPr>
            <w:tcW w:w="6320" w:type="dxa"/>
          </w:tcPr>
          <w:p w:rsidR="00F8223F" w:rsidRDefault="00F96FDE" w:rsidP="001A7C1D">
            <w:pPr>
              <w:rPr>
                <w:rFonts w:cstheme="minorHAnsi"/>
              </w:rPr>
            </w:pPr>
            <w:r>
              <w:rPr>
                <w:rFonts w:cstheme="minorHAnsi"/>
              </w:rPr>
              <w:t>20</w:t>
            </w:r>
            <w:r w:rsidR="0081664A" w:rsidRPr="0081664A">
              <w:rPr>
                <w:rFonts w:cstheme="minorHAnsi"/>
                <w:vertAlign w:val="superscript"/>
              </w:rPr>
              <w:t>th</w:t>
            </w:r>
            <w:r w:rsidR="0081664A">
              <w:rPr>
                <w:rFonts w:cstheme="minorHAnsi"/>
              </w:rPr>
              <w:t xml:space="preserve"> </w:t>
            </w:r>
            <w:r>
              <w:rPr>
                <w:rFonts w:cstheme="minorHAnsi"/>
              </w:rPr>
              <w:t>May</w:t>
            </w:r>
            <w:r w:rsidR="0081664A">
              <w:rPr>
                <w:rFonts w:cstheme="minorHAnsi"/>
              </w:rPr>
              <w:t xml:space="preserve"> 2016</w:t>
            </w:r>
          </w:p>
          <w:p w:rsidR="00F8223F" w:rsidRDefault="00F8223F" w:rsidP="001A7C1D">
            <w:pPr>
              <w:rPr>
                <w:rFonts w:cstheme="minorHAnsi"/>
              </w:rPr>
            </w:pPr>
          </w:p>
          <w:p w:rsidR="00F8223F" w:rsidRPr="00C90060" w:rsidRDefault="00F8223F" w:rsidP="001A7C1D">
            <w:pPr>
              <w:rPr>
                <w:rFonts w:cstheme="minorHAnsi"/>
              </w:rPr>
            </w:pPr>
          </w:p>
        </w:tc>
      </w:tr>
    </w:tbl>
    <w:p w:rsidR="00F8223F" w:rsidRPr="00C90060" w:rsidRDefault="00F8223F" w:rsidP="00F8223F">
      <w:pPr>
        <w:spacing w:after="0"/>
        <w:jc w:val="center"/>
        <w:rPr>
          <w:rFonts w:cstheme="minorHAnsi"/>
          <w:b/>
        </w:rPr>
      </w:pPr>
    </w:p>
    <w:tbl>
      <w:tblPr>
        <w:tblStyle w:val="TableGrid"/>
        <w:tblW w:w="0" w:type="auto"/>
        <w:tblLook w:val="04A0" w:firstRow="1" w:lastRow="0" w:firstColumn="1" w:lastColumn="0" w:noHBand="0" w:noVBand="1"/>
      </w:tblPr>
      <w:tblGrid>
        <w:gridCol w:w="2628"/>
        <w:gridCol w:w="6320"/>
      </w:tblGrid>
      <w:tr w:rsidR="00F8223F" w:rsidRPr="00C90060" w:rsidTr="001A7C1D">
        <w:tc>
          <w:tcPr>
            <w:tcW w:w="2628" w:type="dxa"/>
          </w:tcPr>
          <w:p w:rsidR="00F8223F" w:rsidRDefault="00F8223F" w:rsidP="001A7C1D">
            <w:pPr>
              <w:rPr>
                <w:rFonts w:cstheme="minorHAnsi"/>
                <w:b/>
              </w:rPr>
            </w:pPr>
            <w:r w:rsidRPr="00C90060">
              <w:rPr>
                <w:rFonts w:cstheme="minorHAnsi"/>
                <w:b/>
              </w:rPr>
              <w:t>Title of Paper:</w:t>
            </w:r>
          </w:p>
          <w:p w:rsidR="00F8223F" w:rsidRDefault="00F8223F" w:rsidP="001A7C1D">
            <w:pPr>
              <w:rPr>
                <w:rFonts w:cstheme="minorHAnsi"/>
                <w:b/>
              </w:rPr>
            </w:pPr>
          </w:p>
          <w:p w:rsidR="00F8223F" w:rsidRPr="00C90060" w:rsidRDefault="00F8223F" w:rsidP="001A7C1D">
            <w:pPr>
              <w:rPr>
                <w:rFonts w:cstheme="minorHAnsi"/>
                <w:b/>
              </w:rPr>
            </w:pPr>
          </w:p>
        </w:tc>
        <w:tc>
          <w:tcPr>
            <w:tcW w:w="6320" w:type="dxa"/>
          </w:tcPr>
          <w:p w:rsidR="00F8223F" w:rsidRPr="00C90060" w:rsidRDefault="00D0097F" w:rsidP="001A7C1D">
            <w:pPr>
              <w:rPr>
                <w:rFonts w:cstheme="minorHAnsi"/>
              </w:rPr>
            </w:pPr>
            <w:r>
              <w:rPr>
                <w:rFonts w:cstheme="minorHAnsi"/>
              </w:rPr>
              <w:t>Management response to staff survey</w:t>
            </w:r>
          </w:p>
        </w:tc>
      </w:tr>
      <w:tr w:rsidR="00F8223F" w:rsidRPr="00C90060" w:rsidTr="001A7C1D">
        <w:tc>
          <w:tcPr>
            <w:tcW w:w="2628" w:type="dxa"/>
          </w:tcPr>
          <w:p w:rsidR="00F8223F" w:rsidRDefault="00F8223F" w:rsidP="001A7C1D">
            <w:pPr>
              <w:rPr>
                <w:rFonts w:cstheme="minorHAnsi"/>
                <w:b/>
              </w:rPr>
            </w:pPr>
            <w:r w:rsidRPr="00C90060">
              <w:rPr>
                <w:rFonts w:cstheme="minorHAnsi"/>
                <w:b/>
              </w:rPr>
              <w:t>Purpose of Paper:</w:t>
            </w:r>
          </w:p>
          <w:p w:rsidR="00F8223F" w:rsidRPr="00C90060" w:rsidRDefault="00F8223F" w:rsidP="001A7C1D">
            <w:pPr>
              <w:rPr>
                <w:rFonts w:cstheme="minorHAnsi"/>
                <w:b/>
              </w:rPr>
            </w:pPr>
          </w:p>
          <w:p w:rsidR="00F8223F" w:rsidRPr="00C90060" w:rsidRDefault="00F8223F" w:rsidP="001A7C1D">
            <w:pPr>
              <w:rPr>
                <w:rFonts w:cstheme="minorHAnsi"/>
                <w:b/>
              </w:rPr>
            </w:pPr>
          </w:p>
        </w:tc>
        <w:tc>
          <w:tcPr>
            <w:tcW w:w="6320" w:type="dxa"/>
          </w:tcPr>
          <w:p w:rsidR="009D5095" w:rsidRPr="009D5095" w:rsidRDefault="00D0097F" w:rsidP="0038227A">
            <w:pPr>
              <w:rPr>
                <w:rFonts w:cstheme="minorHAnsi"/>
              </w:rPr>
            </w:pPr>
            <w:r>
              <w:rPr>
                <w:rFonts w:cstheme="minorHAnsi"/>
              </w:rPr>
              <w:t xml:space="preserve">To outline to the board steps that have been taken </w:t>
            </w:r>
            <w:r w:rsidR="00E32D9F">
              <w:rPr>
                <w:rFonts w:cstheme="minorHAnsi"/>
              </w:rPr>
              <w:t>in</w:t>
            </w:r>
            <w:r>
              <w:rPr>
                <w:rFonts w:cstheme="minorHAnsi"/>
              </w:rPr>
              <w:t xml:space="preserve"> respond</w:t>
            </w:r>
            <w:r w:rsidR="00E32D9F">
              <w:rPr>
                <w:rFonts w:cstheme="minorHAnsi"/>
              </w:rPr>
              <w:t>ing</w:t>
            </w:r>
            <w:r>
              <w:rPr>
                <w:rFonts w:cstheme="minorHAnsi"/>
              </w:rPr>
              <w:t xml:space="preserve"> to a number of issues raised as a result of the  2015 Staff Survey</w:t>
            </w:r>
          </w:p>
        </w:tc>
      </w:tr>
      <w:tr w:rsidR="00F8223F" w:rsidRPr="00C90060" w:rsidTr="001A7C1D">
        <w:tc>
          <w:tcPr>
            <w:tcW w:w="2628" w:type="dxa"/>
          </w:tcPr>
          <w:p w:rsidR="00F8223F" w:rsidRDefault="00F8223F" w:rsidP="001A7C1D">
            <w:pPr>
              <w:rPr>
                <w:rFonts w:cstheme="minorHAnsi"/>
                <w:b/>
              </w:rPr>
            </w:pPr>
            <w:r w:rsidRPr="00C90060">
              <w:rPr>
                <w:rFonts w:cstheme="minorHAnsi"/>
                <w:b/>
              </w:rPr>
              <w:t>Reason for Submission:</w:t>
            </w:r>
          </w:p>
          <w:p w:rsidR="00F8223F" w:rsidRPr="00C90060" w:rsidRDefault="00F8223F" w:rsidP="001A7C1D">
            <w:pPr>
              <w:rPr>
                <w:rFonts w:cstheme="minorHAnsi"/>
                <w:b/>
              </w:rPr>
            </w:pPr>
          </w:p>
          <w:p w:rsidR="00F8223F" w:rsidRPr="00C90060" w:rsidRDefault="00F8223F" w:rsidP="001A7C1D">
            <w:pPr>
              <w:rPr>
                <w:rFonts w:cstheme="minorHAnsi"/>
                <w:b/>
              </w:rPr>
            </w:pPr>
          </w:p>
        </w:tc>
        <w:tc>
          <w:tcPr>
            <w:tcW w:w="6320" w:type="dxa"/>
          </w:tcPr>
          <w:p w:rsidR="00F8223F" w:rsidRPr="00C90060" w:rsidRDefault="00D0097F" w:rsidP="0038227A">
            <w:pPr>
              <w:rPr>
                <w:rFonts w:cstheme="minorHAnsi"/>
              </w:rPr>
            </w:pPr>
            <w:r>
              <w:rPr>
                <w:rFonts w:cstheme="minorHAnsi"/>
              </w:rPr>
              <w:t>For the board to note a</w:t>
            </w:r>
            <w:r w:rsidR="0038227A">
              <w:rPr>
                <w:rFonts w:cstheme="minorHAnsi"/>
              </w:rPr>
              <w:t>ctions taken and to discuss any further interventions that may be helpful.</w:t>
            </w:r>
          </w:p>
        </w:tc>
      </w:tr>
      <w:tr w:rsidR="00F8223F" w:rsidRPr="00C90060" w:rsidTr="001A7C1D">
        <w:tc>
          <w:tcPr>
            <w:tcW w:w="2628" w:type="dxa"/>
          </w:tcPr>
          <w:p w:rsidR="00F8223F" w:rsidRDefault="00F8223F" w:rsidP="001A7C1D">
            <w:pPr>
              <w:rPr>
                <w:rFonts w:cstheme="minorHAnsi"/>
                <w:b/>
              </w:rPr>
            </w:pPr>
            <w:r>
              <w:rPr>
                <w:rFonts w:cstheme="minorHAnsi"/>
                <w:b/>
              </w:rPr>
              <w:t>Lead reviewer:</w:t>
            </w:r>
          </w:p>
          <w:p w:rsidR="00F8223F" w:rsidRDefault="00F8223F" w:rsidP="001A7C1D">
            <w:pPr>
              <w:rPr>
                <w:rFonts w:cstheme="minorHAnsi"/>
                <w:b/>
              </w:rPr>
            </w:pPr>
          </w:p>
          <w:p w:rsidR="00F8223F" w:rsidRPr="00C90060" w:rsidRDefault="00F8223F" w:rsidP="001A7C1D">
            <w:pPr>
              <w:rPr>
                <w:rFonts w:cstheme="minorHAnsi"/>
                <w:b/>
              </w:rPr>
            </w:pPr>
          </w:p>
        </w:tc>
        <w:tc>
          <w:tcPr>
            <w:tcW w:w="6320" w:type="dxa"/>
          </w:tcPr>
          <w:p w:rsidR="00F8223F" w:rsidRPr="00C90060" w:rsidRDefault="00F8223F" w:rsidP="001A7C1D">
            <w:pPr>
              <w:rPr>
                <w:rFonts w:cstheme="minorHAnsi"/>
              </w:rPr>
            </w:pPr>
            <w:r>
              <w:rPr>
                <w:rFonts w:cstheme="minorHAnsi"/>
              </w:rPr>
              <w:t>Janet Wisely</w:t>
            </w:r>
          </w:p>
        </w:tc>
      </w:tr>
      <w:tr w:rsidR="00F8223F" w:rsidRPr="00C90060" w:rsidTr="001A7C1D">
        <w:tc>
          <w:tcPr>
            <w:tcW w:w="2628" w:type="dxa"/>
          </w:tcPr>
          <w:p w:rsidR="00F8223F" w:rsidRPr="00024663" w:rsidRDefault="00F8223F" w:rsidP="001A7C1D">
            <w:pPr>
              <w:rPr>
                <w:rFonts w:cstheme="minorHAnsi"/>
                <w:b/>
              </w:rPr>
            </w:pPr>
            <w:r w:rsidRPr="00024663">
              <w:rPr>
                <w:rFonts w:cstheme="minorHAnsi"/>
                <w:b/>
              </w:rPr>
              <w:t>Details:</w:t>
            </w:r>
          </w:p>
          <w:p w:rsidR="00F8223F" w:rsidRPr="00024663" w:rsidRDefault="00F8223F" w:rsidP="001A7C1D">
            <w:pPr>
              <w:rPr>
                <w:rFonts w:cstheme="minorHAnsi"/>
                <w:b/>
              </w:rPr>
            </w:pPr>
          </w:p>
          <w:p w:rsidR="00F8223F" w:rsidRPr="00024663" w:rsidRDefault="00F8223F" w:rsidP="001A7C1D">
            <w:pPr>
              <w:rPr>
                <w:rFonts w:cstheme="minorHAnsi"/>
                <w:b/>
              </w:rPr>
            </w:pPr>
          </w:p>
        </w:tc>
        <w:tc>
          <w:tcPr>
            <w:tcW w:w="6320" w:type="dxa"/>
          </w:tcPr>
          <w:p w:rsidR="00F8223F" w:rsidRPr="00024663" w:rsidRDefault="00FD4AA8" w:rsidP="001A7C1D">
            <w:pPr>
              <w:jc w:val="both"/>
              <w:rPr>
                <w:rFonts w:cstheme="minorHAnsi"/>
              </w:rPr>
            </w:pPr>
            <w:r>
              <w:rPr>
                <w:rFonts w:cstheme="minorHAnsi"/>
              </w:rPr>
              <w:t>See paper</w:t>
            </w:r>
            <w:bookmarkStart w:id="0" w:name="_GoBack"/>
            <w:bookmarkEnd w:id="0"/>
          </w:p>
        </w:tc>
      </w:tr>
      <w:tr w:rsidR="00F8223F" w:rsidRPr="00C90060" w:rsidTr="001A7C1D">
        <w:tc>
          <w:tcPr>
            <w:tcW w:w="2628" w:type="dxa"/>
          </w:tcPr>
          <w:p w:rsidR="00F8223F" w:rsidRDefault="00F8223F" w:rsidP="001A7C1D">
            <w:pPr>
              <w:rPr>
                <w:rFonts w:cstheme="minorHAnsi"/>
                <w:b/>
              </w:rPr>
            </w:pPr>
            <w:r w:rsidRPr="00C90060">
              <w:rPr>
                <w:rFonts w:cstheme="minorHAnsi"/>
                <w:b/>
              </w:rPr>
              <w:t>Suitable for wider circulation?</w:t>
            </w:r>
          </w:p>
          <w:p w:rsidR="00F8223F" w:rsidRPr="00C90060" w:rsidRDefault="00F8223F" w:rsidP="001A7C1D">
            <w:pPr>
              <w:rPr>
                <w:rFonts w:cstheme="minorHAnsi"/>
                <w:b/>
              </w:rPr>
            </w:pPr>
          </w:p>
        </w:tc>
        <w:tc>
          <w:tcPr>
            <w:tcW w:w="6320" w:type="dxa"/>
          </w:tcPr>
          <w:p w:rsidR="00F8223F" w:rsidRDefault="00EE639F" w:rsidP="00282208">
            <w:pPr>
              <w:rPr>
                <w:rFonts w:cstheme="minorHAnsi"/>
              </w:rPr>
            </w:pPr>
            <w:r>
              <w:rPr>
                <w:rFonts w:cstheme="minorHAnsi"/>
              </w:rPr>
              <w:t>Yes as will be Part 1 board item and therefore publically available</w:t>
            </w:r>
            <w:r w:rsidR="00282208">
              <w:rPr>
                <w:rFonts w:cstheme="minorHAnsi"/>
              </w:rPr>
              <w:t xml:space="preserve"> </w:t>
            </w:r>
          </w:p>
          <w:p w:rsidR="00282208" w:rsidRPr="004E2270" w:rsidRDefault="00282208" w:rsidP="00282208">
            <w:pPr>
              <w:rPr>
                <w:rFonts w:cstheme="minorHAnsi"/>
              </w:rPr>
            </w:pPr>
          </w:p>
        </w:tc>
      </w:tr>
      <w:tr w:rsidR="00F8223F" w:rsidRPr="00C90060" w:rsidTr="001A7C1D">
        <w:tc>
          <w:tcPr>
            <w:tcW w:w="2628" w:type="dxa"/>
          </w:tcPr>
          <w:p w:rsidR="00F8223F" w:rsidRDefault="00F8223F" w:rsidP="001A7C1D">
            <w:pPr>
              <w:rPr>
                <w:rFonts w:cstheme="minorHAnsi"/>
                <w:b/>
              </w:rPr>
            </w:pPr>
            <w:r>
              <w:rPr>
                <w:rFonts w:cstheme="minorHAnsi"/>
                <w:b/>
              </w:rPr>
              <w:t>Time required for item:</w:t>
            </w:r>
          </w:p>
          <w:p w:rsidR="00F8223F" w:rsidRDefault="00F8223F" w:rsidP="001A7C1D">
            <w:pPr>
              <w:rPr>
                <w:rFonts w:cstheme="minorHAnsi"/>
                <w:b/>
              </w:rPr>
            </w:pPr>
          </w:p>
          <w:p w:rsidR="00F8223F" w:rsidRPr="00C90060" w:rsidRDefault="00F8223F" w:rsidP="001A7C1D">
            <w:pPr>
              <w:rPr>
                <w:rFonts w:cstheme="minorHAnsi"/>
                <w:b/>
              </w:rPr>
            </w:pPr>
          </w:p>
        </w:tc>
        <w:tc>
          <w:tcPr>
            <w:tcW w:w="6320" w:type="dxa"/>
          </w:tcPr>
          <w:p w:rsidR="00F8223F" w:rsidRPr="004E2270" w:rsidRDefault="00EE639F" w:rsidP="001A7C1D">
            <w:pPr>
              <w:rPr>
                <w:rFonts w:cstheme="minorHAnsi"/>
              </w:rPr>
            </w:pPr>
            <w:r>
              <w:rPr>
                <w:rFonts w:cstheme="minorHAnsi"/>
              </w:rPr>
              <w:t>10 mins</w:t>
            </w:r>
          </w:p>
        </w:tc>
      </w:tr>
    </w:tbl>
    <w:p w:rsidR="00F8223F" w:rsidRPr="00C90060" w:rsidRDefault="00F8223F" w:rsidP="00F8223F">
      <w:pPr>
        <w:spacing w:after="0"/>
        <w:rPr>
          <w:rFonts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F8223F" w:rsidRPr="00C90060" w:rsidTr="001A7C1D">
        <w:tc>
          <w:tcPr>
            <w:tcW w:w="2628" w:type="dxa"/>
            <w:vMerge w:val="restart"/>
            <w:shd w:val="clear" w:color="auto" w:fill="D9D9D9" w:themeFill="background1" w:themeFillShade="D9"/>
          </w:tcPr>
          <w:p w:rsidR="00F8223F" w:rsidRPr="00C90060" w:rsidRDefault="00F8223F" w:rsidP="001A7C1D">
            <w:pPr>
              <w:rPr>
                <w:rFonts w:cstheme="minorHAnsi"/>
                <w:b/>
              </w:rPr>
            </w:pPr>
            <w:r w:rsidRPr="00C90060">
              <w:rPr>
                <w:rFonts w:cstheme="minorHAnsi"/>
                <w:b/>
              </w:rPr>
              <w:t>Recommendation / Proposed Actions:</w:t>
            </w:r>
          </w:p>
          <w:p w:rsidR="00F8223F" w:rsidRPr="00C90060" w:rsidRDefault="00F8223F" w:rsidP="001A7C1D">
            <w:pPr>
              <w:rPr>
                <w:rFonts w:cstheme="minorHAnsi"/>
                <w:b/>
              </w:rPr>
            </w:pPr>
          </w:p>
        </w:tc>
        <w:tc>
          <w:tcPr>
            <w:tcW w:w="5040" w:type="dxa"/>
            <w:gridSpan w:val="2"/>
            <w:shd w:val="clear" w:color="auto" w:fill="D9D9D9" w:themeFill="background1" w:themeFillShade="D9"/>
          </w:tcPr>
          <w:p w:rsidR="00F8223F" w:rsidRPr="00C90060" w:rsidRDefault="00F8223F" w:rsidP="001A7C1D">
            <w:pPr>
              <w:rPr>
                <w:rFonts w:cstheme="minorHAnsi"/>
                <w:b/>
              </w:rPr>
            </w:pPr>
            <w:r w:rsidRPr="00C90060">
              <w:rPr>
                <w:rFonts w:cstheme="minorHAnsi"/>
                <w:b/>
              </w:rPr>
              <w:t>To Approve</w:t>
            </w:r>
          </w:p>
        </w:tc>
        <w:tc>
          <w:tcPr>
            <w:tcW w:w="1280" w:type="dxa"/>
            <w:shd w:val="clear" w:color="auto" w:fill="auto"/>
          </w:tcPr>
          <w:p w:rsidR="00F8223F" w:rsidRPr="00C90060" w:rsidRDefault="0081664A" w:rsidP="001A7C1D">
            <w:pPr>
              <w:rPr>
                <w:rFonts w:cstheme="minorHAnsi"/>
                <w:b/>
              </w:rPr>
            </w:pPr>
            <w:r>
              <w:rPr>
                <w:rFonts w:cstheme="minorHAnsi"/>
                <w:b/>
              </w:rPr>
              <w:t>Yes</w:t>
            </w:r>
          </w:p>
        </w:tc>
      </w:tr>
      <w:tr w:rsidR="00F8223F" w:rsidRPr="00C90060" w:rsidTr="001A7C1D">
        <w:tc>
          <w:tcPr>
            <w:tcW w:w="2628" w:type="dxa"/>
            <w:vMerge/>
            <w:shd w:val="clear" w:color="auto" w:fill="D9D9D9" w:themeFill="background1" w:themeFillShade="D9"/>
          </w:tcPr>
          <w:p w:rsidR="00F8223F" w:rsidRPr="00C90060" w:rsidRDefault="00F8223F" w:rsidP="001A7C1D">
            <w:pPr>
              <w:rPr>
                <w:rFonts w:cstheme="minorHAnsi"/>
                <w:b/>
              </w:rPr>
            </w:pPr>
          </w:p>
        </w:tc>
        <w:tc>
          <w:tcPr>
            <w:tcW w:w="5040" w:type="dxa"/>
            <w:gridSpan w:val="2"/>
            <w:shd w:val="clear" w:color="auto" w:fill="D9D9D9" w:themeFill="background1" w:themeFillShade="D9"/>
          </w:tcPr>
          <w:p w:rsidR="00F8223F" w:rsidRPr="00C90060" w:rsidRDefault="00F8223F" w:rsidP="001A7C1D">
            <w:pPr>
              <w:rPr>
                <w:rFonts w:cstheme="minorHAnsi"/>
                <w:b/>
              </w:rPr>
            </w:pPr>
            <w:r w:rsidRPr="00C90060">
              <w:rPr>
                <w:rFonts w:cstheme="minorHAnsi"/>
                <w:b/>
              </w:rPr>
              <w:t>To Note</w:t>
            </w:r>
          </w:p>
        </w:tc>
        <w:tc>
          <w:tcPr>
            <w:tcW w:w="1280" w:type="dxa"/>
            <w:shd w:val="clear" w:color="auto" w:fill="auto"/>
          </w:tcPr>
          <w:p w:rsidR="00F8223F" w:rsidRPr="00C90060" w:rsidRDefault="00F8223F" w:rsidP="001A7C1D">
            <w:pPr>
              <w:rPr>
                <w:rFonts w:cstheme="minorHAnsi"/>
                <w:b/>
              </w:rPr>
            </w:pPr>
          </w:p>
        </w:tc>
      </w:tr>
      <w:tr w:rsidR="00F8223F" w:rsidRPr="00C90060" w:rsidTr="001A7C1D">
        <w:tc>
          <w:tcPr>
            <w:tcW w:w="2628" w:type="dxa"/>
            <w:vMerge/>
            <w:shd w:val="clear" w:color="auto" w:fill="D9D9D9" w:themeFill="background1" w:themeFillShade="D9"/>
          </w:tcPr>
          <w:p w:rsidR="00F8223F" w:rsidRPr="00C90060" w:rsidRDefault="00F8223F" w:rsidP="001A7C1D">
            <w:pPr>
              <w:rPr>
                <w:rFonts w:cstheme="minorHAnsi"/>
                <w:b/>
              </w:rPr>
            </w:pPr>
          </w:p>
        </w:tc>
        <w:tc>
          <w:tcPr>
            <w:tcW w:w="5040" w:type="dxa"/>
            <w:gridSpan w:val="2"/>
            <w:shd w:val="clear" w:color="auto" w:fill="D9D9D9" w:themeFill="background1" w:themeFillShade="D9"/>
          </w:tcPr>
          <w:p w:rsidR="00F8223F" w:rsidRPr="00C90060" w:rsidRDefault="00F8223F" w:rsidP="001A7C1D">
            <w:pPr>
              <w:rPr>
                <w:rFonts w:cstheme="minorHAnsi"/>
                <w:b/>
              </w:rPr>
            </w:pPr>
            <w:r w:rsidRPr="00C90060">
              <w:rPr>
                <w:rFonts w:cstheme="minorHAnsi"/>
                <w:b/>
              </w:rPr>
              <w:t>For Discussion</w:t>
            </w:r>
          </w:p>
        </w:tc>
        <w:tc>
          <w:tcPr>
            <w:tcW w:w="1280" w:type="dxa"/>
            <w:shd w:val="clear" w:color="auto" w:fill="auto"/>
          </w:tcPr>
          <w:p w:rsidR="00F8223F" w:rsidRPr="00C90060" w:rsidRDefault="0081664A" w:rsidP="001A7C1D">
            <w:pPr>
              <w:rPr>
                <w:rFonts w:cstheme="minorHAnsi"/>
                <w:b/>
              </w:rPr>
            </w:pPr>
            <w:r>
              <w:rPr>
                <w:rFonts w:cstheme="minorHAnsi"/>
                <w:b/>
              </w:rPr>
              <w:t>Yes</w:t>
            </w:r>
          </w:p>
        </w:tc>
      </w:tr>
      <w:tr w:rsidR="00F8223F" w:rsidRPr="00C90060" w:rsidTr="001A7C1D">
        <w:tc>
          <w:tcPr>
            <w:tcW w:w="2628" w:type="dxa"/>
            <w:vMerge/>
            <w:shd w:val="clear" w:color="auto" w:fill="D9D9D9" w:themeFill="background1" w:themeFillShade="D9"/>
          </w:tcPr>
          <w:p w:rsidR="00F8223F" w:rsidRPr="00C90060" w:rsidRDefault="00F8223F" w:rsidP="001A7C1D">
            <w:pPr>
              <w:rPr>
                <w:rFonts w:cstheme="minorHAnsi"/>
                <w:b/>
              </w:rPr>
            </w:pPr>
          </w:p>
        </w:tc>
        <w:tc>
          <w:tcPr>
            <w:tcW w:w="1350" w:type="dxa"/>
            <w:shd w:val="clear" w:color="auto" w:fill="D9D9D9" w:themeFill="background1" w:themeFillShade="D9"/>
          </w:tcPr>
          <w:p w:rsidR="00F8223F" w:rsidRPr="00C90060" w:rsidRDefault="00F8223F" w:rsidP="001A7C1D">
            <w:pPr>
              <w:rPr>
                <w:rFonts w:cstheme="minorHAnsi"/>
                <w:b/>
              </w:rPr>
            </w:pPr>
            <w:r w:rsidRPr="00C90060">
              <w:rPr>
                <w:rFonts w:cstheme="minorHAnsi"/>
                <w:b/>
              </w:rPr>
              <w:t>Comments</w:t>
            </w:r>
          </w:p>
        </w:tc>
        <w:tc>
          <w:tcPr>
            <w:tcW w:w="4970" w:type="dxa"/>
            <w:gridSpan w:val="2"/>
            <w:shd w:val="clear" w:color="auto" w:fill="auto"/>
          </w:tcPr>
          <w:p w:rsidR="00F8223F" w:rsidRPr="00C90060" w:rsidRDefault="00F8223F" w:rsidP="001A7C1D">
            <w:pPr>
              <w:rPr>
                <w:rFonts w:cstheme="minorHAnsi"/>
                <w:b/>
              </w:rPr>
            </w:pPr>
          </w:p>
          <w:p w:rsidR="00F8223F" w:rsidRPr="00C90060" w:rsidRDefault="00F8223F" w:rsidP="001A7C1D">
            <w:pPr>
              <w:rPr>
                <w:rFonts w:cstheme="minorHAnsi"/>
                <w:b/>
              </w:rPr>
            </w:pPr>
          </w:p>
          <w:p w:rsidR="00F8223F" w:rsidRPr="00C90060" w:rsidRDefault="00F8223F" w:rsidP="001A7C1D">
            <w:pPr>
              <w:rPr>
                <w:rFonts w:cstheme="minorHAnsi"/>
                <w:b/>
              </w:rPr>
            </w:pPr>
          </w:p>
        </w:tc>
      </w:tr>
    </w:tbl>
    <w:p w:rsidR="00F8223F" w:rsidRPr="00C90060" w:rsidRDefault="00F8223F" w:rsidP="00F8223F">
      <w:pPr>
        <w:tabs>
          <w:tab w:val="left" w:pos="1980"/>
        </w:tabs>
        <w:spacing w:after="0" w:line="240" w:lineRule="auto"/>
        <w:rPr>
          <w:rFonts w:cstheme="minorHAnsi"/>
          <w:b/>
        </w:rPr>
      </w:pPr>
    </w:p>
    <w:tbl>
      <w:tblPr>
        <w:tblStyle w:val="TableGrid"/>
        <w:tblW w:w="0" w:type="auto"/>
        <w:tblLook w:val="04A0" w:firstRow="1" w:lastRow="0" w:firstColumn="1" w:lastColumn="0" w:noHBand="0" w:noVBand="1"/>
      </w:tblPr>
      <w:tblGrid>
        <w:gridCol w:w="2628"/>
        <w:gridCol w:w="6320"/>
      </w:tblGrid>
      <w:tr w:rsidR="00F8223F" w:rsidRPr="00C90060" w:rsidTr="001A7C1D">
        <w:tc>
          <w:tcPr>
            <w:tcW w:w="2628" w:type="dxa"/>
          </w:tcPr>
          <w:p w:rsidR="00F8223F" w:rsidRPr="00C90060" w:rsidRDefault="00F8223F" w:rsidP="001A7C1D">
            <w:pPr>
              <w:rPr>
                <w:rFonts w:cstheme="minorHAnsi"/>
                <w:b/>
              </w:rPr>
            </w:pPr>
            <w:r w:rsidRPr="00C90060">
              <w:rPr>
                <w:rFonts w:cstheme="minorHAnsi"/>
                <w:b/>
              </w:rPr>
              <w:t>Name:</w:t>
            </w:r>
          </w:p>
          <w:p w:rsidR="00F8223F" w:rsidRPr="00C90060" w:rsidRDefault="00F8223F" w:rsidP="001A7C1D">
            <w:pPr>
              <w:rPr>
                <w:rFonts w:cstheme="minorHAnsi"/>
                <w:b/>
              </w:rPr>
            </w:pPr>
          </w:p>
        </w:tc>
        <w:tc>
          <w:tcPr>
            <w:tcW w:w="6320" w:type="dxa"/>
          </w:tcPr>
          <w:p w:rsidR="00F8223F" w:rsidRPr="00C90060" w:rsidRDefault="0038227A" w:rsidP="001A7C1D">
            <w:pPr>
              <w:rPr>
                <w:rFonts w:cstheme="minorHAnsi"/>
              </w:rPr>
            </w:pPr>
            <w:r>
              <w:rPr>
                <w:rFonts w:cstheme="minorHAnsi"/>
              </w:rPr>
              <w:t>Ian Cook</w:t>
            </w:r>
          </w:p>
        </w:tc>
      </w:tr>
      <w:tr w:rsidR="00F8223F" w:rsidRPr="00C90060" w:rsidTr="001A7C1D">
        <w:tc>
          <w:tcPr>
            <w:tcW w:w="2628" w:type="dxa"/>
          </w:tcPr>
          <w:p w:rsidR="00F8223F" w:rsidRPr="00C90060" w:rsidRDefault="00F8223F" w:rsidP="001A7C1D">
            <w:pPr>
              <w:rPr>
                <w:rFonts w:cstheme="minorHAnsi"/>
                <w:b/>
              </w:rPr>
            </w:pPr>
            <w:r w:rsidRPr="00C90060">
              <w:rPr>
                <w:rFonts w:cstheme="minorHAnsi"/>
                <w:b/>
              </w:rPr>
              <w:t>Job Title:</w:t>
            </w:r>
          </w:p>
          <w:p w:rsidR="00F8223F" w:rsidRPr="00C90060" w:rsidRDefault="00F8223F" w:rsidP="001A7C1D">
            <w:pPr>
              <w:rPr>
                <w:rFonts w:cstheme="minorHAnsi"/>
                <w:b/>
              </w:rPr>
            </w:pPr>
          </w:p>
        </w:tc>
        <w:tc>
          <w:tcPr>
            <w:tcW w:w="6320" w:type="dxa"/>
          </w:tcPr>
          <w:p w:rsidR="00F8223F" w:rsidRPr="00C90060" w:rsidRDefault="0038227A" w:rsidP="001A7C1D">
            <w:pPr>
              <w:rPr>
                <w:rFonts w:cstheme="minorHAnsi"/>
              </w:rPr>
            </w:pPr>
            <w:r>
              <w:rPr>
                <w:rFonts w:cstheme="minorHAnsi"/>
              </w:rPr>
              <w:t>Director Corporate Services</w:t>
            </w:r>
          </w:p>
        </w:tc>
      </w:tr>
      <w:tr w:rsidR="00F8223F" w:rsidRPr="00C90060" w:rsidTr="001A7C1D">
        <w:tc>
          <w:tcPr>
            <w:tcW w:w="2628" w:type="dxa"/>
          </w:tcPr>
          <w:p w:rsidR="00F8223F" w:rsidRPr="00C90060" w:rsidRDefault="00F8223F" w:rsidP="001A7C1D">
            <w:pPr>
              <w:rPr>
                <w:rFonts w:cstheme="minorHAnsi"/>
                <w:b/>
              </w:rPr>
            </w:pPr>
            <w:r w:rsidRPr="00C90060">
              <w:rPr>
                <w:rFonts w:cstheme="minorHAnsi"/>
                <w:b/>
              </w:rPr>
              <w:t>Date:</w:t>
            </w:r>
          </w:p>
          <w:p w:rsidR="00F8223F" w:rsidRPr="00C90060" w:rsidRDefault="00F8223F" w:rsidP="001A7C1D">
            <w:pPr>
              <w:rPr>
                <w:rFonts w:cstheme="minorHAnsi"/>
                <w:b/>
              </w:rPr>
            </w:pPr>
          </w:p>
        </w:tc>
        <w:tc>
          <w:tcPr>
            <w:tcW w:w="6320" w:type="dxa"/>
          </w:tcPr>
          <w:p w:rsidR="00F8223F" w:rsidRPr="00C90060" w:rsidRDefault="0038227A" w:rsidP="001A7C1D">
            <w:pPr>
              <w:rPr>
                <w:rFonts w:cstheme="minorHAnsi"/>
              </w:rPr>
            </w:pPr>
            <w:r>
              <w:rPr>
                <w:rFonts w:cstheme="minorHAnsi"/>
              </w:rPr>
              <w:t>13</w:t>
            </w:r>
            <w:r w:rsidRPr="0038227A">
              <w:rPr>
                <w:rFonts w:cstheme="minorHAnsi"/>
                <w:vertAlign w:val="superscript"/>
              </w:rPr>
              <w:t>th</w:t>
            </w:r>
            <w:r>
              <w:rPr>
                <w:rFonts w:cstheme="minorHAnsi"/>
              </w:rPr>
              <w:t xml:space="preserve"> May 2016</w:t>
            </w:r>
          </w:p>
        </w:tc>
      </w:tr>
    </w:tbl>
    <w:p w:rsidR="008A18B5" w:rsidRDefault="008A18B5" w:rsidP="0034541B">
      <w:pPr>
        <w:pStyle w:val="Default"/>
        <w:jc w:val="center"/>
        <w:rPr>
          <w:b/>
          <w:sz w:val="22"/>
          <w:szCs w:val="22"/>
          <w:u w:val="single"/>
        </w:rPr>
      </w:pPr>
    </w:p>
    <w:p w:rsidR="0038227A" w:rsidRDefault="0038227A" w:rsidP="0034541B">
      <w:pPr>
        <w:pStyle w:val="Default"/>
        <w:jc w:val="center"/>
        <w:rPr>
          <w:b/>
          <w:sz w:val="22"/>
          <w:szCs w:val="22"/>
          <w:u w:val="single"/>
        </w:rPr>
      </w:pPr>
    </w:p>
    <w:p w:rsidR="00F8223F" w:rsidRDefault="008A18B5" w:rsidP="0034541B">
      <w:pPr>
        <w:pStyle w:val="Default"/>
        <w:jc w:val="center"/>
        <w:rPr>
          <w:b/>
          <w:sz w:val="22"/>
          <w:szCs w:val="22"/>
          <w:u w:val="single"/>
        </w:rPr>
      </w:pPr>
      <w:r>
        <w:rPr>
          <w:b/>
          <w:sz w:val="22"/>
          <w:szCs w:val="22"/>
          <w:u w:val="single"/>
        </w:rPr>
        <w:t>Management Response to 2015 Staff Survey</w:t>
      </w:r>
    </w:p>
    <w:p w:rsidR="008A18B5" w:rsidRDefault="008A18B5" w:rsidP="0034541B">
      <w:pPr>
        <w:pStyle w:val="Default"/>
        <w:jc w:val="center"/>
        <w:rPr>
          <w:b/>
          <w:sz w:val="22"/>
          <w:szCs w:val="22"/>
          <w:u w:val="single"/>
        </w:rPr>
      </w:pPr>
    </w:p>
    <w:p w:rsidR="0051460C" w:rsidRDefault="0051460C" w:rsidP="008A18B5">
      <w:pPr>
        <w:pStyle w:val="Default"/>
        <w:jc w:val="both"/>
        <w:rPr>
          <w:sz w:val="22"/>
          <w:szCs w:val="22"/>
        </w:rPr>
      </w:pPr>
    </w:p>
    <w:p w:rsidR="0051460C" w:rsidRDefault="0051460C" w:rsidP="008A18B5">
      <w:pPr>
        <w:pStyle w:val="Default"/>
        <w:jc w:val="both"/>
        <w:rPr>
          <w:b/>
          <w:sz w:val="22"/>
          <w:szCs w:val="22"/>
        </w:rPr>
      </w:pPr>
    </w:p>
    <w:p w:rsidR="0051460C" w:rsidRPr="0051460C" w:rsidRDefault="0051460C" w:rsidP="008A18B5">
      <w:pPr>
        <w:pStyle w:val="Default"/>
        <w:jc w:val="both"/>
        <w:rPr>
          <w:b/>
          <w:sz w:val="22"/>
          <w:szCs w:val="22"/>
        </w:rPr>
      </w:pPr>
      <w:r w:rsidRPr="0051460C">
        <w:rPr>
          <w:b/>
          <w:sz w:val="22"/>
          <w:szCs w:val="22"/>
        </w:rPr>
        <w:t>Introduction</w:t>
      </w:r>
    </w:p>
    <w:p w:rsidR="0051460C" w:rsidRDefault="0051460C" w:rsidP="008A18B5">
      <w:pPr>
        <w:pStyle w:val="Default"/>
        <w:jc w:val="both"/>
        <w:rPr>
          <w:sz w:val="22"/>
          <w:szCs w:val="22"/>
        </w:rPr>
      </w:pPr>
    </w:p>
    <w:p w:rsidR="008A18B5" w:rsidRDefault="008A18B5" w:rsidP="008A18B5">
      <w:pPr>
        <w:pStyle w:val="Default"/>
        <w:jc w:val="both"/>
        <w:rPr>
          <w:sz w:val="22"/>
          <w:szCs w:val="22"/>
        </w:rPr>
      </w:pPr>
      <w:r>
        <w:rPr>
          <w:sz w:val="22"/>
          <w:szCs w:val="22"/>
        </w:rPr>
        <w:t>The survey was carried out during November 2015, initial results were produced in December</w:t>
      </w:r>
      <w:r w:rsidR="004932A1">
        <w:rPr>
          <w:sz w:val="22"/>
          <w:szCs w:val="22"/>
        </w:rPr>
        <w:t xml:space="preserve"> 2015</w:t>
      </w:r>
      <w:r>
        <w:rPr>
          <w:sz w:val="22"/>
          <w:szCs w:val="22"/>
        </w:rPr>
        <w:t xml:space="preserve"> and a full report completed in January 2016. The Board received a full presentation on the results on February.</w:t>
      </w:r>
    </w:p>
    <w:p w:rsidR="008A18B5" w:rsidRDefault="008A18B5" w:rsidP="008A18B5">
      <w:pPr>
        <w:pStyle w:val="Default"/>
        <w:jc w:val="both"/>
        <w:rPr>
          <w:sz w:val="22"/>
          <w:szCs w:val="22"/>
        </w:rPr>
      </w:pPr>
    </w:p>
    <w:p w:rsidR="004616BC" w:rsidRDefault="008A18B5" w:rsidP="008A18B5">
      <w:pPr>
        <w:pStyle w:val="Default"/>
        <w:jc w:val="both"/>
        <w:rPr>
          <w:sz w:val="22"/>
          <w:szCs w:val="22"/>
        </w:rPr>
      </w:pPr>
      <w:r>
        <w:rPr>
          <w:sz w:val="22"/>
          <w:szCs w:val="22"/>
        </w:rPr>
        <w:t>Overall results were very encouraging</w:t>
      </w:r>
      <w:r w:rsidR="0051460C">
        <w:rPr>
          <w:sz w:val="22"/>
          <w:szCs w:val="22"/>
        </w:rPr>
        <w:t xml:space="preserve"> and positive</w:t>
      </w:r>
      <w:r w:rsidR="0038517F">
        <w:rPr>
          <w:sz w:val="22"/>
          <w:szCs w:val="22"/>
        </w:rPr>
        <w:t>,</w:t>
      </w:r>
      <w:r>
        <w:rPr>
          <w:sz w:val="22"/>
          <w:szCs w:val="22"/>
        </w:rPr>
        <w:t xml:space="preserve"> with an improvement</w:t>
      </w:r>
      <w:r w:rsidR="0038517F">
        <w:rPr>
          <w:sz w:val="22"/>
          <w:szCs w:val="22"/>
        </w:rPr>
        <w:t>, from 2014,</w:t>
      </w:r>
      <w:r>
        <w:rPr>
          <w:sz w:val="22"/>
          <w:szCs w:val="22"/>
        </w:rPr>
        <w:t xml:space="preserve"> in the vast majority of areas</w:t>
      </w:r>
      <w:r w:rsidR="00F62472">
        <w:rPr>
          <w:sz w:val="22"/>
          <w:szCs w:val="22"/>
        </w:rPr>
        <w:t xml:space="preserve">. </w:t>
      </w:r>
      <w:r w:rsidR="0051460C">
        <w:rPr>
          <w:sz w:val="22"/>
          <w:szCs w:val="22"/>
        </w:rPr>
        <w:t xml:space="preserve">The HRA also outscored against benchmarks in the vast majority of areas were comparisons were available. </w:t>
      </w:r>
      <w:r w:rsidR="00F62472">
        <w:rPr>
          <w:sz w:val="22"/>
          <w:szCs w:val="22"/>
        </w:rPr>
        <w:t>H</w:t>
      </w:r>
      <w:r w:rsidR="0038517F">
        <w:rPr>
          <w:sz w:val="22"/>
          <w:szCs w:val="22"/>
        </w:rPr>
        <w:t xml:space="preserve">owever there were a small number of questions that resulted in responses that warranted further management investigation and in one case a requirement for a deeper understanding of the reasons which contributed to </w:t>
      </w:r>
      <w:r w:rsidR="0051460C">
        <w:rPr>
          <w:sz w:val="22"/>
          <w:szCs w:val="22"/>
        </w:rPr>
        <w:t xml:space="preserve">staff in one directorate in </w:t>
      </w:r>
      <w:r w:rsidR="0038517F">
        <w:rPr>
          <w:sz w:val="22"/>
          <w:szCs w:val="22"/>
        </w:rPr>
        <w:t>one office recording a generally much less positive response th</w:t>
      </w:r>
      <w:r w:rsidR="004932A1">
        <w:rPr>
          <w:sz w:val="22"/>
          <w:szCs w:val="22"/>
        </w:rPr>
        <w:t>at the rest of the organisation (There will be a verbal update on this specific issue)</w:t>
      </w:r>
    </w:p>
    <w:p w:rsidR="004616BC" w:rsidRDefault="004616BC" w:rsidP="008A18B5">
      <w:pPr>
        <w:pStyle w:val="Default"/>
        <w:jc w:val="both"/>
        <w:rPr>
          <w:sz w:val="22"/>
          <w:szCs w:val="22"/>
        </w:rPr>
      </w:pPr>
    </w:p>
    <w:p w:rsidR="00F62472" w:rsidRDefault="004616BC" w:rsidP="008A18B5">
      <w:pPr>
        <w:pStyle w:val="Default"/>
        <w:jc w:val="both"/>
        <w:rPr>
          <w:sz w:val="22"/>
          <w:szCs w:val="22"/>
        </w:rPr>
      </w:pPr>
      <w:r>
        <w:rPr>
          <w:sz w:val="22"/>
          <w:szCs w:val="22"/>
        </w:rPr>
        <w:t xml:space="preserve">This short report </w:t>
      </w:r>
      <w:r w:rsidR="003A3C41">
        <w:rPr>
          <w:sz w:val="22"/>
          <w:szCs w:val="22"/>
        </w:rPr>
        <w:t>outlines the actions that the HRA has taken since January 2016 to address these issues.</w:t>
      </w:r>
    </w:p>
    <w:p w:rsidR="00F62472" w:rsidRDefault="00F62472" w:rsidP="008A18B5">
      <w:pPr>
        <w:pStyle w:val="Default"/>
        <w:jc w:val="both"/>
        <w:rPr>
          <w:sz w:val="22"/>
          <w:szCs w:val="22"/>
        </w:rPr>
      </w:pPr>
    </w:p>
    <w:p w:rsidR="00F62472" w:rsidRPr="004932A1" w:rsidRDefault="0051460C" w:rsidP="004932A1">
      <w:pPr>
        <w:pStyle w:val="Default"/>
        <w:jc w:val="both"/>
        <w:rPr>
          <w:b/>
          <w:sz w:val="22"/>
          <w:szCs w:val="22"/>
          <w:u w:val="single"/>
        </w:rPr>
      </w:pPr>
      <w:r w:rsidRPr="004932A1">
        <w:rPr>
          <w:b/>
          <w:sz w:val="22"/>
          <w:szCs w:val="22"/>
          <w:u w:val="single"/>
        </w:rPr>
        <w:t>Speaking up</w:t>
      </w:r>
    </w:p>
    <w:p w:rsidR="0051460C" w:rsidRDefault="0051460C" w:rsidP="0051460C">
      <w:pPr>
        <w:pStyle w:val="Default"/>
        <w:ind w:left="420"/>
        <w:jc w:val="both"/>
        <w:rPr>
          <w:b/>
          <w:sz w:val="22"/>
          <w:szCs w:val="22"/>
        </w:rPr>
      </w:pPr>
    </w:p>
    <w:tbl>
      <w:tblPr>
        <w:tblStyle w:val="TableGrid"/>
        <w:tblW w:w="0" w:type="auto"/>
        <w:tblLayout w:type="fixed"/>
        <w:tblLook w:val="04A0" w:firstRow="1" w:lastRow="0" w:firstColumn="1" w:lastColumn="0" w:noHBand="0" w:noVBand="1"/>
      </w:tblPr>
      <w:tblGrid>
        <w:gridCol w:w="2245"/>
        <w:gridCol w:w="1953"/>
        <w:gridCol w:w="721"/>
        <w:gridCol w:w="664"/>
        <w:gridCol w:w="762"/>
        <w:gridCol w:w="1230"/>
        <w:gridCol w:w="1605"/>
      </w:tblGrid>
      <w:tr w:rsidR="006919A1" w:rsidRPr="006919A1" w:rsidTr="00425D3E">
        <w:trPr>
          <w:trHeight w:val="644"/>
        </w:trPr>
        <w:tc>
          <w:tcPr>
            <w:tcW w:w="2245" w:type="dxa"/>
            <w:noWrap/>
            <w:hideMark/>
          </w:tcPr>
          <w:p w:rsidR="006919A1" w:rsidRPr="006919A1" w:rsidRDefault="006919A1" w:rsidP="00425D3E">
            <w:pPr>
              <w:jc w:val="both"/>
              <w:rPr>
                <w:rFonts w:ascii="Arial" w:hAnsi="Arial" w:cs="Arial"/>
                <w:b/>
                <w:sz w:val="18"/>
                <w:szCs w:val="18"/>
              </w:rPr>
            </w:pPr>
            <w:r w:rsidRPr="006919A1">
              <w:rPr>
                <w:rFonts w:ascii="Arial" w:hAnsi="Arial" w:cs="Arial"/>
                <w:b/>
                <w:sz w:val="18"/>
                <w:szCs w:val="18"/>
              </w:rPr>
              <w:t> </w:t>
            </w:r>
          </w:p>
        </w:tc>
        <w:tc>
          <w:tcPr>
            <w:tcW w:w="1953" w:type="dxa"/>
            <w:noWrap/>
            <w:hideMark/>
          </w:tcPr>
          <w:p w:rsidR="006919A1" w:rsidRPr="006919A1" w:rsidRDefault="006919A1" w:rsidP="00425D3E">
            <w:pPr>
              <w:jc w:val="both"/>
              <w:rPr>
                <w:rFonts w:ascii="Arial" w:hAnsi="Arial" w:cs="Arial"/>
                <w:b/>
                <w:sz w:val="18"/>
                <w:szCs w:val="18"/>
              </w:rPr>
            </w:pPr>
            <w:r w:rsidRPr="006919A1">
              <w:rPr>
                <w:rFonts w:ascii="Arial" w:hAnsi="Arial" w:cs="Arial"/>
                <w:b/>
                <w:sz w:val="18"/>
                <w:szCs w:val="18"/>
              </w:rPr>
              <w:t> </w:t>
            </w:r>
          </w:p>
        </w:tc>
        <w:tc>
          <w:tcPr>
            <w:tcW w:w="721" w:type="dxa"/>
            <w:hideMark/>
          </w:tcPr>
          <w:p w:rsidR="006919A1" w:rsidRPr="006919A1" w:rsidRDefault="006919A1" w:rsidP="00425D3E">
            <w:pPr>
              <w:jc w:val="both"/>
              <w:rPr>
                <w:rFonts w:ascii="Arial" w:hAnsi="Arial" w:cs="Arial"/>
                <w:b/>
                <w:bCs/>
                <w:sz w:val="18"/>
                <w:szCs w:val="18"/>
              </w:rPr>
            </w:pPr>
            <w:r w:rsidRPr="006919A1">
              <w:rPr>
                <w:rFonts w:ascii="Arial" w:hAnsi="Arial" w:cs="Arial"/>
                <w:b/>
                <w:bCs/>
                <w:sz w:val="18"/>
                <w:szCs w:val="18"/>
              </w:rPr>
              <w:t>2015</w:t>
            </w:r>
          </w:p>
        </w:tc>
        <w:tc>
          <w:tcPr>
            <w:tcW w:w="664" w:type="dxa"/>
            <w:hideMark/>
          </w:tcPr>
          <w:p w:rsidR="006919A1" w:rsidRPr="006919A1" w:rsidRDefault="006919A1" w:rsidP="00425D3E">
            <w:pPr>
              <w:jc w:val="both"/>
              <w:rPr>
                <w:rFonts w:ascii="Arial" w:hAnsi="Arial" w:cs="Arial"/>
                <w:b/>
                <w:bCs/>
                <w:sz w:val="18"/>
                <w:szCs w:val="18"/>
              </w:rPr>
            </w:pPr>
            <w:r w:rsidRPr="006919A1">
              <w:rPr>
                <w:rFonts w:ascii="Arial" w:hAnsi="Arial" w:cs="Arial"/>
                <w:b/>
                <w:bCs/>
                <w:sz w:val="18"/>
                <w:szCs w:val="18"/>
              </w:rPr>
              <w:t>2014</w:t>
            </w:r>
          </w:p>
        </w:tc>
        <w:tc>
          <w:tcPr>
            <w:tcW w:w="762" w:type="dxa"/>
            <w:hideMark/>
          </w:tcPr>
          <w:p w:rsidR="006919A1" w:rsidRPr="006919A1" w:rsidRDefault="006919A1" w:rsidP="00425D3E">
            <w:pPr>
              <w:jc w:val="both"/>
              <w:rPr>
                <w:rFonts w:ascii="Arial" w:hAnsi="Arial" w:cs="Arial"/>
                <w:b/>
                <w:bCs/>
                <w:sz w:val="18"/>
                <w:szCs w:val="18"/>
              </w:rPr>
            </w:pPr>
            <w:r w:rsidRPr="006919A1">
              <w:rPr>
                <w:rFonts w:ascii="Arial" w:hAnsi="Arial" w:cs="Arial"/>
                <w:b/>
                <w:bCs/>
                <w:sz w:val="18"/>
                <w:szCs w:val="18"/>
              </w:rPr>
              <w:t>Diff to 2014</w:t>
            </w:r>
          </w:p>
        </w:tc>
        <w:tc>
          <w:tcPr>
            <w:tcW w:w="1230" w:type="dxa"/>
            <w:hideMark/>
          </w:tcPr>
          <w:p w:rsidR="006919A1" w:rsidRPr="006919A1" w:rsidRDefault="006919A1" w:rsidP="00425D3E">
            <w:pPr>
              <w:jc w:val="both"/>
              <w:rPr>
                <w:rFonts w:ascii="Arial" w:hAnsi="Arial" w:cs="Arial"/>
                <w:b/>
                <w:bCs/>
                <w:sz w:val="18"/>
                <w:szCs w:val="18"/>
              </w:rPr>
            </w:pPr>
            <w:r w:rsidRPr="006919A1">
              <w:rPr>
                <w:rFonts w:ascii="Arial" w:hAnsi="Arial" w:cs="Arial"/>
                <w:b/>
                <w:bCs/>
                <w:sz w:val="18"/>
                <w:szCs w:val="18"/>
              </w:rPr>
              <w:t>BMG Benchmark</w:t>
            </w:r>
          </w:p>
        </w:tc>
        <w:tc>
          <w:tcPr>
            <w:tcW w:w="1605" w:type="dxa"/>
            <w:hideMark/>
          </w:tcPr>
          <w:p w:rsidR="006919A1" w:rsidRPr="006919A1" w:rsidRDefault="006919A1" w:rsidP="00425D3E">
            <w:pPr>
              <w:rPr>
                <w:rFonts w:ascii="Arial" w:hAnsi="Arial" w:cs="Arial"/>
                <w:b/>
                <w:bCs/>
                <w:sz w:val="18"/>
                <w:szCs w:val="18"/>
              </w:rPr>
            </w:pPr>
            <w:r w:rsidRPr="006919A1">
              <w:rPr>
                <w:rFonts w:ascii="Arial" w:hAnsi="Arial" w:cs="Arial"/>
                <w:b/>
                <w:bCs/>
                <w:sz w:val="18"/>
                <w:szCs w:val="18"/>
              </w:rPr>
              <w:t>Diff to benchmark 2015</w:t>
            </w:r>
          </w:p>
        </w:tc>
      </w:tr>
      <w:tr w:rsidR="001A6340" w:rsidRPr="006919A1" w:rsidTr="006919A1">
        <w:trPr>
          <w:trHeight w:val="300"/>
        </w:trPr>
        <w:tc>
          <w:tcPr>
            <w:tcW w:w="2245" w:type="dxa"/>
            <w:vMerge w:val="restart"/>
            <w:hideMark/>
          </w:tcPr>
          <w:p w:rsidR="001A6340" w:rsidRPr="001A6340" w:rsidRDefault="001A6340" w:rsidP="001A6340">
            <w:pPr>
              <w:rPr>
                <w:rFonts w:ascii="Arial" w:hAnsi="Arial" w:cs="Arial"/>
                <w:b/>
                <w:sz w:val="18"/>
                <w:szCs w:val="18"/>
              </w:rPr>
            </w:pPr>
            <w:r w:rsidRPr="001A6340">
              <w:rPr>
                <w:rFonts w:ascii="Arial" w:hAnsi="Arial" w:cs="Arial"/>
                <w:b/>
                <w:sz w:val="18"/>
                <w:szCs w:val="18"/>
              </w:rPr>
              <w:t>I can speak my mind without fear of negative consequences</w:t>
            </w:r>
          </w:p>
          <w:p w:rsidR="001A6340" w:rsidRPr="001A6340" w:rsidRDefault="001A6340" w:rsidP="001A6340">
            <w:pPr>
              <w:rPr>
                <w:rFonts w:ascii="Arial" w:hAnsi="Arial" w:cs="Arial"/>
                <w:b/>
                <w:sz w:val="18"/>
                <w:szCs w:val="18"/>
              </w:rPr>
            </w:pPr>
          </w:p>
          <w:p w:rsidR="001A6340" w:rsidRPr="006919A1" w:rsidRDefault="001A6340" w:rsidP="00425D3E">
            <w:pPr>
              <w:rPr>
                <w:rFonts w:ascii="Arial" w:hAnsi="Arial" w:cs="Arial"/>
                <w:b/>
                <w:sz w:val="18"/>
                <w:szCs w:val="18"/>
              </w:rPr>
            </w:pPr>
          </w:p>
        </w:tc>
        <w:tc>
          <w:tcPr>
            <w:tcW w:w="1953" w:type="dxa"/>
            <w:noWrap/>
            <w:hideMark/>
          </w:tcPr>
          <w:p w:rsidR="001A6340" w:rsidRPr="006919A1" w:rsidRDefault="001A6340" w:rsidP="00425D3E">
            <w:pPr>
              <w:jc w:val="both"/>
              <w:rPr>
                <w:rFonts w:ascii="Arial" w:hAnsi="Arial" w:cs="Arial"/>
                <w:b/>
                <w:sz w:val="18"/>
                <w:szCs w:val="18"/>
              </w:rPr>
            </w:pPr>
            <w:r w:rsidRPr="006919A1">
              <w:rPr>
                <w:rFonts w:ascii="Arial" w:hAnsi="Arial" w:cs="Arial"/>
                <w:b/>
                <w:sz w:val="18"/>
                <w:szCs w:val="18"/>
              </w:rPr>
              <w:t>Sample Bases</w:t>
            </w:r>
          </w:p>
        </w:tc>
        <w:tc>
          <w:tcPr>
            <w:tcW w:w="721" w:type="dxa"/>
            <w:noWrap/>
          </w:tcPr>
          <w:p w:rsidR="001A6340" w:rsidRPr="00393D32" w:rsidRDefault="001A6340" w:rsidP="00046B11">
            <w:r w:rsidRPr="00393D32">
              <w:t>149</w:t>
            </w:r>
          </w:p>
        </w:tc>
        <w:tc>
          <w:tcPr>
            <w:tcW w:w="664" w:type="dxa"/>
            <w:noWrap/>
          </w:tcPr>
          <w:p w:rsidR="001A6340" w:rsidRPr="00825A2C" w:rsidRDefault="001A6340" w:rsidP="002058F0">
            <w:r w:rsidRPr="00825A2C">
              <w:t>86</w:t>
            </w:r>
          </w:p>
        </w:tc>
        <w:tc>
          <w:tcPr>
            <w:tcW w:w="762" w:type="dxa"/>
            <w:noWrap/>
          </w:tcPr>
          <w:p w:rsidR="001A6340" w:rsidRPr="00825A2C" w:rsidRDefault="001A6340" w:rsidP="002058F0"/>
        </w:tc>
        <w:tc>
          <w:tcPr>
            <w:tcW w:w="1230" w:type="dxa"/>
            <w:noWrap/>
          </w:tcPr>
          <w:p w:rsidR="001A6340" w:rsidRPr="00346769" w:rsidRDefault="00346769" w:rsidP="00425D3E">
            <w:pPr>
              <w:jc w:val="both"/>
              <w:rPr>
                <w:rFonts w:ascii="Arial" w:hAnsi="Arial" w:cs="Arial"/>
                <w:sz w:val="18"/>
                <w:szCs w:val="18"/>
              </w:rPr>
            </w:pPr>
            <w:r w:rsidRPr="00346769">
              <w:rPr>
                <w:rFonts w:ascii="Arial" w:hAnsi="Arial" w:cs="Arial"/>
                <w:sz w:val="18"/>
                <w:szCs w:val="18"/>
              </w:rPr>
              <w:t>N/A</w:t>
            </w:r>
          </w:p>
        </w:tc>
        <w:tc>
          <w:tcPr>
            <w:tcW w:w="1605" w:type="dxa"/>
            <w:noWrap/>
          </w:tcPr>
          <w:p w:rsidR="001A6340" w:rsidRPr="00346769" w:rsidRDefault="00346769" w:rsidP="00425D3E">
            <w:pPr>
              <w:jc w:val="both"/>
              <w:rPr>
                <w:rFonts w:ascii="Arial" w:hAnsi="Arial" w:cs="Arial"/>
                <w:sz w:val="18"/>
                <w:szCs w:val="18"/>
              </w:rPr>
            </w:pPr>
            <w:r w:rsidRPr="00346769">
              <w:rPr>
                <w:rFonts w:ascii="Arial" w:hAnsi="Arial" w:cs="Arial"/>
                <w:sz w:val="18"/>
                <w:szCs w:val="18"/>
              </w:rPr>
              <w:t>N/A</w:t>
            </w:r>
          </w:p>
        </w:tc>
      </w:tr>
      <w:tr w:rsidR="001A6340" w:rsidRPr="006919A1" w:rsidTr="006919A1">
        <w:trPr>
          <w:trHeight w:val="300"/>
        </w:trPr>
        <w:tc>
          <w:tcPr>
            <w:tcW w:w="2245" w:type="dxa"/>
            <w:vMerge/>
            <w:hideMark/>
          </w:tcPr>
          <w:p w:rsidR="001A6340" w:rsidRPr="006919A1" w:rsidRDefault="001A6340" w:rsidP="00425D3E">
            <w:pPr>
              <w:jc w:val="both"/>
              <w:rPr>
                <w:rFonts w:ascii="Arial" w:hAnsi="Arial" w:cs="Arial"/>
                <w:b/>
                <w:sz w:val="18"/>
                <w:szCs w:val="18"/>
              </w:rPr>
            </w:pPr>
          </w:p>
        </w:tc>
        <w:tc>
          <w:tcPr>
            <w:tcW w:w="1953" w:type="dxa"/>
            <w:noWrap/>
            <w:hideMark/>
          </w:tcPr>
          <w:p w:rsidR="001A6340" w:rsidRPr="006919A1" w:rsidRDefault="001A6340" w:rsidP="00425D3E">
            <w:pPr>
              <w:jc w:val="both"/>
              <w:rPr>
                <w:rFonts w:ascii="Arial" w:hAnsi="Arial" w:cs="Arial"/>
                <w:b/>
                <w:sz w:val="18"/>
                <w:szCs w:val="18"/>
              </w:rPr>
            </w:pPr>
            <w:r w:rsidRPr="006919A1">
              <w:rPr>
                <w:rFonts w:ascii="Arial" w:hAnsi="Arial" w:cs="Arial"/>
                <w:b/>
                <w:sz w:val="18"/>
                <w:szCs w:val="18"/>
              </w:rPr>
              <w:t>Summary: Agree</w:t>
            </w:r>
          </w:p>
        </w:tc>
        <w:tc>
          <w:tcPr>
            <w:tcW w:w="721" w:type="dxa"/>
            <w:noWrap/>
          </w:tcPr>
          <w:p w:rsidR="001A6340" w:rsidRPr="00393D32" w:rsidRDefault="001A6340" w:rsidP="00046B11">
            <w:r w:rsidRPr="00393D32">
              <w:t>58%</w:t>
            </w:r>
          </w:p>
        </w:tc>
        <w:tc>
          <w:tcPr>
            <w:tcW w:w="664" w:type="dxa"/>
          </w:tcPr>
          <w:p w:rsidR="001A6340" w:rsidRPr="00825A2C" w:rsidRDefault="001A6340" w:rsidP="002058F0">
            <w:r w:rsidRPr="00825A2C">
              <w:t>57%</w:t>
            </w:r>
          </w:p>
        </w:tc>
        <w:tc>
          <w:tcPr>
            <w:tcW w:w="762" w:type="dxa"/>
          </w:tcPr>
          <w:p w:rsidR="001A6340" w:rsidRPr="00825A2C" w:rsidRDefault="001A6340" w:rsidP="002058F0">
            <w:r w:rsidRPr="00825A2C">
              <w:t>1%</w:t>
            </w:r>
          </w:p>
        </w:tc>
        <w:tc>
          <w:tcPr>
            <w:tcW w:w="1230" w:type="dxa"/>
            <w:noWrap/>
          </w:tcPr>
          <w:p w:rsidR="001A6340" w:rsidRPr="006919A1" w:rsidRDefault="001A6340" w:rsidP="00425D3E">
            <w:pPr>
              <w:jc w:val="both"/>
              <w:rPr>
                <w:rFonts w:ascii="Arial" w:hAnsi="Arial" w:cs="Arial"/>
                <w:b/>
                <w:sz w:val="18"/>
                <w:szCs w:val="18"/>
              </w:rPr>
            </w:pPr>
          </w:p>
        </w:tc>
        <w:tc>
          <w:tcPr>
            <w:tcW w:w="1605" w:type="dxa"/>
            <w:noWrap/>
          </w:tcPr>
          <w:p w:rsidR="001A6340" w:rsidRPr="006919A1" w:rsidRDefault="001A6340" w:rsidP="00425D3E">
            <w:pPr>
              <w:jc w:val="both"/>
              <w:rPr>
                <w:rFonts w:ascii="Arial" w:hAnsi="Arial" w:cs="Arial"/>
                <w:b/>
                <w:sz w:val="18"/>
                <w:szCs w:val="18"/>
              </w:rPr>
            </w:pPr>
          </w:p>
        </w:tc>
      </w:tr>
      <w:tr w:rsidR="001A6340" w:rsidRPr="006919A1" w:rsidTr="006919A1">
        <w:trPr>
          <w:trHeight w:val="300"/>
        </w:trPr>
        <w:tc>
          <w:tcPr>
            <w:tcW w:w="2245" w:type="dxa"/>
            <w:vMerge/>
            <w:hideMark/>
          </w:tcPr>
          <w:p w:rsidR="001A6340" w:rsidRPr="006919A1" w:rsidRDefault="001A6340" w:rsidP="00425D3E">
            <w:pPr>
              <w:jc w:val="both"/>
              <w:rPr>
                <w:rFonts w:ascii="Arial" w:hAnsi="Arial" w:cs="Arial"/>
                <w:b/>
                <w:sz w:val="18"/>
                <w:szCs w:val="18"/>
              </w:rPr>
            </w:pPr>
          </w:p>
        </w:tc>
        <w:tc>
          <w:tcPr>
            <w:tcW w:w="1953" w:type="dxa"/>
            <w:shd w:val="clear" w:color="auto" w:fill="auto"/>
            <w:noWrap/>
            <w:hideMark/>
          </w:tcPr>
          <w:p w:rsidR="001A6340" w:rsidRPr="006919A1" w:rsidRDefault="001A6340" w:rsidP="00425D3E">
            <w:pPr>
              <w:jc w:val="both"/>
              <w:rPr>
                <w:rFonts w:ascii="Arial" w:hAnsi="Arial" w:cs="Arial"/>
                <w:b/>
                <w:sz w:val="18"/>
                <w:szCs w:val="18"/>
              </w:rPr>
            </w:pPr>
            <w:r w:rsidRPr="00946CB5">
              <w:rPr>
                <w:rFonts w:ascii="Arial" w:hAnsi="Arial" w:cs="Arial"/>
                <w:b/>
                <w:sz w:val="18"/>
                <w:szCs w:val="18"/>
              </w:rPr>
              <w:t>Summary: Disagree</w:t>
            </w:r>
          </w:p>
        </w:tc>
        <w:tc>
          <w:tcPr>
            <w:tcW w:w="721" w:type="dxa"/>
            <w:shd w:val="clear" w:color="auto" w:fill="auto"/>
            <w:noWrap/>
          </w:tcPr>
          <w:p w:rsidR="001A6340" w:rsidRPr="00393D32" w:rsidRDefault="001A6340" w:rsidP="00046B11">
            <w:r w:rsidRPr="00393D32">
              <w:t>21%</w:t>
            </w:r>
          </w:p>
        </w:tc>
        <w:tc>
          <w:tcPr>
            <w:tcW w:w="664" w:type="dxa"/>
          </w:tcPr>
          <w:p w:rsidR="001A6340" w:rsidRPr="00825A2C" w:rsidRDefault="001A6340" w:rsidP="002058F0">
            <w:r w:rsidRPr="00825A2C">
              <w:t>27%</w:t>
            </w:r>
          </w:p>
        </w:tc>
        <w:tc>
          <w:tcPr>
            <w:tcW w:w="762" w:type="dxa"/>
          </w:tcPr>
          <w:p w:rsidR="001A6340" w:rsidRDefault="001A6340" w:rsidP="002058F0">
            <w:r w:rsidRPr="00825A2C">
              <w:t>-6%</w:t>
            </w:r>
          </w:p>
        </w:tc>
        <w:tc>
          <w:tcPr>
            <w:tcW w:w="1230" w:type="dxa"/>
            <w:noWrap/>
          </w:tcPr>
          <w:p w:rsidR="001A6340" w:rsidRPr="006919A1" w:rsidRDefault="001A6340" w:rsidP="00425D3E">
            <w:pPr>
              <w:jc w:val="both"/>
              <w:rPr>
                <w:rFonts w:ascii="Arial" w:hAnsi="Arial" w:cs="Arial"/>
                <w:b/>
                <w:sz w:val="18"/>
                <w:szCs w:val="18"/>
              </w:rPr>
            </w:pPr>
          </w:p>
        </w:tc>
        <w:tc>
          <w:tcPr>
            <w:tcW w:w="1605" w:type="dxa"/>
            <w:noWrap/>
          </w:tcPr>
          <w:p w:rsidR="001A6340" w:rsidRPr="006919A1" w:rsidRDefault="001A6340" w:rsidP="00425D3E">
            <w:pPr>
              <w:jc w:val="both"/>
              <w:rPr>
                <w:rFonts w:ascii="Arial" w:hAnsi="Arial" w:cs="Arial"/>
                <w:b/>
                <w:sz w:val="18"/>
                <w:szCs w:val="18"/>
              </w:rPr>
            </w:pPr>
          </w:p>
        </w:tc>
      </w:tr>
    </w:tbl>
    <w:p w:rsidR="006919A1" w:rsidRPr="00F62472" w:rsidRDefault="006919A1" w:rsidP="0051460C">
      <w:pPr>
        <w:pStyle w:val="Default"/>
        <w:ind w:left="420"/>
        <w:jc w:val="both"/>
        <w:rPr>
          <w:b/>
          <w:sz w:val="22"/>
          <w:szCs w:val="22"/>
        </w:rPr>
      </w:pPr>
    </w:p>
    <w:p w:rsidR="008B21A7" w:rsidRPr="00063F9F" w:rsidRDefault="00063F9F" w:rsidP="00B44FE1">
      <w:pPr>
        <w:spacing w:after="0" w:line="240" w:lineRule="auto"/>
        <w:jc w:val="both"/>
        <w:rPr>
          <w:rFonts w:ascii="Arial" w:hAnsi="Arial" w:cs="Arial"/>
          <w:b/>
        </w:rPr>
      </w:pPr>
      <w:r>
        <w:rPr>
          <w:rFonts w:ascii="Arial" w:hAnsi="Arial" w:cs="Arial"/>
          <w:b/>
        </w:rPr>
        <w:t xml:space="preserve">HRA </w:t>
      </w:r>
      <w:r w:rsidR="00F62472" w:rsidRPr="00063F9F">
        <w:rPr>
          <w:rFonts w:ascii="Arial" w:hAnsi="Arial" w:cs="Arial"/>
          <w:b/>
        </w:rPr>
        <w:t>Response</w:t>
      </w:r>
    </w:p>
    <w:p w:rsidR="00F62472" w:rsidRDefault="00F62472" w:rsidP="00B44FE1">
      <w:pPr>
        <w:spacing w:after="0" w:line="240" w:lineRule="auto"/>
        <w:jc w:val="both"/>
        <w:rPr>
          <w:rFonts w:ascii="Arial" w:hAnsi="Arial" w:cs="Arial"/>
        </w:rPr>
      </w:pPr>
    </w:p>
    <w:p w:rsidR="00F62472" w:rsidRDefault="00F62472" w:rsidP="00B44FE1">
      <w:pPr>
        <w:spacing w:after="0" w:line="240" w:lineRule="auto"/>
        <w:jc w:val="both"/>
        <w:rPr>
          <w:rFonts w:ascii="Arial" w:hAnsi="Arial" w:cs="Arial"/>
        </w:rPr>
      </w:pPr>
      <w:r>
        <w:rPr>
          <w:rFonts w:ascii="Arial" w:hAnsi="Arial" w:cs="Arial"/>
        </w:rPr>
        <w:t>Although responses indicated an improvement from 2014, it was still considered an important area to address as 1 in 5 people had indicated that they had a reluctance to ‘speak their mind’. The following actions have been taken</w:t>
      </w:r>
    </w:p>
    <w:p w:rsidR="00F62472" w:rsidRDefault="00F62472" w:rsidP="00B44FE1">
      <w:pPr>
        <w:spacing w:after="0" w:line="240" w:lineRule="auto"/>
        <w:jc w:val="both"/>
        <w:rPr>
          <w:rFonts w:ascii="Arial" w:hAnsi="Arial" w:cs="Arial"/>
        </w:rPr>
      </w:pPr>
    </w:p>
    <w:p w:rsidR="00F62472" w:rsidRDefault="00F62472" w:rsidP="00F62472">
      <w:pPr>
        <w:pStyle w:val="ListParagraph"/>
        <w:numPr>
          <w:ilvl w:val="0"/>
          <w:numId w:val="16"/>
        </w:numPr>
        <w:spacing w:after="0" w:line="240" w:lineRule="auto"/>
        <w:jc w:val="both"/>
        <w:rPr>
          <w:rFonts w:ascii="Arial" w:hAnsi="Arial" w:cs="Arial"/>
        </w:rPr>
      </w:pPr>
      <w:r w:rsidRPr="00063F9F">
        <w:rPr>
          <w:rFonts w:ascii="Arial" w:hAnsi="Arial" w:cs="Arial"/>
          <w:b/>
        </w:rPr>
        <w:t>Raising</w:t>
      </w:r>
      <w:r>
        <w:rPr>
          <w:rFonts w:ascii="Arial" w:hAnsi="Arial" w:cs="Arial"/>
        </w:rPr>
        <w:t xml:space="preserve"> </w:t>
      </w:r>
      <w:r w:rsidRPr="00063F9F">
        <w:rPr>
          <w:rFonts w:ascii="Arial" w:hAnsi="Arial" w:cs="Arial"/>
          <w:b/>
        </w:rPr>
        <w:t>concerns policy</w:t>
      </w:r>
      <w:r>
        <w:rPr>
          <w:rFonts w:ascii="Arial" w:hAnsi="Arial" w:cs="Arial"/>
        </w:rPr>
        <w:t xml:space="preserve"> </w:t>
      </w:r>
      <w:r w:rsidR="00063F9F">
        <w:rPr>
          <w:rFonts w:ascii="Arial" w:hAnsi="Arial" w:cs="Arial"/>
        </w:rPr>
        <w:t xml:space="preserve">- </w:t>
      </w:r>
      <w:r>
        <w:rPr>
          <w:rFonts w:ascii="Arial" w:hAnsi="Arial" w:cs="Arial"/>
        </w:rPr>
        <w:t xml:space="preserve">has been produced, agreed by the board and published. This includes the identification of a Board ‘Champion’ to </w:t>
      </w:r>
      <w:proofErr w:type="gramStart"/>
      <w:r>
        <w:rPr>
          <w:rFonts w:ascii="Arial" w:hAnsi="Arial" w:cs="Arial"/>
        </w:rPr>
        <w:t>whom</w:t>
      </w:r>
      <w:proofErr w:type="gramEnd"/>
      <w:r>
        <w:rPr>
          <w:rFonts w:ascii="Arial" w:hAnsi="Arial" w:cs="Arial"/>
        </w:rPr>
        <w:t xml:space="preserve"> matters can be escalated if it is felt that normal organisation</w:t>
      </w:r>
      <w:r w:rsidR="002D4F53">
        <w:rPr>
          <w:rFonts w:ascii="Arial" w:hAnsi="Arial" w:cs="Arial"/>
        </w:rPr>
        <w:t>al channels have not been effective</w:t>
      </w:r>
      <w:r w:rsidR="00063F9F">
        <w:rPr>
          <w:rFonts w:ascii="Arial" w:hAnsi="Arial" w:cs="Arial"/>
        </w:rPr>
        <w:t>.</w:t>
      </w:r>
      <w:r w:rsidR="00B454D3">
        <w:rPr>
          <w:rFonts w:ascii="Arial" w:hAnsi="Arial" w:cs="Arial"/>
        </w:rPr>
        <w:t xml:space="preserve"> This  has been  promoted across the organisation through the All Staff VC’s and through discussion within management teams</w:t>
      </w:r>
    </w:p>
    <w:p w:rsidR="00063F9F" w:rsidRDefault="00063F9F" w:rsidP="00063F9F">
      <w:pPr>
        <w:pStyle w:val="ListParagraph"/>
        <w:spacing w:after="0" w:line="240" w:lineRule="auto"/>
        <w:jc w:val="both"/>
        <w:rPr>
          <w:rFonts w:ascii="Arial" w:hAnsi="Arial" w:cs="Arial"/>
        </w:rPr>
      </w:pPr>
    </w:p>
    <w:p w:rsidR="00063F9F" w:rsidRPr="00DB0876" w:rsidRDefault="00063F9F" w:rsidP="00DB0876">
      <w:pPr>
        <w:pStyle w:val="ListParagraph"/>
        <w:numPr>
          <w:ilvl w:val="0"/>
          <w:numId w:val="16"/>
        </w:numPr>
        <w:spacing w:after="0" w:line="240" w:lineRule="auto"/>
        <w:jc w:val="both"/>
        <w:rPr>
          <w:rFonts w:ascii="Arial" w:hAnsi="Arial" w:cs="Arial"/>
        </w:rPr>
      </w:pPr>
      <w:r w:rsidRPr="00063F9F">
        <w:rPr>
          <w:rFonts w:ascii="Arial" w:hAnsi="Arial" w:cs="Arial"/>
          <w:b/>
        </w:rPr>
        <w:t>Staff Forum</w:t>
      </w:r>
      <w:r>
        <w:rPr>
          <w:rFonts w:ascii="Arial" w:hAnsi="Arial" w:cs="Arial"/>
        </w:rPr>
        <w:t xml:space="preserve"> – efforts have been made to increase visibility and to reaffirm the offer that members of staff are able to approach staff reps about </w:t>
      </w:r>
      <w:r w:rsidR="00DB0876">
        <w:rPr>
          <w:rFonts w:ascii="Arial" w:hAnsi="Arial" w:cs="Arial"/>
        </w:rPr>
        <w:t xml:space="preserve">‘any’ </w:t>
      </w:r>
      <w:r w:rsidRPr="00DB0876">
        <w:rPr>
          <w:rFonts w:ascii="Arial" w:hAnsi="Arial" w:cs="Arial"/>
        </w:rPr>
        <w:t>issues of concern</w:t>
      </w:r>
      <w:r w:rsidR="00DB0876">
        <w:rPr>
          <w:rFonts w:ascii="Arial" w:hAnsi="Arial" w:cs="Arial"/>
        </w:rPr>
        <w:t>. Terms of Reference have been revised to reflect this approach. Publicity regarding the forum has been increased, with posters in all offices, an updated web presence, a regular slot at staff induction and more recently a very well received presentation at the all staff day.</w:t>
      </w:r>
    </w:p>
    <w:p w:rsidR="00F62472" w:rsidRDefault="00F62472" w:rsidP="00F62472">
      <w:pPr>
        <w:spacing w:after="0" w:line="240" w:lineRule="auto"/>
        <w:jc w:val="both"/>
        <w:rPr>
          <w:rFonts w:ascii="Arial" w:hAnsi="Arial" w:cs="Arial"/>
        </w:rPr>
      </w:pPr>
    </w:p>
    <w:p w:rsidR="00D96915" w:rsidRDefault="00D96915" w:rsidP="00D96915">
      <w:pPr>
        <w:spacing w:after="0" w:line="240" w:lineRule="auto"/>
        <w:jc w:val="both"/>
        <w:rPr>
          <w:rFonts w:ascii="Arial" w:hAnsi="Arial" w:cs="Arial"/>
          <w:b/>
        </w:rPr>
      </w:pPr>
    </w:p>
    <w:p w:rsidR="00D96915" w:rsidRDefault="00D96915" w:rsidP="00D96915">
      <w:pPr>
        <w:spacing w:after="0" w:line="240" w:lineRule="auto"/>
        <w:jc w:val="both"/>
        <w:rPr>
          <w:rFonts w:ascii="Arial" w:hAnsi="Arial" w:cs="Arial"/>
          <w:b/>
        </w:rPr>
      </w:pPr>
    </w:p>
    <w:p w:rsidR="00D96915" w:rsidRDefault="00D96915" w:rsidP="00D96915">
      <w:pPr>
        <w:spacing w:after="0" w:line="240" w:lineRule="auto"/>
        <w:jc w:val="both"/>
        <w:rPr>
          <w:rFonts w:ascii="Arial" w:hAnsi="Arial" w:cs="Arial"/>
          <w:b/>
        </w:rPr>
      </w:pPr>
    </w:p>
    <w:p w:rsidR="00B454D3" w:rsidRPr="004932A1" w:rsidRDefault="00B454D3" w:rsidP="00D96915">
      <w:pPr>
        <w:spacing w:after="0" w:line="240" w:lineRule="auto"/>
        <w:jc w:val="both"/>
        <w:rPr>
          <w:rFonts w:ascii="Arial" w:hAnsi="Arial" w:cs="Arial"/>
          <w:b/>
          <w:u w:val="single"/>
        </w:rPr>
      </w:pPr>
      <w:r w:rsidRPr="004932A1">
        <w:rPr>
          <w:rFonts w:ascii="Arial" w:hAnsi="Arial" w:cs="Arial"/>
          <w:b/>
          <w:u w:val="single"/>
        </w:rPr>
        <w:lastRenderedPageBreak/>
        <w:t>Managing Poor Performance</w:t>
      </w:r>
    </w:p>
    <w:p w:rsidR="00671CE3" w:rsidRDefault="00671CE3" w:rsidP="00F62472">
      <w:pPr>
        <w:spacing w:after="0" w:line="240" w:lineRule="auto"/>
        <w:jc w:val="both"/>
        <w:rPr>
          <w:rFonts w:ascii="Arial" w:hAnsi="Arial" w:cs="Arial"/>
          <w:b/>
        </w:rPr>
      </w:pPr>
    </w:p>
    <w:tbl>
      <w:tblPr>
        <w:tblStyle w:val="TableGrid"/>
        <w:tblW w:w="0" w:type="auto"/>
        <w:tblLayout w:type="fixed"/>
        <w:tblLook w:val="04A0" w:firstRow="1" w:lastRow="0" w:firstColumn="1" w:lastColumn="0" w:noHBand="0" w:noVBand="1"/>
      </w:tblPr>
      <w:tblGrid>
        <w:gridCol w:w="2245"/>
        <w:gridCol w:w="1953"/>
        <w:gridCol w:w="721"/>
        <w:gridCol w:w="664"/>
        <w:gridCol w:w="762"/>
        <w:gridCol w:w="1230"/>
        <w:gridCol w:w="1605"/>
      </w:tblGrid>
      <w:tr w:rsidR="006919A1" w:rsidRPr="006919A1" w:rsidTr="00425D3E">
        <w:trPr>
          <w:trHeight w:val="644"/>
        </w:trPr>
        <w:tc>
          <w:tcPr>
            <w:tcW w:w="2245" w:type="dxa"/>
            <w:noWrap/>
            <w:hideMark/>
          </w:tcPr>
          <w:p w:rsidR="006919A1" w:rsidRPr="006919A1" w:rsidRDefault="006919A1" w:rsidP="00425D3E">
            <w:pPr>
              <w:jc w:val="both"/>
              <w:rPr>
                <w:rFonts w:ascii="Arial" w:hAnsi="Arial" w:cs="Arial"/>
                <w:b/>
                <w:sz w:val="18"/>
                <w:szCs w:val="18"/>
              </w:rPr>
            </w:pPr>
            <w:r w:rsidRPr="006919A1">
              <w:rPr>
                <w:rFonts w:ascii="Arial" w:hAnsi="Arial" w:cs="Arial"/>
                <w:b/>
                <w:sz w:val="18"/>
                <w:szCs w:val="18"/>
              </w:rPr>
              <w:t> </w:t>
            </w:r>
          </w:p>
        </w:tc>
        <w:tc>
          <w:tcPr>
            <w:tcW w:w="1953" w:type="dxa"/>
            <w:noWrap/>
            <w:hideMark/>
          </w:tcPr>
          <w:p w:rsidR="006919A1" w:rsidRPr="006919A1" w:rsidRDefault="006919A1" w:rsidP="00425D3E">
            <w:pPr>
              <w:jc w:val="both"/>
              <w:rPr>
                <w:rFonts w:ascii="Arial" w:hAnsi="Arial" w:cs="Arial"/>
                <w:b/>
                <w:sz w:val="18"/>
                <w:szCs w:val="18"/>
              </w:rPr>
            </w:pPr>
            <w:r w:rsidRPr="006919A1">
              <w:rPr>
                <w:rFonts w:ascii="Arial" w:hAnsi="Arial" w:cs="Arial"/>
                <w:b/>
                <w:sz w:val="18"/>
                <w:szCs w:val="18"/>
              </w:rPr>
              <w:t> </w:t>
            </w:r>
          </w:p>
        </w:tc>
        <w:tc>
          <w:tcPr>
            <w:tcW w:w="721" w:type="dxa"/>
            <w:hideMark/>
          </w:tcPr>
          <w:p w:rsidR="006919A1" w:rsidRPr="006919A1" w:rsidRDefault="006919A1" w:rsidP="00425D3E">
            <w:pPr>
              <w:jc w:val="both"/>
              <w:rPr>
                <w:rFonts w:ascii="Arial" w:hAnsi="Arial" w:cs="Arial"/>
                <w:b/>
                <w:bCs/>
                <w:sz w:val="18"/>
                <w:szCs w:val="18"/>
              </w:rPr>
            </w:pPr>
            <w:r w:rsidRPr="006919A1">
              <w:rPr>
                <w:rFonts w:ascii="Arial" w:hAnsi="Arial" w:cs="Arial"/>
                <w:b/>
                <w:bCs/>
                <w:sz w:val="18"/>
                <w:szCs w:val="18"/>
              </w:rPr>
              <w:t>2015</w:t>
            </w:r>
          </w:p>
        </w:tc>
        <w:tc>
          <w:tcPr>
            <w:tcW w:w="664" w:type="dxa"/>
            <w:hideMark/>
          </w:tcPr>
          <w:p w:rsidR="006919A1" w:rsidRPr="006919A1" w:rsidRDefault="006919A1" w:rsidP="00425D3E">
            <w:pPr>
              <w:jc w:val="both"/>
              <w:rPr>
                <w:rFonts w:ascii="Arial" w:hAnsi="Arial" w:cs="Arial"/>
                <w:b/>
                <w:bCs/>
                <w:sz w:val="18"/>
                <w:szCs w:val="18"/>
              </w:rPr>
            </w:pPr>
            <w:r w:rsidRPr="006919A1">
              <w:rPr>
                <w:rFonts w:ascii="Arial" w:hAnsi="Arial" w:cs="Arial"/>
                <w:b/>
                <w:bCs/>
                <w:sz w:val="18"/>
                <w:szCs w:val="18"/>
              </w:rPr>
              <w:t>2014</w:t>
            </w:r>
          </w:p>
        </w:tc>
        <w:tc>
          <w:tcPr>
            <w:tcW w:w="762" w:type="dxa"/>
            <w:hideMark/>
          </w:tcPr>
          <w:p w:rsidR="006919A1" w:rsidRPr="006919A1" w:rsidRDefault="006919A1" w:rsidP="00425D3E">
            <w:pPr>
              <w:jc w:val="both"/>
              <w:rPr>
                <w:rFonts w:ascii="Arial" w:hAnsi="Arial" w:cs="Arial"/>
                <w:b/>
                <w:bCs/>
                <w:sz w:val="18"/>
                <w:szCs w:val="18"/>
              </w:rPr>
            </w:pPr>
            <w:r w:rsidRPr="006919A1">
              <w:rPr>
                <w:rFonts w:ascii="Arial" w:hAnsi="Arial" w:cs="Arial"/>
                <w:b/>
                <w:bCs/>
                <w:sz w:val="18"/>
                <w:szCs w:val="18"/>
              </w:rPr>
              <w:t>Diff to 2014</w:t>
            </w:r>
          </w:p>
        </w:tc>
        <w:tc>
          <w:tcPr>
            <w:tcW w:w="1230" w:type="dxa"/>
            <w:hideMark/>
          </w:tcPr>
          <w:p w:rsidR="006919A1" w:rsidRPr="006919A1" w:rsidRDefault="006919A1" w:rsidP="00425D3E">
            <w:pPr>
              <w:jc w:val="both"/>
              <w:rPr>
                <w:rFonts w:ascii="Arial" w:hAnsi="Arial" w:cs="Arial"/>
                <w:b/>
                <w:bCs/>
                <w:sz w:val="18"/>
                <w:szCs w:val="18"/>
              </w:rPr>
            </w:pPr>
            <w:r w:rsidRPr="006919A1">
              <w:rPr>
                <w:rFonts w:ascii="Arial" w:hAnsi="Arial" w:cs="Arial"/>
                <w:b/>
                <w:bCs/>
                <w:sz w:val="18"/>
                <w:szCs w:val="18"/>
              </w:rPr>
              <w:t>BMG Benchmark</w:t>
            </w:r>
          </w:p>
        </w:tc>
        <w:tc>
          <w:tcPr>
            <w:tcW w:w="1605" w:type="dxa"/>
            <w:hideMark/>
          </w:tcPr>
          <w:p w:rsidR="006919A1" w:rsidRPr="006919A1" w:rsidRDefault="006919A1" w:rsidP="00425D3E">
            <w:pPr>
              <w:rPr>
                <w:rFonts w:ascii="Arial" w:hAnsi="Arial" w:cs="Arial"/>
                <w:b/>
                <w:bCs/>
                <w:sz w:val="18"/>
                <w:szCs w:val="18"/>
              </w:rPr>
            </w:pPr>
            <w:r w:rsidRPr="006919A1">
              <w:rPr>
                <w:rFonts w:ascii="Arial" w:hAnsi="Arial" w:cs="Arial"/>
                <w:b/>
                <w:bCs/>
                <w:sz w:val="18"/>
                <w:szCs w:val="18"/>
              </w:rPr>
              <w:t>Diff to benchmark 2015</w:t>
            </w:r>
          </w:p>
        </w:tc>
      </w:tr>
      <w:tr w:rsidR="00D96915" w:rsidRPr="006919A1" w:rsidTr="006919A1">
        <w:trPr>
          <w:trHeight w:val="300"/>
        </w:trPr>
        <w:tc>
          <w:tcPr>
            <w:tcW w:w="2245" w:type="dxa"/>
            <w:vMerge w:val="restart"/>
            <w:hideMark/>
          </w:tcPr>
          <w:p w:rsidR="00D96915" w:rsidRPr="00D96915" w:rsidRDefault="00D96915" w:rsidP="00D96915">
            <w:pPr>
              <w:rPr>
                <w:rFonts w:ascii="Arial" w:hAnsi="Arial" w:cs="Arial"/>
                <w:b/>
                <w:sz w:val="18"/>
                <w:szCs w:val="18"/>
              </w:rPr>
            </w:pPr>
            <w:r w:rsidRPr="00D96915">
              <w:rPr>
                <w:rFonts w:ascii="Arial" w:hAnsi="Arial" w:cs="Arial"/>
                <w:b/>
                <w:sz w:val="18"/>
                <w:szCs w:val="18"/>
              </w:rPr>
              <w:t xml:space="preserve">My line manager effectively deals with poor performance </w:t>
            </w:r>
          </w:p>
          <w:p w:rsidR="00D96915" w:rsidRPr="00D96915" w:rsidRDefault="00D96915" w:rsidP="00D96915">
            <w:pPr>
              <w:rPr>
                <w:rFonts w:ascii="Arial" w:hAnsi="Arial" w:cs="Arial"/>
                <w:b/>
                <w:sz w:val="18"/>
                <w:szCs w:val="18"/>
              </w:rPr>
            </w:pPr>
          </w:p>
          <w:p w:rsidR="00D96915" w:rsidRPr="006919A1" w:rsidRDefault="00D96915" w:rsidP="00425D3E">
            <w:pPr>
              <w:rPr>
                <w:rFonts w:ascii="Arial" w:hAnsi="Arial" w:cs="Arial"/>
                <w:b/>
                <w:sz w:val="18"/>
                <w:szCs w:val="18"/>
              </w:rPr>
            </w:pPr>
          </w:p>
        </w:tc>
        <w:tc>
          <w:tcPr>
            <w:tcW w:w="1953" w:type="dxa"/>
            <w:noWrap/>
            <w:hideMark/>
          </w:tcPr>
          <w:p w:rsidR="00D96915" w:rsidRPr="006919A1" w:rsidRDefault="00D96915" w:rsidP="00425D3E">
            <w:pPr>
              <w:jc w:val="both"/>
              <w:rPr>
                <w:rFonts w:ascii="Arial" w:hAnsi="Arial" w:cs="Arial"/>
                <w:b/>
                <w:sz w:val="18"/>
                <w:szCs w:val="18"/>
              </w:rPr>
            </w:pPr>
            <w:r w:rsidRPr="006919A1">
              <w:rPr>
                <w:rFonts w:ascii="Arial" w:hAnsi="Arial" w:cs="Arial"/>
                <w:b/>
                <w:sz w:val="18"/>
                <w:szCs w:val="18"/>
              </w:rPr>
              <w:t>Sample Bases</w:t>
            </w:r>
          </w:p>
        </w:tc>
        <w:tc>
          <w:tcPr>
            <w:tcW w:w="721" w:type="dxa"/>
            <w:noWrap/>
          </w:tcPr>
          <w:p w:rsidR="00D96915" w:rsidRPr="00D53A60" w:rsidRDefault="00D96915" w:rsidP="00C2215B">
            <w:r w:rsidRPr="00D53A60">
              <w:t>149</w:t>
            </w:r>
          </w:p>
        </w:tc>
        <w:tc>
          <w:tcPr>
            <w:tcW w:w="664" w:type="dxa"/>
            <w:noWrap/>
          </w:tcPr>
          <w:p w:rsidR="00D96915" w:rsidRPr="00D53A60" w:rsidRDefault="00D96915" w:rsidP="00C2215B">
            <w:r w:rsidRPr="00D53A60">
              <w:t>86</w:t>
            </w:r>
          </w:p>
        </w:tc>
        <w:tc>
          <w:tcPr>
            <w:tcW w:w="762" w:type="dxa"/>
            <w:noWrap/>
          </w:tcPr>
          <w:p w:rsidR="00D96915" w:rsidRPr="00D53A60" w:rsidRDefault="00D96915" w:rsidP="00C2215B"/>
        </w:tc>
        <w:tc>
          <w:tcPr>
            <w:tcW w:w="1230" w:type="dxa"/>
            <w:noWrap/>
          </w:tcPr>
          <w:p w:rsidR="00D96915" w:rsidRPr="006919A1" w:rsidRDefault="00D96915" w:rsidP="00425D3E">
            <w:pPr>
              <w:jc w:val="both"/>
              <w:rPr>
                <w:rFonts w:ascii="Arial" w:hAnsi="Arial" w:cs="Arial"/>
                <w:b/>
                <w:sz w:val="18"/>
                <w:szCs w:val="18"/>
              </w:rPr>
            </w:pPr>
          </w:p>
        </w:tc>
        <w:tc>
          <w:tcPr>
            <w:tcW w:w="1605" w:type="dxa"/>
            <w:noWrap/>
          </w:tcPr>
          <w:p w:rsidR="00D96915" w:rsidRPr="006919A1" w:rsidRDefault="00D96915" w:rsidP="00425D3E">
            <w:pPr>
              <w:jc w:val="both"/>
              <w:rPr>
                <w:rFonts w:ascii="Arial" w:hAnsi="Arial" w:cs="Arial"/>
                <w:b/>
                <w:sz w:val="18"/>
                <w:szCs w:val="18"/>
              </w:rPr>
            </w:pPr>
          </w:p>
        </w:tc>
      </w:tr>
      <w:tr w:rsidR="00D96915" w:rsidRPr="006919A1" w:rsidTr="00346769">
        <w:trPr>
          <w:trHeight w:val="300"/>
        </w:trPr>
        <w:tc>
          <w:tcPr>
            <w:tcW w:w="2245" w:type="dxa"/>
            <w:vMerge/>
            <w:hideMark/>
          </w:tcPr>
          <w:p w:rsidR="00D96915" w:rsidRPr="006919A1" w:rsidRDefault="00D96915" w:rsidP="00425D3E">
            <w:pPr>
              <w:jc w:val="both"/>
              <w:rPr>
                <w:rFonts w:ascii="Arial" w:hAnsi="Arial" w:cs="Arial"/>
                <w:b/>
                <w:sz w:val="18"/>
                <w:szCs w:val="18"/>
              </w:rPr>
            </w:pPr>
          </w:p>
        </w:tc>
        <w:tc>
          <w:tcPr>
            <w:tcW w:w="1953" w:type="dxa"/>
            <w:noWrap/>
            <w:hideMark/>
          </w:tcPr>
          <w:p w:rsidR="00D96915" w:rsidRPr="006919A1" w:rsidRDefault="00D96915" w:rsidP="00425D3E">
            <w:pPr>
              <w:jc w:val="both"/>
              <w:rPr>
                <w:rFonts w:ascii="Arial" w:hAnsi="Arial" w:cs="Arial"/>
                <w:b/>
                <w:sz w:val="18"/>
                <w:szCs w:val="18"/>
              </w:rPr>
            </w:pPr>
            <w:r w:rsidRPr="006919A1">
              <w:rPr>
                <w:rFonts w:ascii="Arial" w:hAnsi="Arial" w:cs="Arial"/>
                <w:b/>
                <w:sz w:val="18"/>
                <w:szCs w:val="18"/>
              </w:rPr>
              <w:t>Summary: Agree</w:t>
            </w:r>
          </w:p>
        </w:tc>
        <w:tc>
          <w:tcPr>
            <w:tcW w:w="721" w:type="dxa"/>
            <w:noWrap/>
          </w:tcPr>
          <w:p w:rsidR="00D96915" w:rsidRPr="00D53A60" w:rsidRDefault="00D96915" w:rsidP="00C2215B">
            <w:r w:rsidRPr="00D53A60">
              <w:t>44%</w:t>
            </w:r>
          </w:p>
        </w:tc>
        <w:tc>
          <w:tcPr>
            <w:tcW w:w="664" w:type="dxa"/>
          </w:tcPr>
          <w:p w:rsidR="00D96915" w:rsidRPr="00D53A60" w:rsidRDefault="00D96915" w:rsidP="00C2215B">
            <w:r w:rsidRPr="00D53A60">
              <w:t>36%</w:t>
            </w:r>
          </w:p>
        </w:tc>
        <w:tc>
          <w:tcPr>
            <w:tcW w:w="762" w:type="dxa"/>
          </w:tcPr>
          <w:p w:rsidR="00D96915" w:rsidRPr="00D53A60" w:rsidRDefault="00D96915" w:rsidP="00C2215B">
            <w:r w:rsidRPr="00D53A60">
              <w:t>8%</w:t>
            </w:r>
          </w:p>
        </w:tc>
        <w:tc>
          <w:tcPr>
            <w:tcW w:w="1230" w:type="dxa"/>
            <w:noWrap/>
          </w:tcPr>
          <w:p w:rsidR="00D96915" w:rsidRPr="00E31D59" w:rsidRDefault="00D96915" w:rsidP="006C38A2">
            <w:r w:rsidRPr="00E31D59">
              <w:t>50%</w:t>
            </w:r>
          </w:p>
        </w:tc>
        <w:tc>
          <w:tcPr>
            <w:tcW w:w="1605" w:type="dxa"/>
            <w:shd w:val="clear" w:color="auto" w:fill="FF0000"/>
            <w:noWrap/>
          </w:tcPr>
          <w:p w:rsidR="00D96915" w:rsidRDefault="00D96915" w:rsidP="006C38A2">
            <w:r w:rsidRPr="00E31D59">
              <w:t>-6%</w:t>
            </w:r>
          </w:p>
        </w:tc>
      </w:tr>
      <w:tr w:rsidR="00D96915" w:rsidRPr="006919A1" w:rsidTr="006919A1">
        <w:trPr>
          <w:trHeight w:val="300"/>
        </w:trPr>
        <w:tc>
          <w:tcPr>
            <w:tcW w:w="2245" w:type="dxa"/>
            <w:vMerge/>
            <w:hideMark/>
          </w:tcPr>
          <w:p w:rsidR="00D96915" w:rsidRPr="006919A1" w:rsidRDefault="00D96915" w:rsidP="00425D3E">
            <w:pPr>
              <w:jc w:val="both"/>
              <w:rPr>
                <w:rFonts w:ascii="Arial" w:hAnsi="Arial" w:cs="Arial"/>
                <w:b/>
                <w:sz w:val="18"/>
                <w:szCs w:val="18"/>
              </w:rPr>
            </w:pPr>
          </w:p>
        </w:tc>
        <w:tc>
          <w:tcPr>
            <w:tcW w:w="1953" w:type="dxa"/>
            <w:shd w:val="clear" w:color="auto" w:fill="auto"/>
            <w:noWrap/>
            <w:hideMark/>
          </w:tcPr>
          <w:p w:rsidR="00D96915" w:rsidRPr="006919A1" w:rsidRDefault="00D96915" w:rsidP="00425D3E">
            <w:pPr>
              <w:jc w:val="both"/>
              <w:rPr>
                <w:rFonts w:ascii="Arial" w:hAnsi="Arial" w:cs="Arial"/>
                <w:b/>
                <w:sz w:val="18"/>
                <w:szCs w:val="18"/>
              </w:rPr>
            </w:pPr>
            <w:r w:rsidRPr="006919A1">
              <w:rPr>
                <w:rFonts w:ascii="Arial" w:hAnsi="Arial" w:cs="Arial"/>
                <w:b/>
                <w:sz w:val="18"/>
                <w:szCs w:val="18"/>
              </w:rPr>
              <w:t>Summary: Disagree</w:t>
            </w:r>
          </w:p>
        </w:tc>
        <w:tc>
          <w:tcPr>
            <w:tcW w:w="721" w:type="dxa"/>
            <w:shd w:val="clear" w:color="auto" w:fill="auto"/>
            <w:noWrap/>
          </w:tcPr>
          <w:p w:rsidR="00D96915" w:rsidRPr="00D53A60" w:rsidRDefault="00D96915" w:rsidP="00C2215B">
            <w:r w:rsidRPr="00D53A60">
              <w:t>17%</w:t>
            </w:r>
          </w:p>
        </w:tc>
        <w:tc>
          <w:tcPr>
            <w:tcW w:w="664" w:type="dxa"/>
          </w:tcPr>
          <w:p w:rsidR="00D96915" w:rsidRPr="00D53A60" w:rsidRDefault="00D96915" w:rsidP="00C2215B">
            <w:r w:rsidRPr="00D53A60">
              <w:t>26%</w:t>
            </w:r>
          </w:p>
        </w:tc>
        <w:tc>
          <w:tcPr>
            <w:tcW w:w="762" w:type="dxa"/>
          </w:tcPr>
          <w:p w:rsidR="00D96915" w:rsidRDefault="00D96915" w:rsidP="00C2215B">
            <w:r w:rsidRPr="00D53A60">
              <w:t>-9%</w:t>
            </w:r>
          </w:p>
        </w:tc>
        <w:tc>
          <w:tcPr>
            <w:tcW w:w="1230" w:type="dxa"/>
            <w:noWrap/>
          </w:tcPr>
          <w:p w:rsidR="00D96915" w:rsidRPr="006919A1" w:rsidRDefault="00D96915" w:rsidP="00425D3E">
            <w:pPr>
              <w:jc w:val="both"/>
              <w:rPr>
                <w:rFonts w:ascii="Arial" w:hAnsi="Arial" w:cs="Arial"/>
                <w:b/>
                <w:sz w:val="18"/>
                <w:szCs w:val="18"/>
              </w:rPr>
            </w:pPr>
          </w:p>
        </w:tc>
        <w:tc>
          <w:tcPr>
            <w:tcW w:w="1605" w:type="dxa"/>
            <w:noWrap/>
          </w:tcPr>
          <w:p w:rsidR="00D96915" w:rsidRPr="006919A1" w:rsidRDefault="00D96915" w:rsidP="00425D3E">
            <w:pPr>
              <w:jc w:val="both"/>
              <w:rPr>
                <w:rFonts w:ascii="Arial" w:hAnsi="Arial" w:cs="Arial"/>
                <w:b/>
                <w:sz w:val="18"/>
                <w:szCs w:val="18"/>
              </w:rPr>
            </w:pPr>
          </w:p>
        </w:tc>
      </w:tr>
    </w:tbl>
    <w:p w:rsidR="006919A1" w:rsidRDefault="006919A1" w:rsidP="00F62472">
      <w:pPr>
        <w:spacing w:after="0" w:line="240" w:lineRule="auto"/>
        <w:jc w:val="both"/>
        <w:rPr>
          <w:rFonts w:ascii="Arial" w:hAnsi="Arial" w:cs="Arial"/>
          <w:b/>
        </w:rPr>
      </w:pPr>
    </w:p>
    <w:p w:rsidR="00B454D3" w:rsidRDefault="00B454D3" w:rsidP="00F62472">
      <w:pPr>
        <w:spacing w:after="0" w:line="240" w:lineRule="auto"/>
        <w:jc w:val="both"/>
        <w:rPr>
          <w:rFonts w:ascii="Arial" w:hAnsi="Arial" w:cs="Arial"/>
        </w:rPr>
      </w:pPr>
    </w:p>
    <w:p w:rsidR="00B454D3" w:rsidRDefault="00672D5B" w:rsidP="00F62472">
      <w:pPr>
        <w:spacing w:after="0" w:line="240" w:lineRule="auto"/>
        <w:jc w:val="both"/>
        <w:rPr>
          <w:rFonts w:ascii="Arial" w:hAnsi="Arial" w:cs="Arial"/>
        </w:rPr>
      </w:pPr>
      <w:r>
        <w:rPr>
          <w:rFonts w:ascii="Arial" w:hAnsi="Arial" w:cs="Arial"/>
        </w:rPr>
        <w:t xml:space="preserve">Once again there was an improvement on last year, and 8% increase on those agreeing with the statement that ‘managers effectively deal with poor performance’ however this still left </w:t>
      </w:r>
      <w:r w:rsidR="0051460C">
        <w:rPr>
          <w:rFonts w:ascii="Arial" w:hAnsi="Arial" w:cs="Arial"/>
        </w:rPr>
        <w:t xml:space="preserve">just </w:t>
      </w:r>
      <w:r w:rsidR="00075B74">
        <w:rPr>
          <w:rFonts w:ascii="Arial" w:hAnsi="Arial" w:cs="Arial"/>
        </w:rPr>
        <w:t xml:space="preserve">over </w:t>
      </w:r>
      <w:r>
        <w:rPr>
          <w:rFonts w:ascii="Arial" w:hAnsi="Arial" w:cs="Arial"/>
        </w:rPr>
        <w:t xml:space="preserve">1 in 5 </w:t>
      </w:r>
      <w:r w:rsidR="0051460C">
        <w:rPr>
          <w:rFonts w:ascii="Arial" w:hAnsi="Arial" w:cs="Arial"/>
        </w:rPr>
        <w:t xml:space="preserve">who disagreed and a majority neutral. The Board reflected that this may be because there was not experience of managing performance, or because it is essentially confidential in nature. Nevertheless it was important area to address. </w:t>
      </w:r>
    </w:p>
    <w:p w:rsidR="00C71272" w:rsidRDefault="00C71272" w:rsidP="00F62472">
      <w:pPr>
        <w:spacing w:after="0" w:line="240" w:lineRule="auto"/>
        <w:jc w:val="both"/>
        <w:rPr>
          <w:rFonts w:ascii="Arial" w:hAnsi="Arial" w:cs="Arial"/>
        </w:rPr>
      </w:pPr>
    </w:p>
    <w:p w:rsidR="00C71272" w:rsidRDefault="00C71272" w:rsidP="00F62472">
      <w:pPr>
        <w:spacing w:after="0" w:line="240" w:lineRule="auto"/>
        <w:jc w:val="both"/>
        <w:rPr>
          <w:rFonts w:ascii="Arial" w:hAnsi="Arial" w:cs="Arial"/>
        </w:rPr>
      </w:pPr>
      <w:r>
        <w:rPr>
          <w:rFonts w:ascii="Arial" w:hAnsi="Arial" w:cs="Arial"/>
        </w:rPr>
        <w:t xml:space="preserve">Further analysis of the data was commissioned to try and assess whether there were any common factors which contributed to ‘dissatisfaction’ levels. What appeared to be quite clear was that those people who were </w:t>
      </w:r>
      <w:r w:rsidR="00CD5E6F">
        <w:rPr>
          <w:rFonts w:ascii="Arial" w:hAnsi="Arial" w:cs="Arial"/>
        </w:rPr>
        <w:t>‘</w:t>
      </w:r>
      <w:r>
        <w:rPr>
          <w:rFonts w:ascii="Arial" w:hAnsi="Arial" w:cs="Arial"/>
        </w:rPr>
        <w:t>looking for a job</w:t>
      </w:r>
      <w:r w:rsidR="00CD5E6F">
        <w:rPr>
          <w:rFonts w:ascii="Arial" w:hAnsi="Arial" w:cs="Arial"/>
        </w:rPr>
        <w:t xml:space="preserve"> in the next year’</w:t>
      </w:r>
      <w:r>
        <w:rPr>
          <w:rFonts w:ascii="Arial" w:hAnsi="Arial" w:cs="Arial"/>
        </w:rPr>
        <w:t xml:space="preserve">, or </w:t>
      </w:r>
      <w:r w:rsidRPr="00C71272">
        <w:rPr>
          <w:rFonts w:ascii="Arial" w:hAnsi="Arial" w:cs="Arial"/>
          <w:u w:val="single"/>
        </w:rPr>
        <w:t>didn’t</w:t>
      </w:r>
      <w:r>
        <w:rPr>
          <w:rFonts w:ascii="Arial" w:hAnsi="Arial" w:cs="Arial"/>
        </w:rPr>
        <w:t xml:space="preserve"> agree with the statements about being ‘committed to the organisation’, or ‘going the extra mile’ or ‘motivated to do a good job’ were 2-3 times more likely to be concerned about the management of poor performance</w:t>
      </w:r>
    </w:p>
    <w:p w:rsidR="00B454D3" w:rsidRDefault="00B454D3" w:rsidP="00F62472">
      <w:pPr>
        <w:spacing w:after="0" w:line="240" w:lineRule="auto"/>
        <w:jc w:val="both"/>
        <w:rPr>
          <w:rFonts w:ascii="Arial" w:hAnsi="Arial" w:cs="Arial"/>
        </w:rPr>
      </w:pPr>
    </w:p>
    <w:p w:rsidR="003757AC" w:rsidRPr="003757AC" w:rsidRDefault="003757AC" w:rsidP="00F62472">
      <w:pPr>
        <w:spacing w:after="0" w:line="240" w:lineRule="auto"/>
        <w:jc w:val="both"/>
        <w:rPr>
          <w:rFonts w:ascii="Arial" w:hAnsi="Arial" w:cs="Arial"/>
          <w:b/>
        </w:rPr>
      </w:pPr>
      <w:r w:rsidRPr="003757AC">
        <w:rPr>
          <w:rFonts w:ascii="Arial" w:hAnsi="Arial" w:cs="Arial"/>
          <w:b/>
        </w:rPr>
        <w:t>HRA Response</w:t>
      </w:r>
    </w:p>
    <w:p w:rsidR="003757AC" w:rsidRDefault="003757AC" w:rsidP="00F62472">
      <w:pPr>
        <w:spacing w:after="0" w:line="240" w:lineRule="auto"/>
        <w:jc w:val="both"/>
        <w:rPr>
          <w:rFonts w:ascii="Arial" w:hAnsi="Arial" w:cs="Arial"/>
        </w:rPr>
      </w:pPr>
    </w:p>
    <w:p w:rsidR="0067523D" w:rsidRPr="00B01A7B" w:rsidRDefault="0067523D" w:rsidP="0067523D">
      <w:pPr>
        <w:pStyle w:val="ListParagraph"/>
        <w:numPr>
          <w:ilvl w:val="0"/>
          <w:numId w:val="17"/>
        </w:numPr>
        <w:spacing w:after="0" w:line="240" w:lineRule="auto"/>
        <w:jc w:val="both"/>
        <w:rPr>
          <w:rFonts w:ascii="Arial" w:hAnsi="Arial" w:cs="Arial"/>
          <w:b/>
        </w:rPr>
      </w:pPr>
      <w:r w:rsidRPr="00B01A7B">
        <w:rPr>
          <w:rFonts w:ascii="Arial" w:hAnsi="Arial" w:cs="Arial"/>
          <w:b/>
        </w:rPr>
        <w:t>Training</w:t>
      </w:r>
      <w:r w:rsidR="00B01A7B">
        <w:rPr>
          <w:rFonts w:ascii="Arial" w:hAnsi="Arial" w:cs="Arial"/>
          <w:b/>
        </w:rPr>
        <w:t xml:space="preserve"> – </w:t>
      </w:r>
      <w:r w:rsidR="00B01A7B">
        <w:rPr>
          <w:rFonts w:ascii="Arial" w:hAnsi="Arial" w:cs="Arial"/>
        </w:rPr>
        <w:t>The EMT had a session in February on managing hearings in relation to employment relations issues. This covered process, procedures and legislation</w:t>
      </w:r>
      <w:r w:rsidR="00075B74">
        <w:rPr>
          <w:rFonts w:ascii="Arial" w:hAnsi="Arial" w:cs="Arial"/>
        </w:rPr>
        <w:t>. For the wider management group it is proposed to run a number of training sessions in 2016/17</w:t>
      </w:r>
      <w:r w:rsidR="00B01A7B">
        <w:rPr>
          <w:rFonts w:ascii="Arial" w:hAnsi="Arial" w:cs="Arial"/>
        </w:rPr>
        <w:t xml:space="preserve"> </w:t>
      </w:r>
    </w:p>
    <w:p w:rsidR="00B01A7B" w:rsidRPr="00B01A7B" w:rsidRDefault="00B01A7B" w:rsidP="00B01A7B">
      <w:pPr>
        <w:pStyle w:val="ListParagraph"/>
        <w:spacing w:after="0" w:line="240" w:lineRule="auto"/>
        <w:jc w:val="both"/>
        <w:rPr>
          <w:rFonts w:ascii="Arial" w:hAnsi="Arial" w:cs="Arial"/>
          <w:b/>
        </w:rPr>
      </w:pPr>
    </w:p>
    <w:p w:rsidR="0067523D" w:rsidRPr="00671CE3" w:rsidRDefault="00B01A7B" w:rsidP="0067523D">
      <w:pPr>
        <w:pStyle w:val="ListParagraph"/>
        <w:numPr>
          <w:ilvl w:val="0"/>
          <w:numId w:val="17"/>
        </w:numPr>
        <w:spacing w:after="0" w:line="240" w:lineRule="auto"/>
        <w:jc w:val="both"/>
        <w:rPr>
          <w:rFonts w:ascii="Arial" w:hAnsi="Arial" w:cs="Arial"/>
          <w:b/>
        </w:rPr>
      </w:pPr>
      <w:r>
        <w:rPr>
          <w:rFonts w:ascii="Arial" w:hAnsi="Arial" w:cs="Arial"/>
          <w:b/>
        </w:rPr>
        <w:t xml:space="preserve">NHS </w:t>
      </w:r>
      <w:r w:rsidR="0067523D" w:rsidRPr="00B01A7B">
        <w:rPr>
          <w:rFonts w:ascii="Arial" w:hAnsi="Arial" w:cs="Arial"/>
          <w:b/>
        </w:rPr>
        <w:t>BSA</w:t>
      </w:r>
      <w:r>
        <w:rPr>
          <w:rFonts w:ascii="Arial" w:hAnsi="Arial" w:cs="Arial"/>
        </w:rPr>
        <w:t xml:space="preserve"> – Director Corporate Services has had discussions with Senior HR Advisers at BSA to discuss consistent approach to managing poor performance (at the formal stage)</w:t>
      </w:r>
      <w:r w:rsidR="00252E01">
        <w:rPr>
          <w:rFonts w:ascii="Arial" w:hAnsi="Arial" w:cs="Arial"/>
        </w:rPr>
        <w:t xml:space="preserve"> and stressed the importance of supporting management in handling </w:t>
      </w:r>
      <w:r w:rsidR="00252E01" w:rsidRPr="00671CE3">
        <w:rPr>
          <w:rFonts w:ascii="Arial" w:hAnsi="Arial" w:cs="Arial"/>
        </w:rPr>
        <w:t>c</w:t>
      </w:r>
      <w:r w:rsidR="0051460C">
        <w:rPr>
          <w:rFonts w:ascii="Arial" w:hAnsi="Arial" w:cs="Arial"/>
        </w:rPr>
        <w:t xml:space="preserve">ases to an effective and </w:t>
      </w:r>
      <w:r w:rsidR="00252E01" w:rsidRPr="00671CE3">
        <w:rPr>
          <w:rFonts w:ascii="Arial" w:hAnsi="Arial" w:cs="Arial"/>
        </w:rPr>
        <w:t>conclusion</w:t>
      </w:r>
    </w:p>
    <w:p w:rsidR="0067523D" w:rsidRPr="00671CE3" w:rsidRDefault="0067523D" w:rsidP="0067523D">
      <w:pPr>
        <w:spacing w:after="0" w:line="240" w:lineRule="auto"/>
        <w:jc w:val="both"/>
        <w:rPr>
          <w:rFonts w:ascii="Arial" w:hAnsi="Arial" w:cs="Arial"/>
          <w:b/>
        </w:rPr>
      </w:pPr>
    </w:p>
    <w:p w:rsidR="0067523D" w:rsidRPr="00671CE3" w:rsidRDefault="0067523D" w:rsidP="0067523D">
      <w:pPr>
        <w:spacing w:after="0" w:line="240" w:lineRule="auto"/>
        <w:jc w:val="both"/>
        <w:rPr>
          <w:rFonts w:ascii="Arial" w:hAnsi="Arial" w:cs="Arial"/>
          <w:b/>
        </w:rPr>
      </w:pPr>
    </w:p>
    <w:p w:rsidR="00671CE3" w:rsidRPr="004932A1" w:rsidRDefault="00346769" w:rsidP="00D96915">
      <w:pPr>
        <w:spacing w:after="0" w:line="240" w:lineRule="auto"/>
        <w:jc w:val="both"/>
        <w:rPr>
          <w:rFonts w:ascii="Arial" w:hAnsi="Arial" w:cs="Arial"/>
          <w:b/>
          <w:u w:val="single"/>
        </w:rPr>
      </w:pPr>
      <w:r w:rsidRPr="004932A1">
        <w:rPr>
          <w:rFonts w:ascii="Arial" w:hAnsi="Arial" w:cs="Arial"/>
          <w:b/>
          <w:u w:val="single"/>
        </w:rPr>
        <w:t>EMT, Communicating</w:t>
      </w:r>
    </w:p>
    <w:p w:rsidR="006919A1" w:rsidRDefault="006919A1" w:rsidP="006919A1">
      <w:pPr>
        <w:spacing w:after="0" w:line="240" w:lineRule="auto"/>
        <w:jc w:val="both"/>
        <w:rPr>
          <w:rFonts w:ascii="Arial" w:hAnsi="Arial" w:cs="Arial"/>
          <w:b/>
        </w:rPr>
      </w:pPr>
    </w:p>
    <w:tbl>
      <w:tblPr>
        <w:tblStyle w:val="TableGrid"/>
        <w:tblW w:w="0" w:type="auto"/>
        <w:tblLayout w:type="fixed"/>
        <w:tblLook w:val="04A0" w:firstRow="1" w:lastRow="0" w:firstColumn="1" w:lastColumn="0" w:noHBand="0" w:noVBand="1"/>
      </w:tblPr>
      <w:tblGrid>
        <w:gridCol w:w="2245"/>
        <w:gridCol w:w="1953"/>
        <w:gridCol w:w="721"/>
        <w:gridCol w:w="664"/>
        <w:gridCol w:w="762"/>
        <w:gridCol w:w="1230"/>
        <w:gridCol w:w="1605"/>
      </w:tblGrid>
      <w:tr w:rsidR="00346769" w:rsidRPr="006919A1" w:rsidTr="00346769">
        <w:trPr>
          <w:trHeight w:val="644"/>
        </w:trPr>
        <w:tc>
          <w:tcPr>
            <w:tcW w:w="2245" w:type="dxa"/>
            <w:shd w:val="clear" w:color="auto" w:fill="FFFFFF" w:themeFill="background1"/>
            <w:noWrap/>
            <w:hideMark/>
          </w:tcPr>
          <w:p w:rsidR="006919A1" w:rsidRPr="00346769" w:rsidRDefault="006919A1" w:rsidP="00425D3E">
            <w:pPr>
              <w:jc w:val="both"/>
              <w:rPr>
                <w:rFonts w:ascii="Arial" w:hAnsi="Arial" w:cs="Arial"/>
                <w:b/>
                <w:sz w:val="18"/>
                <w:szCs w:val="18"/>
              </w:rPr>
            </w:pPr>
            <w:r w:rsidRPr="00346769">
              <w:rPr>
                <w:rFonts w:ascii="Arial" w:hAnsi="Arial" w:cs="Arial"/>
                <w:b/>
                <w:sz w:val="18"/>
                <w:szCs w:val="18"/>
              </w:rPr>
              <w:t> </w:t>
            </w:r>
          </w:p>
        </w:tc>
        <w:tc>
          <w:tcPr>
            <w:tcW w:w="1953" w:type="dxa"/>
            <w:shd w:val="clear" w:color="auto" w:fill="FFFFFF" w:themeFill="background1"/>
            <w:noWrap/>
            <w:hideMark/>
          </w:tcPr>
          <w:p w:rsidR="006919A1" w:rsidRPr="00346769" w:rsidRDefault="006919A1" w:rsidP="00425D3E">
            <w:pPr>
              <w:jc w:val="both"/>
              <w:rPr>
                <w:rFonts w:ascii="Arial" w:hAnsi="Arial" w:cs="Arial"/>
                <w:b/>
                <w:sz w:val="18"/>
                <w:szCs w:val="18"/>
              </w:rPr>
            </w:pPr>
            <w:r w:rsidRPr="00346769">
              <w:rPr>
                <w:rFonts w:ascii="Arial" w:hAnsi="Arial" w:cs="Arial"/>
                <w:b/>
                <w:sz w:val="18"/>
                <w:szCs w:val="18"/>
              </w:rPr>
              <w:t> </w:t>
            </w:r>
          </w:p>
        </w:tc>
        <w:tc>
          <w:tcPr>
            <w:tcW w:w="721" w:type="dxa"/>
            <w:shd w:val="clear" w:color="auto" w:fill="FFFFFF" w:themeFill="background1"/>
            <w:hideMark/>
          </w:tcPr>
          <w:p w:rsidR="006919A1" w:rsidRPr="00346769" w:rsidRDefault="006919A1" w:rsidP="00425D3E">
            <w:pPr>
              <w:jc w:val="both"/>
              <w:rPr>
                <w:rFonts w:ascii="Arial" w:hAnsi="Arial" w:cs="Arial"/>
                <w:b/>
                <w:bCs/>
                <w:sz w:val="18"/>
                <w:szCs w:val="18"/>
              </w:rPr>
            </w:pPr>
            <w:r w:rsidRPr="00346769">
              <w:rPr>
                <w:rFonts w:ascii="Arial" w:hAnsi="Arial" w:cs="Arial"/>
                <w:b/>
                <w:bCs/>
                <w:sz w:val="18"/>
                <w:szCs w:val="18"/>
              </w:rPr>
              <w:t>2015</w:t>
            </w:r>
          </w:p>
        </w:tc>
        <w:tc>
          <w:tcPr>
            <w:tcW w:w="664" w:type="dxa"/>
            <w:shd w:val="clear" w:color="auto" w:fill="FFFFFF" w:themeFill="background1"/>
            <w:hideMark/>
          </w:tcPr>
          <w:p w:rsidR="006919A1" w:rsidRPr="00346769" w:rsidRDefault="006919A1" w:rsidP="00425D3E">
            <w:pPr>
              <w:jc w:val="both"/>
              <w:rPr>
                <w:rFonts w:ascii="Arial" w:hAnsi="Arial" w:cs="Arial"/>
                <w:b/>
                <w:bCs/>
                <w:sz w:val="18"/>
                <w:szCs w:val="18"/>
              </w:rPr>
            </w:pPr>
            <w:r w:rsidRPr="00346769">
              <w:rPr>
                <w:rFonts w:ascii="Arial" w:hAnsi="Arial" w:cs="Arial"/>
                <w:b/>
                <w:bCs/>
                <w:sz w:val="18"/>
                <w:szCs w:val="18"/>
              </w:rPr>
              <w:t>2014</w:t>
            </w:r>
          </w:p>
        </w:tc>
        <w:tc>
          <w:tcPr>
            <w:tcW w:w="762" w:type="dxa"/>
            <w:shd w:val="clear" w:color="auto" w:fill="FFFFFF" w:themeFill="background1"/>
            <w:hideMark/>
          </w:tcPr>
          <w:p w:rsidR="006919A1" w:rsidRPr="00346769" w:rsidRDefault="006919A1" w:rsidP="00425D3E">
            <w:pPr>
              <w:jc w:val="both"/>
              <w:rPr>
                <w:rFonts w:ascii="Arial" w:hAnsi="Arial" w:cs="Arial"/>
                <w:b/>
                <w:bCs/>
                <w:sz w:val="18"/>
                <w:szCs w:val="18"/>
              </w:rPr>
            </w:pPr>
            <w:r w:rsidRPr="00346769">
              <w:rPr>
                <w:rFonts w:ascii="Arial" w:hAnsi="Arial" w:cs="Arial"/>
                <w:b/>
                <w:bCs/>
                <w:sz w:val="18"/>
                <w:szCs w:val="18"/>
              </w:rPr>
              <w:t>Diff to 2014</w:t>
            </w:r>
          </w:p>
        </w:tc>
        <w:tc>
          <w:tcPr>
            <w:tcW w:w="1230" w:type="dxa"/>
            <w:shd w:val="clear" w:color="auto" w:fill="FFFFFF" w:themeFill="background1"/>
            <w:hideMark/>
          </w:tcPr>
          <w:p w:rsidR="006919A1" w:rsidRPr="00346769" w:rsidRDefault="006919A1" w:rsidP="00425D3E">
            <w:pPr>
              <w:jc w:val="both"/>
              <w:rPr>
                <w:rFonts w:ascii="Arial" w:hAnsi="Arial" w:cs="Arial"/>
                <w:b/>
                <w:bCs/>
                <w:sz w:val="18"/>
                <w:szCs w:val="18"/>
              </w:rPr>
            </w:pPr>
            <w:r w:rsidRPr="00346769">
              <w:rPr>
                <w:rFonts w:ascii="Arial" w:hAnsi="Arial" w:cs="Arial"/>
                <w:b/>
                <w:bCs/>
                <w:sz w:val="18"/>
                <w:szCs w:val="18"/>
              </w:rPr>
              <w:t>BMG Benchmark</w:t>
            </w:r>
          </w:p>
        </w:tc>
        <w:tc>
          <w:tcPr>
            <w:tcW w:w="1605" w:type="dxa"/>
            <w:shd w:val="clear" w:color="auto" w:fill="FFFFFF" w:themeFill="background1"/>
            <w:hideMark/>
          </w:tcPr>
          <w:p w:rsidR="006919A1" w:rsidRPr="00346769" w:rsidRDefault="006919A1" w:rsidP="00425D3E">
            <w:pPr>
              <w:rPr>
                <w:rFonts w:ascii="Arial" w:hAnsi="Arial" w:cs="Arial"/>
                <w:b/>
                <w:bCs/>
                <w:sz w:val="18"/>
                <w:szCs w:val="18"/>
              </w:rPr>
            </w:pPr>
            <w:r w:rsidRPr="00346769">
              <w:rPr>
                <w:rFonts w:ascii="Arial" w:hAnsi="Arial" w:cs="Arial"/>
                <w:b/>
                <w:bCs/>
                <w:sz w:val="18"/>
                <w:szCs w:val="18"/>
              </w:rPr>
              <w:t>Diff to benchmark 2015</w:t>
            </w:r>
          </w:p>
        </w:tc>
      </w:tr>
      <w:tr w:rsidR="00D96915" w:rsidRPr="006919A1" w:rsidTr="006919A1">
        <w:trPr>
          <w:trHeight w:val="300"/>
        </w:trPr>
        <w:tc>
          <w:tcPr>
            <w:tcW w:w="2245" w:type="dxa"/>
            <w:vMerge w:val="restart"/>
            <w:hideMark/>
          </w:tcPr>
          <w:p w:rsidR="00D96915" w:rsidRPr="006919A1" w:rsidRDefault="00D96915" w:rsidP="00425D3E">
            <w:pPr>
              <w:rPr>
                <w:rFonts w:ascii="Arial" w:hAnsi="Arial" w:cs="Arial"/>
                <w:b/>
                <w:sz w:val="18"/>
                <w:szCs w:val="18"/>
              </w:rPr>
            </w:pPr>
            <w:r w:rsidRPr="00D96915">
              <w:rPr>
                <w:rFonts w:ascii="Arial" w:hAnsi="Arial" w:cs="Arial"/>
                <w:b/>
                <w:sz w:val="18"/>
                <w:szCs w:val="18"/>
              </w:rPr>
              <w:t>Executive management team are good at explaining the reasons for why decisions are made</w:t>
            </w:r>
          </w:p>
        </w:tc>
        <w:tc>
          <w:tcPr>
            <w:tcW w:w="1953" w:type="dxa"/>
            <w:noWrap/>
            <w:hideMark/>
          </w:tcPr>
          <w:p w:rsidR="00D96915" w:rsidRPr="006919A1" w:rsidRDefault="00D96915" w:rsidP="00425D3E">
            <w:pPr>
              <w:jc w:val="both"/>
              <w:rPr>
                <w:rFonts w:ascii="Arial" w:hAnsi="Arial" w:cs="Arial"/>
                <w:b/>
                <w:sz w:val="18"/>
                <w:szCs w:val="18"/>
              </w:rPr>
            </w:pPr>
            <w:r w:rsidRPr="006919A1">
              <w:rPr>
                <w:rFonts w:ascii="Arial" w:hAnsi="Arial" w:cs="Arial"/>
                <w:b/>
                <w:sz w:val="18"/>
                <w:szCs w:val="18"/>
              </w:rPr>
              <w:t>Sample Bases</w:t>
            </w:r>
          </w:p>
        </w:tc>
        <w:tc>
          <w:tcPr>
            <w:tcW w:w="721" w:type="dxa"/>
            <w:noWrap/>
          </w:tcPr>
          <w:p w:rsidR="00D96915" w:rsidRPr="00C2798F" w:rsidRDefault="00D96915" w:rsidP="0011632E">
            <w:r w:rsidRPr="00C2798F">
              <w:t>147</w:t>
            </w:r>
          </w:p>
        </w:tc>
        <w:tc>
          <w:tcPr>
            <w:tcW w:w="664" w:type="dxa"/>
            <w:noWrap/>
          </w:tcPr>
          <w:p w:rsidR="00D96915" w:rsidRPr="00C2798F" w:rsidRDefault="00D96915" w:rsidP="0011632E">
            <w:r w:rsidRPr="00C2798F">
              <w:t>84</w:t>
            </w:r>
          </w:p>
        </w:tc>
        <w:tc>
          <w:tcPr>
            <w:tcW w:w="762" w:type="dxa"/>
            <w:noWrap/>
          </w:tcPr>
          <w:p w:rsidR="00D96915" w:rsidRPr="00C2798F" w:rsidRDefault="00D96915" w:rsidP="0011632E"/>
        </w:tc>
        <w:tc>
          <w:tcPr>
            <w:tcW w:w="1230" w:type="dxa"/>
            <w:noWrap/>
          </w:tcPr>
          <w:p w:rsidR="00D96915" w:rsidRPr="006919A1" w:rsidRDefault="00D96915" w:rsidP="00425D3E">
            <w:pPr>
              <w:jc w:val="both"/>
              <w:rPr>
                <w:rFonts w:ascii="Arial" w:hAnsi="Arial" w:cs="Arial"/>
                <w:b/>
                <w:sz w:val="18"/>
                <w:szCs w:val="18"/>
              </w:rPr>
            </w:pPr>
          </w:p>
        </w:tc>
        <w:tc>
          <w:tcPr>
            <w:tcW w:w="1605" w:type="dxa"/>
            <w:noWrap/>
          </w:tcPr>
          <w:p w:rsidR="00D96915" w:rsidRPr="006919A1" w:rsidRDefault="00D96915" w:rsidP="00425D3E">
            <w:pPr>
              <w:jc w:val="both"/>
              <w:rPr>
                <w:rFonts w:ascii="Arial" w:hAnsi="Arial" w:cs="Arial"/>
                <w:b/>
                <w:sz w:val="18"/>
                <w:szCs w:val="18"/>
              </w:rPr>
            </w:pPr>
          </w:p>
        </w:tc>
      </w:tr>
      <w:tr w:rsidR="00D96915" w:rsidRPr="006919A1" w:rsidTr="00346769">
        <w:trPr>
          <w:trHeight w:val="300"/>
        </w:trPr>
        <w:tc>
          <w:tcPr>
            <w:tcW w:w="2245" w:type="dxa"/>
            <w:vMerge/>
            <w:hideMark/>
          </w:tcPr>
          <w:p w:rsidR="00D96915" w:rsidRPr="006919A1" w:rsidRDefault="00D96915" w:rsidP="00425D3E">
            <w:pPr>
              <w:jc w:val="both"/>
              <w:rPr>
                <w:rFonts w:ascii="Arial" w:hAnsi="Arial" w:cs="Arial"/>
                <w:b/>
                <w:sz w:val="18"/>
                <w:szCs w:val="18"/>
              </w:rPr>
            </w:pPr>
          </w:p>
        </w:tc>
        <w:tc>
          <w:tcPr>
            <w:tcW w:w="1953" w:type="dxa"/>
            <w:noWrap/>
            <w:hideMark/>
          </w:tcPr>
          <w:p w:rsidR="00D96915" w:rsidRPr="006919A1" w:rsidRDefault="00D96915" w:rsidP="00425D3E">
            <w:pPr>
              <w:jc w:val="both"/>
              <w:rPr>
                <w:rFonts w:ascii="Arial" w:hAnsi="Arial" w:cs="Arial"/>
                <w:b/>
                <w:sz w:val="18"/>
                <w:szCs w:val="18"/>
              </w:rPr>
            </w:pPr>
            <w:r w:rsidRPr="006919A1">
              <w:rPr>
                <w:rFonts w:ascii="Arial" w:hAnsi="Arial" w:cs="Arial"/>
                <w:b/>
                <w:sz w:val="18"/>
                <w:szCs w:val="18"/>
              </w:rPr>
              <w:t>Summary: Agree</w:t>
            </w:r>
          </w:p>
        </w:tc>
        <w:tc>
          <w:tcPr>
            <w:tcW w:w="721" w:type="dxa"/>
            <w:noWrap/>
          </w:tcPr>
          <w:p w:rsidR="00D96915" w:rsidRPr="00C2798F" w:rsidRDefault="00D96915" w:rsidP="0011632E">
            <w:r w:rsidRPr="00C2798F">
              <w:t>46%</w:t>
            </w:r>
          </w:p>
        </w:tc>
        <w:tc>
          <w:tcPr>
            <w:tcW w:w="664" w:type="dxa"/>
            <w:hideMark/>
          </w:tcPr>
          <w:p w:rsidR="00D96915" w:rsidRPr="00C2798F" w:rsidRDefault="00D96915" w:rsidP="0011632E">
            <w:r w:rsidRPr="00C2798F">
              <w:t>46%</w:t>
            </w:r>
          </w:p>
        </w:tc>
        <w:tc>
          <w:tcPr>
            <w:tcW w:w="762" w:type="dxa"/>
            <w:hideMark/>
          </w:tcPr>
          <w:p w:rsidR="00D96915" w:rsidRPr="00C2798F" w:rsidRDefault="00D96915" w:rsidP="0011632E">
            <w:r w:rsidRPr="00C2798F">
              <w:t>0%</w:t>
            </w:r>
          </w:p>
        </w:tc>
        <w:tc>
          <w:tcPr>
            <w:tcW w:w="1230" w:type="dxa"/>
            <w:noWrap/>
            <w:hideMark/>
          </w:tcPr>
          <w:p w:rsidR="00D96915" w:rsidRPr="00CC7F9D" w:rsidRDefault="00D96915" w:rsidP="00895AE0">
            <w:r w:rsidRPr="00CC7F9D">
              <w:t>36%</w:t>
            </w:r>
          </w:p>
        </w:tc>
        <w:tc>
          <w:tcPr>
            <w:tcW w:w="1605" w:type="dxa"/>
            <w:shd w:val="clear" w:color="auto" w:fill="00B050"/>
            <w:noWrap/>
            <w:hideMark/>
          </w:tcPr>
          <w:p w:rsidR="00D96915" w:rsidRDefault="00D96915" w:rsidP="00895AE0">
            <w:r w:rsidRPr="00CC7F9D">
              <w:t>10%</w:t>
            </w:r>
          </w:p>
        </w:tc>
      </w:tr>
      <w:tr w:rsidR="00D96915" w:rsidRPr="006919A1" w:rsidTr="006919A1">
        <w:trPr>
          <w:trHeight w:val="300"/>
        </w:trPr>
        <w:tc>
          <w:tcPr>
            <w:tcW w:w="2245" w:type="dxa"/>
            <w:vMerge/>
            <w:hideMark/>
          </w:tcPr>
          <w:p w:rsidR="00D96915" w:rsidRPr="006919A1" w:rsidRDefault="00D96915" w:rsidP="00425D3E">
            <w:pPr>
              <w:jc w:val="both"/>
              <w:rPr>
                <w:rFonts w:ascii="Arial" w:hAnsi="Arial" w:cs="Arial"/>
                <w:b/>
                <w:sz w:val="18"/>
                <w:szCs w:val="18"/>
              </w:rPr>
            </w:pPr>
          </w:p>
        </w:tc>
        <w:tc>
          <w:tcPr>
            <w:tcW w:w="1953" w:type="dxa"/>
            <w:shd w:val="clear" w:color="auto" w:fill="auto"/>
            <w:noWrap/>
            <w:hideMark/>
          </w:tcPr>
          <w:p w:rsidR="00D96915" w:rsidRPr="006919A1" w:rsidRDefault="00D96915" w:rsidP="00425D3E">
            <w:pPr>
              <w:jc w:val="both"/>
              <w:rPr>
                <w:rFonts w:ascii="Arial" w:hAnsi="Arial" w:cs="Arial"/>
                <w:b/>
                <w:sz w:val="18"/>
                <w:szCs w:val="18"/>
              </w:rPr>
            </w:pPr>
            <w:r w:rsidRPr="006919A1">
              <w:rPr>
                <w:rFonts w:ascii="Arial" w:hAnsi="Arial" w:cs="Arial"/>
                <w:b/>
                <w:sz w:val="18"/>
                <w:szCs w:val="18"/>
              </w:rPr>
              <w:t>Summary: Disagree</w:t>
            </w:r>
          </w:p>
        </w:tc>
        <w:tc>
          <w:tcPr>
            <w:tcW w:w="721" w:type="dxa"/>
            <w:shd w:val="clear" w:color="auto" w:fill="auto"/>
            <w:noWrap/>
          </w:tcPr>
          <w:p w:rsidR="00D96915" w:rsidRPr="00C2798F" w:rsidRDefault="00D96915" w:rsidP="0011632E">
            <w:r w:rsidRPr="00C2798F">
              <w:t>24%</w:t>
            </w:r>
          </w:p>
        </w:tc>
        <w:tc>
          <w:tcPr>
            <w:tcW w:w="664" w:type="dxa"/>
            <w:hideMark/>
          </w:tcPr>
          <w:p w:rsidR="00D96915" w:rsidRPr="00C2798F" w:rsidRDefault="00D96915" w:rsidP="0011632E">
            <w:r w:rsidRPr="00C2798F">
              <w:t>29%</w:t>
            </w:r>
          </w:p>
        </w:tc>
        <w:tc>
          <w:tcPr>
            <w:tcW w:w="762" w:type="dxa"/>
            <w:hideMark/>
          </w:tcPr>
          <w:p w:rsidR="00D96915" w:rsidRDefault="00D96915" w:rsidP="0011632E">
            <w:r w:rsidRPr="00C2798F">
              <w:t>-5%</w:t>
            </w:r>
          </w:p>
        </w:tc>
        <w:tc>
          <w:tcPr>
            <w:tcW w:w="1230" w:type="dxa"/>
            <w:noWrap/>
            <w:hideMark/>
          </w:tcPr>
          <w:p w:rsidR="00D96915" w:rsidRPr="006919A1" w:rsidRDefault="00D96915" w:rsidP="00425D3E">
            <w:pPr>
              <w:jc w:val="both"/>
              <w:rPr>
                <w:rFonts w:ascii="Arial" w:hAnsi="Arial" w:cs="Arial"/>
                <w:b/>
                <w:sz w:val="18"/>
                <w:szCs w:val="18"/>
              </w:rPr>
            </w:pPr>
            <w:r w:rsidRPr="006919A1">
              <w:rPr>
                <w:rFonts w:ascii="Arial" w:hAnsi="Arial" w:cs="Arial"/>
                <w:b/>
                <w:sz w:val="18"/>
                <w:szCs w:val="18"/>
              </w:rPr>
              <w:t> </w:t>
            </w:r>
          </w:p>
        </w:tc>
        <w:tc>
          <w:tcPr>
            <w:tcW w:w="1605" w:type="dxa"/>
            <w:noWrap/>
            <w:hideMark/>
          </w:tcPr>
          <w:p w:rsidR="00D96915" w:rsidRPr="006919A1" w:rsidRDefault="00D96915" w:rsidP="00425D3E">
            <w:pPr>
              <w:jc w:val="both"/>
              <w:rPr>
                <w:rFonts w:ascii="Arial" w:hAnsi="Arial" w:cs="Arial"/>
                <w:b/>
                <w:sz w:val="18"/>
                <w:szCs w:val="18"/>
              </w:rPr>
            </w:pPr>
            <w:r w:rsidRPr="006919A1">
              <w:rPr>
                <w:rFonts w:ascii="Arial" w:hAnsi="Arial" w:cs="Arial"/>
                <w:b/>
                <w:sz w:val="18"/>
                <w:szCs w:val="18"/>
              </w:rPr>
              <w:t> </w:t>
            </w:r>
          </w:p>
        </w:tc>
      </w:tr>
    </w:tbl>
    <w:p w:rsidR="006919A1" w:rsidRPr="006919A1" w:rsidRDefault="006919A1" w:rsidP="006919A1">
      <w:pPr>
        <w:spacing w:after="0" w:line="240" w:lineRule="auto"/>
        <w:jc w:val="both"/>
        <w:rPr>
          <w:rFonts w:ascii="Arial" w:hAnsi="Arial" w:cs="Arial"/>
          <w:b/>
        </w:rPr>
      </w:pPr>
    </w:p>
    <w:p w:rsidR="00671CE3" w:rsidRDefault="00671CE3" w:rsidP="0067523D">
      <w:pPr>
        <w:spacing w:after="0" w:line="240" w:lineRule="auto"/>
        <w:jc w:val="both"/>
        <w:rPr>
          <w:rFonts w:ascii="Arial" w:hAnsi="Arial" w:cs="Arial"/>
        </w:rPr>
      </w:pPr>
    </w:p>
    <w:p w:rsidR="0067523D" w:rsidRDefault="00BE0941" w:rsidP="0067523D">
      <w:pPr>
        <w:spacing w:after="0" w:line="240" w:lineRule="auto"/>
        <w:jc w:val="both"/>
        <w:rPr>
          <w:rFonts w:ascii="Arial" w:hAnsi="Arial" w:cs="Arial"/>
        </w:rPr>
      </w:pPr>
      <w:r>
        <w:rPr>
          <w:rFonts w:ascii="Arial" w:hAnsi="Arial" w:cs="Arial"/>
        </w:rPr>
        <w:t>O</w:t>
      </w:r>
      <w:r w:rsidR="003757AC">
        <w:rPr>
          <w:rFonts w:ascii="Arial" w:hAnsi="Arial" w:cs="Arial"/>
        </w:rPr>
        <w:t>ne in four disagreed with the statement (which was a similar level to 2014), however it remained 10% better than the national benchmark used by the research company.</w:t>
      </w:r>
      <w:r>
        <w:rPr>
          <w:rFonts w:ascii="Arial" w:hAnsi="Arial" w:cs="Arial"/>
        </w:rPr>
        <w:t xml:space="preserve"> It should also be noted that overall 84% of staff still feel ‘informed’.</w:t>
      </w:r>
    </w:p>
    <w:p w:rsidR="003757AC" w:rsidRDefault="003757AC" w:rsidP="0067523D">
      <w:pPr>
        <w:spacing w:after="0" w:line="240" w:lineRule="auto"/>
        <w:jc w:val="both"/>
        <w:rPr>
          <w:rFonts w:ascii="Arial" w:hAnsi="Arial" w:cs="Arial"/>
        </w:rPr>
      </w:pPr>
    </w:p>
    <w:p w:rsidR="00346769" w:rsidRDefault="00346769" w:rsidP="0067523D">
      <w:pPr>
        <w:spacing w:after="0" w:line="240" w:lineRule="auto"/>
        <w:jc w:val="both"/>
        <w:rPr>
          <w:rFonts w:ascii="Arial" w:hAnsi="Arial" w:cs="Arial"/>
          <w:b/>
        </w:rPr>
      </w:pPr>
    </w:p>
    <w:p w:rsidR="00346769" w:rsidRDefault="00346769" w:rsidP="0067523D">
      <w:pPr>
        <w:spacing w:after="0" w:line="240" w:lineRule="auto"/>
        <w:jc w:val="both"/>
        <w:rPr>
          <w:rFonts w:ascii="Arial" w:hAnsi="Arial" w:cs="Arial"/>
          <w:b/>
        </w:rPr>
      </w:pPr>
    </w:p>
    <w:p w:rsidR="0067523D" w:rsidRDefault="00671CE3" w:rsidP="0067523D">
      <w:pPr>
        <w:spacing w:after="0" w:line="240" w:lineRule="auto"/>
        <w:jc w:val="both"/>
        <w:rPr>
          <w:rFonts w:ascii="Arial" w:hAnsi="Arial" w:cs="Arial"/>
          <w:b/>
        </w:rPr>
      </w:pPr>
      <w:r>
        <w:rPr>
          <w:rFonts w:ascii="Arial" w:hAnsi="Arial" w:cs="Arial"/>
          <w:b/>
        </w:rPr>
        <w:lastRenderedPageBreak/>
        <w:t xml:space="preserve">HRA </w:t>
      </w:r>
      <w:r w:rsidR="0067523D" w:rsidRPr="00671CE3">
        <w:rPr>
          <w:rFonts w:ascii="Arial" w:hAnsi="Arial" w:cs="Arial"/>
          <w:b/>
        </w:rPr>
        <w:t>Response</w:t>
      </w:r>
    </w:p>
    <w:p w:rsidR="003757AC" w:rsidRDefault="003757AC" w:rsidP="0067523D">
      <w:pPr>
        <w:spacing w:after="0" w:line="240" w:lineRule="auto"/>
        <w:jc w:val="both"/>
        <w:rPr>
          <w:rFonts w:ascii="Arial" w:hAnsi="Arial" w:cs="Arial"/>
          <w:b/>
        </w:rPr>
      </w:pPr>
    </w:p>
    <w:p w:rsidR="003757AC" w:rsidRPr="00760B60" w:rsidRDefault="003757AC" w:rsidP="003757AC">
      <w:pPr>
        <w:pStyle w:val="ListParagraph"/>
        <w:numPr>
          <w:ilvl w:val="0"/>
          <w:numId w:val="20"/>
        </w:numPr>
        <w:spacing w:after="0" w:line="240" w:lineRule="auto"/>
        <w:jc w:val="both"/>
        <w:rPr>
          <w:rFonts w:ascii="Arial" w:hAnsi="Arial" w:cs="Arial"/>
          <w:b/>
        </w:rPr>
      </w:pPr>
      <w:r>
        <w:rPr>
          <w:rFonts w:ascii="Arial" w:hAnsi="Arial" w:cs="Arial"/>
          <w:b/>
        </w:rPr>
        <w:t xml:space="preserve">All Staff VC – </w:t>
      </w:r>
      <w:r>
        <w:rPr>
          <w:rFonts w:ascii="Arial" w:hAnsi="Arial" w:cs="Arial"/>
        </w:rPr>
        <w:t>All significant organisational wide decisions are shared at the monthly All Staff VC’s (which 76% of staff view to be effective)</w:t>
      </w:r>
    </w:p>
    <w:p w:rsidR="00760B60" w:rsidRPr="003757AC" w:rsidRDefault="00760B60" w:rsidP="00760B60">
      <w:pPr>
        <w:pStyle w:val="ListParagraph"/>
        <w:spacing w:after="0" w:line="240" w:lineRule="auto"/>
        <w:jc w:val="both"/>
        <w:rPr>
          <w:rFonts w:ascii="Arial" w:hAnsi="Arial" w:cs="Arial"/>
          <w:b/>
        </w:rPr>
      </w:pPr>
    </w:p>
    <w:p w:rsidR="003757AC" w:rsidRPr="004F608E" w:rsidRDefault="003757AC" w:rsidP="003757AC">
      <w:pPr>
        <w:pStyle w:val="ListParagraph"/>
        <w:numPr>
          <w:ilvl w:val="0"/>
          <w:numId w:val="20"/>
        </w:numPr>
        <w:spacing w:after="0" w:line="240" w:lineRule="auto"/>
        <w:jc w:val="both"/>
        <w:rPr>
          <w:rFonts w:ascii="Arial" w:hAnsi="Arial" w:cs="Arial"/>
          <w:b/>
        </w:rPr>
      </w:pPr>
      <w:r>
        <w:rPr>
          <w:rFonts w:ascii="Arial" w:hAnsi="Arial" w:cs="Arial"/>
          <w:b/>
        </w:rPr>
        <w:t xml:space="preserve">Managers – </w:t>
      </w:r>
      <w:r>
        <w:rPr>
          <w:rFonts w:ascii="Arial" w:hAnsi="Arial" w:cs="Arial"/>
        </w:rPr>
        <w:t xml:space="preserve">It is a key responsibility </w:t>
      </w:r>
      <w:r w:rsidR="00760B60">
        <w:rPr>
          <w:rFonts w:ascii="Arial" w:hAnsi="Arial" w:cs="Arial"/>
        </w:rPr>
        <w:t>for Directors to cascade information via their management teams. This message will be reinforced throughout the year</w:t>
      </w:r>
    </w:p>
    <w:p w:rsidR="004F608E" w:rsidRPr="004F608E" w:rsidRDefault="004F608E" w:rsidP="004F608E">
      <w:pPr>
        <w:pStyle w:val="ListParagraph"/>
        <w:rPr>
          <w:rFonts w:ascii="Arial" w:hAnsi="Arial" w:cs="Arial"/>
          <w:b/>
        </w:rPr>
      </w:pPr>
    </w:p>
    <w:p w:rsidR="004F608E" w:rsidRPr="00760B60" w:rsidRDefault="004F608E" w:rsidP="003757AC">
      <w:pPr>
        <w:pStyle w:val="ListParagraph"/>
        <w:numPr>
          <w:ilvl w:val="0"/>
          <w:numId w:val="20"/>
        </w:numPr>
        <w:spacing w:after="0" w:line="240" w:lineRule="auto"/>
        <w:jc w:val="both"/>
        <w:rPr>
          <w:rFonts w:ascii="Arial" w:hAnsi="Arial" w:cs="Arial"/>
          <w:b/>
        </w:rPr>
      </w:pPr>
      <w:r>
        <w:rPr>
          <w:rFonts w:ascii="Arial" w:hAnsi="Arial" w:cs="Arial"/>
          <w:b/>
        </w:rPr>
        <w:t xml:space="preserve">Staff Forum – </w:t>
      </w:r>
      <w:r>
        <w:rPr>
          <w:rFonts w:ascii="Arial" w:hAnsi="Arial" w:cs="Arial"/>
        </w:rPr>
        <w:t>Key proposals are also, where possible, discussed and considered by the Staff Forum as are the implications of the resulting decisions</w:t>
      </w:r>
    </w:p>
    <w:p w:rsidR="00760B60" w:rsidRPr="00760B60" w:rsidRDefault="00760B60" w:rsidP="00760B60">
      <w:pPr>
        <w:spacing w:after="0" w:line="240" w:lineRule="auto"/>
        <w:jc w:val="both"/>
        <w:rPr>
          <w:rFonts w:ascii="Arial" w:hAnsi="Arial" w:cs="Arial"/>
          <w:b/>
        </w:rPr>
      </w:pPr>
    </w:p>
    <w:p w:rsidR="00760B60" w:rsidRPr="003757AC" w:rsidRDefault="004F608E" w:rsidP="003757AC">
      <w:pPr>
        <w:pStyle w:val="ListParagraph"/>
        <w:numPr>
          <w:ilvl w:val="0"/>
          <w:numId w:val="20"/>
        </w:numPr>
        <w:spacing w:after="0" w:line="240" w:lineRule="auto"/>
        <w:jc w:val="both"/>
        <w:rPr>
          <w:rFonts w:ascii="Arial" w:hAnsi="Arial" w:cs="Arial"/>
          <w:b/>
        </w:rPr>
      </w:pPr>
      <w:r>
        <w:rPr>
          <w:rFonts w:ascii="Arial" w:hAnsi="Arial" w:cs="Arial"/>
          <w:b/>
        </w:rPr>
        <w:t xml:space="preserve">EMT </w:t>
      </w:r>
      <w:r w:rsidR="00760B60">
        <w:rPr>
          <w:rFonts w:ascii="Arial" w:hAnsi="Arial" w:cs="Arial"/>
          <w:b/>
        </w:rPr>
        <w:t>Action and Decision Log</w:t>
      </w:r>
      <w:r>
        <w:rPr>
          <w:rFonts w:ascii="Arial" w:hAnsi="Arial" w:cs="Arial"/>
          <w:b/>
        </w:rPr>
        <w:t xml:space="preserve"> – </w:t>
      </w:r>
      <w:r w:rsidRPr="004F608E">
        <w:rPr>
          <w:rFonts w:ascii="Arial" w:hAnsi="Arial" w:cs="Arial"/>
        </w:rPr>
        <w:t>these are</w:t>
      </w:r>
      <w:r>
        <w:rPr>
          <w:rFonts w:ascii="Arial" w:hAnsi="Arial" w:cs="Arial"/>
        </w:rPr>
        <w:t xml:space="preserve"> made available on the Intranet and will be further promoted through HRA News</w:t>
      </w:r>
    </w:p>
    <w:p w:rsidR="0067523D" w:rsidRPr="00BE0941" w:rsidRDefault="0067523D" w:rsidP="0067523D">
      <w:pPr>
        <w:spacing w:after="0" w:line="240" w:lineRule="auto"/>
        <w:jc w:val="both"/>
        <w:rPr>
          <w:rFonts w:ascii="Arial" w:hAnsi="Arial" w:cs="Arial"/>
          <w:i/>
        </w:rPr>
      </w:pPr>
    </w:p>
    <w:p w:rsidR="00671CE3" w:rsidRPr="004932A1" w:rsidRDefault="004932A1" w:rsidP="00671CE3">
      <w:pPr>
        <w:spacing w:after="0" w:line="240" w:lineRule="auto"/>
        <w:jc w:val="both"/>
        <w:rPr>
          <w:rFonts w:ascii="Arial" w:hAnsi="Arial" w:cs="Arial"/>
          <w:b/>
          <w:u w:val="single"/>
        </w:rPr>
      </w:pPr>
      <w:r w:rsidRPr="004932A1">
        <w:rPr>
          <w:rFonts w:ascii="Arial" w:hAnsi="Arial" w:cs="Arial"/>
          <w:b/>
          <w:u w:val="single"/>
        </w:rPr>
        <w:t>Appraisal</w:t>
      </w:r>
    </w:p>
    <w:p w:rsidR="004932A1" w:rsidRPr="00BE0941" w:rsidRDefault="004932A1" w:rsidP="00671CE3">
      <w:pPr>
        <w:spacing w:after="0" w:line="240" w:lineRule="auto"/>
        <w:jc w:val="both"/>
        <w:rPr>
          <w:rFonts w:ascii="Arial" w:hAnsi="Arial" w:cs="Arial"/>
          <w:b/>
          <w:i/>
        </w:rPr>
      </w:pPr>
    </w:p>
    <w:tbl>
      <w:tblPr>
        <w:tblStyle w:val="TableGrid"/>
        <w:tblW w:w="0" w:type="auto"/>
        <w:tblLayout w:type="fixed"/>
        <w:tblLook w:val="04A0" w:firstRow="1" w:lastRow="0" w:firstColumn="1" w:lastColumn="0" w:noHBand="0" w:noVBand="1"/>
      </w:tblPr>
      <w:tblGrid>
        <w:gridCol w:w="2245"/>
        <w:gridCol w:w="1953"/>
        <w:gridCol w:w="721"/>
        <w:gridCol w:w="664"/>
        <w:gridCol w:w="762"/>
        <w:gridCol w:w="1230"/>
        <w:gridCol w:w="1605"/>
      </w:tblGrid>
      <w:tr w:rsidR="006919A1" w:rsidRPr="006919A1" w:rsidTr="006919A1">
        <w:trPr>
          <w:trHeight w:val="644"/>
        </w:trPr>
        <w:tc>
          <w:tcPr>
            <w:tcW w:w="2245" w:type="dxa"/>
            <w:noWrap/>
            <w:hideMark/>
          </w:tcPr>
          <w:p w:rsidR="006919A1" w:rsidRPr="006919A1" w:rsidRDefault="006919A1" w:rsidP="0081482A">
            <w:pPr>
              <w:jc w:val="both"/>
              <w:rPr>
                <w:rFonts w:ascii="Arial" w:hAnsi="Arial" w:cs="Arial"/>
                <w:b/>
                <w:sz w:val="18"/>
                <w:szCs w:val="18"/>
              </w:rPr>
            </w:pPr>
            <w:r w:rsidRPr="006919A1">
              <w:rPr>
                <w:rFonts w:ascii="Arial" w:hAnsi="Arial" w:cs="Arial"/>
                <w:b/>
                <w:sz w:val="18"/>
                <w:szCs w:val="18"/>
              </w:rPr>
              <w:t> </w:t>
            </w:r>
          </w:p>
        </w:tc>
        <w:tc>
          <w:tcPr>
            <w:tcW w:w="1953" w:type="dxa"/>
            <w:noWrap/>
            <w:hideMark/>
          </w:tcPr>
          <w:p w:rsidR="006919A1" w:rsidRPr="006919A1" w:rsidRDefault="006919A1" w:rsidP="0081482A">
            <w:pPr>
              <w:jc w:val="both"/>
              <w:rPr>
                <w:rFonts w:ascii="Arial" w:hAnsi="Arial" w:cs="Arial"/>
                <w:b/>
                <w:sz w:val="18"/>
                <w:szCs w:val="18"/>
              </w:rPr>
            </w:pPr>
            <w:r w:rsidRPr="006919A1">
              <w:rPr>
                <w:rFonts w:ascii="Arial" w:hAnsi="Arial" w:cs="Arial"/>
                <w:b/>
                <w:sz w:val="18"/>
                <w:szCs w:val="18"/>
              </w:rPr>
              <w:t> </w:t>
            </w:r>
          </w:p>
        </w:tc>
        <w:tc>
          <w:tcPr>
            <w:tcW w:w="721" w:type="dxa"/>
            <w:hideMark/>
          </w:tcPr>
          <w:p w:rsidR="006919A1" w:rsidRPr="006919A1" w:rsidRDefault="006919A1" w:rsidP="0081482A">
            <w:pPr>
              <w:jc w:val="both"/>
              <w:rPr>
                <w:rFonts w:ascii="Arial" w:hAnsi="Arial" w:cs="Arial"/>
                <w:b/>
                <w:bCs/>
                <w:sz w:val="18"/>
                <w:szCs w:val="18"/>
              </w:rPr>
            </w:pPr>
            <w:r w:rsidRPr="006919A1">
              <w:rPr>
                <w:rFonts w:ascii="Arial" w:hAnsi="Arial" w:cs="Arial"/>
                <w:b/>
                <w:bCs/>
                <w:sz w:val="18"/>
                <w:szCs w:val="18"/>
              </w:rPr>
              <w:t>2015</w:t>
            </w:r>
          </w:p>
        </w:tc>
        <w:tc>
          <w:tcPr>
            <w:tcW w:w="664" w:type="dxa"/>
            <w:hideMark/>
          </w:tcPr>
          <w:p w:rsidR="006919A1" w:rsidRPr="006919A1" w:rsidRDefault="006919A1" w:rsidP="0081482A">
            <w:pPr>
              <w:jc w:val="both"/>
              <w:rPr>
                <w:rFonts w:ascii="Arial" w:hAnsi="Arial" w:cs="Arial"/>
                <w:b/>
                <w:bCs/>
                <w:sz w:val="18"/>
                <w:szCs w:val="18"/>
              </w:rPr>
            </w:pPr>
            <w:r w:rsidRPr="006919A1">
              <w:rPr>
                <w:rFonts w:ascii="Arial" w:hAnsi="Arial" w:cs="Arial"/>
                <w:b/>
                <w:bCs/>
                <w:sz w:val="18"/>
                <w:szCs w:val="18"/>
              </w:rPr>
              <w:t>2014</w:t>
            </w:r>
          </w:p>
        </w:tc>
        <w:tc>
          <w:tcPr>
            <w:tcW w:w="762" w:type="dxa"/>
            <w:hideMark/>
          </w:tcPr>
          <w:p w:rsidR="006919A1" w:rsidRPr="006919A1" w:rsidRDefault="006919A1" w:rsidP="0081482A">
            <w:pPr>
              <w:jc w:val="both"/>
              <w:rPr>
                <w:rFonts w:ascii="Arial" w:hAnsi="Arial" w:cs="Arial"/>
                <w:b/>
                <w:bCs/>
                <w:sz w:val="18"/>
                <w:szCs w:val="18"/>
              </w:rPr>
            </w:pPr>
            <w:r w:rsidRPr="006919A1">
              <w:rPr>
                <w:rFonts w:ascii="Arial" w:hAnsi="Arial" w:cs="Arial"/>
                <w:b/>
                <w:bCs/>
                <w:sz w:val="18"/>
                <w:szCs w:val="18"/>
              </w:rPr>
              <w:t>Diff to 2014</w:t>
            </w:r>
          </w:p>
        </w:tc>
        <w:tc>
          <w:tcPr>
            <w:tcW w:w="1230" w:type="dxa"/>
            <w:hideMark/>
          </w:tcPr>
          <w:p w:rsidR="006919A1" w:rsidRPr="006919A1" w:rsidRDefault="006919A1" w:rsidP="0081482A">
            <w:pPr>
              <w:jc w:val="both"/>
              <w:rPr>
                <w:rFonts w:ascii="Arial" w:hAnsi="Arial" w:cs="Arial"/>
                <w:b/>
                <w:bCs/>
                <w:sz w:val="18"/>
                <w:szCs w:val="18"/>
              </w:rPr>
            </w:pPr>
            <w:r w:rsidRPr="006919A1">
              <w:rPr>
                <w:rFonts w:ascii="Arial" w:hAnsi="Arial" w:cs="Arial"/>
                <w:b/>
                <w:bCs/>
                <w:sz w:val="18"/>
                <w:szCs w:val="18"/>
              </w:rPr>
              <w:t>BMG Benchmark</w:t>
            </w:r>
          </w:p>
        </w:tc>
        <w:tc>
          <w:tcPr>
            <w:tcW w:w="1605" w:type="dxa"/>
            <w:hideMark/>
          </w:tcPr>
          <w:p w:rsidR="006919A1" w:rsidRPr="006919A1" w:rsidRDefault="006919A1" w:rsidP="006919A1">
            <w:pPr>
              <w:rPr>
                <w:rFonts w:ascii="Arial" w:hAnsi="Arial" w:cs="Arial"/>
                <w:b/>
                <w:bCs/>
                <w:sz w:val="18"/>
                <w:szCs w:val="18"/>
              </w:rPr>
            </w:pPr>
            <w:r w:rsidRPr="006919A1">
              <w:rPr>
                <w:rFonts w:ascii="Arial" w:hAnsi="Arial" w:cs="Arial"/>
                <w:b/>
                <w:bCs/>
                <w:sz w:val="18"/>
                <w:szCs w:val="18"/>
              </w:rPr>
              <w:t>Diff to benchmark 2015</w:t>
            </w:r>
          </w:p>
        </w:tc>
      </w:tr>
      <w:tr w:rsidR="006919A1" w:rsidRPr="006919A1" w:rsidTr="006919A1">
        <w:trPr>
          <w:trHeight w:val="300"/>
        </w:trPr>
        <w:tc>
          <w:tcPr>
            <w:tcW w:w="2245" w:type="dxa"/>
            <w:vMerge w:val="restart"/>
            <w:hideMark/>
          </w:tcPr>
          <w:p w:rsidR="006919A1" w:rsidRPr="006919A1" w:rsidRDefault="006919A1" w:rsidP="006919A1">
            <w:pPr>
              <w:rPr>
                <w:rFonts w:ascii="Arial" w:hAnsi="Arial" w:cs="Arial"/>
                <w:b/>
                <w:sz w:val="18"/>
                <w:szCs w:val="18"/>
              </w:rPr>
            </w:pPr>
            <w:r w:rsidRPr="006919A1">
              <w:rPr>
                <w:rFonts w:ascii="Arial" w:hAnsi="Arial" w:cs="Arial"/>
                <w:b/>
                <w:sz w:val="18"/>
                <w:szCs w:val="18"/>
              </w:rPr>
              <w:t xml:space="preserve">The appraisal documentation is easy to use and is fit for purpose </w:t>
            </w:r>
          </w:p>
        </w:tc>
        <w:tc>
          <w:tcPr>
            <w:tcW w:w="1953" w:type="dxa"/>
            <w:noWrap/>
            <w:hideMark/>
          </w:tcPr>
          <w:p w:rsidR="006919A1" w:rsidRPr="006919A1" w:rsidRDefault="006919A1" w:rsidP="0081482A">
            <w:pPr>
              <w:jc w:val="both"/>
              <w:rPr>
                <w:rFonts w:ascii="Arial" w:hAnsi="Arial" w:cs="Arial"/>
                <w:b/>
                <w:sz w:val="18"/>
                <w:szCs w:val="18"/>
              </w:rPr>
            </w:pPr>
            <w:r w:rsidRPr="006919A1">
              <w:rPr>
                <w:rFonts w:ascii="Arial" w:hAnsi="Arial" w:cs="Arial"/>
                <w:b/>
                <w:sz w:val="18"/>
                <w:szCs w:val="18"/>
              </w:rPr>
              <w:t>Sample Bases</w:t>
            </w:r>
          </w:p>
        </w:tc>
        <w:tc>
          <w:tcPr>
            <w:tcW w:w="721" w:type="dxa"/>
            <w:noWrap/>
            <w:hideMark/>
          </w:tcPr>
          <w:p w:rsidR="006919A1" w:rsidRPr="006919A1" w:rsidRDefault="006919A1" w:rsidP="0081482A">
            <w:pPr>
              <w:jc w:val="both"/>
              <w:rPr>
                <w:rFonts w:ascii="Arial" w:hAnsi="Arial" w:cs="Arial"/>
                <w:b/>
                <w:sz w:val="18"/>
                <w:szCs w:val="18"/>
              </w:rPr>
            </w:pPr>
            <w:r w:rsidRPr="006919A1">
              <w:rPr>
                <w:rFonts w:ascii="Arial" w:hAnsi="Arial" w:cs="Arial"/>
                <w:b/>
                <w:sz w:val="18"/>
                <w:szCs w:val="18"/>
              </w:rPr>
              <w:t>117</w:t>
            </w:r>
          </w:p>
        </w:tc>
        <w:tc>
          <w:tcPr>
            <w:tcW w:w="664" w:type="dxa"/>
            <w:noWrap/>
            <w:hideMark/>
          </w:tcPr>
          <w:p w:rsidR="006919A1" w:rsidRPr="006919A1" w:rsidRDefault="006919A1" w:rsidP="0081482A">
            <w:pPr>
              <w:jc w:val="both"/>
              <w:rPr>
                <w:rFonts w:ascii="Arial" w:hAnsi="Arial" w:cs="Arial"/>
                <w:b/>
                <w:sz w:val="18"/>
                <w:szCs w:val="18"/>
              </w:rPr>
            </w:pPr>
            <w:r w:rsidRPr="006919A1">
              <w:rPr>
                <w:rFonts w:ascii="Arial" w:hAnsi="Arial" w:cs="Arial"/>
                <w:b/>
                <w:sz w:val="18"/>
                <w:szCs w:val="18"/>
              </w:rPr>
              <w:t>N/A</w:t>
            </w:r>
          </w:p>
        </w:tc>
        <w:tc>
          <w:tcPr>
            <w:tcW w:w="762" w:type="dxa"/>
            <w:noWrap/>
            <w:hideMark/>
          </w:tcPr>
          <w:p w:rsidR="006919A1" w:rsidRPr="006919A1" w:rsidRDefault="006919A1" w:rsidP="0081482A">
            <w:pPr>
              <w:jc w:val="both"/>
              <w:rPr>
                <w:rFonts w:ascii="Arial" w:hAnsi="Arial" w:cs="Arial"/>
                <w:b/>
                <w:sz w:val="18"/>
                <w:szCs w:val="18"/>
              </w:rPr>
            </w:pPr>
            <w:r w:rsidRPr="006919A1">
              <w:rPr>
                <w:rFonts w:ascii="Arial" w:hAnsi="Arial" w:cs="Arial"/>
                <w:b/>
                <w:sz w:val="18"/>
                <w:szCs w:val="18"/>
              </w:rPr>
              <w:t>N/A</w:t>
            </w:r>
          </w:p>
        </w:tc>
        <w:tc>
          <w:tcPr>
            <w:tcW w:w="1230" w:type="dxa"/>
            <w:noWrap/>
            <w:hideMark/>
          </w:tcPr>
          <w:p w:rsidR="006919A1" w:rsidRPr="006919A1" w:rsidRDefault="006919A1" w:rsidP="0081482A">
            <w:pPr>
              <w:jc w:val="both"/>
              <w:rPr>
                <w:rFonts w:ascii="Arial" w:hAnsi="Arial" w:cs="Arial"/>
                <w:b/>
                <w:sz w:val="18"/>
                <w:szCs w:val="18"/>
              </w:rPr>
            </w:pPr>
            <w:r w:rsidRPr="006919A1">
              <w:rPr>
                <w:rFonts w:ascii="Arial" w:hAnsi="Arial" w:cs="Arial"/>
                <w:b/>
                <w:sz w:val="18"/>
                <w:szCs w:val="18"/>
              </w:rPr>
              <w:t> N/A</w:t>
            </w:r>
          </w:p>
        </w:tc>
        <w:tc>
          <w:tcPr>
            <w:tcW w:w="1605" w:type="dxa"/>
            <w:noWrap/>
            <w:hideMark/>
          </w:tcPr>
          <w:p w:rsidR="006919A1" w:rsidRPr="006919A1" w:rsidRDefault="006919A1" w:rsidP="0081482A">
            <w:pPr>
              <w:jc w:val="both"/>
              <w:rPr>
                <w:rFonts w:ascii="Arial" w:hAnsi="Arial" w:cs="Arial"/>
                <w:b/>
                <w:sz w:val="18"/>
                <w:szCs w:val="18"/>
              </w:rPr>
            </w:pPr>
            <w:r w:rsidRPr="006919A1">
              <w:rPr>
                <w:rFonts w:ascii="Arial" w:hAnsi="Arial" w:cs="Arial"/>
                <w:b/>
                <w:sz w:val="18"/>
                <w:szCs w:val="18"/>
              </w:rPr>
              <w:t> N/A</w:t>
            </w:r>
          </w:p>
        </w:tc>
      </w:tr>
      <w:tr w:rsidR="006919A1" w:rsidRPr="006919A1" w:rsidTr="006919A1">
        <w:trPr>
          <w:trHeight w:val="300"/>
        </w:trPr>
        <w:tc>
          <w:tcPr>
            <w:tcW w:w="2245" w:type="dxa"/>
            <w:vMerge/>
            <w:hideMark/>
          </w:tcPr>
          <w:p w:rsidR="006919A1" w:rsidRPr="006919A1" w:rsidRDefault="006919A1" w:rsidP="0081482A">
            <w:pPr>
              <w:jc w:val="both"/>
              <w:rPr>
                <w:rFonts w:ascii="Arial" w:hAnsi="Arial" w:cs="Arial"/>
                <w:b/>
                <w:sz w:val="18"/>
                <w:szCs w:val="18"/>
              </w:rPr>
            </w:pPr>
          </w:p>
        </w:tc>
        <w:tc>
          <w:tcPr>
            <w:tcW w:w="1953" w:type="dxa"/>
            <w:noWrap/>
            <w:hideMark/>
          </w:tcPr>
          <w:p w:rsidR="006919A1" w:rsidRPr="006919A1" w:rsidRDefault="006919A1" w:rsidP="0081482A">
            <w:pPr>
              <w:jc w:val="both"/>
              <w:rPr>
                <w:rFonts w:ascii="Arial" w:hAnsi="Arial" w:cs="Arial"/>
                <w:b/>
                <w:sz w:val="18"/>
                <w:szCs w:val="18"/>
              </w:rPr>
            </w:pPr>
            <w:r w:rsidRPr="006919A1">
              <w:rPr>
                <w:rFonts w:ascii="Arial" w:hAnsi="Arial" w:cs="Arial"/>
                <w:b/>
                <w:sz w:val="18"/>
                <w:szCs w:val="18"/>
              </w:rPr>
              <w:t>Summary: Agree</w:t>
            </w:r>
          </w:p>
        </w:tc>
        <w:tc>
          <w:tcPr>
            <w:tcW w:w="721" w:type="dxa"/>
            <w:noWrap/>
            <w:hideMark/>
          </w:tcPr>
          <w:p w:rsidR="006919A1" w:rsidRPr="006919A1" w:rsidRDefault="006919A1" w:rsidP="0081482A">
            <w:pPr>
              <w:jc w:val="both"/>
              <w:rPr>
                <w:rFonts w:ascii="Arial" w:hAnsi="Arial" w:cs="Arial"/>
                <w:b/>
                <w:sz w:val="18"/>
                <w:szCs w:val="18"/>
              </w:rPr>
            </w:pPr>
            <w:r w:rsidRPr="006919A1">
              <w:rPr>
                <w:rFonts w:ascii="Arial" w:hAnsi="Arial" w:cs="Arial"/>
                <w:b/>
                <w:sz w:val="18"/>
                <w:szCs w:val="18"/>
              </w:rPr>
              <w:t>27%</w:t>
            </w:r>
          </w:p>
        </w:tc>
        <w:tc>
          <w:tcPr>
            <w:tcW w:w="664" w:type="dxa"/>
            <w:hideMark/>
          </w:tcPr>
          <w:p w:rsidR="006919A1" w:rsidRPr="006919A1" w:rsidRDefault="006919A1" w:rsidP="0081482A">
            <w:pPr>
              <w:jc w:val="both"/>
              <w:rPr>
                <w:rFonts w:ascii="Arial" w:hAnsi="Arial" w:cs="Arial"/>
                <w:b/>
                <w:sz w:val="18"/>
                <w:szCs w:val="18"/>
              </w:rPr>
            </w:pPr>
          </w:p>
        </w:tc>
        <w:tc>
          <w:tcPr>
            <w:tcW w:w="762" w:type="dxa"/>
            <w:hideMark/>
          </w:tcPr>
          <w:p w:rsidR="006919A1" w:rsidRPr="006919A1" w:rsidRDefault="006919A1" w:rsidP="0081482A">
            <w:pPr>
              <w:jc w:val="both"/>
              <w:rPr>
                <w:rFonts w:ascii="Arial" w:hAnsi="Arial" w:cs="Arial"/>
                <w:b/>
                <w:sz w:val="18"/>
                <w:szCs w:val="18"/>
              </w:rPr>
            </w:pPr>
          </w:p>
        </w:tc>
        <w:tc>
          <w:tcPr>
            <w:tcW w:w="1230" w:type="dxa"/>
            <w:noWrap/>
            <w:hideMark/>
          </w:tcPr>
          <w:p w:rsidR="006919A1" w:rsidRPr="006919A1" w:rsidRDefault="006919A1" w:rsidP="0081482A">
            <w:pPr>
              <w:jc w:val="both"/>
              <w:rPr>
                <w:rFonts w:ascii="Arial" w:hAnsi="Arial" w:cs="Arial"/>
                <w:b/>
                <w:sz w:val="18"/>
                <w:szCs w:val="18"/>
              </w:rPr>
            </w:pPr>
            <w:r w:rsidRPr="006919A1">
              <w:rPr>
                <w:rFonts w:ascii="Arial" w:hAnsi="Arial" w:cs="Arial"/>
                <w:b/>
                <w:sz w:val="18"/>
                <w:szCs w:val="18"/>
              </w:rPr>
              <w:t> </w:t>
            </w:r>
          </w:p>
        </w:tc>
        <w:tc>
          <w:tcPr>
            <w:tcW w:w="1605" w:type="dxa"/>
            <w:noWrap/>
            <w:hideMark/>
          </w:tcPr>
          <w:p w:rsidR="006919A1" w:rsidRPr="006919A1" w:rsidRDefault="006919A1" w:rsidP="0081482A">
            <w:pPr>
              <w:jc w:val="both"/>
              <w:rPr>
                <w:rFonts w:ascii="Arial" w:hAnsi="Arial" w:cs="Arial"/>
                <w:b/>
                <w:sz w:val="18"/>
                <w:szCs w:val="18"/>
              </w:rPr>
            </w:pPr>
            <w:r w:rsidRPr="006919A1">
              <w:rPr>
                <w:rFonts w:ascii="Arial" w:hAnsi="Arial" w:cs="Arial"/>
                <w:b/>
                <w:sz w:val="18"/>
                <w:szCs w:val="18"/>
              </w:rPr>
              <w:t> </w:t>
            </w:r>
          </w:p>
        </w:tc>
      </w:tr>
      <w:tr w:rsidR="006919A1" w:rsidRPr="006919A1" w:rsidTr="00346769">
        <w:trPr>
          <w:trHeight w:val="300"/>
        </w:trPr>
        <w:tc>
          <w:tcPr>
            <w:tcW w:w="2245" w:type="dxa"/>
            <w:vMerge/>
            <w:hideMark/>
          </w:tcPr>
          <w:p w:rsidR="006919A1" w:rsidRPr="006919A1" w:rsidRDefault="006919A1" w:rsidP="0081482A">
            <w:pPr>
              <w:jc w:val="both"/>
              <w:rPr>
                <w:rFonts w:ascii="Arial" w:hAnsi="Arial" w:cs="Arial"/>
                <w:b/>
                <w:sz w:val="18"/>
                <w:szCs w:val="18"/>
              </w:rPr>
            </w:pPr>
          </w:p>
        </w:tc>
        <w:tc>
          <w:tcPr>
            <w:tcW w:w="1953" w:type="dxa"/>
            <w:shd w:val="clear" w:color="auto" w:fill="auto"/>
            <w:noWrap/>
            <w:hideMark/>
          </w:tcPr>
          <w:p w:rsidR="006919A1" w:rsidRPr="006919A1" w:rsidRDefault="006919A1" w:rsidP="0081482A">
            <w:pPr>
              <w:jc w:val="both"/>
              <w:rPr>
                <w:rFonts w:ascii="Arial" w:hAnsi="Arial" w:cs="Arial"/>
                <w:b/>
                <w:sz w:val="18"/>
                <w:szCs w:val="18"/>
              </w:rPr>
            </w:pPr>
            <w:r w:rsidRPr="006919A1">
              <w:rPr>
                <w:rFonts w:ascii="Arial" w:hAnsi="Arial" w:cs="Arial"/>
                <w:b/>
                <w:sz w:val="18"/>
                <w:szCs w:val="18"/>
              </w:rPr>
              <w:t>Summary: Disagree</w:t>
            </w:r>
          </w:p>
        </w:tc>
        <w:tc>
          <w:tcPr>
            <w:tcW w:w="721" w:type="dxa"/>
            <w:shd w:val="clear" w:color="auto" w:fill="auto"/>
            <w:noWrap/>
            <w:hideMark/>
          </w:tcPr>
          <w:p w:rsidR="006919A1" w:rsidRPr="006919A1" w:rsidRDefault="006919A1" w:rsidP="0081482A">
            <w:pPr>
              <w:jc w:val="both"/>
              <w:rPr>
                <w:rFonts w:ascii="Arial" w:hAnsi="Arial" w:cs="Arial"/>
                <w:b/>
                <w:sz w:val="18"/>
                <w:szCs w:val="18"/>
              </w:rPr>
            </w:pPr>
            <w:r w:rsidRPr="006919A1">
              <w:rPr>
                <w:rFonts w:ascii="Arial" w:hAnsi="Arial" w:cs="Arial"/>
                <w:b/>
                <w:sz w:val="18"/>
                <w:szCs w:val="18"/>
              </w:rPr>
              <w:t>55%</w:t>
            </w:r>
          </w:p>
        </w:tc>
        <w:tc>
          <w:tcPr>
            <w:tcW w:w="664" w:type="dxa"/>
            <w:shd w:val="clear" w:color="auto" w:fill="auto"/>
            <w:hideMark/>
          </w:tcPr>
          <w:p w:rsidR="006919A1" w:rsidRPr="006919A1" w:rsidRDefault="006919A1" w:rsidP="0081482A">
            <w:pPr>
              <w:jc w:val="both"/>
              <w:rPr>
                <w:rFonts w:ascii="Arial" w:hAnsi="Arial" w:cs="Arial"/>
                <w:b/>
                <w:sz w:val="18"/>
                <w:szCs w:val="18"/>
              </w:rPr>
            </w:pPr>
          </w:p>
        </w:tc>
        <w:tc>
          <w:tcPr>
            <w:tcW w:w="762" w:type="dxa"/>
            <w:hideMark/>
          </w:tcPr>
          <w:p w:rsidR="006919A1" w:rsidRPr="006919A1" w:rsidRDefault="006919A1" w:rsidP="0081482A">
            <w:pPr>
              <w:jc w:val="both"/>
              <w:rPr>
                <w:rFonts w:ascii="Arial" w:hAnsi="Arial" w:cs="Arial"/>
                <w:b/>
                <w:sz w:val="18"/>
                <w:szCs w:val="18"/>
              </w:rPr>
            </w:pPr>
          </w:p>
        </w:tc>
        <w:tc>
          <w:tcPr>
            <w:tcW w:w="1230" w:type="dxa"/>
            <w:noWrap/>
            <w:hideMark/>
          </w:tcPr>
          <w:p w:rsidR="006919A1" w:rsidRPr="006919A1" w:rsidRDefault="006919A1" w:rsidP="0081482A">
            <w:pPr>
              <w:jc w:val="both"/>
              <w:rPr>
                <w:rFonts w:ascii="Arial" w:hAnsi="Arial" w:cs="Arial"/>
                <w:b/>
                <w:sz w:val="18"/>
                <w:szCs w:val="18"/>
              </w:rPr>
            </w:pPr>
            <w:r w:rsidRPr="006919A1">
              <w:rPr>
                <w:rFonts w:ascii="Arial" w:hAnsi="Arial" w:cs="Arial"/>
                <w:b/>
                <w:sz w:val="18"/>
                <w:szCs w:val="18"/>
              </w:rPr>
              <w:t> </w:t>
            </w:r>
          </w:p>
        </w:tc>
        <w:tc>
          <w:tcPr>
            <w:tcW w:w="1605" w:type="dxa"/>
            <w:noWrap/>
            <w:hideMark/>
          </w:tcPr>
          <w:p w:rsidR="006919A1" w:rsidRPr="006919A1" w:rsidRDefault="006919A1" w:rsidP="0081482A">
            <w:pPr>
              <w:jc w:val="both"/>
              <w:rPr>
                <w:rFonts w:ascii="Arial" w:hAnsi="Arial" w:cs="Arial"/>
                <w:b/>
                <w:sz w:val="18"/>
                <w:szCs w:val="18"/>
              </w:rPr>
            </w:pPr>
            <w:r w:rsidRPr="006919A1">
              <w:rPr>
                <w:rFonts w:ascii="Arial" w:hAnsi="Arial" w:cs="Arial"/>
                <w:b/>
                <w:sz w:val="18"/>
                <w:szCs w:val="18"/>
              </w:rPr>
              <w:t> </w:t>
            </w:r>
          </w:p>
        </w:tc>
      </w:tr>
    </w:tbl>
    <w:p w:rsidR="00671CE3" w:rsidRPr="0051460C" w:rsidRDefault="00671CE3" w:rsidP="00671CE3">
      <w:pPr>
        <w:spacing w:after="0" w:line="240" w:lineRule="auto"/>
        <w:jc w:val="both"/>
        <w:rPr>
          <w:rFonts w:ascii="Arial" w:hAnsi="Arial" w:cs="Arial"/>
        </w:rPr>
      </w:pPr>
    </w:p>
    <w:p w:rsidR="00671CE3" w:rsidRDefault="00671CE3" w:rsidP="00671CE3">
      <w:pPr>
        <w:spacing w:after="0" w:line="240" w:lineRule="auto"/>
        <w:jc w:val="both"/>
        <w:rPr>
          <w:rFonts w:ascii="Arial" w:hAnsi="Arial" w:cs="Arial"/>
        </w:rPr>
      </w:pPr>
      <w:r>
        <w:rPr>
          <w:rFonts w:ascii="Arial" w:hAnsi="Arial" w:cs="Arial"/>
        </w:rPr>
        <w:t>55% disagreed with the statement that the ‘Appraisal Documentation was fit for purpose’</w:t>
      </w:r>
    </w:p>
    <w:p w:rsidR="00671CE3" w:rsidRDefault="00671CE3" w:rsidP="00671CE3">
      <w:pPr>
        <w:spacing w:after="0" w:line="240" w:lineRule="auto"/>
        <w:jc w:val="both"/>
        <w:rPr>
          <w:rFonts w:ascii="Arial" w:hAnsi="Arial" w:cs="Arial"/>
        </w:rPr>
      </w:pPr>
    </w:p>
    <w:p w:rsidR="00671CE3" w:rsidRPr="00671CE3" w:rsidRDefault="00671CE3" w:rsidP="00671CE3">
      <w:pPr>
        <w:spacing w:after="0" w:line="240" w:lineRule="auto"/>
        <w:jc w:val="both"/>
        <w:rPr>
          <w:rFonts w:ascii="Arial" w:hAnsi="Arial" w:cs="Arial"/>
          <w:b/>
        </w:rPr>
      </w:pPr>
      <w:r w:rsidRPr="00671CE3">
        <w:rPr>
          <w:rFonts w:ascii="Arial" w:hAnsi="Arial" w:cs="Arial"/>
          <w:b/>
        </w:rPr>
        <w:t>HRA Response</w:t>
      </w:r>
    </w:p>
    <w:p w:rsidR="00671CE3" w:rsidRDefault="00671CE3" w:rsidP="00671CE3">
      <w:pPr>
        <w:spacing w:after="0" w:line="240" w:lineRule="auto"/>
        <w:jc w:val="both"/>
        <w:rPr>
          <w:rFonts w:ascii="Arial" w:hAnsi="Arial" w:cs="Arial"/>
        </w:rPr>
      </w:pPr>
    </w:p>
    <w:p w:rsidR="0067523D" w:rsidRPr="00282208" w:rsidRDefault="00671CE3" w:rsidP="0067523D">
      <w:pPr>
        <w:pStyle w:val="ListParagraph"/>
        <w:numPr>
          <w:ilvl w:val="0"/>
          <w:numId w:val="19"/>
        </w:numPr>
        <w:spacing w:after="0" w:line="240" w:lineRule="auto"/>
        <w:jc w:val="both"/>
        <w:rPr>
          <w:rFonts w:ascii="Arial" w:hAnsi="Arial" w:cs="Arial"/>
        </w:rPr>
      </w:pPr>
      <w:r>
        <w:rPr>
          <w:rFonts w:ascii="Arial" w:hAnsi="Arial" w:cs="Arial"/>
        </w:rPr>
        <w:t>The documentation has been significantly simplified and is currently being piloted in action for this year’s appraisal round</w:t>
      </w:r>
    </w:p>
    <w:p w:rsidR="0067523D" w:rsidRDefault="0067523D" w:rsidP="0067523D">
      <w:pPr>
        <w:spacing w:after="0" w:line="240" w:lineRule="auto"/>
        <w:jc w:val="both"/>
        <w:rPr>
          <w:rFonts w:ascii="Arial" w:hAnsi="Arial" w:cs="Arial"/>
        </w:rPr>
      </w:pPr>
    </w:p>
    <w:p w:rsidR="0067523D" w:rsidRDefault="0067523D" w:rsidP="0067523D">
      <w:pPr>
        <w:spacing w:after="0" w:line="240" w:lineRule="auto"/>
        <w:jc w:val="both"/>
        <w:rPr>
          <w:rFonts w:ascii="Arial" w:hAnsi="Arial" w:cs="Arial"/>
        </w:rPr>
      </w:pPr>
    </w:p>
    <w:p w:rsidR="0067523D" w:rsidRPr="0067523D" w:rsidRDefault="0067523D" w:rsidP="0067523D">
      <w:pPr>
        <w:spacing w:after="0" w:line="240" w:lineRule="auto"/>
        <w:jc w:val="both"/>
        <w:rPr>
          <w:rFonts w:ascii="Arial" w:hAnsi="Arial" w:cs="Arial"/>
        </w:rPr>
      </w:pPr>
    </w:p>
    <w:sectPr w:rsidR="0067523D" w:rsidRPr="0067523D">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E7" w:rsidRDefault="007741E7" w:rsidP="004C22A0">
      <w:pPr>
        <w:spacing w:after="0" w:line="240" w:lineRule="auto"/>
      </w:pPr>
      <w:r>
        <w:separator/>
      </w:r>
    </w:p>
  </w:endnote>
  <w:endnote w:type="continuationSeparator" w:id="0">
    <w:p w:rsidR="007741E7" w:rsidRDefault="007741E7" w:rsidP="004C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E7" w:rsidRDefault="007741E7" w:rsidP="004C22A0">
      <w:pPr>
        <w:spacing w:after="0" w:line="240" w:lineRule="auto"/>
      </w:pPr>
      <w:r>
        <w:separator/>
      </w:r>
    </w:p>
  </w:footnote>
  <w:footnote w:type="continuationSeparator" w:id="0">
    <w:p w:rsidR="007741E7" w:rsidRDefault="007741E7" w:rsidP="004C2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A0" w:rsidRDefault="004C2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A0" w:rsidRDefault="00001DE7" w:rsidP="00001DE7">
    <w:pPr>
      <w:pStyle w:val="Header"/>
      <w:jc w:val="right"/>
    </w:pPr>
    <w:r>
      <w:rPr>
        <w:rFonts w:cs="Arial"/>
        <w:b/>
        <w:noProof/>
        <w:lang w:eastAsia="en-GB"/>
      </w:rPr>
      <w:drawing>
        <wp:inline distT="0" distB="0" distL="0" distR="0" wp14:anchorId="25D6FE01" wp14:editId="43DB3F4F">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A0" w:rsidRDefault="004C2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0D7"/>
    <w:multiLevelType w:val="hybridMultilevel"/>
    <w:tmpl w:val="DC9A7B0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D852F2E"/>
    <w:multiLevelType w:val="hybridMultilevel"/>
    <w:tmpl w:val="47C6F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3896F94"/>
    <w:multiLevelType w:val="hybridMultilevel"/>
    <w:tmpl w:val="671E5D5E"/>
    <w:lvl w:ilvl="0" w:tplc="75ACC0C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785C5C"/>
    <w:multiLevelType w:val="hybridMultilevel"/>
    <w:tmpl w:val="0AAE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E24F17"/>
    <w:multiLevelType w:val="hybridMultilevel"/>
    <w:tmpl w:val="FB94F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1D1168"/>
    <w:multiLevelType w:val="hybridMultilevel"/>
    <w:tmpl w:val="CB88D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AAE6001"/>
    <w:multiLevelType w:val="hybridMultilevel"/>
    <w:tmpl w:val="888E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541A61"/>
    <w:multiLevelType w:val="hybridMultilevel"/>
    <w:tmpl w:val="0870F7B4"/>
    <w:lvl w:ilvl="0" w:tplc="04E62AD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774ED7"/>
    <w:multiLevelType w:val="hybridMultilevel"/>
    <w:tmpl w:val="549E8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A34F4D"/>
    <w:multiLevelType w:val="hybridMultilevel"/>
    <w:tmpl w:val="7CAC4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9B5107"/>
    <w:multiLevelType w:val="hybridMultilevel"/>
    <w:tmpl w:val="99BAF924"/>
    <w:lvl w:ilvl="0" w:tplc="713A5D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2433D0"/>
    <w:multiLevelType w:val="hybridMultilevel"/>
    <w:tmpl w:val="BE728EC4"/>
    <w:lvl w:ilvl="0" w:tplc="5AEA5D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9E7D22"/>
    <w:multiLevelType w:val="hybridMultilevel"/>
    <w:tmpl w:val="E7C62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182402"/>
    <w:multiLevelType w:val="hybridMultilevel"/>
    <w:tmpl w:val="971C8526"/>
    <w:lvl w:ilvl="0" w:tplc="C94867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6353DB"/>
    <w:multiLevelType w:val="hybridMultilevel"/>
    <w:tmpl w:val="A8622034"/>
    <w:lvl w:ilvl="0" w:tplc="A7C47B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A07E93"/>
    <w:multiLevelType w:val="hybridMultilevel"/>
    <w:tmpl w:val="1CDC7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0E582C"/>
    <w:multiLevelType w:val="hybridMultilevel"/>
    <w:tmpl w:val="7FFC6B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8F603D2"/>
    <w:multiLevelType w:val="hybridMultilevel"/>
    <w:tmpl w:val="D9EA6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335770"/>
    <w:multiLevelType w:val="hybridMultilevel"/>
    <w:tmpl w:val="ACCC9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997D28"/>
    <w:multiLevelType w:val="hybridMultilevel"/>
    <w:tmpl w:val="CD4EA562"/>
    <w:lvl w:ilvl="0" w:tplc="6C2668C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nsid w:val="7CC01AA3"/>
    <w:multiLevelType w:val="hybridMultilevel"/>
    <w:tmpl w:val="4C56F426"/>
    <w:lvl w:ilvl="0" w:tplc="713A5D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5"/>
  </w:num>
  <w:num w:numId="5">
    <w:abstractNumId w:val="6"/>
  </w:num>
  <w:num w:numId="6">
    <w:abstractNumId w:val="18"/>
  </w:num>
  <w:num w:numId="7">
    <w:abstractNumId w:val="0"/>
  </w:num>
  <w:num w:numId="8">
    <w:abstractNumId w:val="2"/>
  </w:num>
  <w:num w:numId="9">
    <w:abstractNumId w:val="20"/>
  </w:num>
  <w:num w:numId="10">
    <w:abstractNumId w:val="10"/>
  </w:num>
  <w:num w:numId="11">
    <w:abstractNumId w:val="3"/>
  </w:num>
  <w:num w:numId="12">
    <w:abstractNumId w:val="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15"/>
  </w:num>
  <w:num w:numId="17">
    <w:abstractNumId w:val="9"/>
  </w:num>
  <w:num w:numId="18">
    <w:abstractNumId w:val="8"/>
  </w:num>
  <w:num w:numId="19">
    <w:abstractNumId w:val="12"/>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95"/>
    <w:rsid w:val="00001BBF"/>
    <w:rsid w:val="00001DE7"/>
    <w:rsid w:val="00002B79"/>
    <w:rsid w:val="00005579"/>
    <w:rsid w:val="00017D82"/>
    <w:rsid w:val="00030038"/>
    <w:rsid w:val="000406E0"/>
    <w:rsid w:val="000424C2"/>
    <w:rsid w:val="00063F9F"/>
    <w:rsid w:val="00075B74"/>
    <w:rsid w:val="000B6BE1"/>
    <w:rsid w:val="000F36A3"/>
    <w:rsid w:val="00125B50"/>
    <w:rsid w:val="0016031B"/>
    <w:rsid w:val="001A6340"/>
    <w:rsid w:val="001E3019"/>
    <w:rsid w:val="001F1BEC"/>
    <w:rsid w:val="001F4852"/>
    <w:rsid w:val="0020012D"/>
    <w:rsid w:val="002432FF"/>
    <w:rsid w:val="00252E01"/>
    <w:rsid w:val="00282208"/>
    <w:rsid w:val="002A54FC"/>
    <w:rsid w:val="002D4F53"/>
    <w:rsid w:val="003153CE"/>
    <w:rsid w:val="00322DDE"/>
    <w:rsid w:val="0034541B"/>
    <w:rsid w:val="00346769"/>
    <w:rsid w:val="003757AC"/>
    <w:rsid w:val="0038227A"/>
    <w:rsid w:val="0038517F"/>
    <w:rsid w:val="003A15D6"/>
    <w:rsid w:val="003A3C41"/>
    <w:rsid w:val="003A59E3"/>
    <w:rsid w:val="003D5C51"/>
    <w:rsid w:val="00412EAB"/>
    <w:rsid w:val="00440205"/>
    <w:rsid w:val="00444850"/>
    <w:rsid w:val="004616BC"/>
    <w:rsid w:val="00465A44"/>
    <w:rsid w:val="00483012"/>
    <w:rsid w:val="0048478C"/>
    <w:rsid w:val="004932A1"/>
    <w:rsid w:val="004A0854"/>
    <w:rsid w:val="004A1244"/>
    <w:rsid w:val="004C22A0"/>
    <w:rsid w:val="004E2244"/>
    <w:rsid w:val="004F608E"/>
    <w:rsid w:val="004F76DE"/>
    <w:rsid w:val="005129EB"/>
    <w:rsid w:val="0051460C"/>
    <w:rsid w:val="00527178"/>
    <w:rsid w:val="0055767D"/>
    <w:rsid w:val="0058363F"/>
    <w:rsid w:val="0059277A"/>
    <w:rsid w:val="005A2637"/>
    <w:rsid w:val="005A4DFA"/>
    <w:rsid w:val="005D5658"/>
    <w:rsid w:val="005F234F"/>
    <w:rsid w:val="005F7BB7"/>
    <w:rsid w:val="006408A4"/>
    <w:rsid w:val="006456B3"/>
    <w:rsid w:val="00671CE3"/>
    <w:rsid w:val="00672D5B"/>
    <w:rsid w:val="0067523D"/>
    <w:rsid w:val="006919A1"/>
    <w:rsid w:val="006A3047"/>
    <w:rsid w:val="006E784E"/>
    <w:rsid w:val="006F211C"/>
    <w:rsid w:val="00760B60"/>
    <w:rsid w:val="00773F92"/>
    <w:rsid w:val="007741E7"/>
    <w:rsid w:val="00796191"/>
    <w:rsid w:val="007B5BE8"/>
    <w:rsid w:val="007E1D57"/>
    <w:rsid w:val="007E6FD0"/>
    <w:rsid w:val="00811638"/>
    <w:rsid w:val="0081482A"/>
    <w:rsid w:val="0081664A"/>
    <w:rsid w:val="00840BDE"/>
    <w:rsid w:val="00885124"/>
    <w:rsid w:val="008A18B5"/>
    <w:rsid w:val="008B21A7"/>
    <w:rsid w:val="008D5620"/>
    <w:rsid w:val="008E3584"/>
    <w:rsid w:val="00920784"/>
    <w:rsid w:val="00946CB5"/>
    <w:rsid w:val="0099029B"/>
    <w:rsid w:val="0099606D"/>
    <w:rsid w:val="009C3FF3"/>
    <w:rsid w:val="009D5095"/>
    <w:rsid w:val="009E7E9B"/>
    <w:rsid w:val="009F3F9D"/>
    <w:rsid w:val="00A62592"/>
    <w:rsid w:val="00AE4348"/>
    <w:rsid w:val="00B01A7B"/>
    <w:rsid w:val="00B25A8C"/>
    <w:rsid w:val="00B44FE1"/>
    <w:rsid w:val="00B454D3"/>
    <w:rsid w:val="00BC180F"/>
    <w:rsid w:val="00BE0941"/>
    <w:rsid w:val="00C0575A"/>
    <w:rsid w:val="00C076AE"/>
    <w:rsid w:val="00C10EAE"/>
    <w:rsid w:val="00C252FB"/>
    <w:rsid w:val="00C44A54"/>
    <w:rsid w:val="00C70C71"/>
    <w:rsid w:val="00C71272"/>
    <w:rsid w:val="00C75B95"/>
    <w:rsid w:val="00CA10E0"/>
    <w:rsid w:val="00CB1672"/>
    <w:rsid w:val="00CC6543"/>
    <w:rsid w:val="00CD35D8"/>
    <w:rsid w:val="00CD5E6F"/>
    <w:rsid w:val="00CE3DB8"/>
    <w:rsid w:val="00CF2FE9"/>
    <w:rsid w:val="00D0097F"/>
    <w:rsid w:val="00D06827"/>
    <w:rsid w:val="00D571BE"/>
    <w:rsid w:val="00D90CAC"/>
    <w:rsid w:val="00D96915"/>
    <w:rsid w:val="00DB0876"/>
    <w:rsid w:val="00DB2EE1"/>
    <w:rsid w:val="00DC677D"/>
    <w:rsid w:val="00DC77BB"/>
    <w:rsid w:val="00DD24DF"/>
    <w:rsid w:val="00DD27C4"/>
    <w:rsid w:val="00E32D9F"/>
    <w:rsid w:val="00E6456E"/>
    <w:rsid w:val="00E71516"/>
    <w:rsid w:val="00E935C3"/>
    <w:rsid w:val="00E95DF5"/>
    <w:rsid w:val="00ED3F19"/>
    <w:rsid w:val="00EE639F"/>
    <w:rsid w:val="00F42C92"/>
    <w:rsid w:val="00F62472"/>
    <w:rsid w:val="00F77097"/>
    <w:rsid w:val="00F8223F"/>
    <w:rsid w:val="00F83707"/>
    <w:rsid w:val="00F83A07"/>
    <w:rsid w:val="00F96FDE"/>
    <w:rsid w:val="00FD4AA8"/>
    <w:rsid w:val="00FD6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B9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F234F"/>
    <w:pPr>
      <w:ind w:left="720"/>
      <w:contextualSpacing/>
    </w:pPr>
  </w:style>
  <w:style w:type="table" w:styleId="TableGrid">
    <w:name w:val="Table Grid"/>
    <w:basedOn w:val="TableNormal"/>
    <w:uiPriority w:val="59"/>
    <w:rsid w:val="005F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2A0"/>
  </w:style>
  <w:style w:type="paragraph" w:styleId="Footer">
    <w:name w:val="footer"/>
    <w:basedOn w:val="Normal"/>
    <w:link w:val="FooterChar"/>
    <w:uiPriority w:val="99"/>
    <w:unhideWhenUsed/>
    <w:rsid w:val="004C2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2A0"/>
  </w:style>
  <w:style w:type="paragraph" w:styleId="NoSpacing">
    <w:name w:val="No Spacing"/>
    <w:uiPriority w:val="99"/>
    <w:qFormat/>
    <w:rsid w:val="000B6BE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00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E7"/>
    <w:rPr>
      <w:rFonts w:ascii="Tahoma" w:hAnsi="Tahoma" w:cs="Tahoma"/>
      <w:sz w:val="16"/>
      <w:szCs w:val="16"/>
    </w:rPr>
  </w:style>
  <w:style w:type="character" w:styleId="CommentReference">
    <w:name w:val="annotation reference"/>
    <w:basedOn w:val="DefaultParagraphFont"/>
    <w:uiPriority w:val="99"/>
    <w:semiHidden/>
    <w:unhideWhenUsed/>
    <w:rsid w:val="00C44A54"/>
    <w:rPr>
      <w:sz w:val="16"/>
      <w:szCs w:val="16"/>
    </w:rPr>
  </w:style>
  <w:style w:type="paragraph" w:styleId="CommentText">
    <w:name w:val="annotation text"/>
    <w:basedOn w:val="Normal"/>
    <w:link w:val="CommentTextChar"/>
    <w:uiPriority w:val="99"/>
    <w:semiHidden/>
    <w:unhideWhenUsed/>
    <w:rsid w:val="00C44A54"/>
    <w:pPr>
      <w:spacing w:line="240" w:lineRule="auto"/>
    </w:pPr>
    <w:rPr>
      <w:sz w:val="20"/>
      <w:szCs w:val="20"/>
    </w:rPr>
  </w:style>
  <w:style w:type="character" w:customStyle="1" w:styleId="CommentTextChar">
    <w:name w:val="Comment Text Char"/>
    <w:basedOn w:val="DefaultParagraphFont"/>
    <w:link w:val="CommentText"/>
    <w:uiPriority w:val="99"/>
    <w:semiHidden/>
    <w:rsid w:val="00C44A54"/>
    <w:rPr>
      <w:sz w:val="20"/>
      <w:szCs w:val="20"/>
    </w:rPr>
  </w:style>
  <w:style w:type="paragraph" w:styleId="CommentSubject">
    <w:name w:val="annotation subject"/>
    <w:basedOn w:val="CommentText"/>
    <w:next w:val="CommentText"/>
    <w:link w:val="CommentSubjectChar"/>
    <w:uiPriority w:val="99"/>
    <w:semiHidden/>
    <w:unhideWhenUsed/>
    <w:rsid w:val="00C44A54"/>
    <w:rPr>
      <w:b/>
      <w:bCs/>
    </w:rPr>
  </w:style>
  <w:style w:type="character" w:customStyle="1" w:styleId="CommentSubjectChar">
    <w:name w:val="Comment Subject Char"/>
    <w:basedOn w:val="CommentTextChar"/>
    <w:link w:val="CommentSubject"/>
    <w:uiPriority w:val="99"/>
    <w:semiHidden/>
    <w:rsid w:val="00C44A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B9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F234F"/>
    <w:pPr>
      <w:ind w:left="720"/>
      <w:contextualSpacing/>
    </w:pPr>
  </w:style>
  <w:style w:type="table" w:styleId="TableGrid">
    <w:name w:val="Table Grid"/>
    <w:basedOn w:val="TableNormal"/>
    <w:uiPriority w:val="59"/>
    <w:rsid w:val="005F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2A0"/>
  </w:style>
  <w:style w:type="paragraph" w:styleId="Footer">
    <w:name w:val="footer"/>
    <w:basedOn w:val="Normal"/>
    <w:link w:val="FooterChar"/>
    <w:uiPriority w:val="99"/>
    <w:unhideWhenUsed/>
    <w:rsid w:val="004C2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2A0"/>
  </w:style>
  <w:style w:type="paragraph" w:styleId="NoSpacing">
    <w:name w:val="No Spacing"/>
    <w:uiPriority w:val="99"/>
    <w:qFormat/>
    <w:rsid w:val="000B6BE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00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E7"/>
    <w:rPr>
      <w:rFonts w:ascii="Tahoma" w:hAnsi="Tahoma" w:cs="Tahoma"/>
      <w:sz w:val="16"/>
      <w:szCs w:val="16"/>
    </w:rPr>
  </w:style>
  <w:style w:type="character" w:styleId="CommentReference">
    <w:name w:val="annotation reference"/>
    <w:basedOn w:val="DefaultParagraphFont"/>
    <w:uiPriority w:val="99"/>
    <w:semiHidden/>
    <w:unhideWhenUsed/>
    <w:rsid w:val="00C44A54"/>
    <w:rPr>
      <w:sz w:val="16"/>
      <w:szCs w:val="16"/>
    </w:rPr>
  </w:style>
  <w:style w:type="paragraph" w:styleId="CommentText">
    <w:name w:val="annotation text"/>
    <w:basedOn w:val="Normal"/>
    <w:link w:val="CommentTextChar"/>
    <w:uiPriority w:val="99"/>
    <w:semiHidden/>
    <w:unhideWhenUsed/>
    <w:rsid w:val="00C44A54"/>
    <w:pPr>
      <w:spacing w:line="240" w:lineRule="auto"/>
    </w:pPr>
    <w:rPr>
      <w:sz w:val="20"/>
      <w:szCs w:val="20"/>
    </w:rPr>
  </w:style>
  <w:style w:type="character" w:customStyle="1" w:styleId="CommentTextChar">
    <w:name w:val="Comment Text Char"/>
    <w:basedOn w:val="DefaultParagraphFont"/>
    <w:link w:val="CommentText"/>
    <w:uiPriority w:val="99"/>
    <w:semiHidden/>
    <w:rsid w:val="00C44A54"/>
    <w:rPr>
      <w:sz w:val="20"/>
      <w:szCs w:val="20"/>
    </w:rPr>
  </w:style>
  <w:style w:type="paragraph" w:styleId="CommentSubject">
    <w:name w:val="annotation subject"/>
    <w:basedOn w:val="CommentText"/>
    <w:next w:val="CommentText"/>
    <w:link w:val="CommentSubjectChar"/>
    <w:uiPriority w:val="99"/>
    <w:semiHidden/>
    <w:unhideWhenUsed/>
    <w:rsid w:val="00C44A54"/>
    <w:rPr>
      <w:b/>
      <w:bCs/>
    </w:rPr>
  </w:style>
  <w:style w:type="character" w:customStyle="1" w:styleId="CommentSubjectChar">
    <w:name w:val="Comment Subject Char"/>
    <w:basedOn w:val="CommentTextChar"/>
    <w:link w:val="CommentSubject"/>
    <w:uiPriority w:val="99"/>
    <w:semiHidden/>
    <w:rsid w:val="00C44A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9231-3F90-4E9D-BB8C-EFC19A73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Cook</dc:creator>
  <cp:lastModifiedBy>Steve Tebbutt</cp:lastModifiedBy>
  <cp:revision>8</cp:revision>
  <cp:lastPrinted>2016-05-11T12:04:00Z</cp:lastPrinted>
  <dcterms:created xsi:type="dcterms:W3CDTF">2016-05-12T09:55:00Z</dcterms:created>
  <dcterms:modified xsi:type="dcterms:W3CDTF">2016-05-13T08:37:00Z</dcterms:modified>
</cp:coreProperties>
</file>