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6A06D7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6A06D7" w:rsidP="006A06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B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512EC9" w:rsidP="008006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512EC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</w:t>
            </w:r>
            <w:r w:rsidR="00EE7815">
              <w:rPr>
                <w:rFonts w:asciiTheme="minorHAnsi" w:hAnsiTheme="minorHAnsi" w:cstheme="minorHAnsi"/>
              </w:rPr>
              <w:t xml:space="preserve"> 2016</w:t>
            </w:r>
          </w:p>
        </w:tc>
      </w:tr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35C41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KPI Report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Q4 and</w:t>
            </w:r>
            <w:r w:rsidR="00274C92">
              <w:rPr>
                <w:rFonts w:asciiTheme="minorHAnsi" w:hAnsiTheme="minorHAnsi" w:cstheme="minorHAnsi"/>
              </w:rPr>
              <w:t xml:space="preserve"> 2015</w:t>
            </w:r>
            <w:r w:rsidR="00B13FC0">
              <w:rPr>
                <w:rFonts w:asciiTheme="minorHAnsi" w:hAnsiTheme="minorHAnsi" w:cstheme="minorHAnsi"/>
              </w:rPr>
              <w:t>/16</w:t>
            </w:r>
            <w:r>
              <w:rPr>
                <w:rFonts w:asciiTheme="minorHAnsi" w:hAnsiTheme="minorHAnsi" w:cstheme="minorHAnsi"/>
              </w:rPr>
              <w:t xml:space="preserve"> Review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9C13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the board on performance data</w:t>
            </w:r>
            <w:r w:rsidR="009C133C">
              <w:rPr>
                <w:rFonts w:asciiTheme="minorHAnsi" w:hAnsiTheme="minorHAnsi" w:cstheme="minorHAnsi"/>
              </w:rPr>
              <w:t xml:space="preserve"> for Q4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9C133C">
              <w:rPr>
                <w:rFonts w:asciiTheme="minorHAnsi" w:hAnsiTheme="minorHAnsi" w:cstheme="minorHAnsi"/>
              </w:rPr>
              <w:t>present a summary review of the year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14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HRA is committed to </w:t>
            </w:r>
            <w:r w:rsidR="00144864">
              <w:rPr>
                <w:rFonts w:asciiTheme="minorHAnsi" w:hAnsiTheme="minorHAnsi" w:cstheme="minorHAnsi"/>
              </w:rPr>
              <w:t>improving performance and has developed a comprehensive suite of indicators that enable it to both make necessary interventions when data suggests performance is dipping, and to highlight and celebrate areas of high performance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14486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Directors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Pr="00024663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024663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9C133C" w:rsidRDefault="00C528B2" w:rsidP="00061BFD">
            <w:pPr>
              <w:rPr>
                <w:rFonts w:asciiTheme="minorHAnsi" w:hAnsiTheme="minorHAnsi" w:cstheme="minorHAnsi"/>
              </w:rPr>
            </w:pPr>
            <w:r w:rsidRPr="00024663">
              <w:rPr>
                <w:rFonts w:asciiTheme="minorHAnsi" w:hAnsiTheme="minorHAnsi" w:cstheme="minorHAnsi"/>
              </w:rPr>
              <w:t xml:space="preserve">Contained in </w:t>
            </w:r>
            <w:r w:rsidR="009C133C">
              <w:rPr>
                <w:rFonts w:asciiTheme="minorHAnsi" w:hAnsiTheme="minorHAnsi" w:cstheme="minorHAnsi"/>
              </w:rPr>
              <w:t xml:space="preserve">spreadsheet* </w:t>
            </w:r>
            <w:r w:rsidR="00C34A0F">
              <w:rPr>
                <w:rFonts w:asciiTheme="minorHAnsi" w:hAnsiTheme="minorHAnsi" w:cstheme="minorHAnsi"/>
              </w:rPr>
              <w:t>(</w:t>
            </w:r>
            <w:r w:rsidR="0079070E">
              <w:rPr>
                <w:rFonts w:asciiTheme="minorHAnsi" w:hAnsiTheme="minorHAnsi" w:cstheme="minorHAnsi"/>
              </w:rPr>
              <w:t>Annex 1</w:t>
            </w:r>
            <w:r w:rsidR="00C34A0F">
              <w:rPr>
                <w:rFonts w:asciiTheme="minorHAnsi" w:hAnsiTheme="minorHAnsi" w:cstheme="minorHAnsi"/>
              </w:rPr>
              <w:t>)</w:t>
            </w:r>
            <w:r w:rsidR="0079070E">
              <w:rPr>
                <w:rFonts w:asciiTheme="minorHAnsi" w:hAnsiTheme="minorHAnsi" w:cstheme="minorHAnsi"/>
              </w:rPr>
              <w:t>, Annual S</w:t>
            </w:r>
            <w:r w:rsidR="00061BFD" w:rsidRPr="00024663">
              <w:rPr>
                <w:rFonts w:asciiTheme="minorHAnsi" w:hAnsiTheme="minorHAnsi" w:cstheme="minorHAnsi"/>
              </w:rPr>
              <w:t xml:space="preserve">ummary </w:t>
            </w:r>
            <w:r w:rsidR="0079070E">
              <w:rPr>
                <w:rFonts w:asciiTheme="minorHAnsi" w:hAnsiTheme="minorHAnsi" w:cstheme="minorHAnsi"/>
              </w:rPr>
              <w:t>R</w:t>
            </w:r>
            <w:r w:rsidRPr="00024663">
              <w:rPr>
                <w:rFonts w:asciiTheme="minorHAnsi" w:hAnsiTheme="minorHAnsi" w:cstheme="minorHAnsi"/>
              </w:rPr>
              <w:t>eport</w:t>
            </w:r>
            <w:r w:rsidR="008006C2">
              <w:rPr>
                <w:rFonts w:asciiTheme="minorHAnsi" w:hAnsiTheme="minorHAnsi" w:cstheme="minorHAnsi"/>
              </w:rPr>
              <w:t xml:space="preserve"> </w:t>
            </w:r>
            <w:r w:rsidR="0079070E">
              <w:rPr>
                <w:rFonts w:asciiTheme="minorHAnsi" w:hAnsiTheme="minorHAnsi" w:cstheme="minorHAnsi"/>
              </w:rPr>
              <w:t>(Annex 2) and a review of those areas returning red risks (attached here)</w:t>
            </w:r>
            <w:r w:rsidR="000A7224">
              <w:rPr>
                <w:rFonts w:asciiTheme="minorHAnsi" w:hAnsiTheme="minorHAnsi" w:cstheme="minorHAnsi"/>
              </w:rPr>
              <w:t>.</w:t>
            </w:r>
          </w:p>
          <w:p w:rsidR="000A7224" w:rsidRDefault="000A7224" w:rsidP="00061BFD">
            <w:pPr>
              <w:rPr>
                <w:rFonts w:asciiTheme="minorHAnsi" w:hAnsiTheme="minorHAnsi" w:cstheme="minorHAnsi"/>
              </w:rPr>
            </w:pPr>
          </w:p>
          <w:p w:rsidR="000A7224" w:rsidRDefault="000A7224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shows another strong performance over 15/16, despite the continuing challenges of delivering HRA Approval.</w:t>
            </w:r>
          </w:p>
          <w:p w:rsidR="000A7224" w:rsidRDefault="000A7224" w:rsidP="00061BFD">
            <w:pPr>
              <w:rPr>
                <w:rFonts w:asciiTheme="minorHAnsi" w:hAnsiTheme="minorHAnsi" w:cstheme="minorHAnsi"/>
              </w:rPr>
            </w:pPr>
          </w:p>
          <w:p w:rsidR="008006C2" w:rsidRDefault="000A7224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 should also note that reporting for 16/17 will focus on those KPI’s signed of at the previous meeting</w:t>
            </w:r>
            <w:r w:rsidR="00C5051D">
              <w:rPr>
                <w:rFonts w:asciiTheme="minorHAnsi" w:hAnsiTheme="minorHAnsi" w:cstheme="minorHAnsi"/>
              </w:rPr>
              <w:t xml:space="preserve"> held in April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C5051D">
              <w:rPr>
                <w:rFonts w:asciiTheme="minorHAnsi" w:hAnsiTheme="minorHAnsi" w:cstheme="minorHAnsi"/>
              </w:rPr>
              <w:t>However all Management Information data will be available to the board as and when requested.</w:t>
            </w:r>
          </w:p>
          <w:p w:rsidR="00C5051D" w:rsidRDefault="00C5051D" w:rsidP="00061BFD">
            <w:pPr>
              <w:rPr>
                <w:rFonts w:asciiTheme="minorHAnsi" w:hAnsiTheme="minorHAnsi" w:cstheme="minorHAnsi"/>
              </w:rPr>
            </w:pPr>
          </w:p>
          <w:p w:rsidR="00144864" w:rsidRPr="009C133C" w:rsidRDefault="009C133C" w:rsidP="00061B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C133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61BFD" w:rsidRPr="009C133C">
              <w:rPr>
                <w:rFonts w:asciiTheme="minorHAnsi" w:hAnsiTheme="minorHAnsi" w:cstheme="minorHAnsi"/>
                <w:sz w:val="16"/>
                <w:szCs w:val="16"/>
              </w:rPr>
              <w:t>KPI spreadsheet</w:t>
            </w:r>
            <w:r w:rsidR="00C566DC" w:rsidRPr="009C133C">
              <w:rPr>
                <w:rFonts w:asciiTheme="minorHAnsi" w:hAnsiTheme="minorHAnsi" w:cstheme="minorHAnsi"/>
                <w:sz w:val="16"/>
                <w:szCs w:val="16"/>
              </w:rPr>
              <w:t xml:space="preserve"> (those cells represented by a ‘dotted’ pattern represent months where data is planned </w:t>
            </w:r>
            <w:r w:rsidR="00C566DC" w:rsidRPr="009C133C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not to be</w:t>
            </w:r>
            <w:r w:rsidR="00C566DC" w:rsidRPr="009C133C">
              <w:rPr>
                <w:rFonts w:asciiTheme="minorHAnsi" w:hAnsiTheme="minorHAnsi" w:cstheme="minorHAnsi"/>
                <w:sz w:val="16"/>
                <w:szCs w:val="16"/>
              </w:rPr>
              <w:t xml:space="preserve"> entered)</w:t>
            </w:r>
            <w:r w:rsidR="00024663" w:rsidRPr="009C133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024663" w:rsidRPr="00024663" w:rsidRDefault="00024663" w:rsidP="00024663">
            <w:pPr>
              <w:jc w:val="both"/>
              <w:rPr>
                <w:rFonts w:asciiTheme="minorHAnsi" w:hAnsiTheme="minorHAnsi" w:cstheme="minorHAnsi"/>
              </w:rPr>
            </w:pPr>
            <w:r w:rsidRPr="0002466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0688A" w:rsidRPr="00C90060" w:rsidTr="00151DBF">
        <w:tc>
          <w:tcPr>
            <w:tcW w:w="2628" w:type="dxa"/>
          </w:tcPr>
          <w:p w:rsidR="00C90060" w:rsidRPr="00C90060" w:rsidRDefault="0000688A" w:rsidP="008006C2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Pr="00C90060" w:rsidRDefault="00C90060" w:rsidP="008006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F6BB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  <w:r w:rsidR="00C5051D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90060" w:rsidRDefault="008D71C8" w:rsidP="008D71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F6BB6" w:rsidRPr="00FF6BB6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B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February 2016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A840DB" w:rsidRDefault="00A873B2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  <w:r w:rsidRPr="00C22E08">
        <w:rPr>
          <w:rFonts w:cs="Arial"/>
          <w:b/>
        </w:rPr>
        <w:lastRenderedPageBreak/>
        <w:t xml:space="preserve">KPI </w:t>
      </w:r>
      <w:r w:rsidR="00C5051D">
        <w:rPr>
          <w:rFonts w:cs="Arial"/>
          <w:b/>
        </w:rPr>
        <w:t xml:space="preserve">‘Red’ </w:t>
      </w:r>
      <w:r w:rsidRPr="00C22E08">
        <w:rPr>
          <w:rFonts w:cs="Arial"/>
          <w:b/>
        </w:rPr>
        <w:t>Summary</w:t>
      </w:r>
    </w:p>
    <w:p w:rsidR="00BC4834" w:rsidRDefault="00BC4834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61BFD" w:rsidRPr="00061BFD" w:rsidRDefault="00997A8D" w:rsidP="00151DBF">
      <w:pPr>
        <w:tabs>
          <w:tab w:val="left" w:pos="1980"/>
        </w:tabs>
        <w:spacing w:after="0" w:line="240" w:lineRule="auto"/>
        <w:rPr>
          <w:rFonts w:cs="Arial"/>
        </w:rPr>
      </w:pPr>
      <w:r>
        <w:rPr>
          <w:rFonts w:cs="Arial"/>
        </w:rPr>
        <w:t>What follows</w:t>
      </w:r>
      <w:r w:rsidR="00BC4834">
        <w:rPr>
          <w:rFonts w:cs="Arial"/>
        </w:rPr>
        <w:t xml:space="preserve"> is a brief </w:t>
      </w:r>
      <w:r w:rsidR="00061BFD">
        <w:rPr>
          <w:rFonts w:cs="Arial"/>
        </w:rPr>
        <w:t xml:space="preserve">summary </w:t>
      </w:r>
      <w:r w:rsidR="00BC4834">
        <w:rPr>
          <w:rFonts w:cs="Arial"/>
        </w:rPr>
        <w:t>of</w:t>
      </w:r>
      <w:r w:rsidR="00061BFD">
        <w:rPr>
          <w:rFonts w:cs="Arial"/>
        </w:rPr>
        <w:t xml:space="preserve"> those KPI’s that have returned a ‘Red’ score and</w:t>
      </w:r>
      <w:r>
        <w:rPr>
          <w:rFonts w:cs="Arial"/>
        </w:rPr>
        <w:t xml:space="preserve"> describe</w:t>
      </w:r>
      <w:r w:rsidR="0079070E">
        <w:rPr>
          <w:rFonts w:cs="Arial"/>
        </w:rPr>
        <w:t>s</w:t>
      </w:r>
      <w:r>
        <w:rPr>
          <w:rFonts w:cs="Arial"/>
        </w:rPr>
        <w:t xml:space="preserve"> </w:t>
      </w:r>
      <w:r w:rsidR="00061BFD">
        <w:rPr>
          <w:rFonts w:cs="Arial"/>
        </w:rPr>
        <w:t xml:space="preserve">the cause/s of those results and </w:t>
      </w:r>
      <w:r w:rsidR="00CF6E0E">
        <w:rPr>
          <w:rFonts w:cs="Arial"/>
        </w:rPr>
        <w:t xml:space="preserve">any organisational response that has </w:t>
      </w:r>
      <w:r w:rsidR="00BC4834">
        <w:rPr>
          <w:rFonts w:cs="Arial"/>
        </w:rPr>
        <w:t>or will be</w:t>
      </w:r>
      <w:r w:rsidR="00CF6E0E">
        <w:rPr>
          <w:rFonts w:cs="Arial"/>
        </w:rPr>
        <w:t xml:space="preserve"> taken.</w:t>
      </w:r>
    </w:p>
    <w:p w:rsidR="00092482" w:rsidRDefault="0009248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92482" w:rsidRPr="00477F03" w:rsidRDefault="00477F03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  <w:r w:rsidRPr="00477F03">
        <w:rPr>
          <w:rFonts w:cs="Arial"/>
          <w:b/>
        </w:rPr>
        <w:t>Areas returning ‘Red’ scores</w:t>
      </w:r>
    </w:p>
    <w:p w:rsidR="00092482" w:rsidRDefault="0009248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1120"/>
        <w:gridCol w:w="7960"/>
      </w:tblGrid>
      <w:tr w:rsidR="00092482" w:rsidRPr="00092482" w:rsidTr="00C34A0F">
        <w:trPr>
          <w:trHeight w:val="4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82" w:rsidRPr="00092482" w:rsidRDefault="00092482" w:rsidP="000924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92482">
              <w:rPr>
                <w:rFonts w:eastAsia="Times New Roman" w:cs="Arial"/>
                <w:color w:val="000000"/>
                <w:lang w:eastAsia="en-GB"/>
              </w:rPr>
              <w:t>A9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82" w:rsidRPr="00092482" w:rsidRDefault="00092482" w:rsidP="0009248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092482">
              <w:rPr>
                <w:rFonts w:eastAsia="Times New Roman" w:cs="Arial"/>
                <w:color w:val="000000"/>
                <w:lang w:eastAsia="en-GB"/>
              </w:rPr>
              <w:t>CAG/CAT 75% of amendments to be completed in 30 days</w:t>
            </w:r>
          </w:p>
        </w:tc>
      </w:tr>
    </w:tbl>
    <w:p w:rsidR="008006C2" w:rsidRDefault="008006C2" w:rsidP="00C34A0F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</w:p>
    <w:p w:rsidR="008006C2" w:rsidRPr="008006C2" w:rsidRDefault="00092482" w:rsidP="008006C2">
      <w:pPr>
        <w:rPr>
          <w:rFonts w:eastAsia="Times New Roman" w:cs="Arial"/>
          <w:color w:val="000000"/>
          <w:sz w:val="16"/>
          <w:szCs w:val="16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Cause</w:t>
      </w:r>
      <w:r>
        <w:rPr>
          <w:rFonts w:eastAsia="Times New Roman" w:cs="Arial"/>
          <w:color w:val="000000"/>
          <w:lang w:eastAsia="en-GB"/>
        </w:rPr>
        <w:t>:</w:t>
      </w:r>
      <w:r w:rsidRPr="00092482">
        <w:rPr>
          <w:rFonts w:eastAsia="Times New Roman" w:cs="Arial"/>
          <w:color w:val="000000"/>
          <w:lang w:eastAsia="en-GB"/>
        </w:rPr>
        <w:t xml:space="preserve"> </w:t>
      </w:r>
      <w:r w:rsidR="008006C2" w:rsidRPr="008006C2">
        <w:rPr>
          <w:rFonts w:eastAsia="Times New Roman" w:cs="Arial"/>
          <w:color w:val="000000"/>
          <w:lang w:eastAsia="en-GB"/>
        </w:rPr>
        <w:t xml:space="preserve">Concerns remain regarding CAG data quality - particularly pertaining to Amendments. </w:t>
      </w:r>
    </w:p>
    <w:p w:rsidR="00092482" w:rsidRDefault="00092482" w:rsidP="00092482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Response</w:t>
      </w:r>
      <w:r w:rsidRPr="00092482">
        <w:rPr>
          <w:rFonts w:eastAsia="Times New Roman" w:cs="Arial"/>
          <w:color w:val="000000"/>
          <w:lang w:eastAsia="en-GB"/>
        </w:rPr>
        <w:t xml:space="preserve">: </w:t>
      </w:r>
      <w:r w:rsidR="008006C2" w:rsidRPr="008006C2">
        <w:rPr>
          <w:rFonts w:eastAsia="Times New Roman" w:cs="Arial"/>
          <w:color w:val="000000"/>
          <w:lang w:eastAsia="en-GB"/>
        </w:rPr>
        <w:t>Activity commenced April 2016 to assess specific amendmen</w:t>
      </w:r>
      <w:r w:rsidR="008006C2">
        <w:rPr>
          <w:rFonts w:eastAsia="Times New Roman" w:cs="Arial"/>
          <w:color w:val="000000"/>
          <w:lang w:eastAsia="en-GB"/>
        </w:rPr>
        <w:t xml:space="preserve">ts in bulk in conjunction with </w:t>
      </w:r>
      <w:r w:rsidR="008006C2" w:rsidRPr="008006C2">
        <w:rPr>
          <w:rFonts w:eastAsia="Times New Roman" w:cs="Arial"/>
          <w:color w:val="000000"/>
          <w:lang w:eastAsia="en-GB"/>
        </w:rPr>
        <w:t>CAG members</w:t>
      </w:r>
    </w:p>
    <w:p w:rsidR="008006C2" w:rsidRDefault="008006C2" w:rsidP="00092482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092482" w:rsidRPr="00092482" w:rsidTr="00C34A0F">
        <w:trPr>
          <w:trHeight w:val="771"/>
        </w:trPr>
        <w:tc>
          <w:tcPr>
            <w:tcW w:w="1120" w:type="dxa"/>
            <w:shd w:val="clear" w:color="auto" w:fill="auto"/>
            <w:vAlign w:val="center"/>
            <w:hideMark/>
          </w:tcPr>
          <w:p w:rsidR="00092482" w:rsidRPr="00092482" w:rsidRDefault="00092482" w:rsidP="002438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092482">
              <w:rPr>
                <w:rFonts w:eastAsia="Times New Roman" w:cs="Arial"/>
                <w:color w:val="000000"/>
                <w:lang w:eastAsia="en-GB"/>
              </w:rPr>
              <w:t>B1(b)</w:t>
            </w:r>
          </w:p>
        </w:tc>
        <w:tc>
          <w:tcPr>
            <w:tcW w:w="7960" w:type="dxa"/>
            <w:shd w:val="clear" w:color="auto" w:fill="auto"/>
            <w:vAlign w:val="center"/>
            <w:hideMark/>
          </w:tcPr>
          <w:p w:rsidR="00092482" w:rsidRPr="00092482" w:rsidRDefault="00092482" w:rsidP="0024385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092482">
              <w:rPr>
                <w:rFonts w:eastAsia="Times New Roman" w:cs="Arial"/>
                <w:color w:val="000000"/>
                <w:lang w:eastAsia="en-GB"/>
              </w:rPr>
              <w:t xml:space="preserve">100% of final audit action plans </w:t>
            </w:r>
            <w:r w:rsidRPr="00092482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other than Research Ethics Committees </w:t>
            </w:r>
            <w:r w:rsidRPr="00092482">
              <w:rPr>
                <w:rFonts w:eastAsia="Times New Roman" w:cs="Arial"/>
                <w:color w:val="000000"/>
                <w:lang w:eastAsia="en-GB"/>
              </w:rPr>
              <w:t>across all functions submitted and accepted by QA within timescales</w:t>
            </w:r>
          </w:p>
        </w:tc>
      </w:tr>
    </w:tbl>
    <w:p w:rsidR="008006C2" w:rsidRDefault="008006C2" w:rsidP="00477F03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</w:p>
    <w:p w:rsidR="00477F03" w:rsidRDefault="00477F03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Cause</w:t>
      </w:r>
      <w:r w:rsidRPr="00092482">
        <w:rPr>
          <w:rFonts w:eastAsia="Times New Roman" w:cs="Arial"/>
          <w:color w:val="000000"/>
          <w:lang w:eastAsia="en-GB"/>
        </w:rPr>
        <w:t xml:space="preserve">: </w:t>
      </w:r>
      <w:r w:rsidR="004968A5">
        <w:rPr>
          <w:rFonts w:eastAsia="Times New Roman" w:cs="Arial"/>
          <w:color w:val="000000"/>
          <w:lang w:eastAsia="en-GB"/>
        </w:rPr>
        <w:t>The volume of demand that is placed on some relatively small functions has caused backlog</w:t>
      </w:r>
    </w:p>
    <w:p w:rsidR="00477F03" w:rsidRDefault="00477F03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:rsidR="008006C2" w:rsidRPr="008006C2" w:rsidRDefault="00477F03" w:rsidP="008006C2">
      <w:pPr>
        <w:rPr>
          <w:rFonts w:eastAsia="Times New Roman" w:cs="Arial"/>
          <w:color w:val="000000"/>
          <w:sz w:val="16"/>
          <w:szCs w:val="16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Response</w:t>
      </w:r>
      <w:r w:rsidRPr="008006C2">
        <w:rPr>
          <w:rFonts w:eastAsia="Times New Roman" w:cs="Arial"/>
          <w:b/>
          <w:color w:val="000000"/>
          <w:lang w:eastAsia="en-GB"/>
        </w:rPr>
        <w:t xml:space="preserve">: </w:t>
      </w:r>
      <w:r w:rsidR="008006C2" w:rsidRPr="008006C2">
        <w:rPr>
          <w:rFonts w:eastAsia="Times New Roman" w:cs="Arial"/>
          <w:color w:val="000000"/>
          <w:lang w:eastAsia="en-GB"/>
        </w:rPr>
        <w:t>Monitoring of outstanding audit action plans continues, noting the distinction between an outstanding QA action plan an</w:t>
      </w:r>
      <w:r w:rsidR="008006C2">
        <w:rPr>
          <w:rFonts w:eastAsia="Times New Roman" w:cs="Arial"/>
          <w:color w:val="000000"/>
          <w:lang w:eastAsia="en-GB"/>
        </w:rPr>
        <w:t>d any links to operational risk i.e. those outstanding do not represent a significant operational risk.</w:t>
      </w: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1120"/>
        <w:gridCol w:w="7960"/>
      </w:tblGrid>
      <w:tr w:rsidR="00E34398" w:rsidRPr="00E34398" w:rsidTr="00C34A0F">
        <w:trPr>
          <w:trHeight w:val="7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98" w:rsidRPr="00E34398" w:rsidRDefault="00E34398" w:rsidP="00E343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34398">
              <w:rPr>
                <w:rFonts w:eastAsia="Times New Roman" w:cs="Arial"/>
                <w:color w:val="000000"/>
                <w:lang w:eastAsia="en-GB"/>
              </w:rPr>
              <w:t>N11a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98" w:rsidRPr="00E34398" w:rsidRDefault="00E34398" w:rsidP="00E3439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E34398">
              <w:rPr>
                <w:rFonts w:eastAsia="Times New Roman" w:cs="Arial"/>
                <w:color w:val="000000"/>
                <w:lang w:eastAsia="en-GB"/>
              </w:rPr>
              <w:t>65% (or more) rail j</w:t>
            </w:r>
            <w:r w:rsidR="00B777A2">
              <w:rPr>
                <w:rFonts w:eastAsia="Times New Roman" w:cs="Arial"/>
                <w:color w:val="000000"/>
                <w:lang w:eastAsia="en-GB"/>
              </w:rPr>
              <w:t>ourney</w:t>
            </w:r>
            <w:r w:rsidRPr="00E34398">
              <w:rPr>
                <w:rFonts w:eastAsia="Times New Roman" w:cs="Arial"/>
                <w:color w:val="000000"/>
                <w:lang w:eastAsia="en-GB"/>
              </w:rPr>
              <w:t>s are booked 7 days or more in advance (longer time booked in advance, greater level of savings)</w:t>
            </w:r>
          </w:p>
        </w:tc>
      </w:tr>
      <w:tr w:rsidR="00E34398" w:rsidRPr="00E34398" w:rsidTr="00C34A0F">
        <w:trPr>
          <w:trHeight w:val="56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98" w:rsidRPr="00E34398" w:rsidRDefault="00E34398" w:rsidP="00E343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E34398">
              <w:rPr>
                <w:rFonts w:eastAsia="Times New Roman" w:cs="Arial"/>
                <w:color w:val="000000"/>
                <w:lang w:eastAsia="en-GB"/>
              </w:rPr>
              <w:t>N11b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98" w:rsidRPr="00E34398" w:rsidRDefault="00E34398" w:rsidP="00E34398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E34398">
              <w:rPr>
                <w:rFonts w:eastAsia="Times New Roman" w:cs="Arial"/>
                <w:color w:val="000000"/>
                <w:lang w:eastAsia="en-GB"/>
              </w:rPr>
              <w:t>10% (or less) rail bookings are made 2 days or less from date of travel</w:t>
            </w:r>
          </w:p>
        </w:tc>
      </w:tr>
    </w:tbl>
    <w:p w:rsidR="008006C2" w:rsidRDefault="008006C2" w:rsidP="00C34A0F">
      <w:pPr>
        <w:spacing w:after="0" w:line="240" w:lineRule="auto"/>
        <w:jc w:val="both"/>
        <w:rPr>
          <w:b/>
        </w:rPr>
      </w:pPr>
    </w:p>
    <w:p w:rsidR="00C22E08" w:rsidRPr="00E34398" w:rsidRDefault="00C22E08" w:rsidP="00C22E08">
      <w:pPr>
        <w:jc w:val="both"/>
        <w:rPr>
          <w:b/>
        </w:rPr>
      </w:pPr>
      <w:r w:rsidRPr="00E34398">
        <w:rPr>
          <w:b/>
        </w:rPr>
        <w:t>Cause:</w:t>
      </w:r>
      <w:r w:rsidRPr="00E34398">
        <w:t xml:space="preserve"> </w:t>
      </w:r>
      <w:r w:rsidR="00B777A2">
        <w:t>These are self-imposed targets set by the HRA to ensure there remains a strong focus on getting th</w:t>
      </w:r>
      <w:r w:rsidR="00C34A0F">
        <w:t xml:space="preserve">e best value out of rail travel. </w:t>
      </w:r>
    </w:p>
    <w:p w:rsidR="00C34A0F" w:rsidRPr="00E34398" w:rsidRDefault="00C22E08" w:rsidP="00C34A0F">
      <w:pPr>
        <w:jc w:val="both"/>
        <w:rPr>
          <w:b/>
        </w:rPr>
      </w:pPr>
      <w:r>
        <w:rPr>
          <w:b/>
        </w:rPr>
        <w:t>Response</w:t>
      </w:r>
      <w:r w:rsidRPr="00E34398">
        <w:rPr>
          <w:b/>
        </w:rPr>
        <w:t>:</w:t>
      </w:r>
      <w:r>
        <w:rPr>
          <w:b/>
        </w:rPr>
        <w:t xml:space="preserve"> </w:t>
      </w:r>
      <w:r w:rsidR="00C566DC" w:rsidRPr="00C566DC">
        <w:t xml:space="preserve">Continued awareness </w:t>
      </w:r>
      <w:proofErr w:type="gramStart"/>
      <w:r w:rsidR="00C566DC" w:rsidRPr="00C566DC">
        <w:t>raising</w:t>
      </w:r>
      <w:proofErr w:type="gramEnd"/>
      <w:r w:rsidR="00C566DC" w:rsidRPr="00C566DC">
        <w:t xml:space="preserve"> </w:t>
      </w:r>
      <w:r w:rsidR="00C566DC">
        <w:t>of</w:t>
      </w:r>
      <w:r w:rsidR="00C566DC" w:rsidRPr="00C566DC">
        <w:t xml:space="preserve"> </w:t>
      </w:r>
      <w:r w:rsidR="00C566DC">
        <w:t xml:space="preserve">travellers and </w:t>
      </w:r>
      <w:r w:rsidR="00C566DC" w:rsidRPr="00C566DC">
        <w:t>bookers</w:t>
      </w:r>
      <w:r w:rsidR="00C566DC">
        <w:t xml:space="preserve"> in the requirement to plan travel early and make the best use of available advance tickets.</w:t>
      </w:r>
      <w:r w:rsidR="008006C2">
        <w:t xml:space="preserve"> These targets will be reconsidered for 16/17</w:t>
      </w:r>
      <w:r w:rsidR="00C34A0F">
        <w:t>. However should be noted that In comparison with other ALB’s the HRA performs very strongly</w:t>
      </w: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8006C2" w:rsidRPr="00092482" w:rsidTr="00C34A0F">
        <w:trPr>
          <w:trHeight w:val="531"/>
        </w:trPr>
        <w:tc>
          <w:tcPr>
            <w:tcW w:w="1120" w:type="dxa"/>
            <w:shd w:val="clear" w:color="auto" w:fill="auto"/>
            <w:vAlign w:val="center"/>
            <w:hideMark/>
          </w:tcPr>
          <w:p w:rsidR="008006C2" w:rsidRPr="00092482" w:rsidRDefault="008006C2" w:rsidP="008006C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O2</w:t>
            </w:r>
          </w:p>
        </w:tc>
        <w:tc>
          <w:tcPr>
            <w:tcW w:w="7960" w:type="dxa"/>
            <w:shd w:val="clear" w:color="auto" w:fill="auto"/>
            <w:vAlign w:val="center"/>
            <w:hideMark/>
          </w:tcPr>
          <w:p w:rsidR="008006C2" w:rsidRDefault="008006C2" w:rsidP="008006C2">
            <w:pPr>
              <w:rPr>
                <w:rFonts w:cs="Arial"/>
              </w:rPr>
            </w:pPr>
            <w:r>
              <w:rPr>
                <w:rFonts w:cs="Arial"/>
              </w:rPr>
              <w:t xml:space="preserve">Long term sickness absence rates do not exceed 3% </w:t>
            </w:r>
          </w:p>
          <w:p w:rsidR="008006C2" w:rsidRPr="00092482" w:rsidRDefault="008006C2" w:rsidP="0037526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8006C2" w:rsidRDefault="008006C2" w:rsidP="00C34A0F">
      <w:pPr>
        <w:spacing w:after="0" w:line="240" w:lineRule="auto"/>
        <w:jc w:val="both"/>
        <w:rPr>
          <w:b/>
        </w:rPr>
      </w:pPr>
    </w:p>
    <w:p w:rsidR="008006C2" w:rsidRPr="00E34398" w:rsidRDefault="008006C2" w:rsidP="008006C2">
      <w:pPr>
        <w:jc w:val="both"/>
        <w:rPr>
          <w:b/>
        </w:rPr>
      </w:pPr>
      <w:r w:rsidRPr="00E34398">
        <w:rPr>
          <w:b/>
        </w:rPr>
        <w:t>Cause:</w:t>
      </w:r>
      <w:r w:rsidRPr="00E34398">
        <w:t xml:space="preserve"> </w:t>
      </w:r>
      <w:r w:rsidR="001C0E64" w:rsidRPr="001C0E64">
        <w:t xml:space="preserve">Nine people were on significant long term sickness absence </w:t>
      </w:r>
      <w:r w:rsidR="001C0E64">
        <w:t>during</w:t>
      </w:r>
      <w:r w:rsidR="001C0E64" w:rsidRPr="001C0E64">
        <w:t xml:space="preserve"> January </w:t>
      </w:r>
      <w:r w:rsidR="001C0E64">
        <w:t>to</w:t>
      </w:r>
      <w:r w:rsidR="001C0E64" w:rsidRPr="001C0E64">
        <w:t xml:space="preserve"> March</w:t>
      </w:r>
    </w:p>
    <w:p w:rsidR="00C22E08" w:rsidRDefault="008006C2" w:rsidP="001E55D4">
      <w:pPr>
        <w:jc w:val="both"/>
      </w:pPr>
      <w:r>
        <w:rPr>
          <w:b/>
        </w:rPr>
        <w:t>Response</w:t>
      </w:r>
      <w:r w:rsidRPr="00E34398">
        <w:rPr>
          <w:b/>
        </w:rPr>
        <w:t>:</w:t>
      </w:r>
      <w:r>
        <w:rPr>
          <w:b/>
        </w:rPr>
        <w:t xml:space="preserve"> </w:t>
      </w:r>
      <w:r w:rsidR="00520466">
        <w:t>Four people have since returned to work, the remaining cases are being actively managed</w:t>
      </w:r>
    </w:p>
    <w:sectPr w:rsidR="00C22E08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1D" w:rsidRDefault="00F1491D" w:rsidP="006B5376">
      <w:pPr>
        <w:spacing w:after="0" w:line="240" w:lineRule="auto"/>
      </w:pPr>
      <w:r>
        <w:separator/>
      </w:r>
    </w:p>
  </w:endnote>
  <w:end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17F8E24" wp14:editId="257CD5E5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66B5D" wp14:editId="79F198F6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1D" w:rsidRDefault="00F1491D" w:rsidP="006B5376">
      <w:pPr>
        <w:spacing w:after="0" w:line="240" w:lineRule="auto"/>
      </w:pPr>
      <w:r>
        <w:separator/>
      </w:r>
    </w:p>
  </w:footnote>
  <w:footnote w:type="continuationSeparator" w:id="0">
    <w:p w:rsidR="00F1491D" w:rsidRDefault="00F1491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173B1EBC" wp14:editId="5216D894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13"/>
  </w:num>
  <w:num w:numId="5">
    <w:abstractNumId w:val="26"/>
  </w:num>
  <w:num w:numId="6">
    <w:abstractNumId w:val="2"/>
  </w:num>
  <w:num w:numId="7">
    <w:abstractNumId w:val="32"/>
  </w:num>
  <w:num w:numId="8">
    <w:abstractNumId w:val="34"/>
  </w:num>
  <w:num w:numId="9">
    <w:abstractNumId w:val="36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8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1"/>
  </w:num>
  <w:num w:numId="27">
    <w:abstractNumId w:val="16"/>
  </w:num>
  <w:num w:numId="28">
    <w:abstractNumId w:val="35"/>
  </w:num>
  <w:num w:numId="29">
    <w:abstractNumId w:val="30"/>
  </w:num>
  <w:num w:numId="30">
    <w:abstractNumId w:val="12"/>
  </w:num>
  <w:num w:numId="31">
    <w:abstractNumId w:val="40"/>
  </w:num>
  <w:num w:numId="32">
    <w:abstractNumId w:val="15"/>
  </w:num>
  <w:num w:numId="33">
    <w:abstractNumId w:val="25"/>
  </w:num>
  <w:num w:numId="34">
    <w:abstractNumId w:val="46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5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"/>
  </w:num>
  <w:num w:numId="45">
    <w:abstractNumId w:val="37"/>
  </w:num>
  <w:num w:numId="46">
    <w:abstractNumId w:val="42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4663"/>
    <w:rsid w:val="00031E55"/>
    <w:rsid w:val="00032018"/>
    <w:rsid w:val="00034690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7224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25E43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0E64"/>
    <w:rsid w:val="001C3388"/>
    <w:rsid w:val="001C3D40"/>
    <w:rsid w:val="001C3FF9"/>
    <w:rsid w:val="001C5EE1"/>
    <w:rsid w:val="001D0C9D"/>
    <w:rsid w:val="001D339E"/>
    <w:rsid w:val="001D41F3"/>
    <w:rsid w:val="001D451F"/>
    <w:rsid w:val="001D4C53"/>
    <w:rsid w:val="001E55D4"/>
    <w:rsid w:val="001E7FBA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318B"/>
    <w:rsid w:val="002551D9"/>
    <w:rsid w:val="00255B6D"/>
    <w:rsid w:val="0026003B"/>
    <w:rsid w:val="00267CD4"/>
    <w:rsid w:val="0027131C"/>
    <w:rsid w:val="00274C92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2C3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5E0A"/>
    <w:rsid w:val="00477F03"/>
    <w:rsid w:val="004806AB"/>
    <w:rsid w:val="00482B2C"/>
    <w:rsid w:val="00491A07"/>
    <w:rsid w:val="0049433E"/>
    <w:rsid w:val="004960CF"/>
    <w:rsid w:val="004968A5"/>
    <w:rsid w:val="004B078F"/>
    <w:rsid w:val="004B3B6C"/>
    <w:rsid w:val="004E2270"/>
    <w:rsid w:val="004E5A9A"/>
    <w:rsid w:val="004F58E8"/>
    <w:rsid w:val="004F7AF1"/>
    <w:rsid w:val="00502585"/>
    <w:rsid w:val="00510C14"/>
    <w:rsid w:val="00512EC9"/>
    <w:rsid w:val="00512FBB"/>
    <w:rsid w:val="00520466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06D7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E695A"/>
    <w:rsid w:val="006F0655"/>
    <w:rsid w:val="006F3C06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070E"/>
    <w:rsid w:val="0079459F"/>
    <w:rsid w:val="007958A5"/>
    <w:rsid w:val="0079675F"/>
    <w:rsid w:val="00797B27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D71C8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0DB"/>
    <w:rsid w:val="00A85692"/>
    <w:rsid w:val="00A86755"/>
    <w:rsid w:val="00A873B2"/>
    <w:rsid w:val="00A912C0"/>
    <w:rsid w:val="00A9292C"/>
    <w:rsid w:val="00A95157"/>
    <w:rsid w:val="00AA288A"/>
    <w:rsid w:val="00AA5F0C"/>
    <w:rsid w:val="00AB7764"/>
    <w:rsid w:val="00AC2BA5"/>
    <w:rsid w:val="00AC3ED9"/>
    <w:rsid w:val="00AC7807"/>
    <w:rsid w:val="00AE500E"/>
    <w:rsid w:val="00AF2B98"/>
    <w:rsid w:val="00AF3C6E"/>
    <w:rsid w:val="00B101D8"/>
    <w:rsid w:val="00B1110F"/>
    <w:rsid w:val="00B12EAF"/>
    <w:rsid w:val="00B13FC0"/>
    <w:rsid w:val="00B16BC1"/>
    <w:rsid w:val="00B35C41"/>
    <w:rsid w:val="00B371BD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F5379"/>
    <w:rsid w:val="00C04153"/>
    <w:rsid w:val="00C15CC6"/>
    <w:rsid w:val="00C22E08"/>
    <w:rsid w:val="00C24C6C"/>
    <w:rsid w:val="00C265FE"/>
    <w:rsid w:val="00C330A2"/>
    <w:rsid w:val="00C34A0F"/>
    <w:rsid w:val="00C36837"/>
    <w:rsid w:val="00C40072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6E0E"/>
    <w:rsid w:val="00D244E5"/>
    <w:rsid w:val="00D506D1"/>
    <w:rsid w:val="00D53754"/>
    <w:rsid w:val="00D556A7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2292BE-E26F-4248-B263-C6DCC655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2016-05-13T05:28:00Z</dcterms:created>
  <dcterms:modified xsi:type="dcterms:W3CDTF">2016-05-13T08:22:00Z</dcterms:modified>
</cp:coreProperties>
</file>