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C7" w:rsidRPr="007479BD" w:rsidRDefault="00C374C7" w:rsidP="007479BD">
      <w:pPr>
        <w:pStyle w:val="Default"/>
        <w:tabs>
          <w:tab w:val="left" w:pos="10490"/>
        </w:tabs>
        <w:ind w:right="92"/>
        <w:rPr>
          <w:rFonts w:ascii="Arial" w:hAnsi="Arial" w:cs="Arial"/>
        </w:rPr>
      </w:pPr>
      <w:r w:rsidRPr="007479BD">
        <w:rPr>
          <w:rFonts w:ascii="Arial" w:hAnsi="Arial" w:cs="Arial"/>
        </w:rPr>
        <w:t>HRA &amp; NHS current progress against the recommendations outline</w:t>
      </w:r>
      <w:r w:rsidR="007479BD" w:rsidRPr="007479BD">
        <w:rPr>
          <w:rFonts w:ascii="Arial" w:hAnsi="Arial" w:cs="Arial"/>
        </w:rPr>
        <w:t>d</w:t>
      </w:r>
      <w:r w:rsidRPr="007479BD">
        <w:rPr>
          <w:rFonts w:ascii="Arial" w:hAnsi="Arial" w:cs="Arial"/>
        </w:rPr>
        <w:t xml:space="preserve"> in </w:t>
      </w:r>
      <w:r w:rsidR="007479BD" w:rsidRPr="007479BD">
        <w:rPr>
          <w:rFonts w:ascii="Arial" w:hAnsi="Arial" w:cs="Arial"/>
        </w:rPr>
        <w:t>t</w:t>
      </w:r>
      <w:r w:rsidRPr="007479BD">
        <w:rPr>
          <w:rFonts w:ascii="Arial" w:hAnsi="Arial" w:cs="Arial"/>
        </w:rPr>
        <w:t>he recent report from the Academy of Medical Sciences</w:t>
      </w:r>
      <w:r w:rsidR="00750F2A">
        <w:rPr>
          <w:rFonts w:ascii="Arial" w:hAnsi="Arial" w:cs="Arial"/>
        </w:rPr>
        <w:t xml:space="preserve"> (AMS)</w:t>
      </w:r>
      <w:r w:rsidRPr="007479BD">
        <w:rPr>
          <w:rFonts w:ascii="Arial" w:hAnsi="Arial" w:cs="Arial"/>
        </w:rPr>
        <w:t xml:space="preserve">, </w:t>
      </w:r>
      <w:r w:rsidRPr="007F6F4B">
        <w:rPr>
          <w:rFonts w:ascii="Arial" w:hAnsi="Arial" w:cs="Arial"/>
        </w:rPr>
        <w:t>Cancer Research UK</w:t>
      </w:r>
      <w:r w:rsidR="00750F2A">
        <w:rPr>
          <w:rFonts w:ascii="Arial" w:hAnsi="Arial" w:cs="Arial"/>
        </w:rPr>
        <w:t xml:space="preserve"> (CRUK)</w:t>
      </w:r>
      <w:r w:rsidRPr="007F6F4B">
        <w:rPr>
          <w:rFonts w:ascii="Arial" w:hAnsi="Arial" w:cs="Arial"/>
        </w:rPr>
        <w:t xml:space="preserve"> and the Wellcome Trust</w:t>
      </w:r>
      <w:r w:rsidR="007F6F4B" w:rsidRPr="007F6F4B">
        <w:rPr>
          <w:rFonts w:ascii="Arial" w:hAnsi="Arial" w:cs="Arial"/>
        </w:rPr>
        <w:t xml:space="preserve"> </w:t>
      </w:r>
      <w:r w:rsidR="007F6F4B" w:rsidRPr="007F6F4B">
        <w:rPr>
          <w:rFonts w:ascii="Arial" w:hAnsi="Arial" w:cs="Arial"/>
          <w:szCs w:val="28"/>
        </w:rPr>
        <w:t xml:space="preserve">on the </w:t>
      </w:r>
      <w:r w:rsidR="007F6F4B" w:rsidRPr="007F6F4B">
        <w:rPr>
          <w:rFonts w:ascii="Arial" w:hAnsi="Arial" w:cs="Arial"/>
          <w:i/>
          <w:szCs w:val="28"/>
        </w:rPr>
        <w:t>'Regulation and governance of health research: five years on'</w:t>
      </w:r>
      <w:r w:rsidR="00BA7800">
        <w:rPr>
          <w:rFonts w:ascii="Arial" w:hAnsi="Arial" w:cs="Arial"/>
          <w:i/>
          <w:szCs w:val="28"/>
        </w:rPr>
        <w:t xml:space="preserve">  </w:t>
      </w:r>
    </w:p>
    <w:p w:rsidR="00C374C7" w:rsidRPr="007479BD" w:rsidRDefault="00C374C7" w:rsidP="00C374C7">
      <w:pPr>
        <w:pStyle w:val="Default"/>
        <w:rPr>
          <w:rFonts w:ascii="Arial" w:hAnsi="Arial" w:cs="Arial"/>
        </w:rPr>
      </w:pPr>
    </w:p>
    <w:tbl>
      <w:tblPr>
        <w:tblStyle w:val="TableGrid"/>
        <w:tblW w:w="0" w:type="auto"/>
        <w:tblLook w:val="04A0" w:firstRow="1" w:lastRow="0" w:firstColumn="1" w:lastColumn="0" w:noHBand="0" w:noVBand="1"/>
      </w:tblPr>
      <w:tblGrid>
        <w:gridCol w:w="5329"/>
        <w:gridCol w:w="4985"/>
      </w:tblGrid>
      <w:tr w:rsidR="00C374C7" w:rsidRPr="007479BD" w:rsidTr="00750F2A">
        <w:tc>
          <w:tcPr>
            <w:tcW w:w="5329" w:type="dxa"/>
            <w:shd w:val="clear" w:color="auto" w:fill="BFBFBF" w:themeFill="background1" w:themeFillShade="BF"/>
          </w:tcPr>
          <w:p w:rsidR="00C374C7" w:rsidRPr="00750F2A" w:rsidRDefault="00C374C7" w:rsidP="00C374C7">
            <w:pPr>
              <w:pStyle w:val="Default"/>
              <w:rPr>
                <w:rFonts w:ascii="Arial" w:hAnsi="Arial" w:cs="Arial"/>
                <w:b/>
                <w:sz w:val="20"/>
                <w:szCs w:val="20"/>
              </w:rPr>
            </w:pPr>
            <w:r w:rsidRPr="00750F2A">
              <w:rPr>
                <w:rFonts w:ascii="Arial" w:hAnsi="Arial" w:cs="Arial"/>
                <w:b/>
                <w:sz w:val="20"/>
                <w:szCs w:val="20"/>
              </w:rPr>
              <w:t>Recommendation</w:t>
            </w:r>
          </w:p>
          <w:p w:rsidR="00750F2A" w:rsidRPr="00750F2A" w:rsidRDefault="00750F2A" w:rsidP="00C374C7">
            <w:pPr>
              <w:pStyle w:val="Default"/>
              <w:rPr>
                <w:rFonts w:ascii="Arial" w:hAnsi="Arial" w:cs="Arial"/>
                <w:b/>
                <w:sz w:val="20"/>
                <w:szCs w:val="20"/>
              </w:rPr>
            </w:pPr>
          </w:p>
        </w:tc>
        <w:tc>
          <w:tcPr>
            <w:tcW w:w="4985" w:type="dxa"/>
            <w:shd w:val="clear" w:color="auto" w:fill="BFBFBF" w:themeFill="background1" w:themeFillShade="BF"/>
          </w:tcPr>
          <w:p w:rsidR="00C374C7" w:rsidRPr="00750F2A" w:rsidRDefault="00C374C7" w:rsidP="00C374C7">
            <w:pPr>
              <w:pStyle w:val="Default"/>
              <w:rPr>
                <w:rFonts w:ascii="Arial" w:hAnsi="Arial" w:cs="Arial"/>
                <w:b/>
                <w:sz w:val="20"/>
                <w:szCs w:val="20"/>
              </w:rPr>
            </w:pPr>
            <w:r w:rsidRPr="00750F2A">
              <w:rPr>
                <w:rFonts w:ascii="Arial" w:hAnsi="Arial" w:cs="Arial"/>
                <w:b/>
                <w:sz w:val="20"/>
                <w:szCs w:val="20"/>
              </w:rPr>
              <w:t>Current status</w:t>
            </w:r>
            <w:r w:rsidR="00BA7800">
              <w:rPr>
                <w:rFonts w:ascii="Arial" w:hAnsi="Arial" w:cs="Arial"/>
                <w:b/>
                <w:sz w:val="20"/>
                <w:szCs w:val="20"/>
              </w:rPr>
              <w:t xml:space="preserve"> –</w:t>
            </w:r>
            <w:r w:rsidR="00D42727">
              <w:rPr>
                <w:rFonts w:ascii="Arial" w:hAnsi="Arial" w:cs="Arial"/>
                <w:b/>
                <w:sz w:val="20"/>
                <w:szCs w:val="20"/>
              </w:rPr>
              <w:t xml:space="preserve"> </w:t>
            </w:r>
            <w:r w:rsidR="00BA7800">
              <w:rPr>
                <w:rFonts w:ascii="Arial" w:hAnsi="Arial" w:cs="Arial"/>
                <w:b/>
                <w:sz w:val="20"/>
                <w:szCs w:val="20"/>
              </w:rPr>
              <w:t>October 2017</w:t>
            </w:r>
          </w:p>
        </w:tc>
      </w:tr>
      <w:tr w:rsidR="00C374C7" w:rsidRPr="007479BD" w:rsidTr="007479BD">
        <w:tc>
          <w:tcPr>
            <w:tcW w:w="5329" w:type="dxa"/>
          </w:tcPr>
          <w:p w:rsidR="00C374C7" w:rsidRPr="007479BD" w:rsidRDefault="00C374C7" w:rsidP="00C374C7">
            <w:pPr>
              <w:pStyle w:val="Default"/>
              <w:rPr>
                <w:rFonts w:ascii="Arial" w:hAnsi="Arial" w:cs="Arial"/>
                <w:sz w:val="20"/>
                <w:szCs w:val="20"/>
              </w:rPr>
            </w:pPr>
            <w:r w:rsidRPr="007479BD">
              <w:rPr>
                <w:rFonts w:ascii="Arial" w:hAnsi="Arial" w:cs="Arial"/>
                <w:sz w:val="20"/>
                <w:szCs w:val="20"/>
                <w:highlight w:val="yellow"/>
              </w:rPr>
              <w:t>HRA</w:t>
            </w:r>
            <w:r w:rsidRPr="007479BD">
              <w:rPr>
                <w:rFonts w:ascii="Arial" w:hAnsi="Arial" w:cs="Arial"/>
                <w:sz w:val="20"/>
                <w:szCs w:val="20"/>
              </w:rPr>
              <w:t xml:space="preserve"> should work with funders and sponsors to develop </w:t>
            </w:r>
            <w:r w:rsidRPr="007479BD">
              <w:rPr>
                <w:rFonts w:ascii="Arial" w:hAnsi="Arial" w:cs="Arial"/>
                <w:b/>
                <w:bCs/>
                <w:sz w:val="20"/>
                <w:szCs w:val="20"/>
              </w:rPr>
              <w:t xml:space="preserve">effective end-to-end trial timelines </w:t>
            </w:r>
            <w:r w:rsidRPr="007479BD">
              <w:rPr>
                <w:rFonts w:ascii="Arial" w:hAnsi="Arial" w:cs="Arial"/>
                <w:sz w:val="20"/>
                <w:szCs w:val="20"/>
              </w:rPr>
              <w:t>that include metrics which span the whole system and start from the moment of grant award.</w:t>
            </w:r>
          </w:p>
        </w:tc>
        <w:tc>
          <w:tcPr>
            <w:tcW w:w="4985" w:type="dxa"/>
          </w:tcPr>
          <w:p w:rsidR="00B5550D" w:rsidRDefault="00B5550D" w:rsidP="0008077E">
            <w:pPr>
              <w:pStyle w:val="Default"/>
              <w:rPr>
                <w:rFonts w:ascii="Arial" w:hAnsi="Arial" w:cs="Arial"/>
                <w:i/>
                <w:sz w:val="20"/>
                <w:szCs w:val="20"/>
              </w:rPr>
            </w:pPr>
            <w:r>
              <w:rPr>
                <w:rFonts w:ascii="Arial" w:hAnsi="Arial" w:cs="Arial"/>
                <w:i/>
                <w:sz w:val="20"/>
                <w:szCs w:val="20"/>
              </w:rPr>
              <w:t xml:space="preserve">HRA, NIHR, DH and the Devolved Administrations are collectively reviewing the way in which information about site set-up is measured, working to agree common definitions and efficient reporting arrangements. We are liaising with Cancer Research UK to explore data they have collected from grant funding to study delivery. </w:t>
            </w:r>
          </w:p>
          <w:p w:rsidR="00B5550D" w:rsidRDefault="00B5550D" w:rsidP="0008077E">
            <w:pPr>
              <w:pStyle w:val="Default"/>
              <w:rPr>
                <w:rFonts w:ascii="Arial" w:hAnsi="Arial" w:cs="Arial"/>
                <w:i/>
                <w:sz w:val="20"/>
                <w:szCs w:val="20"/>
              </w:rPr>
            </w:pPr>
            <w:r>
              <w:rPr>
                <w:rFonts w:ascii="Arial" w:hAnsi="Arial" w:cs="Arial"/>
                <w:i/>
                <w:sz w:val="20"/>
                <w:szCs w:val="20"/>
              </w:rPr>
              <w:t xml:space="preserve">We have initiated work on business intelligence as part of the Service Improvement Programme. </w:t>
            </w:r>
          </w:p>
          <w:p w:rsidR="00CF2EB6" w:rsidRPr="00750F2A" w:rsidRDefault="00CF2EB6">
            <w:pPr>
              <w:pStyle w:val="Default"/>
              <w:rPr>
                <w:rFonts w:ascii="Arial" w:hAnsi="Arial" w:cs="Arial"/>
                <w:i/>
                <w:sz w:val="20"/>
                <w:szCs w:val="20"/>
              </w:rPr>
            </w:pPr>
          </w:p>
        </w:tc>
      </w:tr>
      <w:tr w:rsidR="00C374C7" w:rsidRPr="007479BD" w:rsidTr="007479BD">
        <w:tc>
          <w:tcPr>
            <w:tcW w:w="5329" w:type="dxa"/>
          </w:tcPr>
          <w:p w:rsidR="00C374C7" w:rsidRPr="007479BD" w:rsidRDefault="00C374C7" w:rsidP="00C374C7">
            <w:pPr>
              <w:pStyle w:val="Default"/>
              <w:spacing w:after="55"/>
              <w:rPr>
                <w:rFonts w:ascii="Arial" w:hAnsi="Arial" w:cs="Arial"/>
                <w:sz w:val="20"/>
                <w:szCs w:val="20"/>
              </w:rPr>
            </w:pPr>
            <w:r w:rsidRPr="007479BD">
              <w:rPr>
                <w:rFonts w:ascii="Arial" w:hAnsi="Arial" w:cs="Arial"/>
                <w:sz w:val="20"/>
                <w:szCs w:val="20"/>
              </w:rPr>
              <w:t xml:space="preserve">The sector should work together to support the </w:t>
            </w:r>
            <w:r w:rsidRPr="007479BD">
              <w:rPr>
                <w:rFonts w:ascii="Arial" w:hAnsi="Arial" w:cs="Arial"/>
                <w:sz w:val="20"/>
                <w:szCs w:val="20"/>
                <w:highlight w:val="yellow"/>
              </w:rPr>
              <w:t>HRA</w:t>
            </w:r>
            <w:r w:rsidRPr="007479BD">
              <w:rPr>
                <w:rFonts w:ascii="Arial" w:hAnsi="Arial" w:cs="Arial"/>
                <w:sz w:val="20"/>
                <w:szCs w:val="20"/>
              </w:rPr>
              <w:t xml:space="preserve"> in </w:t>
            </w:r>
            <w:r w:rsidRPr="007479BD">
              <w:rPr>
                <w:rFonts w:ascii="Arial" w:hAnsi="Arial" w:cs="Arial"/>
                <w:b/>
                <w:bCs/>
                <w:sz w:val="20"/>
                <w:szCs w:val="20"/>
              </w:rPr>
              <w:t xml:space="preserve">development and uptake of model contracts </w:t>
            </w:r>
            <w:r w:rsidRPr="007479BD">
              <w:rPr>
                <w:rFonts w:ascii="Arial" w:hAnsi="Arial" w:cs="Arial"/>
                <w:sz w:val="20"/>
                <w:szCs w:val="20"/>
              </w:rPr>
              <w:t xml:space="preserve">and if necessary advocate for the HRA to receive additional resource to complete this vital task. </w:t>
            </w:r>
          </w:p>
          <w:p w:rsidR="00C374C7" w:rsidRPr="007479BD" w:rsidRDefault="00C374C7" w:rsidP="00C374C7">
            <w:pPr>
              <w:pStyle w:val="Default"/>
              <w:rPr>
                <w:rFonts w:ascii="Arial" w:hAnsi="Arial" w:cs="Arial"/>
                <w:sz w:val="20"/>
                <w:szCs w:val="20"/>
              </w:rPr>
            </w:pPr>
          </w:p>
        </w:tc>
        <w:tc>
          <w:tcPr>
            <w:tcW w:w="4985" w:type="dxa"/>
          </w:tcPr>
          <w:p w:rsidR="00C374C7" w:rsidRPr="00750F2A" w:rsidRDefault="00B5550D" w:rsidP="007479BD">
            <w:pPr>
              <w:pStyle w:val="Default"/>
              <w:rPr>
                <w:rFonts w:ascii="Arial" w:hAnsi="Arial" w:cs="Arial"/>
                <w:i/>
                <w:sz w:val="20"/>
                <w:szCs w:val="20"/>
              </w:rPr>
            </w:pPr>
            <w:r>
              <w:rPr>
                <w:rFonts w:ascii="Arial" w:hAnsi="Arial" w:cs="Arial"/>
                <w:i/>
                <w:sz w:val="20"/>
                <w:szCs w:val="20"/>
              </w:rPr>
              <w:t>The revised</w:t>
            </w:r>
            <w:r w:rsidR="0008077E">
              <w:rPr>
                <w:rFonts w:ascii="Arial" w:hAnsi="Arial" w:cs="Arial"/>
                <w:i/>
                <w:sz w:val="20"/>
                <w:szCs w:val="20"/>
              </w:rPr>
              <w:t xml:space="preserve"> </w:t>
            </w:r>
            <w:r w:rsidR="007479BD" w:rsidRPr="00750F2A">
              <w:rPr>
                <w:rFonts w:ascii="Arial" w:hAnsi="Arial" w:cs="Arial"/>
                <w:i/>
                <w:sz w:val="20"/>
                <w:szCs w:val="20"/>
              </w:rPr>
              <w:t>m</w:t>
            </w:r>
            <w:r w:rsidR="007F6F4B" w:rsidRPr="00750F2A">
              <w:rPr>
                <w:rFonts w:ascii="Arial" w:hAnsi="Arial" w:cs="Arial"/>
                <w:i/>
                <w:sz w:val="20"/>
                <w:szCs w:val="20"/>
              </w:rPr>
              <w:t>odel Clinical Trial Agreement (m</w:t>
            </w:r>
            <w:r w:rsidR="007479BD" w:rsidRPr="00750F2A">
              <w:rPr>
                <w:rFonts w:ascii="Arial" w:hAnsi="Arial" w:cs="Arial"/>
                <w:i/>
                <w:sz w:val="20"/>
                <w:szCs w:val="20"/>
              </w:rPr>
              <w:t>CTA</w:t>
            </w:r>
            <w:r w:rsidR="007F6F4B" w:rsidRPr="00750F2A">
              <w:rPr>
                <w:rFonts w:ascii="Arial" w:hAnsi="Arial" w:cs="Arial"/>
                <w:i/>
                <w:sz w:val="20"/>
                <w:szCs w:val="20"/>
              </w:rPr>
              <w:t>)</w:t>
            </w:r>
            <w:r w:rsidR="007479BD" w:rsidRPr="00750F2A">
              <w:rPr>
                <w:rFonts w:ascii="Arial" w:hAnsi="Arial" w:cs="Arial"/>
                <w:i/>
                <w:sz w:val="20"/>
                <w:szCs w:val="20"/>
              </w:rPr>
              <w:t xml:space="preserve"> and associated guidance </w:t>
            </w:r>
            <w:r>
              <w:rPr>
                <w:rFonts w:ascii="Arial" w:hAnsi="Arial" w:cs="Arial"/>
                <w:i/>
                <w:sz w:val="20"/>
                <w:szCs w:val="20"/>
              </w:rPr>
              <w:t>is nearing publication, following collaboration with the Devolved Administrations and</w:t>
            </w:r>
            <w:r w:rsidR="00750F2A">
              <w:rPr>
                <w:rFonts w:ascii="Arial" w:hAnsi="Arial" w:cs="Arial"/>
                <w:i/>
                <w:sz w:val="20"/>
                <w:szCs w:val="20"/>
              </w:rPr>
              <w:t xml:space="preserve"> the</w:t>
            </w:r>
            <w:r w:rsidR="007479BD" w:rsidRPr="00750F2A">
              <w:rPr>
                <w:rFonts w:ascii="Arial" w:hAnsi="Arial" w:cs="Arial"/>
                <w:i/>
                <w:sz w:val="20"/>
                <w:szCs w:val="20"/>
              </w:rPr>
              <w:t xml:space="preserve"> A</w:t>
            </w:r>
            <w:r w:rsidR="007F6F4B" w:rsidRPr="00750F2A">
              <w:rPr>
                <w:rFonts w:ascii="Arial" w:hAnsi="Arial" w:cs="Arial"/>
                <w:i/>
                <w:sz w:val="20"/>
                <w:szCs w:val="20"/>
              </w:rPr>
              <w:t xml:space="preserve">ssociation of the </w:t>
            </w:r>
            <w:r w:rsidR="0008077E">
              <w:rPr>
                <w:rFonts w:ascii="Arial" w:hAnsi="Arial" w:cs="Arial"/>
                <w:i/>
                <w:sz w:val="20"/>
                <w:szCs w:val="20"/>
              </w:rPr>
              <w:t xml:space="preserve">British Pharmaceutical Industry </w:t>
            </w:r>
            <w:r w:rsidR="007F6F4B" w:rsidRPr="00750F2A">
              <w:rPr>
                <w:rFonts w:ascii="Arial" w:hAnsi="Arial" w:cs="Arial"/>
                <w:i/>
                <w:sz w:val="20"/>
                <w:szCs w:val="20"/>
              </w:rPr>
              <w:t>(A</w:t>
            </w:r>
            <w:r w:rsidR="007479BD" w:rsidRPr="00750F2A">
              <w:rPr>
                <w:rFonts w:ascii="Arial" w:hAnsi="Arial" w:cs="Arial"/>
                <w:i/>
                <w:sz w:val="20"/>
                <w:szCs w:val="20"/>
              </w:rPr>
              <w:t>BPI</w:t>
            </w:r>
            <w:r w:rsidR="007F6F4B" w:rsidRPr="00750F2A">
              <w:rPr>
                <w:rFonts w:ascii="Arial" w:hAnsi="Arial" w:cs="Arial"/>
                <w:i/>
                <w:sz w:val="20"/>
                <w:szCs w:val="20"/>
              </w:rPr>
              <w:t>)</w:t>
            </w:r>
            <w:r>
              <w:rPr>
                <w:rFonts w:ascii="Arial" w:hAnsi="Arial" w:cs="Arial"/>
                <w:i/>
                <w:sz w:val="20"/>
                <w:szCs w:val="20"/>
              </w:rPr>
              <w:t>.</w:t>
            </w:r>
            <w:r w:rsidR="007479BD" w:rsidRPr="00750F2A">
              <w:rPr>
                <w:rFonts w:ascii="Arial" w:hAnsi="Arial" w:cs="Arial"/>
                <w:i/>
                <w:sz w:val="20"/>
                <w:szCs w:val="20"/>
              </w:rPr>
              <w:t xml:space="preserve"> We have agreement from the D</w:t>
            </w:r>
            <w:r w:rsidR="007F6F4B" w:rsidRPr="00750F2A">
              <w:rPr>
                <w:rFonts w:ascii="Arial" w:hAnsi="Arial" w:cs="Arial"/>
                <w:i/>
                <w:sz w:val="20"/>
                <w:szCs w:val="20"/>
              </w:rPr>
              <w:t>evolved Administrations (DA</w:t>
            </w:r>
            <w:r w:rsidR="007479BD" w:rsidRPr="00750F2A">
              <w:rPr>
                <w:rFonts w:ascii="Arial" w:hAnsi="Arial" w:cs="Arial"/>
                <w:i/>
                <w:sz w:val="20"/>
                <w:szCs w:val="20"/>
              </w:rPr>
              <w:t>s</w:t>
            </w:r>
            <w:r w:rsidR="007F6F4B" w:rsidRPr="00750F2A">
              <w:rPr>
                <w:rFonts w:ascii="Arial" w:hAnsi="Arial" w:cs="Arial"/>
                <w:i/>
                <w:sz w:val="20"/>
                <w:szCs w:val="20"/>
              </w:rPr>
              <w:t>)</w:t>
            </w:r>
            <w:r w:rsidR="007479BD" w:rsidRPr="00750F2A">
              <w:rPr>
                <w:rFonts w:ascii="Arial" w:hAnsi="Arial" w:cs="Arial"/>
                <w:i/>
                <w:sz w:val="20"/>
                <w:szCs w:val="20"/>
              </w:rPr>
              <w:t xml:space="preserve"> for a single UK agreement.</w:t>
            </w:r>
          </w:p>
          <w:p w:rsidR="007F6F4B" w:rsidRPr="00750F2A" w:rsidRDefault="007F6F4B" w:rsidP="007479BD">
            <w:pPr>
              <w:pStyle w:val="Default"/>
              <w:rPr>
                <w:rFonts w:ascii="Arial" w:hAnsi="Arial" w:cs="Arial"/>
                <w:i/>
                <w:sz w:val="20"/>
                <w:szCs w:val="20"/>
              </w:rPr>
            </w:pPr>
          </w:p>
          <w:p w:rsidR="007F6F4B" w:rsidRDefault="007479BD" w:rsidP="0008077E">
            <w:pPr>
              <w:pStyle w:val="Default"/>
              <w:rPr>
                <w:rFonts w:ascii="Arial" w:hAnsi="Arial" w:cs="Arial"/>
                <w:i/>
                <w:sz w:val="20"/>
                <w:szCs w:val="20"/>
              </w:rPr>
            </w:pPr>
            <w:r w:rsidRPr="00750F2A">
              <w:rPr>
                <w:rFonts w:ascii="Arial" w:hAnsi="Arial" w:cs="Arial"/>
                <w:i/>
                <w:sz w:val="20"/>
                <w:szCs w:val="20"/>
              </w:rPr>
              <w:t xml:space="preserve">We are </w:t>
            </w:r>
            <w:r w:rsidR="0008077E">
              <w:rPr>
                <w:rFonts w:ascii="Arial" w:hAnsi="Arial" w:cs="Arial"/>
                <w:i/>
                <w:sz w:val="20"/>
                <w:szCs w:val="20"/>
              </w:rPr>
              <w:t xml:space="preserve">also </w:t>
            </w:r>
            <w:r w:rsidRPr="00750F2A">
              <w:rPr>
                <w:rFonts w:ascii="Arial" w:hAnsi="Arial" w:cs="Arial"/>
                <w:i/>
                <w:sz w:val="20"/>
                <w:szCs w:val="20"/>
              </w:rPr>
              <w:t xml:space="preserve">making </w:t>
            </w:r>
            <w:r w:rsidR="0008077E">
              <w:rPr>
                <w:rFonts w:ascii="Arial" w:hAnsi="Arial" w:cs="Arial"/>
                <w:i/>
                <w:sz w:val="20"/>
                <w:szCs w:val="20"/>
              </w:rPr>
              <w:t xml:space="preserve">good </w:t>
            </w:r>
            <w:r w:rsidRPr="00750F2A">
              <w:rPr>
                <w:rFonts w:ascii="Arial" w:hAnsi="Arial" w:cs="Arial"/>
                <w:i/>
                <w:sz w:val="20"/>
                <w:szCs w:val="20"/>
              </w:rPr>
              <w:t>progress on the</w:t>
            </w:r>
            <w:r w:rsidR="00B5550D">
              <w:rPr>
                <w:rFonts w:ascii="Arial" w:hAnsi="Arial" w:cs="Arial"/>
                <w:i/>
                <w:sz w:val="20"/>
                <w:szCs w:val="20"/>
              </w:rPr>
              <w:t xml:space="preserve"> revision to the</w:t>
            </w:r>
            <w:r w:rsidRPr="00750F2A">
              <w:rPr>
                <w:rFonts w:ascii="Arial" w:hAnsi="Arial" w:cs="Arial"/>
                <w:i/>
                <w:sz w:val="20"/>
                <w:szCs w:val="20"/>
              </w:rPr>
              <w:t xml:space="preserve"> </w:t>
            </w:r>
            <w:r w:rsidR="007F6F4B" w:rsidRPr="00750F2A">
              <w:rPr>
                <w:rFonts w:ascii="Arial" w:hAnsi="Arial" w:cs="Arial"/>
                <w:i/>
                <w:sz w:val="20"/>
                <w:szCs w:val="20"/>
              </w:rPr>
              <w:t>model Non Commercial Agreement (</w:t>
            </w:r>
            <w:proofErr w:type="spellStart"/>
            <w:r w:rsidRPr="00750F2A">
              <w:rPr>
                <w:rFonts w:ascii="Arial" w:hAnsi="Arial" w:cs="Arial"/>
                <w:i/>
                <w:sz w:val="20"/>
                <w:szCs w:val="20"/>
              </w:rPr>
              <w:t>mNCA</w:t>
            </w:r>
            <w:proofErr w:type="spellEnd"/>
            <w:r w:rsidR="007F6F4B" w:rsidRPr="00750F2A">
              <w:rPr>
                <w:rFonts w:ascii="Arial" w:hAnsi="Arial" w:cs="Arial"/>
                <w:i/>
                <w:sz w:val="20"/>
                <w:szCs w:val="20"/>
              </w:rPr>
              <w:t>)</w:t>
            </w:r>
            <w:r w:rsidR="00B5550D">
              <w:rPr>
                <w:rFonts w:ascii="Arial" w:hAnsi="Arial" w:cs="Arial"/>
                <w:i/>
                <w:sz w:val="20"/>
                <w:szCs w:val="20"/>
              </w:rPr>
              <w:t>, with the aim to publish in early 2018</w:t>
            </w:r>
            <w:r w:rsidR="0008077E">
              <w:rPr>
                <w:rFonts w:ascii="Arial" w:hAnsi="Arial" w:cs="Arial"/>
                <w:i/>
                <w:sz w:val="20"/>
                <w:szCs w:val="20"/>
              </w:rPr>
              <w:t xml:space="preserve">. </w:t>
            </w:r>
            <w:r w:rsidR="00CF2EB6">
              <w:rPr>
                <w:rFonts w:ascii="Arial" w:hAnsi="Arial" w:cs="Arial"/>
                <w:i/>
                <w:sz w:val="20"/>
                <w:szCs w:val="20"/>
              </w:rPr>
              <w:t xml:space="preserve"> </w:t>
            </w:r>
          </w:p>
          <w:p w:rsidR="0008077E" w:rsidRPr="00750F2A" w:rsidRDefault="0008077E" w:rsidP="0008077E">
            <w:pPr>
              <w:pStyle w:val="Default"/>
              <w:rPr>
                <w:rFonts w:ascii="Arial" w:hAnsi="Arial" w:cs="Arial"/>
                <w:i/>
                <w:sz w:val="20"/>
                <w:szCs w:val="20"/>
              </w:rPr>
            </w:pPr>
          </w:p>
        </w:tc>
      </w:tr>
      <w:tr w:rsidR="00C374C7" w:rsidRPr="007479BD" w:rsidTr="007479BD">
        <w:tc>
          <w:tcPr>
            <w:tcW w:w="5329" w:type="dxa"/>
          </w:tcPr>
          <w:p w:rsidR="00C374C7" w:rsidRPr="007479BD" w:rsidRDefault="00C374C7" w:rsidP="00C374C7">
            <w:pPr>
              <w:pStyle w:val="Default"/>
              <w:rPr>
                <w:rFonts w:ascii="Arial" w:hAnsi="Arial" w:cs="Arial"/>
                <w:sz w:val="20"/>
                <w:szCs w:val="20"/>
              </w:rPr>
            </w:pPr>
            <w:r w:rsidRPr="007479BD">
              <w:rPr>
                <w:rFonts w:ascii="Arial" w:hAnsi="Arial" w:cs="Arial"/>
                <w:sz w:val="20"/>
                <w:szCs w:val="20"/>
              </w:rPr>
              <w:t xml:space="preserve">NHS Trusts should ensure that R&amp;D Offices are not duplicating the review carried out under </w:t>
            </w:r>
            <w:r w:rsidRPr="007479BD">
              <w:rPr>
                <w:rFonts w:ascii="Arial" w:hAnsi="Arial" w:cs="Arial"/>
                <w:sz w:val="20"/>
                <w:szCs w:val="20"/>
                <w:highlight w:val="yellow"/>
              </w:rPr>
              <w:t>HRA</w:t>
            </w:r>
            <w:r w:rsidRPr="007479BD">
              <w:rPr>
                <w:rFonts w:ascii="Arial" w:hAnsi="Arial" w:cs="Arial"/>
                <w:sz w:val="20"/>
                <w:szCs w:val="20"/>
              </w:rPr>
              <w:t xml:space="preserve"> Approval.</w:t>
            </w:r>
          </w:p>
        </w:tc>
        <w:tc>
          <w:tcPr>
            <w:tcW w:w="4985" w:type="dxa"/>
          </w:tcPr>
          <w:p w:rsidR="007F6F4B" w:rsidRDefault="0008077E" w:rsidP="0008077E">
            <w:pPr>
              <w:pStyle w:val="Default"/>
              <w:rPr>
                <w:rFonts w:ascii="Arial" w:hAnsi="Arial" w:cs="Arial"/>
                <w:i/>
                <w:sz w:val="20"/>
                <w:szCs w:val="20"/>
              </w:rPr>
            </w:pPr>
            <w:r>
              <w:rPr>
                <w:rFonts w:ascii="Arial" w:hAnsi="Arial" w:cs="Arial"/>
                <w:i/>
                <w:sz w:val="20"/>
                <w:szCs w:val="20"/>
              </w:rPr>
              <w:t>Within our Service Improvement Programme we are ensuring that we work collaboratively so that R&amp;D offices do not need to duplicate the review.</w:t>
            </w:r>
          </w:p>
          <w:p w:rsidR="0008077E" w:rsidRDefault="0008077E" w:rsidP="0008077E">
            <w:pPr>
              <w:pStyle w:val="Default"/>
              <w:rPr>
                <w:rFonts w:ascii="Arial" w:hAnsi="Arial" w:cs="Arial"/>
                <w:i/>
                <w:sz w:val="20"/>
                <w:szCs w:val="20"/>
              </w:rPr>
            </w:pPr>
          </w:p>
          <w:p w:rsidR="0008077E" w:rsidRDefault="0008077E" w:rsidP="0008077E">
            <w:pPr>
              <w:pStyle w:val="Default"/>
              <w:rPr>
                <w:rFonts w:ascii="Arial" w:hAnsi="Arial" w:cs="Arial"/>
                <w:i/>
                <w:sz w:val="20"/>
                <w:szCs w:val="20"/>
              </w:rPr>
            </w:pPr>
            <w:r>
              <w:rPr>
                <w:rFonts w:ascii="Arial" w:hAnsi="Arial" w:cs="Arial"/>
                <w:i/>
                <w:sz w:val="20"/>
                <w:szCs w:val="20"/>
              </w:rPr>
              <w:t>Where we become aware that this is happening we have been meetin</w:t>
            </w:r>
            <w:r w:rsidR="00BA7800">
              <w:rPr>
                <w:rFonts w:ascii="Arial" w:hAnsi="Arial" w:cs="Arial"/>
                <w:i/>
                <w:sz w:val="20"/>
                <w:szCs w:val="20"/>
              </w:rPr>
              <w:t>g with the R&amp;D office to understand any concerns that they may have and to share information so that they understand the new process and can alter their own practice</w:t>
            </w:r>
            <w:r>
              <w:rPr>
                <w:rFonts w:ascii="Arial" w:hAnsi="Arial" w:cs="Arial"/>
                <w:i/>
                <w:sz w:val="20"/>
                <w:szCs w:val="20"/>
              </w:rPr>
              <w:t>.</w:t>
            </w:r>
          </w:p>
          <w:p w:rsidR="0008077E" w:rsidRDefault="0008077E" w:rsidP="0008077E">
            <w:pPr>
              <w:pStyle w:val="Default"/>
              <w:rPr>
                <w:rFonts w:ascii="Arial" w:hAnsi="Arial" w:cs="Arial"/>
                <w:i/>
                <w:sz w:val="20"/>
                <w:szCs w:val="20"/>
              </w:rPr>
            </w:pPr>
          </w:p>
          <w:p w:rsidR="009E69D2" w:rsidRDefault="009E69D2" w:rsidP="0008077E">
            <w:pPr>
              <w:pStyle w:val="Default"/>
              <w:rPr>
                <w:rFonts w:ascii="Arial" w:hAnsi="Arial" w:cs="Arial"/>
                <w:i/>
                <w:sz w:val="20"/>
                <w:szCs w:val="20"/>
              </w:rPr>
            </w:pPr>
            <w:r>
              <w:rPr>
                <w:rFonts w:ascii="Arial" w:hAnsi="Arial" w:cs="Arial"/>
                <w:i/>
                <w:sz w:val="20"/>
                <w:szCs w:val="20"/>
              </w:rPr>
              <w:t>We are exploring, with others in the research community, the concept of an NHS concordat.</w:t>
            </w:r>
          </w:p>
          <w:p w:rsidR="0008077E" w:rsidRPr="00750F2A" w:rsidRDefault="009E69D2" w:rsidP="0008077E">
            <w:pPr>
              <w:pStyle w:val="Default"/>
              <w:rPr>
                <w:rFonts w:ascii="Arial" w:hAnsi="Arial" w:cs="Arial"/>
                <w:i/>
                <w:sz w:val="20"/>
                <w:szCs w:val="20"/>
              </w:rPr>
            </w:pPr>
            <w:r>
              <w:rPr>
                <w:rFonts w:ascii="Arial" w:hAnsi="Arial" w:cs="Arial"/>
                <w:i/>
                <w:sz w:val="20"/>
                <w:szCs w:val="20"/>
              </w:rPr>
              <w:t xml:space="preserve"> </w:t>
            </w:r>
          </w:p>
        </w:tc>
      </w:tr>
      <w:tr w:rsidR="00C374C7" w:rsidRPr="007479BD" w:rsidTr="007479BD">
        <w:tc>
          <w:tcPr>
            <w:tcW w:w="5329" w:type="dxa"/>
          </w:tcPr>
          <w:p w:rsidR="00C374C7" w:rsidRPr="007479BD" w:rsidRDefault="00C374C7" w:rsidP="00C374C7">
            <w:pPr>
              <w:pStyle w:val="Default"/>
              <w:rPr>
                <w:rFonts w:ascii="Arial" w:hAnsi="Arial" w:cs="Arial"/>
                <w:sz w:val="20"/>
                <w:szCs w:val="20"/>
              </w:rPr>
            </w:pPr>
            <w:r w:rsidRPr="007479BD">
              <w:rPr>
                <w:rFonts w:ascii="Arial" w:hAnsi="Arial" w:cs="Arial"/>
                <w:sz w:val="20"/>
                <w:szCs w:val="20"/>
              </w:rPr>
              <w:t xml:space="preserve">R&amp;D Offices should work with the </w:t>
            </w:r>
            <w:r w:rsidRPr="007479BD">
              <w:rPr>
                <w:rFonts w:ascii="Arial" w:hAnsi="Arial" w:cs="Arial"/>
                <w:sz w:val="20"/>
                <w:szCs w:val="20"/>
                <w:highlight w:val="yellow"/>
              </w:rPr>
              <w:t>HRA</w:t>
            </w:r>
            <w:r w:rsidRPr="007479BD">
              <w:rPr>
                <w:rFonts w:ascii="Arial" w:hAnsi="Arial" w:cs="Arial"/>
                <w:sz w:val="20"/>
                <w:szCs w:val="20"/>
              </w:rPr>
              <w:t xml:space="preserve"> to establish clear escalation pathways for researchers so that delayed studies can be expedited.</w:t>
            </w:r>
          </w:p>
        </w:tc>
        <w:tc>
          <w:tcPr>
            <w:tcW w:w="4985" w:type="dxa"/>
          </w:tcPr>
          <w:p w:rsidR="00C374C7" w:rsidRDefault="007D1288" w:rsidP="00C374C7">
            <w:pPr>
              <w:pStyle w:val="Default"/>
              <w:rPr>
                <w:rFonts w:ascii="Arial" w:hAnsi="Arial" w:cs="Arial"/>
                <w:i/>
                <w:sz w:val="20"/>
                <w:szCs w:val="20"/>
              </w:rPr>
            </w:pPr>
            <w:r w:rsidRPr="00750F2A">
              <w:rPr>
                <w:rFonts w:ascii="Arial" w:hAnsi="Arial" w:cs="Arial"/>
                <w:i/>
                <w:sz w:val="20"/>
                <w:szCs w:val="20"/>
              </w:rPr>
              <w:t xml:space="preserve">We </w:t>
            </w:r>
            <w:r w:rsidR="0008077E">
              <w:rPr>
                <w:rFonts w:ascii="Arial" w:hAnsi="Arial" w:cs="Arial"/>
                <w:i/>
                <w:sz w:val="20"/>
                <w:szCs w:val="20"/>
              </w:rPr>
              <w:t xml:space="preserve">have </w:t>
            </w:r>
            <w:r w:rsidRPr="00750F2A">
              <w:rPr>
                <w:rFonts w:ascii="Arial" w:hAnsi="Arial" w:cs="Arial"/>
                <w:i/>
                <w:sz w:val="20"/>
                <w:szCs w:val="20"/>
              </w:rPr>
              <w:t>provide</w:t>
            </w:r>
            <w:r w:rsidR="0008077E">
              <w:rPr>
                <w:rFonts w:ascii="Arial" w:hAnsi="Arial" w:cs="Arial"/>
                <w:i/>
                <w:sz w:val="20"/>
                <w:szCs w:val="20"/>
              </w:rPr>
              <w:t>d</w:t>
            </w:r>
            <w:r w:rsidRPr="00750F2A">
              <w:rPr>
                <w:rFonts w:ascii="Arial" w:hAnsi="Arial" w:cs="Arial"/>
                <w:i/>
                <w:sz w:val="20"/>
                <w:szCs w:val="20"/>
              </w:rPr>
              <w:t xml:space="preserve"> a range of escalation routes through individuals who engage with the research community and via a generic email address.</w:t>
            </w:r>
            <w:r w:rsidR="0008077E">
              <w:rPr>
                <w:rFonts w:ascii="Arial" w:hAnsi="Arial" w:cs="Arial"/>
                <w:i/>
                <w:sz w:val="20"/>
                <w:szCs w:val="20"/>
              </w:rPr>
              <w:t xml:space="preserve">  </w:t>
            </w:r>
          </w:p>
          <w:p w:rsidR="0008077E" w:rsidRDefault="0008077E" w:rsidP="00C374C7">
            <w:pPr>
              <w:pStyle w:val="Default"/>
              <w:rPr>
                <w:rFonts w:ascii="Arial" w:hAnsi="Arial" w:cs="Arial"/>
                <w:i/>
                <w:sz w:val="20"/>
                <w:szCs w:val="20"/>
              </w:rPr>
            </w:pPr>
          </w:p>
          <w:p w:rsidR="0008077E" w:rsidRDefault="0008077E" w:rsidP="00C374C7">
            <w:pPr>
              <w:pStyle w:val="Default"/>
              <w:rPr>
                <w:rFonts w:ascii="Arial" w:hAnsi="Arial" w:cs="Arial"/>
                <w:i/>
                <w:sz w:val="20"/>
                <w:szCs w:val="20"/>
              </w:rPr>
            </w:pPr>
            <w:r>
              <w:rPr>
                <w:rFonts w:ascii="Arial" w:hAnsi="Arial" w:cs="Arial"/>
                <w:i/>
                <w:sz w:val="20"/>
                <w:szCs w:val="20"/>
              </w:rPr>
              <w:t>We are also actively reviewing feedback to avoid any issues.</w:t>
            </w:r>
          </w:p>
          <w:p w:rsidR="0008077E" w:rsidRDefault="0008077E" w:rsidP="00C374C7">
            <w:pPr>
              <w:pStyle w:val="Default"/>
              <w:rPr>
                <w:rFonts w:ascii="Arial" w:hAnsi="Arial" w:cs="Arial"/>
                <w:i/>
                <w:sz w:val="20"/>
                <w:szCs w:val="20"/>
              </w:rPr>
            </w:pPr>
          </w:p>
          <w:p w:rsidR="0008077E" w:rsidRPr="00750F2A" w:rsidRDefault="0008077E" w:rsidP="00C374C7">
            <w:pPr>
              <w:pStyle w:val="Default"/>
              <w:rPr>
                <w:rFonts w:ascii="Arial" w:hAnsi="Arial" w:cs="Arial"/>
                <w:i/>
                <w:sz w:val="20"/>
                <w:szCs w:val="20"/>
              </w:rPr>
            </w:pPr>
            <w:r>
              <w:rPr>
                <w:rFonts w:ascii="Arial" w:hAnsi="Arial" w:cs="Arial"/>
                <w:i/>
                <w:sz w:val="20"/>
                <w:szCs w:val="20"/>
              </w:rPr>
              <w:t xml:space="preserve">Dedicated assessors are </w:t>
            </w:r>
            <w:r w:rsidR="00BA7800">
              <w:rPr>
                <w:rFonts w:ascii="Arial" w:hAnsi="Arial" w:cs="Arial"/>
                <w:i/>
                <w:sz w:val="20"/>
                <w:szCs w:val="20"/>
              </w:rPr>
              <w:t xml:space="preserve">now </w:t>
            </w:r>
            <w:r>
              <w:rPr>
                <w:rFonts w:ascii="Arial" w:hAnsi="Arial" w:cs="Arial"/>
                <w:i/>
                <w:sz w:val="20"/>
                <w:szCs w:val="20"/>
              </w:rPr>
              <w:t>assign</w:t>
            </w:r>
            <w:r w:rsidR="00BA7800">
              <w:rPr>
                <w:rFonts w:ascii="Arial" w:hAnsi="Arial" w:cs="Arial"/>
                <w:i/>
                <w:sz w:val="20"/>
                <w:szCs w:val="20"/>
              </w:rPr>
              <w:t xml:space="preserve">ed to studies at the outset </w:t>
            </w:r>
            <w:r>
              <w:rPr>
                <w:rFonts w:ascii="Arial" w:hAnsi="Arial" w:cs="Arial"/>
                <w:i/>
                <w:sz w:val="20"/>
                <w:szCs w:val="20"/>
              </w:rPr>
              <w:t>to ensure that researchers have a named contact.</w:t>
            </w:r>
          </w:p>
          <w:p w:rsidR="007F6F4B" w:rsidRPr="00750F2A" w:rsidRDefault="007F6F4B" w:rsidP="00C374C7">
            <w:pPr>
              <w:pStyle w:val="Default"/>
              <w:rPr>
                <w:rFonts w:ascii="Arial" w:hAnsi="Arial" w:cs="Arial"/>
                <w:i/>
                <w:sz w:val="20"/>
                <w:szCs w:val="20"/>
              </w:rPr>
            </w:pPr>
          </w:p>
        </w:tc>
      </w:tr>
      <w:tr w:rsidR="00C374C7" w:rsidRPr="007479BD" w:rsidTr="007479BD">
        <w:tc>
          <w:tcPr>
            <w:tcW w:w="5329" w:type="dxa"/>
          </w:tcPr>
          <w:p w:rsidR="00C374C7" w:rsidRDefault="00C374C7" w:rsidP="00C374C7">
            <w:pPr>
              <w:pStyle w:val="Default"/>
              <w:rPr>
                <w:rFonts w:ascii="Arial" w:hAnsi="Arial" w:cs="Arial"/>
                <w:sz w:val="20"/>
                <w:szCs w:val="20"/>
              </w:rPr>
            </w:pPr>
            <w:r w:rsidRPr="007479BD">
              <w:rPr>
                <w:rFonts w:ascii="Arial" w:hAnsi="Arial" w:cs="Arial"/>
                <w:sz w:val="20"/>
                <w:szCs w:val="20"/>
              </w:rPr>
              <w:t xml:space="preserve">The </w:t>
            </w:r>
            <w:r w:rsidRPr="007479BD">
              <w:rPr>
                <w:rFonts w:ascii="Arial" w:hAnsi="Arial" w:cs="Arial"/>
                <w:sz w:val="20"/>
                <w:szCs w:val="20"/>
                <w:highlight w:val="yellow"/>
              </w:rPr>
              <w:t>HRA</w:t>
            </w:r>
            <w:r w:rsidRPr="007479BD">
              <w:rPr>
                <w:rFonts w:ascii="Arial" w:hAnsi="Arial" w:cs="Arial"/>
                <w:sz w:val="20"/>
                <w:szCs w:val="20"/>
              </w:rPr>
              <w:t xml:space="preserve"> should establish a centralised repository for documents such as NHS staff CVs, G</w:t>
            </w:r>
            <w:r w:rsidR="007F6F4B">
              <w:rPr>
                <w:rFonts w:ascii="Arial" w:hAnsi="Arial" w:cs="Arial"/>
                <w:sz w:val="20"/>
                <w:szCs w:val="20"/>
              </w:rPr>
              <w:t>ood Clinical Practice (G</w:t>
            </w:r>
            <w:r w:rsidRPr="007479BD">
              <w:rPr>
                <w:rFonts w:ascii="Arial" w:hAnsi="Arial" w:cs="Arial"/>
                <w:sz w:val="20"/>
                <w:szCs w:val="20"/>
              </w:rPr>
              <w:t>CP</w:t>
            </w:r>
            <w:r w:rsidR="007F6F4B">
              <w:rPr>
                <w:rFonts w:ascii="Arial" w:hAnsi="Arial" w:cs="Arial"/>
                <w:sz w:val="20"/>
                <w:szCs w:val="20"/>
              </w:rPr>
              <w:t>)</w:t>
            </w:r>
            <w:r w:rsidRPr="007479BD">
              <w:rPr>
                <w:rFonts w:ascii="Arial" w:hAnsi="Arial" w:cs="Arial"/>
                <w:sz w:val="20"/>
                <w:szCs w:val="20"/>
              </w:rPr>
              <w:t xml:space="preserve"> certificates and other standard documentation necessary for study set-up.</w:t>
            </w:r>
          </w:p>
          <w:p w:rsidR="007F6F4B" w:rsidRPr="007479BD" w:rsidRDefault="007F6F4B" w:rsidP="00C374C7">
            <w:pPr>
              <w:pStyle w:val="Default"/>
              <w:rPr>
                <w:rFonts w:ascii="Arial" w:hAnsi="Arial" w:cs="Arial"/>
                <w:sz w:val="20"/>
                <w:szCs w:val="20"/>
              </w:rPr>
            </w:pPr>
          </w:p>
        </w:tc>
        <w:tc>
          <w:tcPr>
            <w:tcW w:w="4985" w:type="dxa"/>
          </w:tcPr>
          <w:p w:rsidR="00C374C7" w:rsidRPr="00750F2A" w:rsidRDefault="0008077E" w:rsidP="0008077E">
            <w:pPr>
              <w:pStyle w:val="Default"/>
              <w:rPr>
                <w:rFonts w:ascii="Arial" w:hAnsi="Arial" w:cs="Arial"/>
                <w:i/>
                <w:sz w:val="20"/>
                <w:szCs w:val="20"/>
              </w:rPr>
            </w:pPr>
            <w:r>
              <w:rPr>
                <w:rFonts w:ascii="Arial" w:hAnsi="Arial" w:cs="Arial"/>
                <w:i/>
                <w:sz w:val="20"/>
                <w:szCs w:val="20"/>
              </w:rPr>
              <w:t>This will be a key user requirement as part of the specification for a new IRAS</w:t>
            </w:r>
            <w:r w:rsidR="0084777C" w:rsidRPr="00750F2A">
              <w:rPr>
                <w:rFonts w:ascii="Arial" w:hAnsi="Arial" w:cs="Arial"/>
                <w:i/>
                <w:sz w:val="20"/>
                <w:szCs w:val="20"/>
              </w:rPr>
              <w:t>.</w:t>
            </w:r>
          </w:p>
        </w:tc>
      </w:tr>
      <w:tr w:rsidR="00C374C7" w:rsidRPr="007479BD" w:rsidTr="007479BD">
        <w:tc>
          <w:tcPr>
            <w:tcW w:w="5329" w:type="dxa"/>
          </w:tcPr>
          <w:p w:rsidR="00C374C7" w:rsidRPr="007479BD" w:rsidRDefault="00C374C7" w:rsidP="00C374C7">
            <w:pPr>
              <w:pStyle w:val="Default"/>
              <w:spacing w:after="55"/>
              <w:rPr>
                <w:rFonts w:ascii="Arial" w:hAnsi="Arial" w:cs="Arial"/>
                <w:sz w:val="20"/>
                <w:szCs w:val="20"/>
              </w:rPr>
            </w:pPr>
            <w:r w:rsidRPr="007479BD">
              <w:rPr>
                <w:rFonts w:ascii="Arial" w:hAnsi="Arial" w:cs="Arial"/>
                <w:sz w:val="20"/>
                <w:szCs w:val="20"/>
              </w:rPr>
              <w:t xml:space="preserve">NHS Trusts and R&amp;D Offices should ensure that staff are </w:t>
            </w:r>
            <w:r w:rsidRPr="007479BD">
              <w:rPr>
                <w:rFonts w:ascii="Arial" w:hAnsi="Arial" w:cs="Arial"/>
                <w:b/>
                <w:bCs/>
                <w:sz w:val="20"/>
                <w:szCs w:val="20"/>
              </w:rPr>
              <w:t xml:space="preserve">trained and supported to make risk-proportionate decisions </w:t>
            </w:r>
            <w:r w:rsidRPr="007479BD">
              <w:rPr>
                <w:rFonts w:ascii="Arial" w:hAnsi="Arial" w:cs="Arial"/>
                <w:sz w:val="20"/>
                <w:szCs w:val="20"/>
              </w:rPr>
              <w:t xml:space="preserve">and avoid overly risk-averse behaviour, with senior managers helping to effect such culture change. A risk proportionate approach should also be encouraged by sponsors. </w:t>
            </w:r>
          </w:p>
          <w:p w:rsidR="00C374C7" w:rsidRPr="007479BD" w:rsidRDefault="00C374C7" w:rsidP="00C374C7">
            <w:pPr>
              <w:pStyle w:val="Default"/>
              <w:rPr>
                <w:rFonts w:ascii="Arial" w:hAnsi="Arial" w:cs="Arial"/>
                <w:sz w:val="20"/>
                <w:szCs w:val="20"/>
              </w:rPr>
            </w:pPr>
          </w:p>
        </w:tc>
        <w:tc>
          <w:tcPr>
            <w:tcW w:w="4985" w:type="dxa"/>
          </w:tcPr>
          <w:p w:rsidR="00C374C7" w:rsidRDefault="007D1288" w:rsidP="00C374C7">
            <w:pPr>
              <w:pStyle w:val="Default"/>
              <w:rPr>
                <w:rFonts w:ascii="Arial" w:hAnsi="Arial" w:cs="Arial"/>
                <w:i/>
                <w:sz w:val="20"/>
                <w:szCs w:val="20"/>
              </w:rPr>
            </w:pPr>
            <w:r w:rsidRPr="00750F2A">
              <w:rPr>
                <w:rFonts w:ascii="Arial" w:hAnsi="Arial" w:cs="Arial"/>
                <w:i/>
                <w:sz w:val="20"/>
                <w:szCs w:val="20"/>
              </w:rPr>
              <w:t>We encourage this approach in our regular engagement with NHS organisations and sponsors.</w:t>
            </w:r>
            <w:r w:rsidR="0008077E">
              <w:rPr>
                <w:rFonts w:ascii="Arial" w:hAnsi="Arial" w:cs="Arial"/>
                <w:i/>
                <w:sz w:val="20"/>
                <w:szCs w:val="20"/>
              </w:rPr>
              <w:t xml:space="preserve"> </w:t>
            </w:r>
            <w:r w:rsidRPr="00750F2A">
              <w:rPr>
                <w:rFonts w:ascii="Arial" w:hAnsi="Arial" w:cs="Arial"/>
                <w:i/>
                <w:sz w:val="20"/>
                <w:szCs w:val="20"/>
              </w:rPr>
              <w:t xml:space="preserve"> We work closely with the NHS R&amp;D Forum that provides training and resource exchanges to support this.</w:t>
            </w:r>
            <w:r w:rsidR="003830C6">
              <w:rPr>
                <w:rFonts w:ascii="Arial" w:hAnsi="Arial" w:cs="Arial"/>
                <w:i/>
                <w:sz w:val="20"/>
                <w:szCs w:val="20"/>
              </w:rPr>
              <w:t xml:space="preserve">  </w:t>
            </w:r>
            <w:r w:rsidR="00AB1283">
              <w:rPr>
                <w:rFonts w:ascii="Arial" w:hAnsi="Arial" w:cs="Arial"/>
                <w:i/>
                <w:sz w:val="20"/>
                <w:szCs w:val="20"/>
              </w:rPr>
              <w:t>We also issued guid</w:t>
            </w:r>
            <w:r w:rsidR="003830C6">
              <w:rPr>
                <w:rFonts w:ascii="Arial" w:hAnsi="Arial" w:cs="Arial"/>
                <w:i/>
                <w:sz w:val="20"/>
                <w:szCs w:val="20"/>
              </w:rPr>
              <w:t>ance on proportionate approaches</w:t>
            </w:r>
            <w:r w:rsidR="00AB1283">
              <w:rPr>
                <w:rFonts w:ascii="Arial" w:hAnsi="Arial" w:cs="Arial"/>
                <w:i/>
                <w:sz w:val="20"/>
                <w:szCs w:val="20"/>
              </w:rPr>
              <w:t xml:space="preserve"> to consent in January 2017.</w:t>
            </w:r>
          </w:p>
          <w:p w:rsidR="009E69D2" w:rsidRDefault="009E69D2" w:rsidP="00C374C7">
            <w:pPr>
              <w:pStyle w:val="Default"/>
              <w:rPr>
                <w:rFonts w:ascii="Arial" w:hAnsi="Arial" w:cs="Arial"/>
                <w:i/>
                <w:sz w:val="20"/>
                <w:szCs w:val="20"/>
              </w:rPr>
            </w:pPr>
          </w:p>
          <w:p w:rsidR="009E69D2" w:rsidRDefault="009E69D2" w:rsidP="00C374C7">
            <w:pPr>
              <w:pStyle w:val="Default"/>
              <w:rPr>
                <w:rFonts w:ascii="Arial" w:hAnsi="Arial" w:cs="Arial"/>
                <w:i/>
                <w:sz w:val="20"/>
                <w:szCs w:val="20"/>
              </w:rPr>
            </w:pPr>
            <w:r>
              <w:rPr>
                <w:rFonts w:ascii="Arial" w:hAnsi="Arial" w:cs="Arial"/>
                <w:i/>
                <w:sz w:val="20"/>
                <w:szCs w:val="20"/>
              </w:rPr>
              <w:lastRenderedPageBreak/>
              <w:t xml:space="preserve">The HRA’s assessment is designed to be proportionate in </w:t>
            </w:r>
            <w:proofErr w:type="gramStart"/>
            <w:r>
              <w:rPr>
                <w:rFonts w:ascii="Arial" w:hAnsi="Arial" w:cs="Arial"/>
                <w:i/>
                <w:sz w:val="20"/>
                <w:szCs w:val="20"/>
              </w:rPr>
              <w:t>itself</w:t>
            </w:r>
            <w:proofErr w:type="gramEnd"/>
            <w:r>
              <w:rPr>
                <w:rFonts w:ascii="Arial" w:hAnsi="Arial" w:cs="Arial"/>
                <w:i/>
                <w:sz w:val="20"/>
                <w:szCs w:val="20"/>
              </w:rPr>
              <w:t>, but also to set out expected proportionate site arrangements in the information for sites.</w:t>
            </w:r>
          </w:p>
          <w:p w:rsidR="009E69D2" w:rsidRDefault="009E69D2" w:rsidP="00C374C7">
            <w:pPr>
              <w:pStyle w:val="Default"/>
              <w:rPr>
                <w:rFonts w:ascii="Arial" w:hAnsi="Arial" w:cs="Arial"/>
                <w:i/>
                <w:sz w:val="20"/>
                <w:szCs w:val="20"/>
              </w:rPr>
            </w:pPr>
          </w:p>
          <w:p w:rsidR="0008077E" w:rsidRPr="00750F2A" w:rsidRDefault="0008077E" w:rsidP="009E69D2">
            <w:pPr>
              <w:pStyle w:val="Default"/>
              <w:rPr>
                <w:rFonts w:ascii="Arial" w:hAnsi="Arial" w:cs="Arial"/>
                <w:i/>
                <w:sz w:val="20"/>
                <w:szCs w:val="20"/>
              </w:rPr>
            </w:pPr>
            <w:r>
              <w:rPr>
                <w:rFonts w:ascii="Arial" w:hAnsi="Arial" w:cs="Arial"/>
                <w:i/>
                <w:sz w:val="20"/>
                <w:szCs w:val="20"/>
              </w:rPr>
              <w:t xml:space="preserve">HRA has recently launched a number of e-learning modules </w:t>
            </w:r>
            <w:r w:rsidR="009E69D2">
              <w:rPr>
                <w:rFonts w:ascii="Arial" w:hAnsi="Arial" w:cs="Arial"/>
                <w:i/>
                <w:sz w:val="20"/>
                <w:szCs w:val="20"/>
              </w:rPr>
              <w:t>to assist the research community in understanding the principles of the regulatory system, and in developing a level of expertise that supports effective decision-making.</w:t>
            </w:r>
          </w:p>
        </w:tc>
      </w:tr>
      <w:tr w:rsidR="00E07CBD" w:rsidRPr="007479BD" w:rsidTr="007479BD">
        <w:tc>
          <w:tcPr>
            <w:tcW w:w="5329" w:type="dxa"/>
          </w:tcPr>
          <w:p w:rsidR="00E07CBD" w:rsidRPr="007479BD" w:rsidRDefault="00E07CBD" w:rsidP="00C374C7">
            <w:pPr>
              <w:pStyle w:val="Default"/>
              <w:spacing w:after="55"/>
              <w:rPr>
                <w:rFonts w:ascii="Arial" w:hAnsi="Arial" w:cs="Arial"/>
                <w:sz w:val="20"/>
                <w:szCs w:val="20"/>
              </w:rPr>
            </w:pPr>
            <w:r w:rsidRPr="007479BD">
              <w:rPr>
                <w:rFonts w:ascii="Arial" w:hAnsi="Arial" w:cs="Arial"/>
                <w:sz w:val="20"/>
                <w:szCs w:val="20"/>
              </w:rPr>
              <w:lastRenderedPageBreak/>
              <w:t xml:space="preserve">The UK should maintain and support a strong national </w:t>
            </w:r>
            <w:r w:rsidRPr="007479BD">
              <w:rPr>
                <w:rFonts w:ascii="Arial" w:hAnsi="Arial" w:cs="Arial"/>
                <w:sz w:val="20"/>
                <w:szCs w:val="20"/>
                <w:highlight w:val="yellow"/>
              </w:rPr>
              <w:t>regulator</w:t>
            </w:r>
            <w:r w:rsidRPr="007479BD">
              <w:rPr>
                <w:rFonts w:ascii="Arial" w:hAnsi="Arial" w:cs="Arial"/>
                <w:sz w:val="20"/>
                <w:szCs w:val="20"/>
              </w:rPr>
              <w:t xml:space="preserve"> for clinical trials</w:t>
            </w:r>
          </w:p>
        </w:tc>
        <w:tc>
          <w:tcPr>
            <w:tcW w:w="4985" w:type="dxa"/>
          </w:tcPr>
          <w:p w:rsidR="00E07CBD" w:rsidRPr="00750F2A" w:rsidRDefault="00CF2EB6" w:rsidP="00C374C7">
            <w:pPr>
              <w:pStyle w:val="Default"/>
              <w:rPr>
                <w:rFonts w:ascii="Arial" w:hAnsi="Arial" w:cs="Arial"/>
                <w:i/>
                <w:sz w:val="20"/>
                <w:szCs w:val="20"/>
              </w:rPr>
            </w:pPr>
            <w:r>
              <w:rPr>
                <w:rFonts w:ascii="Arial" w:hAnsi="Arial" w:cs="Arial"/>
                <w:i/>
                <w:sz w:val="20"/>
                <w:szCs w:val="20"/>
              </w:rPr>
              <w:t xml:space="preserve">HRA </w:t>
            </w:r>
            <w:r w:rsidR="007D1288" w:rsidRPr="00750F2A">
              <w:rPr>
                <w:rFonts w:ascii="Arial" w:hAnsi="Arial" w:cs="Arial"/>
                <w:i/>
                <w:sz w:val="20"/>
                <w:szCs w:val="20"/>
              </w:rPr>
              <w:t>work</w:t>
            </w:r>
            <w:r>
              <w:rPr>
                <w:rFonts w:ascii="Arial" w:hAnsi="Arial" w:cs="Arial"/>
                <w:i/>
                <w:sz w:val="20"/>
                <w:szCs w:val="20"/>
              </w:rPr>
              <w:t>s</w:t>
            </w:r>
            <w:r w:rsidR="007D1288" w:rsidRPr="00750F2A">
              <w:rPr>
                <w:rFonts w:ascii="Arial" w:hAnsi="Arial" w:cs="Arial"/>
                <w:i/>
                <w:sz w:val="20"/>
                <w:szCs w:val="20"/>
              </w:rPr>
              <w:t xml:space="preserve"> closely with </w:t>
            </w:r>
            <w:r>
              <w:rPr>
                <w:rFonts w:ascii="Arial" w:hAnsi="Arial" w:cs="Arial"/>
                <w:i/>
                <w:sz w:val="20"/>
                <w:szCs w:val="20"/>
              </w:rPr>
              <w:t xml:space="preserve">the </w:t>
            </w:r>
            <w:r w:rsidR="007D1288" w:rsidRPr="00750F2A">
              <w:rPr>
                <w:rFonts w:ascii="Arial" w:hAnsi="Arial" w:cs="Arial"/>
                <w:i/>
                <w:sz w:val="20"/>
                <w:szCs w:val="20"/>
              </w:rPr>
              <w:t>M</w:t>
            </w:r>
            <w:r w:rsidR="007F6F4B" w:rsidRPr="00750F2A">
              <w:rPr>
                <w:rFonts w:ascii="Arial" w:hAnsi="Arial" w:cs="Arial"/>
                <w:i/>
                <w:sz w:val="20"/>
                <w:szCs w:val="20"/>
              </w:rPr>
              <w:t>edicines and Healthcare Products Regulatory Agency (M</w:t>
            </w:r>
            <w:r w:rsidR="007D1288" w:rsidRPr="00750F2A">
              <w:rPr>
                <w:rFonts w:ascii="Arial" w:hAnsi="Arial" w:cs="Arial"/>
                <w:i/>
                <w:sz w:val="20"/>
                <w:szCs w:val="20"/>
              </w:rPr>
              <w:t>HRA</w:t>
            </w:r>
            <w:r w:rsidR="007F6F4B" w:rsidRPr="00750F2A">
              <w:rPr>
                <w:rFonts w:ascii="Arial" w:hAnsi="Arial" w:cs="Arial"/>
                <w:i/>
                <w:sz w:val="20"/>
                <w:szCs w:val="20"/>
              </w:rPr>
              <w:t>)</w:t>
            </w:r>
            <w:r w:rsidR="007D1288" w:rsidRPr="00750F2A">
              <w:rPr>
                <w:rFonts w:ascii="Arial" w:hAnsi="Arial" w:cs="Arial"/>
                <w:i/>
                <w:sz w:val="20"/>
                <w:szCs w:val="20"/>
              </w:rPr>
              <w:t xml:space="preserve"> to maintain an efficient regulatory system for clinical trials</w:t>
            </w:r>
            <w:r>
              <w:rPr>
                <w:rFonts w:ascii="Arial" w:hAnsi="Arial" w:cs="Arial"/>
                <w:i/>
                <w:sz w:val="20"/>
                <w:szCs w:val="20"/>
              </w:rPr>
              <w:t>.</w:t>
            </w:r>
          </w:p>
          <w:p w:rsidR="007F6F4B" w:rsidRPr="00750F2A" w:rsidRDefault="007F6F4B" w:rsidP="00C374C7">
            <w:pPr>
              <w:pStyle w:val="Default"/>
              <w:rPr>
                <w:rFonts w:ascii="Arial" w:hAnsi="Arial" w:cs="Arial"/>
                <w:i/>
                <w:sz w:val="20"/>
                <w:szCs w:val="20"/>
              </w:rPr>
            </w:pPr>
          </w:p>
        </w:tc>
      </w:tr>
      <w:tr w:rsidR="00E07CBD" w:rsidRPr="007479BD" w:rsidTr="007479BD">
        <w:tc>
          <w:tcPr>
            <w:tcW w:w="5329" w:type="dxa"/>
          </w:tcPr>
          <w:p w:rsidR="00E07CBD" w:rsidRPr="007479BD" w:rsidRDefault="00E07CBD" w:rsidP="00E07CBD">
            <w:pPr>
              <w:pStyle w:val="Default"/>
              <w:spacing w:after="55"/>
              <w:rPr>
                <w:rFonts w:ascii="Arial" w:hAnsi="Arial" w:cs="Arial"/>
                <w:sz w:val="20"/>
                <w:szCs w:val="20"/>
              </w:rPr>
            </w:pPr>
            <w:r w:rsidRPr="007479BD">
              <w:rPr>
                <w:rFonts w:ascii="Arial" w:hAnsi="Arial" w:cs="Arial"/>
                <w:sz w:val="20"/>
                <w:szCs w:val="20"/>
              </w:rPr>
              <w:t xml:space="preserve">In preparing for the UK’s exit from the EU, the MHRA, </w:t>
            </w:r>
            <w:r w:rsidRPr="007479BD">
              <w:rPr>
                <w:rFonts w:ascii="Arial" w:hAnsi="Arial" w:cs="Arial"/>
                <w:sz w:val="20"/>
                <w:szCs w:val="20"/>
                <w:highlight w:val="yellow"/>
              </w:rPr>
              <w:t>HRA</w:t>
            </w:r>
            <w:r w:rsidRPr="007479BD">
              <w:rPr>
                <w:rFonts w:ascii="Arial" w:hAnsi="Arial" w:cs="Arial"/>
                <w:sz w:val="20"/>
                <w:szCs w:val="20"/>
              </w:rPr>
              <w:t xml:space="preserve"> and other stakeholders in the UK health research ecosystem must prioritise continued harmonisation/compatibility with the EU regulatory/clinical trials system and access to the EU portal and database.</w:t>
            </w:r>
          </w:p>
        </w:tc>
        <w:tc>
          <w:tcPr>
            <w:tcW w:w="4985" w:type="dxa"/>
          </w:tcPr>
          <w:p w:rsidR="00E07CBD" w:rsidRPr="00750F2A" w:rsidRDefault="008B4A43" w:rsidP="00C374C7">
            <w:pPr>
              <w:pStyle w:val="Default"/>
              <w:rPr>
                <w:rFonts w:ascii="Arial" w:hAnsi="Arial" w:cs="Arial"/>
                <w:i/>
                <w:sz w:val="20"/>
                <w:szCs w:val="20"/>
              </w:rPr>
            </w:pPr>
            <w:r w:rsidRPr="00750F2A">
              <w:rPr>
                <w:rFonts w:ascii="Arial" w:hAnsi="Arial" w:cs="Arial"/>
                <w:i/>
                <w:sz w:val="20"/>
                <w:szCs w:val="20"/>
              </w:rPr>
              <w:t xml:space="preserve">We are working closely with MHRA to implement the necessary business processes, integrated arrangements and IT to support implementation of the EU </w:t>
            </w:r>
            <w:r w:rsidR="00750F2A" w:rsidRPr="00750F2A">
              <w:rPr>
                <w:rFonts w:ascii="Arial" w:hAnsi="Arial" w:cs="Arial"/>
                <w:i/>
                <w:sz w:val="20"/>
                <w:szCs w:val="20"/>
              </w:rPr>
              <w:t>C</w:t>
            </w:r>
            <w:r w:rsidR="00750F2A">
              <w:rPr>
                <w:rFonts w:ascii="Arial" w:hAnsi="Arial" w:cs="Arial"/>
                <w:i/>
                <w:sz w:val="20"/>
                <w:szCs w:val="20"/>
              </w:rPr>
              <w:t>linical Trials</w:t>
            </w:r>
            <w:r w:rsidRPr="00750F2A">
              <w:rPr>
                <w:rFonts w:ascii="Arial" w:hAnsi="Arial" w:cs="Arial"/>
                <w:i/>
                <w:sz w:val="20"/>
                <w:szCs w:val="20"/>
              </w:rPr>
              <w:t xml:space="preserve"> Regulation. In addition we are undertaking equivalent work for alternative scenarios if we do not or cannot access the EU portal</w:t>
            </w:r>
            <w:r w:rsidR="00BA7800">
              <w:rPr>
                <w:rFonts w:ascii="Arial" w:hAnsi="Arial" w:cs="Arial"/>
                <w:i/>
                <w:sz w:val="20"/>
                <w:szCs w:val="20"/>
              </w:rPr>
              <w:t xml:space="preserve"> with the MHRA</w:t>
            </w:r>
            <w:r w:rsidRPr="00750F2A">
              <w:rPr>
                <w:rFonts w:ascii="Arial" w:hAnsi="Arial" w:cs="Arial"/>
                <w:i/>
                <w:sz w:val="20"/>
                <w:szCs w:val="20"/>
              </w:rPr>
              <w:t>.</w:t>
            </w:r>
          </w:p>
          <w:p w:rsidR="007F6F4B" w:rsidRPr="00750F2A" w:rsidRDefault="007F6F4B" w:rsidP="00C374C7">
            <w:pPr>
              <w:pStyle w:val="Default"/>
              <w:rPr>
                <w:rFonts w:ascii="Arial" w:hAnsi="Arial" w:cs="Arial"/>
                <w:i/>
                <w:sz w:val="20"/>
                <w:szCs w:val="20"/>
              </w:rPr>
            </w:pPr>
          </w:p>
        </w:tc>
      </w:tr>
      <w:tr w:rsidR="00E07CBD" w:rsidRPr="007479BD" w:rsidTr="007479BD">
        <w:tc>
          <w:tcPr>
            <w:tcW w:w="5329" w:type="dxa"/>
          </w:tcPr>
          <w:p w:rsidR="00E07CBD" w:rsidRDefault="00E07CBD" w:rsidP="00C374C7">
            <w:pPr>
              <w:pStyle w:val="Default"/>
              <w:spacing w:after="55"/>
              <w:rPr>
                <w:rFonts w:ascii="Arial" w:hAnsi="Arial" w:cs="Arial"/>
                <w:sz w:val="20"/>
                <w:szCs w:val="20"/>
              </w:rPr>
            </w:pPr>
            <w:r w:rsidRPr="007479BD">
              <w:rPr>
                <w:rFonts w:ascii="Arial" w:hAnsi="Arial" w:cs="Arial"/>
                <w:sz w:val="20"/>
                <w:szCs w:val="20"/>
              </w:rPr>
              <w:t xml:space="preserve">The potential for establishing further </w:t>
            </w:r>
            <w:r w:rsidRPr="007479BD">
              <w:rPr>
                <w:rFonts w:ascii="Arial" w:hAnsi="Arial" w:cs="Arial"/>
                <w:sz w:val="20"/>
                <w:szCs w:val="20"/>
                <w:highlight w:val="yellow"/>
              </w:rPr>
              <w:t>regulatory</w:t>
            </w:r>
            <w:r w:rsidRPr="007479BD">
              <w:rPr>
                <w:rFonts w:ascii="Arial" w:hAnsi="Arial" w:cs="Arial"/>
                <w:sz w:val="20"/>
                <w:szCs w:val="20"/>
              </w:rPr>
              <w:t xml:space="preserve"> flexibility for single state trials in the UK should be explored, whilst continuing to ensure compatibility with EU regulation</w:t>
            </w:r>
            <w:r w:rsidR="007F6F4B">
              <w:rPr>
                <w:rFonts w:ascii="Arial" w:hAnsi="Arial" w:cs="Arial"/>
                <w:sz w:val="20"/>
                <w:szCs w:val="20"/>
              </w:rPr>
              <w:t>.</w:t>
            </w:r>
          </w:p>
          <w:p w:rsidR="007F6F4B" w:rsidRPr="007479BD" w:rsidRDefault="007F6F4B" w:rsidP="00C374C7">
            <w:pPr>
              <w:pStyle w:val="Default"/>
              <w:spacing w:after="55"/>
              <w:rPr>
                <w:rFonts w:ascii="Arial" w:hAnsi="Arial" w:cs="Arial"/>
                <w:sz w:val="20"/>
                <w:szCs w:val="20"/>
              </w:rPr>
            </w:pPr>
          </w:p>
        </w:tc>
        <w:tc>
          <w:tcPr>
            <w:tcW w:w="4985" w:type="dxa"/>
          </w:tcPr>
          <w:p w:rsidR="00E07CBD" w:rsidRPr="00750F2A" w:rsidRDefault="008B4A43" w:rsidP="00C374C7">
            <w:pPr>
              <w:pStyle w:val="Default"/>
              <w:rPr>
                <w:rFonts w:ascii="Arial" w:hAnsi="Arial" w:cs="Arial"/>
                <w:i/>
                <w:sz w:val="20"/>
                <w:szCs w:val="20"/>
              </w:rPr>
            </w:pPr>
            <w:r w:rsidRPr="00750F2A">
              <w:rPr>
                <w:rFonts w:ascii="Arial" w:hAnsi="Arial" w:cs="Arial"/>
                <w:i/>
                <w:sz w:val="20"/>
                <w:szCs w:val="20"/>
              </w:rPr>
              <w:t>The scenarios that we are exploring with MHRA include potential arrangements for single state trials.</w:t>
            </w:r>
          </w:p>
        </w:tc>
      </w:tr>
      <w:tr w:rsidR="00E07CBD" w:rsidRPr="007479BD" w:rsidTr="007479BD">
        <w:tc>
          <w:tcPr>
            <w:tcW w:w="5329" w:type="dxa"/>
          </w:tcPr>
          <w:p w:rsidR="00E07CBD" w:rsidRPr="007479BD" w:rsidRDefault="00E07CBD" w:rsidP="00C374C7">
            <w:pPr>
              <w:pStyle w:val="Default"/>
              <w:spacing w:after="55"/>
              <w:rPr>
                <w:rFonts w:ascii="Arial" w:hAnsi="Arial" w:cs="Arial"/>
                <w:sz w:val="20"/>
                <w:szCs w:val="20"/>
              </w:rPr>
            </w:pPr>
            <w:r w:rsidRPr="007479BD">
              <w:rPr>
                <w:rFonts w:ascii="Arial" w:hAnsi="Arial" w:cs="Arial"/>
                <w:sz w:val="20"/>
                <w:szCs w:val="20"/>
              </w:rPr>
              <w:t xml:space="preserve">Clear communication is needed from regulators on how </w:t>
            </w:r>
            <w:r w:rsidR="00750F2A">
              <w:rPr>
                <w:rFonts w:ascii="Arial" w:hAnsi="Arial" w:cs="Arial"/>
                <w:sz w:val="20"/>
                <w:szCs w:val="20"/>
              </w:rPr>
              <w:t xml:space="preserve">the </w:t>
            </w:r>
            <w:r w:rsidR="007F6F4B" w:rsidRPr="007F6F4B">
              <w:rPr>
                <w:rFonts w:ascii="Arial" w:hAnsi="Arial" w:cs="Arial"/>
                <w:sz w:val="20"/>
                <w:szCs w:val="20"/>
              </w:rPr>
              <w:t>International Council for Harmonisation of Technical Requirements for Pharmaceuticals for Human Use (</w:t>
            </w:r>
            <w:r w:rsidRPr="007F6F4B">
              <w:rPr>
                <w:rFonts w:ascii="Arial" w:hAnsi="Arial" w:cs="Arial"/>
                <w:sz w:val="20"/>
                <w:szCs w:val="20"/>
              </w:rPr>
              <w:t>ICH</w:t>
            </w:r>
            <w:r w:rsidR="007F6F4B" w:rsidRPr="007F6F4B">
              <w:rPr>
                <w:rFonts w:ascii="Arial" w:hAnsi="Arial" w:cs="Arial"/>
                <w:sz w:val="20"/>
                <w:szCs w:val="20"/>
              </w:rPr>
              <w:t>)</w:t>
            </w:r>
            <w:r w:rsidRPr="007F6F4B">
              <w:rPr>
                <w:rFonts w:ascii="Arial" w:hAnsi="Arial" w:cs="Arial"/>
                <w:sz w:val="20"/>
                <w:szCs w:val="20"/>
              </w:rPr>
              <w:t xml:space="preserve"> guidelines should be implemented – including highlighting that these are not a legal requirement – to ensure that they are not over-interpreted. R&amp;D offices to also ensure that </w:t>
            </w:r>
            <w:proofErr w:type="gramStart"/>
            <w:r w:rsidRPr="007F6F4B">
              <w:rPr>
                <w:rFonts w:ascii="Arial" w:hAnsi="Arial" w:cs="Arial"/>
                <w:sz w:val="20"/>
                <w:szCs w:val="20"/>
              </w:rPr>
              <w:t>staff are</w:t>
            </w:r>
            <w:proofErr w:type="gramEnd"/>
            <w:r w:rsidRPr="007F6F4B">
              <w:rPr>
                <w:rFonts w:ascii="Arial" w:hAnsi="Arial" w:cs="Arial"/>
                <w:sz w:val="20"/>
                <w:szCs w:val="20"/>
              </w:rPr>
              <w:t xml:space="preserve"> aware of these expectations.</w:t>
            </w:r>
          </w:p>
        </w:tc>
        <w:tc>
          <w:tcPr>
            <w:tcW w:w="4985" w:type="dxa"/>
          </w:tcPr>
          <w:p w:rsidR="007F6F4B" w:rsidRPr="00750F2A" w:rsidRDefault="007B10C4" w:rsidP="007F6F4B">
            <w:pPr>
              <w:pStyle w:val="Default"/>
              <w:rPr>
                <w:rFonts w:ascii="Arial" w:hAnsi="Arial" w:cs="Arial"/>
                <w:i/>
                <w:sz w:val="20"/>
                <w:szCs w:val="20"/>
              </w:rPr>
            </w:pPr>
            <w:r w:rsidRPr="00750F2A">
              <w:rPr>
                <w:rFonts w:ascii="Arial" w:hAnsi="Arial" w:cs="Arial"/>
                <w:i/>
                <w:sz w:val="20"/>
                <w:szCs w:val="20"/>
              </w:rPr>
              <w:t>We published the joint HRA/MHRA statement on GCP</w:t>
            </w:r>
            <w:r w:rsidR="007F6F4B" w:rsidRPr="00750F2A">
              <w:rPr>
                <w:rFonts w:ascii="Arial" w:hAnsi="Arial" w:cs="Arial"/>
                <w:i/>
                <w:sz w:val="20"/>
                <w:szCs w:val="20"/>
              </w:rPr>
              <w:t xml:space="preserve"> </w:t>
            </w:r>
            <w:r w:rsidRPr="00750F2A">
              <w:rPr>
                <w:rFonts w:ascii="Arial" w:hAnsi="Arial" w:cs="Arial"/>
                <w:i/>
                <w:sz w:val="20"/>
                <w:szCs w:val="20"/>
              </w:rPr>
              <w:t xml:space="preserve">in the Proportionate consent guidance </w:t>
            </w:r>
            <w:r w:rsidR="007F6F4B" w:rsidRPr="00750F2A">
              <w:rPr>
                <w:rFonts w:ascii="Arial" w:hAnsi="Arial" w:cs="Arial"/>
                <w:i/>
                <w:sz w:val="20"/>
                <w:szCs w:val="20"/>
              </w:rPr>
              <w:t>from</w:t>
            </w:r>
            <w:r w:rsidRPr="00750F2A">
              <w:rPr>
                <w:rFonts w:ascii="Arial" w:hAnsi="Arial" w:cs="Arial"/>
                <w:i/>
                <w:sz w:val="20"/>
                <w:szCs w:val="20"/>
              </w:rPr>
              <w:t xml:space="preserve"> January 2017 and we have now sent this out as </w:t>
            </w:r>
            <w:r w:rsidR="007F6F4B" w:rsidRPr="00750F2A">
              <w:rPr>
                <w:rFonts w:ascii="Arial" w:hAnsi="Arial" w:cs="Arial"/>
                <w:i/>
                <w:sz w:val="20"/>
                <w:szCs w:val="20"/>
              </w:rPr>
              <w:t xml:space="preserve">a </w:t>
            </w:r>
            <w:r w:rsidRPr="00750F2A">
              <w:rPr>
                <w:rFonts w:ascii="Arial" w:hAnsi="Arial" w:cs="Arial"/>
                <w:i/>
                <w:sz w:val="20"/>
                <w:szCs w:val="20"/>
              </w:rPr>
              <w:t xml:space="preserve">separate statement asking organisations to sign up in support. AMS </w:t>
            </w:r>
            <w:r w:rsidR="003830C6">
              <w:rPr>
                <w:rFonts w:ascii="Arial" w:hAnsi="Arial" w:cs="Arial"/>
                <w:i/>
                <w:sz w:val="20"/>
                <w:szCs w:val="20"/>
              </w:rPr>
              <w:t xml:space="preserve">amongst many others </w:t>
            </w:r>
            <w:r w:rsidR="00750F2A">
              <w:rPr>
                <w:rFonts w:ascii="Arial" w:hAnsi="Arial" w:cs="Arial"/>
                <w:i/>
                <w:sz w:val="20"/>
                <w:szCs w:val="20"/>
              </w:rPr>
              <w:t>has</w:t>
            </w:r>
            <w:r w:rsidRPr="00750F2A">
              <w:rPr>
                <w:rFonts w:ascii="Arial" w:hAnsi="Arial" w:cs="Arial"/>
                <w:i/>
                <w:sz w:val="20"/>
                <w:szCs w:val="20"/>
              </w:rPr>
              <w:t xml:space="preserve"> signed up to this and this will shortly be placed on our website</w:t>
            </w:r>
            <w:r w:rsidR="008B4A43" w:rsidRPr="00750F2A">
              <w:rPr>
                <w:rFonts w:ascii="Arial" w:hAnsi="Arial" w:cs="Arial"/>
                <w:i/>
                <w:sz w:val="20"/>
                <w:szCs w:val="20"/>
              </w:rPr>
              <w:t>.</w:t>
            </w:r>
          </w:p>
          <w:p w:rsidR="007F6F4B" w:rsidRPr="00750F2A" w:rsidRDefault="007F6F4B" w:rsidP="007F6F4B">
            <w:pPr>
              <w:pStyle w:val="Default"/>
              <w:rPr>
                <w:rFonts w:ascii="Arial" w:hAnsi="Arial" w:cs="Arial"/>
                <w:i/>
                <w:sz w:val="20"/>
                <w:szCs w:val="20"/>
              </w:rPr>
            </w:pPr>
          </w:p>
          <w:p w:rsidR="00750F2A" w:rsidRDefault="006E4865" w:rsidP="00750F2A">
            <w:pPr>
              <w:pStyle w:val="Default"/>
              <w:rPr>
                <w:rFonts w:ascii="Arial" w:hAnsi="Arial" w:cs="Arial"/>
                <w:i/>
                <w:sz w:val="20"/>
                <w:szCs w:val="20"/>
              </w:rPr>
            </w:pPr>
            <w:r w:rsidRPr="00750F2A">
              <w:rPr>
                <w:rFonts w:ascii="Arial" w:hAnsi="Arial" w:cs="Arial"/>
                <w:i/>
                <w:sz w:val="20"/>
                <w:szCs w:val="20"/>
              </w:rPr>
              <w:t xml:space="preserve">We </w:t>
            </w:r>
            <w:r w:rsidR="00BA7800">
              <w:rPr>
                <w:rFonts w:ascii="Arial" w:hAnsi="Arial" w:cs="Arial"/>
                <w:i/>
                <w:sz w:val="20"/>
                <w:szCs w:val="20"/>
              </w:rPr>
              <w:t>are working with others (MHRA and NIHR) to clarify</w:t>
            </w:r>
            <w:r w:rsidRPr="00750F2A">
              <w:rPr>
                <w:rFonts w:ascii="Arial" w:hAnsi="Arial" w:cs="Arial"/>
                <w:i/>
                <w:sz w:val="20"/>
                <w:szCs w:val="20"/>
              </w:rPr>
              <w:t xml:space="preserve"> when ICH GCP is </w:t>
            </w:r>
            <w:r w:rsidR="00BA7800">
              <w:rPr>
                <w:rFonts w:ascii="Arial" w:hAnsi="Arial" w:cs="Arial"/>
                <w:i/>
                <w:sz w:val="20"/>
                <w:szCs w:val="20"/>
              </w:rPr>
              <w:t xml:space="preserve">or is not </w:t>
            </w:r>
            <w:r w:rsidRPr="00750F2A">
              <w:rPr>
                <w:rFonts w:ascii="Arial" w:hAnsi="Arial" w:cs="Arial"/>
                <w:i/>
                <w:sz w:val="20"/>
                <w:szCs w:val="20"/>
              </w:rPr>
              <w:t xml:space="preserve">applicable. </w:t>
            </w:r>
          </w:p>
          <w:p w:rsidR="00750F2A" w:rsidRDefault="00750F2A" w:rsidP="00750F2A">
            <w:pPr>
              <w:pStyle w:val="Default"/>
              <w:rPr>
                <w:rFonts w:ascii="Arial" w:hAnsi="Arial" w:cs="Arial"/>
                <w:i/>
                <w:sz w:val="20"/>
                <w:szCs w:val="20"/>
              </w:rPr>
            </w:pPr>
          </w:p>
          <w:p w:rsidR="00E07CBD" w:rsidRPr="00750F2A" w:rsidRDefault="00BA7800" w:rsidP="00750F2A">
            <w:pPr>
              <w:pStyle w:val="Default"/>
              <w:rPr>
                <w:rFonts w:ascii="Arial" w:hAnsi="Arial" w:cs="Arial"/>
                <w:i/>
                <w:sz w:val="20"/>
                <w:szCs w:val="20"/>
              </w:rPr>
            </w:pPr>
            <w:r>
              <w:rPr>
                <w:rFonts w:ascii="Arial" w:hAnsi="Arial" w:cs="Arial"/>
                <w:i/>
                <w:sz w:val="20"/>
                <w:szCs w:val="20"/>
              </w:rPr>
              <w:t>(</w:t>
            </w:r>
            <w:r w:rsidR="006E4865" w:rsidRPr="00750F2A">
              <w:rPr>
                <w:rFonts w:ascii="Arial" w:hAnsi="Arial" w:cs="Arial"/>
                <w:i/>
                <w:sz w:val="20"/>
                <w:szCs w:val="20"/>
              </w:rPr>
              <w:t>The possibilities for influencing future ICH GCP guidelines are not clear as this has previously been through the EU</w:t>
            </w:r>
            <w:r>
              <w:rPr>
                <w:rFonts w:ascii="Arial" w:hAnsi="Arial" w:cs="Arial"/>
                <w:i/>
                <w:sz w:val="20"/>
                <w:szCs w:val="20"/>
              </w:rPr>
              <w:t>)</w:t>
            </w:r>
            <w:r w:rsidR="006E4865" w:rsidRPr="00750F2A">
              <w:rPr>
                <w:rFonts w:ascii="Arial" w:hAnsi="Arial" w:cs="Arial"/>
                <w:i/>
                <w:sz w:val="20"/>
                <w:szCs w:val="20"/>
              </w:rPr>
              <w:t>.</w:t>
            </w:r>
          </w:p>
          <w:p w:rsidR="00750F2A" w:rsidRPr="00750F2A" w:rsidRDefault="00750F2A" w:rsidP="00750F2A">
            <w:pPr>
              <w:pStyle w:val="Default"/>
              <w:rPr>
                <w:rFonts w:ascii="Arial" w:hAnsi="Arial" w:cs="Arial"/>
                <w:i/>
                <w:sz w:val="20"/>
                <w:szCs w:val="20"/>
              </w:rPr>
            </w:pPr>
          </w:p>
        </w:tc>
      </w:tr>
      <w:tr w:rsidR="00E07CBD" w:rsidRPr="007479BD" w:rsidTr="007479BD">
        <w:tc>
          <w:tcPr>
            <w:tcW w:w="5329" w:type="dxa"/>
          </w:tcPr>
          <w:p w:rsidR="00E07CBD" w:rsidRPr="007479BD" w:rsidRDefault="00E07CBD" w:rsidP="00C374C7">
            <w:pPr>
              <w:pStyle w:val="Default"/>
              <w:spacing w:after="55"/>
              <w:rPr>
                <w:rFonts w:ascii="Arial" w:hAnsi="Arial" w:cs="Arial"/>
                <w:sz w:val="20"/>
                <w:szCs w:val="20"/>
              </w:rPr>
            </w:pPr>
            <w:r w:rsidRPr="007479BD">
              <w:rPr>
                <w:rFonts w:ascii="Arial" w:hAnsi="Arial" w:cs="Arial"/>
                <w:sz w:val="20"/>
                <w:szCs w:val="20"/>
              </w:rPr>
              <w:t>Patient involvement or input in clinical trials and associated regulation should be ensured where possible</w:t>
            </w:r>
          </w:p>
        </w:tc>
        <w:tc>
          <w:tcPr>
            <w:tcW w:w="4985" w:type="dxa"/>
          </w:tcPr>
          <w:p w:rsidR="00E07CBD" w:rsidRPr="00750F2A" w:rsidRDefault="006E4865" w:rsidP="00C374C7">
            <w:pPr>
              <w:pStyle w:val="Default"/>
              <w:rPr>
                <w:rFonts w:ascii="Arial" w:hAnsi="Arial" w:cs="Arial"/>
                <w:i/>
                <w:sz w:val="20"/>
                <w:szCs w:val="20"/>
              </w:rPr>
            </w:pPr>
            <w:r w:rsidRPr="00750F2A">
              <w:rPr>
                <w:rFonts w:ascii="Arial" w:hAnsi="Arial" w:cs="Arial"/>
                <w:i/>
                <w:sz w:val="20"/>
                <w:szCs w:val="20"/>
              </w:rPr>
              <w:t>We continue to support this, including providing good practice information, and signposting. We are undertaking a project to explore the role of RECs in considering patient involvement as part of their review.</w:t>
            </w:r>
            <w:r w:rsidR="00BA7800">
              <w:rPr>
                <w:rFonts w:ascii="Arial" w:hAnsi="Arial" w:cs="Arial"/>
                <w:i/>
                <w:sz w:val="20"/>
                <w:szCs w:val="20"/>
              </w:rPr>
              <w:t xml:space="preserve">  The HRA </w:t>
            </w:r>
            <w:r w:rsidR="009E69D2">
              <w:rPr>
                <w:rFonts w:ascii="Arial" w:hAnsi="Arial" w:cs="Arial"/>
                <w:i/>
                <w:sz w:val="20"/>
                <w:szCs w:val="20"/>
              </w:rPr>
              <w:t>Public Involvement in Ethical Research (</w:t>
            </w:r>
            <w:r w:rsidR="00BA7800">
              <w:rPr>
                <w:rFonts w:ascii="Arial" w:hAnsi="Arial" w:cs="Arial"/>
                <w:i/>
                <w:sz w:val="20"/>
                <w:szCs w:val="20"/>
              </w:rPr>
              <w:t>PIER</w:t>
            </w:r>
            <w:r w:rsidR="009E69D2">
              <w:rPr>
                <w:rFonts w:ascii="Arial" w:hAnsi="Arial" w:cs="Arial"/>
                <w:i/>
                <w:sz w:val="20"/>
                <w:szCs w:val="20"/>
              </w:rPr>
              <w:t>)</w:t>
            </w:r>
            <w:r w:rsidR="00BA7800">
              <w:rPr>
                <w:rFonts w:ascii="Arial" w:hAnsi="Arial" w:cs="Arial"/>
                <w:i/>
                <w:sz w:val="20"/>
                <w:szCs w:val="20"/>
              </w:rPr>
              <w:t xml:space="preserve"> project has been embedded in our Service Improvement Programme to ensure that </w:t>
            </w:r>
            <w:r w:rsidR="00D42727">
              <w:rPr>
                <w:rFonts w:ascii="Arial" w:hAnsi="Arial" w:cs="Arial"/>
                <w:i/>
                <w:sz w:val="20"/>
                <w:szCs w:val="20"/>
              </w:rPr>
              <w:t xml:space="preserve">HRA approval processes and guidance </w:t>
            </w:r>
            <w:r w:rsidR="009E69D2">
              <w:rPr>
                <w:rFonts w:ascii="Arial" w:hAnsi="Arial" w:cs="Arial"/>
                <w:i/>
                <w:sz w:val="20"/>
                <w:szCs w:val="20"/>
              </w:rPr>
              <w:t xml:space="preserve">take account of </w:t>
            </w:r>
            <w:r w:rsidR="00D42727">
              <w:rPr>
                <w:rFonts w:ascii="Arial" w:hAnsi="Arial" w:cs="Arial"/>
                <w:i/>
                <w:sz w:val="20"/>
                <w:szCs w:val="20"/>
              </w:rPr>
              <w:t xml:space="preserve">the importance and benefits of this involvement. </w:t>
            </w:r>
            <w:r w:rsidR="00BA7800">
              <w:rPr>
                <w:rFonts w:ascii="Arial" w:hAnsi="Arial" w:cs="Arial"/>
                <w:i/>
                <w:sz w:val="20"/>
                <w:szCs w:val="20"/>
              </w:rPr>
              <w:t xml:space="preserve"> </w:t>
            </w:r>
          </w:p>
          <w:p w:rsidR="00750F2A" w:rsidRPr="00750F2A" w:rsidRDefault="00750F2A" w:rsidP="00C374C7">
            <w:pPr>
              <w:pStyle w:val="Default"/>
              <w:rPr>
                <w:rFonts w:ascii="Arial" w:hAnsi="Arial" w:cs="Arial"/>
                <w:i/>
                <w:sz w:val="20"/>
                <w:szCs w:val="20"/>
              </w:rPr>
            </w:pPr>
          </w:p>
        </w:tc>
      </w:tr>
      <w:tr w:rsidR="00E07CBD" w:rsidRPr="007479BD" w:rsidTr="007479BD">
        <w:tc>
          <w:tcPr>
            <w:tcW w:w="5329" w:type="dxa"/>
          </w:tcPr>
          <w:p w:rsidR="00E07CBD" w:rsidRDefault="00E07CBD" w:rsidP="00750F2A">
            <w:pPr>
              <w:pStyle w:val="Default"/>
              <w:spacing w:after="55"/>
              <w:rPr>
                <w:rFonts w:ascii="Arial" w:hAnsi="Arial" w:cs="Arial"/>
                <w:sz w:val="20"/>
                <w:szCs w:val="20"/>
              </w:rPr>
            </w:pPr>
            <w:r w:rsidRPr="007479BD">
              <w:rPr>
                <w:rFonts w:ascii="Arial" w:hAnsi="Arial" w:cs="Arial"/>
                <w:sz w:val="20"/>
                <w:szCs w:val="20"/>
              </w:rPr>
              <w:t>The research community and patient groups should be given an opportunity to input towards Government’s plans for implementation of the G</w:t>
            </w:r>
            <w:r w:rsidR="00750F2A">
              <w:rPr>
                <w:rFonts w:ascii="Arial" w:hAnsi="Arial" w:cs="Arial"/>
                <w:sz w:val="20"/>
                <w:szCs w:val="20"/>
              </w:rPr>
              <w:t>eneral Data Protection Regulation (GDPR)</w:t>
            </w:r>
            <w:r w:rsidRPr="007479BD">
              <w:rPr>
                <w:rFonts w:ascii="Arial" w:hAnsi="Arial" w:cs="Arial"/>
                <w:sz w:val="20"/>
                <w:szCs w:val="20"/>
              </w:rPr>
              <w:t xml:space="preserve">, in order to ensure that it is implemented effectively. </w:t>
            </w:r>
          </w:p>
          <w:p w:rsidR="00750F2A" w:rsidRPr="007479BD" w:rsidRDefault="00750F2A" w:rsidP="00750F2A">
            <w:pPr>
              <w:pStyle w:val="Default"/>
              <w:spacing w:after="55"/>
              <w:rPr>
                <w:rFonts w:ascii="Arial" w:hAnsi="Arial" w:cs="Arial"/>
                <w:sz w:val="20"/>
                <w:szCs w:val="20"/>
              </w:rPr>
            </w:pPr>
          </w:p>
        </w:tc>
        <w:tc>
          <w:tcPr>
            <w:tcW w:w="4985" w:type="dxa"/>
          </w:tcPr>
          <w:p w:rsidR="00E07CBD" w:rsidRPr="00750F2A" w:rsidRDefault="00D42727" w:rsidP="00D42727">
            <w:pPr>
              <w:pStyle w:val="Default"/>
              <w:rPr>
                <w:rFonts w:ascii="Arial" w:hAnsi="Arial" w:cs="Arial"/>
                <w:i/>
                <w:sz w:val="20"/>
                <w:szCs w:val="20"/>
              </w:rPr>
            </w:pPr>
            <w:r>
              <w:rPr>
                <w:rFonts w:ascii="Arial" w:hAnsi="Arial" w:cs="Arial"/>
                <w:i/>
                <w:sz w:val="20"/>
                <w:szCs w:val="20"/>
              </w:rPr>
              <w:t xml:space="preserve">We submitted a bid to the </w:t>
            </w:r>
            <w:r w:rsidR="00750F2A" w:rsidRPr="00750F2A">
              <w:rPr>
                <w:rFonts w:ascii="Arial" w:hAnsi="Arial" w:cs="Arial"/>
                <w:i/>
                <w:sz w:val="20"/>
                <w:szCs w:val="20"/>
              </w:rPr>
              <w:t>Commissioner’s Office (I</w:t>
            </w:r>
            <w:r w:rsidR="006E4865" w:rsidRPr="00750F2A">
              <w:rPr>
                <w:rFonts w:ascii="Arial" w:hAnsi="Arial" w:cs="Arial"/>
                <w:i/>
                <w:sz w:val="20"/>
                <w:szCs w:val="20"/>
              </w:rPr>
              <w:t>CO</w:t>
            </w:r>
            <w:r w:rsidR="00750F2A" w:rsidRPr="00750F2A">
              <w:rPr>
                <w:rFonts w:ascii="Arial" w:hAnsi="Arial" w:cs="Arial"/>
                <w:i/>
                <w:sz w:val="20"/>
                <w:szCs w:val="20"/>
              </w:rPr>
              <w:t>)</w:t>
            </w:r>
            <w:r w:rsidR="006E4865" w:rsidRPr="00750F2A">
              <w:rPr>
                <w:rFonts w:ascii="Arial" w:hAnsi="Arial" w:cs="Arial"/>
                <w:i/>
                <w:sz w:val="20"/>
                <w:szCs w:val="20"/>
              </w:rPr>
              <w:t xml:space="preserve"> to un</w:t>
            </w:r>
            <w:r>
              <w:rPr>
                <w:rFonts w:ascii="Arial" w:hAnsi="Arial" w:cs="Arial"/>
                <w:i/>
                <w:sz w:val="20"/>
                <w:szCs w:val="20"/>
              </w:rPr>
              <w:t>dertake a project on this topic and we are currently working with others to develop guidance and communications.</w:t>
            </w:r>
            <w:r w:rsidR="00932985">
              <w:rPr>
                <w:rFonts w:ascii="Arial" w:hAnsi="Arial" w:cs="Arial"/>
                <w:i/>
                <w:sz w:val="20"/>
                <w:szCs w:val="20"/>
              </w:rPr>
              <w:t xml:space="preserve"> </w:t>
            </w:r>
            <w:r>
              <w:rPr>
                <w:rFonts w:ascii="Arial" w:hAnsi="Arial" w:cs="Arial"/>
                <w:i/>
                <w:sz w:val="20"/>
                <w:szCs w:val="20"/>
              </w:rPr>
              <w:t xml:space="preserve"> </w:t>
            </w:r>
          </w:p>
        </w:tc>
      </w:tr>
      <w:tr w:rsidR="00E07CBD" w:rsidRPr="007479BD" w:rsidTr="007479BD">
        <w:tc>
          <w:tcPr>
            <w:tcW w:w="5329" w:type="dxa"/>
          </w:tcPr>
          <w:p w:rsidR="00E07CBD" w:rsidRPr="007479BD" w:rsidRDefault="00E07CBD" w:rsidP="00E07CBD">
            <w:pPr>
              <w:pStyle w:val="Default"/>
              <w:spacing w:after="55"/>
              <w:rPr>
                <w:rFonts w:ascii="Arial" w:hAnsi="Arial" w:cs="Arial"/>
                <w:sz w:val="20"/>
                <w:szCs w:val="20"/>
              </w:rPr>
            </w:pPr>
            <w:r w:rsidRPr="007479BD">
              <w:rPr>
                <w:rFonts w:ascii="Arial" w:hAnsi="Arial" w:cs="Arial"/>
                <w:sz w:val="20"/>
                <w:szCs w:val="20"/>
              </w:rPr>
              <w:t>With the implementation of the GDPR, Government should use this opportunity to further simplify and provide clarification on the data governance landscape</w:t>
            </w:r>
          </w:p>
        </w:tc>
        <w:tc>
          <w:tcPr>
            <w:tcW w:w="4985" w:type="dxa"/>
          </w:tcPr>
          <w:p w:rsidR="00E07CBD" w:rsidRPr="00750F2A" w:rsidRDefault="006E4865" w:rsidP="00750F2A">
            <w:pPr>
              <w:pStyle w:val="Default"/>
              <w:rPr>
                <w:rFonts w:ascii="Arial" w:hAnsi="Arial" w:cs="Arial"/>
                <w:i/>
                <w:sz w:val="20"/>
                <w:szCs w:val="20"/>
              </w:rPr>
            </w:pPr>
            <w:r w:rsidRPr="00750F2A">
              <w:rPr>
                <w:rFonts w:ascii="Arial" w:hAnsi="Arial" w:cs="Arial"/>
                <w:i/>
                <w:sz w:val="20"/>
                <w:szCs w:val="20"/>
              </w:rPr>
              <w:t>We are collaborating with NHS Digital, M</w:t>
            </w:r>
            <w:r w:rsidR="00750F2A" w:rsidRPr="00750F2A">
              <w:rPr>
                <w:rFonts w:ascii="Arial" w:hAnsi="Arial" w:cs="Arial"/>
                <w:i/>
                <w:sz w:val="20"/>
                <w:szCs w:val="20"/>
              </w:rPr>
              <w:t>edical Research Council (M</w:t>
            </w:r>
            <w:r w:rsidRPr="00750F2A">
              <w:rPr>
                <w:rFonts w:ascii="Arial" w:hAnsi="Arial" w:cs="Arial"/>
                <w:i/>
                <w:sz w:val="20"/>
                <w:szCs w:val="20"/>
              </w:rPr>
              <w:t>RC</w:t>
            </w:r>
            <w:r w:rsidR="00750F2A" w:rsidRPr="00750F2A">
              <w:rPr>
                <w:rFonts w:ascii="Arial" w:hAnsi="Arial" w:cs="Arial"/>
                <w:i/>
                <w:sz w:val="20"/>
                <w:szCs w:val="20"/>
              </w:rPr>
              <w:t>)</w:t>
            </w:r>
            <w:r w:rsidRPr="00750F2A">
              <w:rPr>
                <w:rFonts w:ascii="Arial" w:hAnsi="Arial" w:cs="Arial"/>
                <w:i/>
                <w:sz w:val="20"/>
                <w:szCs w:val="20"/>
              </w:rPr>
              <w:t xml:space="preserve"> and others to streamline systems for approval and access to data, and provide a </w:t>
            </w:r>
            <w:r w:rsidR="00750F2A" w:rsidRPr="00750F2A">
              <w:rPr>
                <w:rFonts w:ascii="Arial" w:hAnsi="Arial" w:cs="Arial"/>
                <w:i/>
                <w:sz w:val="20"/>
                <w:szCs w:val="20"/>
              </w:rPr>
              <w:t>route map</w:t>
            </w:r>
            <w:r w:rsidRPr="00750F2A">
              <w:rPr>
                <w:rFonts w:ascii="Arial" w:hAnsi="Arial" w:cs="Arial"/>
                <w:i/>
                <w:sz w:val="20"/>
                <w:szCs w:val="20"/>
              </w:rPr>
              <w:t xml:space="preserve"> for researchers</w:t>
            </w:r>
            <w:r w:rsidR="00750F2A" w:rsidRPr="00750F2A">
              <w:rPr>
                <w:rFonts w:ascii="Arial" w:hAnsi="Arial" w:cs="Arial"/>
                <w:i/>
                <w:sz w:val="20"/>
                <w:szCs w:val="20"/>
              </w:rPr>
              <w:t>.</w:t>
            </w:r>
            <w:r w:rsidRPr="00750F2A">
              <w:rPr>
                <w:rFonts w:ascii="Arial" w:hAnsi="Arial" w:cs="Arial"/>
                <w:i/>
                <w:sz w:val="20"/>
                <w:szCs w:val="20"/>
              </w:rPr>
              <w:t xml:space="preserve"> We are working to provide consistent language and consistent standards </w:t>
            </w:r>
            <w:r w:rsidR="00750F2A" w:rsidRPr="00750F2A">
              <w:rPr>
                <w:rFonts w:ascii="Arial" w:hAnsi="Arial" w:cs="Arial"/>
                <w:i/>
                <w:sz w:val="20"/>
                <w:szCs w:val="20"/>
              </w:rPr>
              <w:t>e.g.</w:t>
            </w:r>
            <w:r w:rsidRPr="00750F2A">
              <w:rPr>
                <w:rFonts w:ascii="Arial" w:hAnsi="Arial" w:cs="Arial"/>
                <w:i/>
                <w:sz w:val="20"/>
                <w:szCs w:val="20"/>
              </w:rPr>
              <w:t xml:space="preserve"> for consent.</w:t>
            </w:r>
            <w:r w:rsidR="00D42727">
              <w:rPr>
                <w:rFonts w:ascii="Arial" w:hAnsi="Arial" w:cs="Arial"/>
                <w:i/>
                <w:sz w:val="20"/>
                <w:szCs w:val="20"/>
              </w:rPr>
              <w:t xml:space="preserve"> This work is reported regularly through the NHS Digital Research Advisory </w:t>
            </w:r>
            <w:r w:rsidR="00D42727">
              <w:rPr>
                <w:rFonts w:ascii="Arial" w:hAnsi="Arial" w:cs="Arial"/>
                <w:i/>
                <w:sz w:val="20"/>
                <w:szCs w:val="20"/>
              </w:rPr>
              <w:lastRenderedPageBreak/>
              <w:t>Group.</w:t>
            </w:r>
          </w:p>
          <w:p w:rsidR="00750F2A" w:rsidRPr="00750F2A" w:rsidRDefault="00750F2A" w:rsidP="00750F2A">
            <w:pPr>
              <w:pStyle w:val="Default"/>
              <w:rPr>
                <w:rFonts w:ascii="Arial" w:hAnsi="Arial" w:cs="Arial"/>
                <w:i/>
                <w:sz w:val="20"/>
                <w:szCs w:val="20"/>
              </w:rPr>
            </w:pPr>
          </w:p>
        </w:tc>
      </w:tr>
      <w:tr w:rsidR="00E07CBD" w:rsidRPr="007479BD" w:rsidTr="007479BD">
        <w:tc>
          <w:tcPr>
            <w:tcW w:w="5329" w:type="dxa"/>
          </w:tcPr>
          <w:p w:rsidR="00E07CBD" w:rsidRDefault="00E07CBD" w:rsidP="00C374C7">
            <w:pPr>
              <w:pStyle w:val="Default"/>
              <w:spacing w:after="55"/>
              <w:rPr>
                <w:rFonts w:ascii="Arial" w:hAnsi="Arial" w:cs="Arial"/>
                <w:sz w:val="20"/>
                <w:szCs w:val="20"/>
              </w:rPr>
            </w:pPr>
            <w:r w:rsidRPr="007479BD">
              <w:rPr>
                <w:rFonts w:ascii="Arial" w:hAnsi="Arial" w:cs="Arial"/>
                <w:sz w:val="20"/>
                <w:szCs w:val="20"/>
              </w:rPr>
              <w:lastRenderedPageBreak/>
              <w:t>Clarity is needed on the implementation of the new opt-outs (and what will happen to existing opt-outs for patients) that will be proposed in response to the Caldicott Review, and Government needs to work with all stakeholders including the research community on implementation and delivery of these opt-outs.</w:t>
            </w:r>
          </w:p>
          <w:p w:rsidR="00750F2A" w:rsidRPr="007479BD" w:rsidRDefault="00750F2A" w:rsidP="00C374C7">
            <w:pPr>
              <w:pStyle w:val="Default"/>
              <w:spacing w:after="55"/>
              <w:rPr>
                <w:rFonts w:ascii="Arial" w:hAnsi="Arial" w:cs="Arial"/>
                <w:sz w:val="20"/>
                <w:szCs w:val="20"/>
              </w:rPr>
            </w:pPr>
          </w:p>
        </w:tc>
        <w:tc>
          <w:tcPr>
            <w:tcW w:w="4985" w:type="dxa"/>
          </w:tcPr>
          <w:p w:rsidR="00E07CBD" w:rsidRPr="00750F2A" w:rsidRDefault="006E4865" w:rsidP="00C374C7">
            <w:pPr>
              <w:pStyle w:val="Default"/>
              <w:rPr>
                <w:rFonts w:ascii="Arial" w:hAnsi="Arial" w:cs="Arial"/>
                <w:i/>
                <w:sz w:val="20"/>
                <w:szCs w:val="20"/>
              </w:rPr>
            </w:pPr>
            <w:r w:rsidRPr="00750F2A">
              <w:rPr>
                <w:rFonts w:ascii="Arial" w:hAnsi="Arial" w:cs="Arial"/>
                <w:i/>
                <w:sz w:val="20"/>
                <w:szCs w:val="20"/>
              </w:rPr>
              <w:t xml:space="preserve">We maintain good relationships with NHS Digital and the National Data Guardian. </w:t>
            </w:r>
            <w:r w:rsidR="00932985">
              <w:rPr>
                <w:rFonts w:ascii="Arial" w:hAnsi="Arial" w:cs="Arial"/>
                <w:i/>
                <w:sz w:val="20"/>
                <w:szCs w:val="20"/>
              </w:rPr>
              <w:t xml:space="preserve">The HRA is represented on the </w:t>
            </w:r>
            <w:r w:rsidR="00932985" w:rsidRPr="00932985">
              <w:rPr>
                <w:rFonts w:ascii="Arial" w:hAnsi="Arial" w:cs="Arial"/>
                <w:i/>
                <w:sz w:val="20"/>
                <w:szCs w:val="20"/>
              </w:rPr>
              <w:t>National Data Opt-out Programme Board</w:t>
            </w:r>
            <w:r w:rsidR="00932985">
              <w:rPr>
                <w:rFonts w:ascii="Arial" w:hAnsi="Arial" w:cs="Arial"/>
                <w:i/>
                <w:sz w:val="20"/>
                <w:szCs w:val="20"/>
              </w:rPr>
              <w:t>.</w:t>
            </w:r>
          </w:p>
        </w:tc>
      </w:tr>
      <w:tr w:rsidR="00E07CBD" w:rsidRPr="007479BD" w:rsidTr="007479BD">
        <w:tc>
          <w:tcPr>
            <w:tcW w:w="5329" w:type="dxa"/>
          </w:tcPr>
          <w:p w:rsidR="00E07CBD" w:rsidRPr="007479BD" w:rsidRDefault="00E07CBD" w:rsidP="00C374C7">
            <w:pPr>
              <w:pStyle w:val="Default"/>
              <w:spacing w:after="55"/>
              <w:rPr>
                <w:rFonts w:ascii="Arial" w:hAnsi="Arial" w:cs="Arial"/>
                <w:sz w:val="20"/>
                <w:szCs w:val="20"/>
              </w:rPr>
            </w:pPr>
            <w:r w:rsidRPr="007479BD">
              <w:rPr>
                <w:rFonts w:ascii="Arial" w:hAnsi="Arial" w:cs="Arial"/>
                <w:sz w:val="20"/>
                <w:szCs w:val="20"/>
              </w:rPr>
              <w:t>All stakeholders must recognise the importance of building and maintaining public trust in the use of patient data, and support this wherever possible. The Understanding Patient Data initiative is working to develop tools and resources to support this.</w:t>
            </w:r>
          </w:p>
        </w:tc>
        <w:tc>
          <w:tcPr>
            <w:tcW w:w="4985" w:type="dxa"/>
          </w:tcPr>
          <w:p w:rsidR="00387ABE" w:rsidRDefault="007B10C4" w:rsidP="00750F2A">
            <w:pPr>
              <w:pStyle w:val="Default"/>
              <w:rPr>
                <w:rFonts w:ascii="Arial" w:hAnsi="Arial" w:cs="Arial"/>
                <w:i/>
                <w:sz w:val="20"/>
                <w:szCs w:val="20"/>
              </w:rPr>
            </w:pPr>
            <w:r w:rsidRPr="00750F2A">
              <w:rPr>
                <w:rFonts w:ascii="Arial" w:hAnsi="Arial" w:cs="Arial"/>
                <w:i/>
                <w:sz w:val="20"/>
                <w:szCs w:val="20"/>
              </w:rPr>
              <w:t xml:space="preserve">We have completed the CAG public engagement work on </w:t>
            </w:r>
            <w:r w:rsidR="00387ABE">
              <w:rPr>
                <w:rFonts w:ascii="Arial" w:hAnsi="Arial" w:cs="Arial"/>
                <w:i/>
                <w:sz w:val="20"/>
                <w:szCs w:val="20"/>
              </w:rPr>
              <w:t>the factors to be taken into account by CAG in reviewing studies where identifiable data is used in commercial research.</w:t>
            </w:r>
          </w:p>
          <w:p w:rsidR="00387ABE" w:rsidRDefault="00387ABE" w:rsidP="00750F2A">
            <w:pPr>
              <w:pStyle w:val="Default"/>
              <w:rPr>
                <w:rFonts w:ascii="Arial" w:hAnsi="Arial" w:cs="Arial"/>
                <w:i/>
                <w:sz w:val="20"/>
                <w:szCs w:val="20"/>
              </w:rPr>
            </w:pPr>
          </w:p>
          <w:p w:rsidR="00750F2A" w:rsidRPr="00750F2A" w:rsidRDefault="00387ABE" w:rsidP="00750F2A">
            <w:pPr>
              <w:pStyle w:val="Default"/>
              <w:rPr>
                <w:rFonts w:ascii="Arial" w:hAnsi="Arial" w:cs="Arial"/>
                <w:i/>
                <w:sz w:val="20"/>
                <w:szCs w:val="20"/>
              </w:rPr>
            </w:pPr>
            <w:r>
              <w:rPr>
                <w:rFonts w:ascii="Arial" w:hAnsi="Arial" w:cs="Arial"/>
                <w:i/>
                <w:sz w:val="20"/>
                <w:szCs w:val="20"/>
              </w:rPr>
              <w:t>W</w:t>
            </w:r>
            <w:r w:rsidR="007B10C4" w:rsidRPr="00750F2A">
              <w:rPr>
                <w:rFonts w:ascii="Arial" w:hAnsi="Arial" w:cs="Arial"/>
                <w:i/>
                <w:sz w:val="20"/>
                <w:szCs w:val="20"/>
              </w:rPr>
              <w:t>e are now working on the joint HRA/H</w:t>
            </w:r>
            <w:r w:rsidR="00750F2A" w:rsidRPr="00750F2A">
              <w:rPr>
                <w:rFonts w:ascii="Arial" w:hAnsi="Arial" w:cs="Arial"/>
                <w:i/>
                <w:sz w:val="20"/>
                <w:szCs w:val="20"/>
              </w:rPr>
              <w:t>uman Tissue Authority (H</w:t>
            </w:r>
            <w:r w:rsidR="007B10C4" w:rsidRPr="00750F2A">
              <w:rPr>
                <w:rFonts w:ascii="Arial" w:hAnsi="Arial" w:cs="Arial"/>
                <w:i/>
                <w:sz w:val="20"/>
                <w:szCs w:val="20"/>
              </w:rPr>
              <w:t>TA</w:t>
            </w:r>
            <w:r w:rsidR="00750F2A" w:rsidRPr="00750F2A">
              <w:rPr>
                <w:rFonts w:ascii="Arial" w:hAnsi="Arial" w:cs="Arial"/>
                <w:i/>
                <w:sz w:val="20"/>
                <w:szCs w:val="20"/>
              </w:rPr>
              <w:t>)</w:t>
            </w:r>
            <w:r w:rsidR="007B10C4" w:rsidRPr="00750F2A">
              <w:rPr>
                <w:rFonts w:ascii="Arial" w:hAnsi="Arial" w:cs="Arial"/>
                <w:i/>
                <w:sz w:val="20"/>
                <w:szCs w:val="20"/>
              </w:rPr>
              <w:t xml:space="preserve"> public dialogue project on sharing patient data with tissue for research</w:t>
            </w:r>
            <w:r w:rsidR="00932985">
              <w:rPr>
                <w:rFonts w:ascii="Arial" w:hAnsi="Arial" w:cs="Arial"/>
                <w:i/>
                <w:sz w:val="20"/>
                <w:szCs w:val="20"/>
              </w:rPr>
              <w:t xml:space="preserve"> which is part-funded by Sciencewise.</w:t>
            </w:r>
            <w:r w:rsidR="00D42727">
              <w:rPr>
                <w:rFonts w:ascii="Arial" w:hAnsi="Arial" w:cs="Arial"/>
                <w:i/>
                <w:sz w:val="20"/>
                <w:szCs w:val="20"/>
              </w:rPr>
              <w:t xml:space="preserve"> Workshops have started and we expect this work to report their findings later this year.</w:t>
            </w:r>
            <w:r w:rsidR="00932985">
              <w:rPr>
                <w:rFonts w:ascii="Arial" w:hAnsi="Arial" w:cs="Arial"/>
                <w:i/>
                <w:sz w:val="20"/>
                <w:szCs w:val="20"/>
              </w:rPr>
              <w:t xml:space="preserve">  We are building on </w:t>
            </w:r>
            <w:proofErr w:type="spellStart"/>
            <w:r w:rsidR="00932985">
              <w:rPr>
                <w:rFonts w:ascii="Arial" w:hAnsi="Arial" w:cs="Arial"/>
                <w:i/>
                <w:sz w:val="20"/>
                <w:szCs w:val="20"/>
              </w:rPr>
              <w:t>Well</w:t>
            </w:r>
            <w:bookmarkStart w:id="0" w:name="_GoBack"/>
            <w:bookmarkEnd w:id="0"/>
            <w:r w:rsidR="00932985">
              <w:rPr>
                <w:rFonts w:ascii="Arial" w:hAnsi="Arial" w:cs="Arial"/>
                <w:i/>
                <w:sz w:val="20"/>
                <w:szCs w:val="20"/>
              </w:rPr>
              <w:t>come’s</w:t>
            </w:r>
            <w:proofErr w:type="spellEnd"/>
            <w:r w:rsidR="00932985">
              <w:rPr>
                <w:rFonts w:ascii="Arial" w:hAnsi="Arial" w:cs="Arial"/>
                <w:i/>
                <w:sz w:val="20"/>
                <w:szCs w:val="20"/>
              </w:rPr>
              <w:t xml:space="preserve"> ‘Understanding Patient Data’ work and Wellcome </w:t>
            </w:r>
            <w:proofErr w:type="gramStart"/>
            <w:r w:rsidR="00932985">
              <w:rPr>
                <w:rFonts w:ascii="Arial" w:hAnsi="Arial" w:cs="Arial"/>
                <w:i/>
                <w:sz w:val="20"/>
                <w:szCs w:val="20"/>
              </w:rPr>
              <w:t>are</w:t>
            </w:r>
            <w:proofErr w:type="gramEnd"/>
            <w:r w:rsidR="00932985">
              <w:rPr>
                <w:rFonts w:ascii="Arial" w:hAnsi="Arial" w:cs="Arial"/>
                <w:i/>
                <w:sz w:val="20"/>
                <w:szCs w:val="20"/>
              </w:rPr>
              <w:t xml:space="preserve"> represented on the HRA Oversight Group for this project.</w:t>
            </w:r>
          </w:p>
          <w:p w:rsidR="00750F2A" w:rsidRPr="00750F2A" w:rsidRDefault="00750F2A" w:rsidP="00750F2A">
            <w:pPr>
              <w:pStyle w:val="Default"/>
              <w:rPr>
                <w:rFonts w:ascii="Arial" w:hAnsi="Arial" w:cs="Arial"/>
                <w:i/>
                <w:sz w:val="20"/>
                <w:szCs w:val="20"/>
              </w:rPr>
            </w:pPr>
          </w:p>
          <w:p w:rsidR="00E07CBD" w:rsidRPr="00750F2A" w:rsidRDefault="00750F2A" w:rsidP="00750F2A">
            <w:pPr>
              <w:pStyle w:val="Default"/>
              <w:rPr>
                <w:rFonts w:ascii="Arial" w:hAnsi="Arial" w:cs="Arial"/>
                <w:i/>
                <w:sz w:val="20"/>
                <w:szCs w:val="20"/>
              </w:rPr>
            </w:pPr>
            <w:r w:rsidRPr="00750F2A">
              <w:rPr>
                <w:rFonts w:ascii="Arial" w:hAnsi="Arial" w:cs="Arial"/>
                <w:i/>
                <w:sz w:val="20"/>
                <w:szCs w:val="20"/>
              </w:rPr>
              <w:t>T</w:t>
            </w:r>
            <w:r w:rsidR="00D148AF" w:rsidRPr="00750F2A">
              <w:rPr>
                <w:rFonts w:ascii="Arial" w:hAnsi="Arial" w:cs="Arial"/>
                <w:i/>
                <w:sz w:val="20"/>
                <w:szCs w:val="20"/>
              </w:rPr>
              <w:t>hrough the NHS Digital Research Advisory Group we are influencing effective regulatory and oversight arrangements that will command public support.</w:t>
            </w:r>
          </w:p>
          <w:p w:rsidR="00750F2A" w:rsidRPr="00750F2A" w:rsidRDefault="00750F2A" w:rsidP="00750F2A">
            <w:pPr>
              <w:pStyle w:val="Default"/>
              <w:rPr>
                <w:rFonts w:ascii="Arial" w:hAnsi="Arial" w:cs="Arial"/>
                <w:i/>
                <w:sz w:val="20"/>
                <w:szCs w:val="20"/>
              </w:rPr>
            </w:pPr>
          </w:p>
        </w:tc>
      </w:tr>
    </w:tbl>
    <w:p w:rsidR="00C374C7" w:rsidRDefault="00C374C7" w:rsidP="00C374C7">
      <w:pPr>
        <w:pStyle w:val="Default"/>
      </w:pPr>
    </w:p>
    <w:sectPr w:rsidR="00C374C7" w:rsidSect="007479BD">
      <w:pgSz w:w="11900" w:h="17339"/>
      <w:pgMar w:top="1400" w:right="418" w:bottom="769"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F7C68"/>
    <w:multiLevelType w:val="hybridMultilevel"/>
    <w:tmpl w:val="EAECE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4C7"/>
    <w:rsid w:val="0008077E"/>
    <w:rsid w:val="002B3A27"/>
    <w:rsid w:val="003830C6"/>
    <w:rsid w:val="00387ABE"/>
    <w:rsid w:val="004778D3"/>
    <w:rsid w:val="006E4865"/>
    <w:rsid w:val="007479BD"/>
    <w:rsid w:val="00750F2A"/>
    <w:rsid w:val="007B10C4"/>
    <w:rsid w:val="007D1288"/>
    <w:rsid w:val="007F6F4B"/>
    <w:rsid w:val="008172B6"/>
    <w:rsid w:val="0084777C"/>
    <w:rsid w:val="008B4A43"/>
    <w:rsid w:val="008B6727"/>
    <w:rsid w:val="00932985"/>
    <w:rsid w:val="009E69D2"/>
    <w:rsid w:val="00AB1283"/>
    <w:rsid w:val="00B5550D"/>
    <w:rsid w:val="00BA7800"/>
    <w:rsid w:val="00C374C7"/>
    <w:rsid w:val="00CF2EB6"/>
    <w:rsid w:val="00D148AF"/>
    <w:rsid w:val="00D42727"/>
    <w:rsid w:val="00D53A6B"/>
    <w:rsid w:val="00DE08D7"/>
    <w:rsid w:val="00E0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4C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C3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BD"/>
    <w:rPr>
      <w:rFonts w:ascii="Tahoma" w:hAnsi="Tahoma" w:cs="Tahoma"/>
      <w:sz w:val="16"/>
      <w:szCs w:val="16"/>
    </w:rPr>
  </w:style>
  <w:style w:type="paragraph" w:styleId="ListParagraph">
    <w:name w:val="List Paragraph"/>
    <w:basedOn w:val="Normal"/>
    <w:uiPriority w:val="34"/>
    <w:qFormat/>
    <w:rsid w:val="00D42727"/>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B1283"/>
    <w:rPr>
      <w:sz w:val="16"/>
      <w:szCs w:val="16"/>
    </w:rPr>
  </w:style>
  <w:style w:type="paragraph" w:styleId="CommentText">
    <w:name w:val="annotation text"/>
    <w:basedOn w:val="Normal"/>
    <w:link w:val="CommentTextChar"/>
    <w:uiPriority w:val="99"/>
    <w:semiHidden/>
    <w:unhideWhenUsed/>
    <w:rsid w:val="00AB1283"/>
    <w:pPr>
      <w:spacing w:line="240" w:lineRule="auto"/>
    </w:pPr>
    <w:rPr>
      <w:sz w:val="20"/>
      <w:szCs w:val="20"/>
    </w:rPr>
  </w:style>
  <w:style w:type="character" w:customStyle="1" w:styleId="CommentTextChar">
    <w:name w:val="Comment Text Char"/>
    <w:basedOn w:val="DefaultParagraphFont"/>
    <w:link w:val="CommentText"/>
    <w:uiPriority w:val="99"/>
    <w:semiHidden/>
    <w:rsid w:val="00AB1283"/>
    <w:rPr>
      <w:sz w:val="20"/>
      <w:szCs w:val="20"/>
    </w:rPr>
  </w:style>
  <w:style w:type="paragraph" w:styleId="CommentSubject">
    <w:name w:val="annotation subject"/>
    <w:basedOn w:val="CommentText"/>
    <w:next w:val="CommentText"/>
    <w:link w:val="CommentSubjectChar"/>
    <w:uiPriority w:val="99"/>
    <w:semiHidden/>
    <w:unhideWhenUsed/>
    <w:rsid w:val="00AB1283"/>
    <w:rPr>
      <w:b/>
      <w:bCs/>
    </w:rPr>
  </w:style>
  <w:style w:type="character" w:customStyle="1" w:styleId="CommentSubjectChar">
    <w:name w:val="Comment Subject Char"/>
    <w:basedOn w:val="CommentTextChar"/>
    <w:link w:val="CommentSubject"/>
    <w:uiPriority w:val="99"/>
    <w:semiHidden/>
    <w:rsid w:val="00AB12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4C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C37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BD"/>
    <w:rPr>
      <w:rFonts w:ascii="Tahoma" w:hAnsi="Tahoma" w:cs="Tahoma"/>
      <w:sz w:val="16"/>
      <w:szCs w:val="16"/>
    </w:rPr>
  </w:style>
  <w:style w:type="paragraph" w:styleId="ListParagraph">
    <w:name w:val="List Paragraph"/>
    <w:basedOn w:val="Normal"/>
    <w:uiPriority w:val="34"/>
    <w:qFormat/>
    <w:rsid w:val="00D42727"/>
    <w:pPr>
      <w:spacing w:after="0" w:line="24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AB1283"/>
    <w:rPr>
      <w:sz w:val="16"/>
      <w:szCs w:val="16"/>
    </w:rPr>
  </w:style>
  <w:style w:type="paragraph" w:styleId="CommentText">
    <w:name w:val="annotation text"/>
    <w:basedOn w:val="Normal"/>
    <w:link w:val="CommentTextChar"/>
    <w:uiPriority w:val="99"/>
    <w:semiHidden/>
    <w:unhideWhenUsed/>
    <w:rsid w:val="00AB1283"/>
    <w:pPr>
      <w:spacing w:line="240" w:lineRule="auto"/>
    </w:pPr>
    <w:rPr>
      <w:sz w:val="20"/>
      <w:szCs w:val="20"/>
    </w:rPr>
  </w:style>
  <w:style w:type="character" w:customStyle="1" w:styleId="CommentTextChar">
    <w:name w:val="Comment Text Char"/>
    <w:basedOn w:val="DefaultParagraphFont"/>
    <w:link w:val="CommentText"/>
    <w:uiPriority w:val="99"/>
    <w:semiHidden/>
    <w:rsid w:val="00AB1283"/>
    <w:rPr>
      <w:sz w:val="20"/>
      <w:szCs w:val="20"/>
    </w:rPr>
  </w:style>
  <w:style w:type="paragraph" w:styleId="CommentSubject">
    <w:name w:val="annotation subject"/>
    <w:basedOn w:val="CommentText"/>
    <w:next w:val="CommentText"/>
    <w:link w:val="CommentSubjectChar"/>
    <w:uiPriority w:val="99"/>
    <w:semiHidden/>
    <w:unhideWhenUsed/>
    <w:rsid w:val="00AB1283"/>
    <w:rPr>
      <w:b/>
      <w:bCs/>
    </w:rPr>
  </w:style>
  <w:style w:type="character" w:customStyle="1" w:styleId="CommentSubjectChar">
    <w:name w:val="Comment Subject Char"/>
    <w:basedOn w:val="CommentTextChar"/>
    <w:link w:val="CommentSubject"/>
    <w:uiPriority w:val="99"/>
    <w:semiHidden/>
    <w:rsid w:val="00AB1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Teresa</dc:creator>
  <cp:lastModifiedBy>Steve Tebbutt</cp:lastModifiedBy>
  <cp:revision>3</cp:revision>
  <dcterms:created xsi:type="dcterms:W3CDTF">2017-10-09T22:10:00Z</dcterms:created>
  <dcterms:modified xsi:type="dcterms:W3CDTF">2017-10-12T15:41:00Z</dcterms:modified>
</cp:coreProperties>
</file>