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745FAD" w:rsidP="00E34821">
      <w:pPr>
        <w:pStyle w:val="NoSpacing"/>
        <w:jc w:val="right"/>
        <w:rPr>
          <w:rFonts w:ascii="Arial" w:hAnsi="Arial" w:cs="Arial"/>
          <w:b/>
          <w:lang w:val="en-GB"/>
        </w:rPr>
      </w:pPr>
      <w:r>
        <w:rPr>
          <w:rFonts w:ascii="Arial" w:hAnsi="Arial" w:cs="Arial"/>
          <w:b/>
          <w:lang w:val="en-GB"/>
        </w:rPr>
        <w:tab/>
      </w:r>
      <w:r w:rsidR="00E34821">
        <w:rPr>
          <w:rFonts w:ascii="Arial" w:hAnsi="Arial" w:cs="Arial"/>
          <w:b/>
          <w:noProof/>
          <w:lang w:val="en-GB" w:eastAsia="en-GB"/>
        </w:rPr>
        <w:drawing>
          <wp:inline distT="0" distB="0" distL="0" distR="0" wp14:anchorId="47EA4DD9" wp14:editId="02B9653D">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p>
        </w:tc>
        <w:tc>
          <w:tcPr>
            <w:tcW w:w="1260" w:type="dxa"/>
          </w:tcPr>
          <w:p w:rsidR="00DF3EE3" w:rsidRPr="00DF3EE3" w:rsidRDefault="00DF3EE3" w:rsidP="00DF3EE3">
            <w:pPr>
              <w:jc w:val="center"/>
              <w:rPr>
                <w:rFonts w:asciiTheme="minorHAnsi" w:hAnsiTheme="minorHAnsi" w:cstheme="minorHAnsi"/>
                <w:b/>
                <w:sz w:val="44"/>
                <w:szCs w:val="44"/>
                <w:lang w:eastAsia="en-US"/>
              </w:rPr>
            </w:pPr>
          </w:p>
        </w:tc>
      </w:tr>
      <w:tr w:rsidR="00DF3EE3" w:rsidRPr="00DF3EE3" w:rsidTr="00DF3EE3">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p>
        </w:tc>
        <w:tc>
          <w:tcPr>
            <w:tcW w:w="1260" w:type="dxa"/>
          </w:tcPr>
          <w:p w:rsidR="00DF3EE3" w:rsidRPr="005E4465" w:rsidRDefault="00DF3EE3" w:rsidP="00DF3EE3">
            <w:pPr>
              <w:jc w:val="center"/>
              <w:rPr>
                <w:rFonts w:asciiTheme="minorHAnsi" w:hAnsiTheme="minorHAnsi" w:cstheme="minorHAnsi"/>
                <w:b/>
                <w:sz w:val="44"/>
                <w:szCs w:val="44"/>
                <w:lang w:eastAsia="en-US"/>
              </w:rPr>
            </w:pP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 xml:space="preserve">HRA </w:t>
      </w:r>
      <w:r w:rsidR="00AD4685">
        <w:rPr>
          <w:rFonts w:asciiTheme="minorHAnsi" w:eastAsiaTheme="minorHAnsi" w:hAnsiTheme="minorHAnsi" w:cstheme="minorHAnsi"/>
          <w:b/>
          <w:sz w:val="44"/>
          <w:szCs w:val="44"/>
          <w:lang w:eastAsia="en-US"/>
        </w:rPr>
        <w:t>BOARD</w:t>
      </w:r>
      <w:r w:rsidR="00E93BF0">
        <w:rPr>
          <w:rFonts w:asciiTheme="minorHAnsi" w:eastAsiaTheme="minorHAnsi" w:hAnsiTheme="minorHAnsi" w:cstheme="minorHAnsi"/>
          <w:b/>
          <w:sz w:val="44"/>
          <w:szCs w:val="44"/>
          <w:lang w:eastAsia="en-US"/>
        </w:rPr>
        <w:t xml:space="preserve"> &amp; LT</w:t>
      </w:r>
      <w:r w:rsidRPr="00DF3EE3">
        <w:rPr>
          <w:rFonts w:asciiTheme="minorHAnsi" w:eastAsiaTheme="minorHAnsi" w:hAnsiTheme="minorHAnsi" w:cstheme="minorHAnsi"/>
          <w:b/>
          <w:sz w:val="44"/>
          <w:szCs w:val="44"/>
          <w:lang w:eastAsia="en-US"/>
        </w:rPr>
        <w:t xml:space="preserve"> COVER SHEET</w:t>
      </w: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A5757C">
        <w:trPr>
          <w:trHeight w:val="491"/>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shd w:val="clear" w:color="auto" w:fill="auto"/>
          </w:tcPr>
          <w:p w:rsidR="00E93BF0" w:rsidRPr="00A5757C" w:rsidRDefault="00E872B3" w:rsidP="003E736A">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Board:</w:t>
            </w:r>
            <w:r w:rsidR="00461F18">
              <w:rPr>
                <w:rFonts w:asciiTheme="minorHAnsi" w:eastAsiaTheme="minorHAnsi" w:hAnsiTheme="minorHAnsi" w:cstheme="minorHAnsi"/>
                <w:lang w:eastAsia="en-US"/>
              </w:rPr>
              <w:t xml:space="preserve"> 1</w:t>
            </w:r>
            <w:r w:rsidR="003E736A">
              <w:rPr>
                <w:rFonts w:asciiTheme="minorHAnsi" w:eastAsiaTheme="minorHAnsi" w:hAnsiTheme="minorHAnsi" w:cstheme="minorHAnsi"/>
                <w:lang w:eastAsia="en-US"/>
              </w:rPr>
              <w:t>8</w:t>
            </w:r>
            <w:r w:rsidR="00461F18" w:rsidRPr="00461F18">
              <w:rPr>
                <w:rFonts w:asciiTheme="minorHAnsi" w:eastAsiaTheme="minorHAnsi" w:hAnsiTheme="minorHAnsi" w:cstheme="minorHAnsi"/>
                <w:vertAlign w:val="superscript"/>
                <w:lang w:eastAsia="en-US"/>
              </w:rPr>
              <w:t>th</w:t>
            </w:r>
            <w:r w:rsidR="00461F18">
              <w:rPr>
                <w:rFonts w:asciiTheme="minorHAnsi" w:eastAsiaTheme="minorHAnsi" w:hAnsiTheme="minorHAnsi" w:cstheme="minorHAnsi"/>
                <w:lang w:eastAsia="en-US"/>
              </w:rPr>
              <w:t xml:space="preserve"> </w:t>
            </w:r>
            <w:r w:rsidR="003E736A">
              <w:rPr>
                <w:rFonts w:asciiTheme="minorHAnsi" w:eastAsiaTheme="minorHAnsi" w:hAnsiTheme="minorHAnsi" w:cstheme="minorHAnsi"/>
                <w:lang w:eastAsia="en-US"/>
              </w:rPr>
              <w:t>Oc</w:t>
            </w:r>
            <w:r w:rsidR="00461F18">
              <w:rPr>
                <w:rFonts w:asciiTheme="minorHAnsi" w:eastAsiaTheme="minorHAnsi" w:hAnsiTheme="minorHAnsi" w:cstheme="minorHAnsi"/>
                <w:lang w:eastAsia="en-US"/>
              </w:rPr>
              <w:t>t</w:t>
            </w:r>
            <w:r w:rsidR="003E736A">
              <w:rPr>
                <w:rFonts w:asciiTheme="minorHAnsi" w:eastAsiaTheme="minorHAnsi" w:hAnsiTheme="minorHAnsi" w:cstheme="minorHAnsi"/>
                <w:lang w:eastAsia="en-US"/>
              </w:rPr>
              <w:t>o</w:t>
            </w:r>
            <w:r w:rsidR="00461F18">
              <w:rPr>
                <w:rFonts w:asciiTheme="minorHAnsi" w:eastAsiaTheme="minorHAnsi" w:hAnsiTheme="minorHAnsi" w:cstheme="minorHAnsi"/>
                <w:lang w:eastAsia="en-US"/>
              </w:rPr>
              <w:t>ber 2017</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Pr="007B0F30" w:rsidRDefault="00DF3EE3" w:rsidP="00541CD6">
            <w:pPr>
              <w:spacing w:after="200" w:line="276" w:lineRule="auto"/>
              <w:rPr>
                <w:rFonts w:asciiTheme="minorHAnsi" w:hAnsiTheme="minorHAnsi" w:cstheme="minorHAnsi"/>
              </w:rPr>
            </w:pPr>
            <w:r w:rsidRPr="00DF3EE3">
              <w:rPr>
                <w:rFonts w:asciiTheme="minorHAnsi" w:hAnsiTheme="minorHAnsi" w:cstheme="minorHAnsi"/>
              </w:rPr>
              <w:t>Financ</w:t>
            </w:r>
            <w:r w:rsidR="00E93BF0">
              <w:rPr>
                <w:rFonts w:asciiTheme="minorHAnsi" w:hAnsiTheme="minorHAnsi" w:cstheme="minorHAnsi"/>
              </w:rPr>
              <w:t>e</w:t>
            </w:r>
            <w:r w:rsidRPr="00DF3EE3">
              <w:rPr>
                <w:rFonts w:asciiTheme="minorHAnsi" w:hAnsiTheme="minorHAnsi" w:cstheme="minorHAnsi"/>
              </w:rPr>
              <w:t xml:space="preserve"> </w:t>
            </w:r>
            <w:r w:rsidR="00AD76CF">
              <w:rPr>
                <w:rFonts w:asciiTheme="minorHAnsi" w:hAnsiTheme="minorHAnsi" w:cstheme="minorHAnsi"/>
              </w:rPr>
              <w:t xml:space="preserve">report </w:t>
            </w:r>
            <w:r w:rsidR="008D3436">
              <w:rPr>
                <w:rFonts w:asciiTheme="minorHAnsi" w:hAnsiTheme="minorHAnsi" w:cstheme="minorHAnsi"/>
              </w:rPr>
              <w:t xml:space="preserve"> - </w:t>
            </w:r>
            <w:r w:rsidR="00A76C3F">
              <w:rPr>
                <w:rFonts w:asciiTheme="minorHAnsi" w:hAnsiTheme="minorHAnsi" w:cstheme="minorHAnsi"/>
              </w:rPr>
              <w:t xml:space="preserve">for the </w:t>
            </w:r>
            <w:r w:rsidR="00541CD6">
              <w:rPr>
                <w:rFonts w:asciiTheme="minorHAnsi" w:hAnsiTheme="minorHAnsi" w:cstheme="minorHAnsi"/>
              </w:rPr>
              <w:t xml:space="preserve">6 </w:t>
            </w:r>
            <w:r w:rsidR="00E872B3">
              <w:rPr>
                <w:rFonts w:asciiTheme="minorHAnsi" w:hAnsiTheme="minorHAnsi" w:cstheme="minorHAnsi"/>
              </w:rPr>
              <w:t>months</w:t>
            </w:r>
            <w:r w:rsidR="00E93BF0">
              <w:rPr>
                <w:rFonts w:asciiTheme="minorHAnsi" w:hAnsiTheme="minorHAnsi" w:cstheme="minorHAnsi"/>
              </w:rPr>
              <w:t xml:space="preserve"> </w:t>
            </w:r>
            <w:r w:rsidR="00A76C3F">
              <w:rPr>
                <w:rFonts w:asciiTheme="minorHAnsi" w:hAnsiTheme="minorHAnsi" w:cstheme="minorHAnsi"/>
              </w:rPr>
              <w:t>ended 3</w:t>
            </w:r>
            <w:r w:rsidR="00541CD6">
              <w:rPr>
                <w:rFonts w:asciiTheme="minorHAnsi" w:hAnsiTheme="minorHAnsi" w:cstheme="minorHAnsi"/>
              </w:rPr>
              <w:t>0</w:t>
            </w:r>
            <w:r w:rsidR="003E736A">
              <w:rPr>
                <w:rFonts w:asciiTheme="minorHAnsi" w:hAnsiTheme="minorHAnsi" w:cstheme="minorHAnsi"/>
              </w:rPr>
              <w:t xml:space="preserve"> </w:t>
            </w:r>
            <w:r w:rsidR="00541CD6">
              <w:rPr>
                <w:rFonts w:asciiTheme="minorHAnsi" w:hAnsiTheme="minorHAnsi" w:cstheme="minorHAnsi"/>
              </w:rPr>
              <w:t>September</w:t>
            </w:r>
            <w:r w:rsidR="00FA0CFC">
              <w:rPr>
                <w:rFonts w:asciiTheme="minorHAnsi" w:hAnsiTheme="minorHAnsi" w:cstheme="minorHAnsi"/>
              </w:rPr>
              <w:t xml:space="preserve"> 2017</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5F1D45" w:rsidRDefault="009F5C1B" w:rsidP="005F1D4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w:t>
            </w:r>
            <w:r w:rsidR="005F1D45">
              <w:rPr>
                <w:rFonts w:asciiTheme="minorHAnsi" w:eastAsiaTheme="minorHAnsi" w:hAnsiTheme="minorHAnsi" w:cstheme="minorHAnsi"/>
                <w:lang w:eastAsia="en-US"/>
              </w:rPr>
              <w:t xml:space="preserve">enable </w:t>
            </w:r>
            <w:r w:rsidR="000F7175">
              <w:rPr>
                <w:rFonts w:asciiTheme="minorHAnsi" w:eastAsiaTheme="minorHAnsi" w:hAnsiTheme="minorHAnsi" w:cstheme="minorHAnsi"/>
                <w:lang w:eastAsia="en-US"/>
              </w:rPr>
              <w:t xml:space="preserve">an </w:t>
            </w:r>
            <w:r w:rsidR="005F1D45" w:rsidRPr="005F1D45">
              <w:rPr>
                <w:rFonts w:asciiTheme="minorHAnsi" w:eastAsiaTheme="minorHAnsi" w:hAnsiTheme="minorHAnsi" w:cstheme="minorHAnsi"/>
                <w:lang w:eastAsia="en-US"/>
              </w:rPr>
              <w:t xml:space="preserve">informed understanding of </w:t>
            </w:r>
            <w:r w:rsidR="007B77AD">
              <w:rPr>
                <w:rFonts w:asciiTheme="minorHAnsi" w:eastAsiaTheme="minorHAnsi" w:hAnsiTheme="minorHAnsi" w:cstheme="minorHAnsi"/>
                <w:lang w:eastAsia="en-US"/>
              </w:rPr>
              <w:t>the HRA’s</w:t>
            </w:r>
            <w:r w:rsidR="005F1D45" w:rsidRPr="005F1D45">
              <w:rPr>
                <w:rFonts w:asciiTheme="minorHAnsi" w:eastAsiaTheme="minorHAnsi" w:hAnsiTheme="minorHAnsi" w:cstheme="minorHAnsi"/>
                <w:lang w:eastAsia="en-US"/>
              </w:rPr>
              <w:t xml:space="preserve"> financial </w:t>
            </w:r>
            <w:r w:rsidR="00B07207" w:rsidRPr="005F1D45">
              <w:rPr>
                <w:rFonts w:asciiTheme="minorHAnsi" w:eastAsiaTheme="minorHAnsi" w:hAnsiTheme="minorHAnsi" w:cstheme="minorHAnsi"/>
                <w:lang w:eastAsia="en-US"/>
              </w:rPr>
              <w:t>performance</w:t>
            </w:r>
            <w:r w:rsidR="00DF3EE3" w:rsidRPr="005F1D45">
              <w:rPr>
                <w:rFonts w:asciiTheme="minorHAnsi" w:eastAsiaTheme="minorHAnsi" w:hAnsiTheme="minorHAnsi" w:cstheme="minorHAnsi"/>
                <w:lang w:eastAsia="en-US"/>
              </w:rPr>
              <w:t xml:space="preserve"> </w:t>
            </w:r>
            <w:r w:rsidR="00A76C3F" w:rsidRPr="005F1D45">
              <w:rPr>
                <w:rFonts w:asciiTheme="minorHAnsi" w:eastAsiaTheme="minorHAnsi" w:hAnsiTheme="minorHAnsi" w:cstheme="minorHAnsi"/>
                <w:lang w:eastAsia="en-US"/>
              </w:rPr>
              <w:t xml:space="preserve">for the </w:t>
            </w:r>
            <w:r w:rsidR="00541CD6">
              <w:rPr>
                <w:rFonts w:asciiTheme="minorHAnsi" w:eastAsiaTheme="minorHAnsi" w:hAnsiTheme="minorHAnsi" w:cstheme="minorHAnsi"/>
                <w:lang w:eastAsia="en-US"/>
              </w:rPr>
              <w:t>6</w:t>
            </w:r>
            <w:r w:rsidR="00E93BF0">
              <w:rPr>
                <w:rFonts w:asciiTheme="minorHAnsi" w:eastAsiaTheme="minorHAnsi" w:hAnsiTheme="minorHAnsi" w:cstheme="minorHAnsi"/>
                <w:lang w:eastAsia="en-US"/>
              </w:rPr>
              <w:t xml:space="preserve"> months</w:t>
            </w:r>
            <w:r w:rsidR="00882077">
              <w:rPr>
                <w:rFonts w:asciiTheme="minorHAnsi" w:eastAsiaTheme="minorHAnsi" w:hAnsiTheme="minorHAnsi" w:cstheme="minorHAnsi"/>
                <w:lang w:eastAsia="en-US"/>
              </w:rPr>
              <w:t xml:space="preserve"> to</w:t>
            </w:r>
            <w:r w:rsidR="00A76C3F" w:rsidRPr="005F1D45">
              <w:rPr>
                <w:rFonts w:asciiTheme="minorHAnsi" w:eastAsiaTheme="minorHAnsi" w:hAnsiTheme="minorHAnsi" w:cstheme="minorHAnsi"/>
                <w:lang w:eastAsia="en-US"/>
              </w:rPr>
              <w:t xml:space="preserve"> </w:t>
            </w:r>
            <w:r w:rsidR="005F1D45" w:rsidRPr="005F1D45">
              <w:rPr>
                <w:rFonts w:asciiTheme="minorHAnsi" w:eastAsiaTheme="minorHAnsi" w:hAnsiTheme="minorHAnsi" w:cstheme="minorHAnsi"/>
                <w:lang w:eastAsia="en-US"/>
              </w:rPr>
              <w:t>3</w:t>
            </w:r>
            <w:r w:rsidR="00661DE0">
              <w:rPr>
                <w:rFonts w:asciiTheme="minorHAnsi" w:eastAsiaTheme="minorHAnsi" w:hAnsiTheme="minorHAnsi" w:cstheme="minorHAnsi"/>
                <w:lang w:eastAsia="en-US"/>
              </w:rPr>
              <w:t>0 September</w:t>
            </w:r>
            <w:r w:rsidR="005F1D45" w:rsidRPr="005F1D45">
              <w:rPr>
                <w:rFonts w:asciiTheme="minorHAnsi" w:eastAsiaTheme="minorHAnsi" w:hAnsiTheme="minorHAnsi" w:cstheme="minorHAnsi"/>
                <w:lang w:eastAsia="en-US"/>
              </w:rPr>
              <w:t xml:space="preserve"> 2017</w:t>
            </w:r>
            <w:r w:rsidR="007C48EC">
              <w:rPr>
                <w:rFonts w:asciiTheme="minorHAnsi" w:eastAsiaTheme="minorHAnsi" w:hAnsiTheme="minorHAnsi" w:cstheme="minorHAnsi"/>
                <w:lang w:eastAsia="en-US"/>
              </w:rPr>
              <w:t xml:space="preserve"> </w:t>
            </w:r>
            <w:proofErr w:type="gramStart"/>
            <w:r w:rsidR="007C48EC">
              <w:rPr>
                <w:rFonts w:asciiTheme="minorHAnsi" w:eastAsiaTheme="minorHAnsi" w:hAnsiTheme="minorHAnsi" w:cstheme="minorHAnsi"/>
                <w:lang w:eastAsia="en-US"/>
              </w:rPr>
              <w:t>and  forecast</w:t>
            </w:r>
            <w:proofErr w:type="gramEnd"/>
            <w:r w:rsidR="007C48EC">
              <w:rPr>
                <w:rFonts w:asciiTheme="minorHAnsi" w:eastAsiaTheme="minorHAnsi" w:hAnsiTheme="minorHAnsi" w:cstheme="minorHAnsi"/>
                <w:lang w:eastAsia="en-US"/>
              </w:rPr>
              <w:t xml:space="preserve"> position for the year. </w:t>
            </w:r>
          </w:p>
          <w:p w:rsidR="007C48EC" w:rsidRDefault="007C48EC" w:rsidP="005F1D4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share the steps being taken to ensure our resources are being utilized to best effect to achieve our strategic goals. </w:t>
            </w:r>
          </w:p>
          <w:p w:rsidR="0025092F" w:rsidRDefault="005F1D45" w:rsidP="005F1D4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improve decision making by increasing financial literacy particularly in relation to </w:t>
            </w:r>
            <w:r w:rsidRPr="005F1D45">
              <w:rPr>
                <w:rFonts w:asciiTheme="minorHAnsi" w:eastAsiaTheme="minorHAnsi" w:hAnsiTheme="minorHAnsi" w:cstheme="minorHAnsi"/>
                <w:lang w:eastAsia="en-US"/>
              </w:rPr>
              <w:t xml:space="preserve">our 2017/18 financial </w:t>
            </w:r>
            <w:r>
              <w:rPr>
                <w:rFonts w:asciiTheme="minorHAnsi" w:eastAsiaTheme="minorHAnsi" w:hAnsiTheme="minorHAnsi" w:cstheme="minorHAnsi"/>
                <w:lang w:eastAsia="en-US"/>
              </w:rPr>
              <w:t xml:space="preserve">plan </w:t>
            </w:r>
            <w:r w:rsidRPr="005F1D45">
              <w:rPr>
                <w:rFonts w:asciiTheme="minorHAnsi" w:eastAsiaTheme="minorHAnsi" w:hAnsiTheme="minorHAnsi" w:cstheme="minorHAnsi"/>
                <w:lang w:eastAsia="en-US"/>
              </w:rPr>
              <w:t xml:space="preserve">and future financial strategy. </w:t>
            </w:r>
          </w:p>
          <w:p w:rsidR="00E93BF0" w:rsidRPr="005F1D45" w:rsidRDefault="00E93BF0" w:rsidP="004B1A43">
            <w:pPr>
              <w:spacing w:after="200" w:line="276" w:lineRule="auto"/>
              <w:rPr>
                <w:rFonts w:asciiTheme="minorHAnsi" w:eastAsiaTheme="minorHAnsi" w:hAnsiTheme="minorHAnsi" w:cstheme="minorHAnsi"/>
                <w:lang w:eastAsia="en-US"/>
              </w:rPr>
            </w:pPr>
          </w:p>
        </w:tc>
      </w:tr>
      <w:tr w:rsidR="00DF3EE3" w:rsidRPr="00DF3EE3" w:rsidTr="00EA6CFB">
        <w:trPr>
          <w:trHeight w:val="1660"/>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tc>
        <w:tc>
          <w:tcPr>
            <w:tcW w:w="6320" w:type="dxa"/>
          </w:tcPr>
          <w:p w:rsidR="000F7175" w:rsidRDefault="005F1D45" w:rsidP="00861399">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Board</w:t>
            </w:r>
            <w:r w:rsidR="000F7175">
              <w:rPr>
                <w:rFonts w:asciiTheme="minorHAnsi" w:eastAsiaTheme="minorHAnsi" w:hAnsiTheme="minorHAnsi" w:cstheme="minorHAnsi"/>
                <w:lang w:eastAsia="en-US"/>
              </w:rPr>
              <w:t>, Accounting Officer</w:t>
            </w:r>
            <w:r>
              <w:rPr>
                <w:rFonts w:asciiTheme="minorHAnsi" w:eastAsiaTheme="minorHAnsi" w:hAnsiTheme="minorHAnsi" w:cstheme="minorHAnsi"/>
                <w:lang w:eastAsia="en-US"/>
              </w:rPr>
              <w:t xml:space="preserve"> and </w:t>
            </w:r>
            <w:r w:rsidR="00A76C3F">
              <w:rPr>
                <w:rFonts w:asciiTheme="minorHAnsi" w:eastAsiaTheme="minorHAnsi" w:hAnsiTheme="minorHAnsi" w:cstheme="minorHAnsi"/>
                <w:lang w:eastAsia="en-US"/>
              </w:rPr>
              <w:t xml:space="preserve">Leadership Team </w:t>
            </w:r>
            <w:r>
              <w:rPr>
                <w:rFonts w:asciiTheme="minorHAnsi" w:eastAsiaTheme="minorHAnsi" w:hAnsiTheme="minorHAnsi" w:cstheme="minorHAnsi"/>
                <w:lang w:eastAsia="en-US"/>
              </w:rPr>
              <w:t xml:space="preserve">have a key governance role </w:t>
            </w:r>
            <w:r w:rsidR="000F7175">
              <w:rPr>
                <w:rFonts w:asciiTheme="minorHAnsi" w:eastAsiaTheme="minorHAnsi" w:hAnsiTheme="minorHAnsi" w:cstheme="minorHAnsi"/>
                <w:lang w:eastAsia="en-US"/>
              </w:rPr>
              <w:t>in</w:t>
            </w:r>
            <w:r w:rsidR="00A76C3F">
              <w:rPr>
                <w:rFonts w:asciiTheme="minorHAnsi" w:eastAsiaTheme="minorHAnsi" w:hAnsiTheme="minorHAnsi" w:cstheme="minorHAnsi"/>
                <w:lang w:eastAsia="en-US"/>
              </w:rPr>
              <w:t xml:space="preserve"> the</w:t>
            </w:r>
            <w:r w:rsidR="004A176F">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financial stewardship of the HRA. </w:t>
            </w:r>
          </w:p>
          <w:p w:rsidR="00FA0CFC" w:rsidRPr="00731002" w:rsidRDefault="005F1D45" w:rsidP="00E93BF0">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This report </w:t>
            </w:r>
            <w:r w:rsidR="000F7175">
              <w:rPr>
                <w:rFonts w:asciiTheme="minorHAnsi" w:eastAsiaTheme="minorHAnsi" w:hAnsiTheme="minorHAnsi" w:cstheme="minorHAnsi"/>
                <w:lang w:eastAsia="en-US"/>
              </w:rPr>
              <w:t>supports this</w:t>
            </w:r>
            <w:r w:rsidR="00731002">
              <w:rPr>
                <w:rFonts w:asciiTheme="minorHAnsi" w:eastAsiaTheme="minorHAnsi" w:hAnsiTheme="minorHAnsi" w:cstheme="minorHAnsi"/>
                <w:lang w:eastAsia="en-US"/>
              </w:rPr>
              <w:t xml:space="preserve"> </w:t>
            </w:r>
            <w:r w:rsidR="00E93BF0">
              <w:rPr>
                <w:rFonts w:asciiTheme="minorHAnsi" w:eastAsiaTheme="minorHAnsi" w:hAnsiTheme="minorHAnsi" w:cstheme="minorHAnsi"/>
                <w:lang w:eastAsia="en-US"/>
              </w:rPr>
              <w:t>aspect</w:t>
            </w:r>
            <w:r w:rsidR="00731002">
              <w:rPr>
                <w:rFonts w:asciiTheme="minorHAnsi" w:eastAsiaTheme="minorHAnsi" w:hAnsiTheme="minorHAnsi" w:cstheme="minorHAnsi"/>
                <w:lang w:eastAsia="en-US"/>
              </w:rPr>
              <w:t xml:space="preserve"> </w:t>
            </w:r>
            <w:r w:rsidR="000F7175">
              <w:rPr>
                <w:rFonts w:asciiTheme="minorHAnsi" w:eastAsiaTheme="minorHAnsi" w:hAnsiTheme="minorHAnsi" w:cstheme="minorHAnsi"/>
                <w:lang w:eastAsia="en-US"/>
              </w:rPr>
              <w:t>of the</w:t>
            </w:r>
            <w:r w:rsidR="00731002">
              <w:rPr>
                <w:rFonts w:asciiTheme="minorHAnsi" w:eastAsiaTheme="minorHAnsi" w:hAnsiTheme="minorHAnsi" w:cstheme="minorHAnsi"/>
                <w:lang w:eastAsia="en-US"/>
              </w:rPr>
              <w:t xml:space="preserve"> governance framework, providing the Board</w:t>
            </w:r>
            <w:r w:rsidR="000F7175">
              <w:rPr>
                <w:rFonts w:asciiTheme="minorHAnsi" w:eastAsiaTheme="minorHAnsi" w:hAnsiTheme="minorHAnsi" w:cstheme="minorHAnsi"/>
                <w:lang w:eastAsia="en-US"/>
              </w:rPr>
              <w:t>, Accounting Officer</w:t>
            </w:r>
            <w:r w:rsidR="00731002">
              <w:rPr>
                <w:rFonts w:asciiTheme="minorHAnsi" w:eastAsiaTheme="minorHAnsi" w:hAnsiTheme="minorHAnsi" w:cstheme="minorHAnsi"/>
                <w:lang w:eastAsia="en-US"/>
              </w:rPr>
              <w:t xml:space="preserve"> and senior management with essential financial information to inform strategy</w:t>
            </w:r>
            <w:r w:rsidR="000F7175">
              <w:rPr>
                <w:rFonts w:asciiTheme="minorHAnsi" w:eastAsiaTheme="minorHAnsi" w:hAnsiTheme="minorHAnsi" w:cstheme="minorHAnsi"/>
                <w:lang w:eastAsia="en-US"/>
              </w:rPr>
              <w:t>, inform</w:t>
            </w:r>
            <w:r w:rsidR="00731002">
              <w:rPr>
                <w:rFonts w:asciiTheme="minorHAnsi" w:eastAsiaTheme="minorHAnsi" w:hAnsiTheme="minorHAnsi" w:cstheme="minorHAnsi"/>
                <w:lang w:eastAsia="en-US"/>
              </w:rPr>
              <w:t xml:space="preserve"> decision making</w:t>
            </w:r>
            <w:r w:rsidR="000F7175">
              <w:rPr>
                <w:rFonts w:asciiTheme="minorHAnsi" w:eastAsiaTheme="minorHAnsi" w:hAnsiTheme="minorHAnsi" w:cstheme="minorHAnsi"/>
                <w:lang w:eastAsia="en-US"/>
              </w:rPr>
              <w:t xml:space="preserve"> and ensure </w:t>
            </w:r>
            <w:r w:rsidR="00D07ECB">
              <w:rPr>
                <w:rFonts w:asciiTheme="minorHAnsi" w:eastAsiaTheme="minorHAnsi" w:hAnsiTheme="minorHAnsi" w:cstheme="minorHAnsi"/>
                <w:lang w:eastAsia="en-US"/>
              </w:rPr>
              <w:t>robust financial management</w:t>
            </w:r>
            <w:r w:rsidR="00731002">
              <w:rPr>
                <w:rFonts w:asciiTheme="minorHAnsi" w:eastAsiaTheme="minorHAnsi" w:hAnsiTheme="minorHAnsi" w:cstheme="minorHAnsi"/>
                <w:lang w:eastAsia="en-US"/>
              </w:rPr>
              <w:t xml:space="preserve">. </w:t>
            </w:r>
          </w:p>
        </w:tc>
      </w:tr>
      <w:tr w:rsidR="00EB22E9" w:rsidRPr="00AD22E4" w:rsidTr="00DF3EE3">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Lead Reviewer:</w:t>
            </w:r>
          </w:p>
        </w:tc>
        <w:tc>
          <w:tcPr>
            <w:tcW w:w="6320" w:type="dxa"/>
          </w:tcPr>
          <w:p w:rsidR="00EB22E9" w:rsidRDefault="00774E04" w:rsidP="001677C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Steve Tebbutt</w:t>
            </w:r>
          </w:p>
        </w:tc>
      </w:tr>
      <w:tr w:rsidR="00DF3EE3" w:rsidRPr="00AD22E4"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Details:</w:t>
            </w:r>
          </w:p>
        </w:tc>
        <w:tc>
          <w:tcPr>
            <w:tcW w:w="6320" w:type="dxa"/>
          </w:tcPr>
          <w:p w:rsidR="00706F89" w:rsidRPr="0066437D" w:rsidRDefault="00706F89" w:rsidP="00DF3EE3">
            <w:pPr>
              <w:spacing w:after="200" w:line="276" w:lineRule="auto"/>
              <w:rPr>
                <w:rFonts w:asciiTheme="minorHAnsi" w:eastAsiaTheme="minorHAnsi" w:hAnsiTheme="minorHAnsi" w:cstheme="minorHAnsi"/>
                <w:lang w:eastAsia="en-US"/>
              </w:rPr>
            </w:pPr>
            <w:r w:rsidRPr="0066437D">
              <w:rPr>
                <w:rFonts w:asciiTheme="minorHAnsi" w:eastAsiaTheme="minorHAnsi" w:hAnsiTheme="minorHAnsi" w:cstheme="minorHAnsi"/>
                <w:lang w:eastAsia="en-US"/>
              </w:rPr>
              <w:t>Main points to note:</w:t>
            </w:r>
          </w:p>
          <w:p w:rsidR="00361853" w:rsidRDefault="00FA0CFC"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Year to date</w:t>
            </w:r>
            <w:r w:rsidR="00181165">
              <w:rPr>
                <w:rFonts w:asciiTheme="minorHAnsi" w:eastAsiaTheme="minorHAnsi" w:hAnsiTheme="minorHAnsi" w:cstheme="minorHAnsi"/>
                <w:lang w:eastAsia="en-US"/>
              </w:rPr>
              <w:t xml:space="preserve"> financial performance </w:t>
            </w:r>
            <w:r w:rsidR="00950174">
              <w:rPr>
                <w:rFonts w:asciiTheme="minorHAnsi" w:eastAsiaTheme="minorHAnsi" w:hAnsiTheme="minorHAnsi" w:cstheme="minorHAnsi"/>
                <w:lang w:eastAsia="en-US"/>
              </w:rPr>
              <w:t>reports a</w:t>
            </w:r>
            <w:r w:rsidR="003F09C0">
              <w:rPr>
                <w:rFonts w:asciiTheme="minorHAnsi" w:eastAsiaTheme="minorHAnsi" w:hAnsiTheme="minorHAnsi" w:cstheme="minorHAnsi"/>
                <w:lang w:eastAsia="en-US"/>
              </w:rPr>
              <w:t>n</w:t>
            </w:r>
            <w:r>
              <w:rPr>
                <w:rFonts w:asciiTheme="minorHAnsi" w:eastAsiaTheme="minorHAnsi" w:hAnsiTheme="minorHAnsi" w:cstheme="minorHAnsi"/>
                <w:lang w:eastAsia="en-US"/>
              </w:rPr>
              <w:t xml:space="preserve"> </w:t>
            </w:r>
            <w:r w:rsidR="007B77AD">
              <w:rPr>
                <w:rFonts w:asciiTheme="minorHAnsi" w:eastAsiaTheme="minorHAnsi" w:hAnsiTheme="minorHAnsi" w:cstheme="minorHAnsi"/>
                <w:b/>
                <w:lang w:eastAsia="en-US"/>
              </w:rPr>
              <w:t>u</w:t>
            </w:r>
            <w:r w:rsidR="001677C5" w:rsidRPr="0059723D">
              <w:rPr>
                <w:rFonts w:asciiTheme="minorHAnsi" w:eastAsiaTheme="minorHAnsi" w:hAnsiTheme="minorHAnsi" w:cstheme="minorHAnsi"/>
                <w:b/>
                <w:lang w:eastAsia="en-US"/>
              </w:rPr>
              <w:t>nder</w:t>
            </w:r>
            <w:r w:rsidR="00181165" w:rsidRPr="0059723D">
              <w:rPr>
                <w:rFonts w:asciiTheme="minorHAnsi" w:eastAsiaTheme="minorHAnsi" w:hAnsiTheme="minorHAnsi" w:cstheme="minorHAnsi"/>
                <w:b/>
                <w:lang w:eastAsia="en-US"/>
              </w:rPr>
              <w:t>spend</w:t>
            </w:r>
            <w:r w:rsidR="00181165">
              <w:rPr>
                <w:rFonts w:asciiTheme="minorHAnsi" w:eastAsiaTheme="minorHAnsi" w:hAnsiTheme="minorHAnsi" w:cstheme="minorHAnsi"/>
                <w:lang w:eastAsia="en-US"/>
              </w:rPr>
              <w:t xml:space="preserve"> position</w:t>
            </w:r>
            <w:r>
              <w:rPr>
                <w:rFonts w:asciiTheme="minorHAnsi" w:eastAsiaTheme="minorHAnsi" w:hAnsiTheme="minorHAnsi" w:cstheme="minorHAnsi"/>
                <w:lang w:eastAsia="en-US"/>
              </w:rPr>
              <w:t xml:space="preserve"> of </w:t>
            </w:r>
            <w:r w:rsidR="00181165" w:rsidRPr="0059723D">
              <w:rPr>
                <w:rFonts w:asciiTheme="minorHAnsi" w:eastAsiaTheme="minorHAnsi" w:hAnsiTheme="minorHAnsi" w:cstheme="minorHAnsi"/>
                <w:b/>
                <w:lang w:eastAsia="en-US"/>
              </w:rPr>
              <w:t>£</w:t>
            </w:r>
            <w:r w:rsidR="003F09C0">
              <w:rPr>
                <w:rFonts w:asciiTheme="minorHAnsi" w:eastAsiaTheme="minorHAnsi" w:hAnsiTheme="minorHAnsi" w:cstheme="minorHAnsi"/>
                <w:b/>
                <w:lang w:eastAsia="en-US"/>
              </w:rPr>
              <w:t>53</w:t>
            </w:r>
            <w:r w:rsidR="00181165" w:rsidRPr="0059723D">
              <w:rPr>
                <w:rFonts w:asciiTheme="minorHAnsi" w:eastAsiaTheme="minorHAnsi" w:hAnsiTheme="minorHAnsi" w:cstheme="minorHAnsi"/>
                <w:b/>
                <w:lang w:eastAsia="en-US"/>
              </w:rPr>
              <w:t>k (</w:t>
            </w:r>
            <w:r w:rsidR="00C74503">
              <w:rPr>
                <w:rFonts w:asciiTheme="minorHAnsi" w:eastAsiaTheme="minorHAnsi" w:hAnsiTheme="minorHAnsi" w:cstheme="minorHAnsi"/>
                <w:b/>
                <w:lang w:eastAsia="en-US"/>
              </w:rPr>
              <w:t>0.8</w:t>
            </w:r>
            <w:r w:rsidR="00181165" w:rsidRPr="0059723D">
              <w:rPr>
                <w:rFonts w:asciiTheme="minorHAnsi" w:eastAsiaTheme="minorHAnsi" w:hAnsiTheme="minorHAnsi" w:cstheme="minorHAnsi"/>
                <w:b/>
                <w:lang w:eastAsia="en-US"/>
              </w:rPr>
              <w:t>%)</w:t>
            </w:r>
            <w:r>
              <w:rPr>
                <w:rFonts w:asciiTheme="minorHAnsi" w:eastAsiaTheme="minorHAnsi" w:hAnsiTheme="minorHAnsi" w:cstheme="minorHAnsi"/>
                <w:lang w:eastAsia="en-US"/>
              </w:rPr>
              <w:t xml:space="preserve"> on re</w:t>
            </w:r>
            <w:r w:rsidR="00181165">
              <w:rPr>
                <w:rFonts w:asciiTheme="minorHAnsi" w:eastAsiaTheme="minorHAnsi" w:hAnsiTheme="minorHAnsi" w:cstheme="minorHAnsi"/>
                <w:lang w:eastAsia="en-US"/>
              </w:rPr>
              <w:t xml:space="preserve">venue expenditure </w:t>
            </w:r>
            <w:r>
              <w:rPr>
                <w:rFonts w:asciiTheme="minorHAnsi" w:eastAsiaTheme="minorHAnsi" w:hAnsiTheme="minorHAnsi" w:cstheme="minorHAnsi"/>
                <w:lang w:eastAsia="en-US"/>
              </w:rPr>
              <w:t>a</w:t>
            </w:r>
            <w:r w:rsidR="00181165">
              <w:rPr>
                <w:rFonts w:asciiTheme="minorHAnsi" w:eastAsiaTheme="minorHAnsi" w:hAnsiTheme="minorHAnsi" w:cstheme="minorHAnsi"/>
                <w:lang w:eastAsia="en-US"/>
              </w:rPr>
              <w:t xml:space="preserve">nd </w:t>
            </w:r>
            <w:r w:rsidR="00181165" w:rsidRPr="0059723D">
              <w:rPr>
                <w:rFonts w:asciiTheme="minorHAnsi" w:eastAsiaTheme="minorHAnsi" w:hAnsiTheme="minorHAnsi" w:cstheme="minorHAnsi"/>
                <w:b/>
                <w:lang w:eastAsia="en-US"/>
              </w:rPr>
              <w:t>£</w:t>
            </w:r>
            <w:r w:rsidR="003F09C0">
              <w:rPr>
                <w:rFonts w:asciiTheme="minorHAnsi" w:eastAsiaTheme="minorHAnsi" w:hAnsiTheme="minorHAnsi" w:cstheme="minorHAnsi"/>
                <w:b/>
                <w:lang w:eastAsia="en-US"/>
              </w:rPr>
              <w:t>21</w:t>
            </w:r>
            <w:r w:rsidR="00181165" w:rsidRPr="0059723D">
              <w:rPr>
                <w:rFonts w:asciiTheme="minorHAnsi" w:eastAsiaTheme="minorHAnsi" w:hAnsiTheme="minorHAnsi" w:cstheme="minorHAnsi"/>
                <w:b/>
                <w:lang w:eastAsia="en-US"/>
              </w:rPr>
              <w:t>k (</w:t>
            </w:r>
            <w:r w:rsidR="003F09C0">
              <w:rPr>
                <w:rFonts w:asciiTheme="minorHAnsi" w:eastAsiaTheme="minorHAnsi" w:hAnsiTheme="minorHAnsi" w:cstheme="minorHAnsi"/>
                <w:b/>
                <w:lang w:eastAsia="en-US"/>
              </w:rPr>
              <w:t>5.0</w:t>
            </w:r>
            <w:r w:rsidR="00181165" w:rsidRPr="0059723D">
              <w:rPr>
                <w:rFonts w:asciiTheme="minorHAnsi" w:eastAsiaTheme="minorHAnsi" w:hAnsiTheme="minorHAnsi" w:cstheme="minorHAnsi"/>
                <w:b/>
                <w:lang w:eastAsia="en-US"/>
              </w:rPr>
              <w:t>%)</w:t>
            </w:r>
            <w:r w:rsidR="00181165">
              <w:rPr>
                <w:rFonts w:asciiTheme="minorHAnsi" w:eastAsiaTheme="minorHAnsi" w:hAnsiTheme="minorHAnsi" w:cstheme="minorHAnsi"/>
                <w:lang w:eastAsia="en-US"/>
              </w:rPr>
              <w:t xml:space="preserve"> </w:t>
            </w:r>
            <w:r w:rsidR="00950174">
              <w:rPr>
                <w:rFonts w:asciiTheme="minorHAnsi" w:eastAsiaTheme="minorHAnsi" w:hAnsiTheme="minorHAnsi" w:cstheme="minorHAnsi"/>
                <w:lang w:eastAsia="en-US"/>
              </w:rPr>
              <w:t xml:space="preserve">underspend </w:t>
            </w:r>
            <w:r>
              <w:rPr>
                <w:rFonts w:asciiTheme="minorHAnsi" w:eastAsiaTheme="minorHAnsi" w:hAnsiTheme="minorHAnsi" w:cstheme="minorHAnsi"/>
                <w:lang w:eastAsia="en-US"/>
              </w:rPr>
              <w:t>o</w:t>
            </w:r>
            <w:r w:rsidR="00181165">
              <w:rPr>
                <w:rFonts w:asciiTheme="minorHAnsi" w:eastAsiaTheme="minorHAnsi" w:hAnsiTheme="minorHAnsi" w:cstheme="minorHAnsi"/>
                <w:lang w:eastAsia="en-US"/>
              </w:rPr>
              <w:t>n capital expenditure</w:t>
            </w:r>
            <w:r w:rsidR="00361853">
              <w:rPr>
                <w:rFonts w:asciiTheme="minorHAnsi" w:eastAsiaTheme="minorHAnsi" w:hAnsiTheme="minorHAnsi" w:cstheme="minorHAnsi"/>
                <w:lang w:eastAsia="en-US"/>
              </w:rPr>
              <w:t xml:space="preserve">. </w:t>
            </w:r>
          </w:p>
          <w:p w:rsidR="00181165" w:rsidRDefault="00361853"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Our </w:t>
            </w:r>
            <w:proofErr w:type="gramStart"/>
            <w:r w:rsidRPr="00361853">
              <w:rPr>
                <w:rFonts w:asciiTheme="minorHAnsi" w:eastAsiaTheme="minorHAnsi" w:hAnsiTheme="minorHAnsi" w:cstheme="minorHAnsi"/>
                <w:b/>
                <w:lang w:eastAsia="en-US"/>
              </w:rPr>
              <w:t>forecast</w:t>
            </w:r>
            <w:r w:rsidR="007B77AD">
              <w:rPr>
                <w:rFonts w:asciiTheme="minorHAnsi" w:eastAsiaTheme="minorHAnsi" w:hAnsiTheme="minorHAnsi" w:cstheme="minorHAnsi"/>
                <w:b/>
                <w:lang w:eastAsia="en-US"/>
              </w:rPr>
              <w:t xml:space="preserve"> </w:t>
            </w:r>
            <w:r w:rsidR="00F127E2">
              <w:rPr>
                <w:rFonts w:asciiTheme="minorHAnsi" w:eastAsiaTheme="minorHAnsi" w:hAnsiTheme="minorHAnsi" w:cstheme="minorHAnsi"/>
                <w:lang w:eastAsia="en-US"/>
              </w:rPr>
              <w:t>for the year</w:t>
            </w:r>
            <w:r>
              <w:rPr>
                <w:rFonts w:asciiTheme="minorHAnsi" w:eastAsiaTheme="minorHAnsi" w:hAnsiTheme="minorHAnsi" w:cstheme="minorHAnsi"/>
                <w:lang w:eastAsia="en-US"/>
              </w:rPr>
              <w:t xml:space="preserve"> remains on track with </w:t>
            </w:r>
            <w:r w:rsidRPr="00361853">
              <w:rPr>
                <w:rFonts w:asciiTheme="minorHAnsi" w:eastAsiaTheme="minorHAnsi" w:hAnsiTheme="minorHAnsi" w:cstheme="minorHAnsi"/>
                <w:b/>
                <w:lang w:eastAsia="en-US"/>
              </w:rPr>
              <w:t>no underspend</w:t>
            </w:r>
            <w:proofErr w:type="gramEnd"/>
            <w:r w:rsidRPr="00361853">
              <w:rPr>
                <w:rFonts w:asciiTheme="minorHAnsi" w:eastAsiaTheme="minorHAnsi" w:hAnsiTheme="minorHAnsi" w:cstheme="minorHAnsi"/>
                <w:b/>
                <w:lang w:eastAsia="en-US"/>
              </w:rPr>
              <w:t xml:space="preserve"> position</w:t>
            </w:r>
            <w:r>
              <w:rPr>
                <w:rFonts w:asciiTheme="minorHAnsi" w:eastAsiaTheme="minorHAnsi" w:hAnsiTheme="minorHAnsi" w:cstheme="minorHAnsi"/>
                <w:lang w:eastAsia="en-US"/>
              </w:rPr>
              <w:t xml:space="preserve"> anticipated.</w:t>
            </w:r>
            <w:r w:rsidR="00181165">
              <w:rPr>
                <w:rFonts w:asciiTheme="minorHAnsi" w:eastAsiaTheme="minorHAnsi" w:hAnsiTheme="minorHAnsi" w:cstheme="minorHAnsi"/>
                <w:lang w:eastAsia="en-US"/>
              </w:rPr>
              <w:t xml:space="preserve"> </w:t>
            </w:r>
          </w:p>
          <w:p w:rsidR="003F09C0" w:rsidRDefault="00461F18" w:rsidP="003F09C0">
            <w:pPr>
              <w:pStyle w:val="ListParagraph"/>
              <w:numPr>
                <w:ilvl w:val="0"/>
                <w:numId w:val="24"/>
              </w:numPr>
              <w:spacing w:after="200" w:line="276" w:lineRule="auto"/>
              <w:rPr>
                <w:rFonts w:asciiTheme="minorHAnsi" w:eastAsiaTheme="minorHAnsi" w:hAnsiTheme="minorHAnsi" w:cstheme="minorHAnsi"/>
                <w:lang w:eastAsia="en-US"/>
              </w:rPr>
            </w:pPr>
            <w:r w:rsidRPr="003F09C0">
              <w:rPr>
                <w:rFonts w:asciiTheme="minorHAnsi" w:eastAsiaTheme="minorHAnsi" w:hAnsiTheme="minorHAnsi" w:cstheme="minorHAnsi"/>
                <w:lang w:eastAsia="en-US"/>
              </w:rPr>
              <w:lastRenderedPageBreak/>
              <w:t xml:space="preserve">DH </w:t>
            </w:r>
            <w:r w:rsidR="00F072CC" w:rsidRPr="003F09C0">
              <w:rPr>
                <w:rFonts w:asciiTheme="minorHAnsi" w:eastAsiaTheme="minorHAnsi" w:hAnsiTheme="minorHAnsi" w:cstheme="minorHAnsi"/>
                <w:lang w:eastAsia="en-US"/>
              </w:rPr>
              <w:t xml:space="preserve">have </w:t>
            </w:r>
            <w:r w:rsidR="00F072CC" w:rsidRPr="00361853">
              <w:rPr>
                <w:rFonts w:asciiTheme="minorHAnsi" w:eastAsiaTheme="minorHAnsi" w:hAnsiTheme="minorHAnsi" w:cstheme="minorHAnsi"/>
                <w:b/>
                <w:lang w:eastAsia="en-US"/>
              </w:rPr>
              <w:t>approved</w:t>
            </w:r>
            <w:r w:rsidR="00F072CC" w:rsidRPr="003F09C0">
              <w:rPr>
                <w:rFonts w:asciiTheme="minorHAnsi" w:eastAsiaTheme="minorHAnsi" w:hAnsiTheme="minorHAnsi" w:cstheme="minorHAnsi"/>
                <w:lang w:eastAsia="en-US"/>
              </w:rPr>
              <w:t xml:space="preserve"> our </w:t>
            </w:r>
            <w:r w:rsidRPr="00361853">
              <w:rPr>
                <w:rFonts w:asciiTheme="minorHAnsi" w:eastAsiaTheme="minorHAnsi" w:hAnsiTheme="minorHAnsi" w:cstheme="minorHAnsi"/>
                <w:b/>
                <w:lang w:eastAsia="en-US"/>
              </w:rPr>
              <w:t>executive restructure</w:t>
            </w:r>
            <w:r w:rsidRPr="003F09C0">
              <w:rPr>
                <w:rFonts w:asciiTheme="minorHAnsi" w:eastAsiaTheme="minorHAnsi" w:hAnsiTheme="minorHAnsi" w:cstheme="minorHAnsi"/>
                <w:lang w:eastAsia="en-US"/>
              </w:rPr>
              <w:t xml:space="preserve"> </w:t>
            </w:r>
            <w:r w:rsidR="003F09C0" w:rsidRPr="003F09C0">
              <w:rPr>
                <w:rFonts w:asciiTheme="minorHAnsi" w:eastAsiaTheme="minorHAnsi" w:hAnsiTheme="minorHAnsi" w:cstheme="minorHAnsi"/>
                <w:lang w:eastAsia="en-US"/>
              </w:rPr>
              <w:t xml:space="preserve">business case </w:t>
            </w:r>
            <w:r w:rsidR="007B77AD">
              <w:rPr>
                <w:rFonts w:asciiTheme="minorHAnsi" w:eastAsiaTheme="minorHAnsi" w:hAnsiTheme="minorHAnsi" w:cstheme="minorHAnsi"/>
                <w:lang w:eastAsia="en-US"/>
              </w:rPr>
              <w:t>(</w:t>
            </w:r>
            <w:r w:rsidRPr="003F09C0">
              <w:rPr>
                <w:rFonts w:asciiTheme="minorHAnsi" w:eastAsiaTheme="minorHAnsi" w:hAnsiTheme="minorHAnsi" w:cstheme="minorHAnsi"/>
                <w:lang w:eastAsia="en-US"/>
              </w:rPr>
              <w:t>£160k</w:t>
            </w:r>
            <w:r w:rsidR="007B77AD">
              <w:rPr>
                <w:rFonts w:asciiTheme="minorHAnsi" w:eastAsiaTheme="minorHAnsi" w:hAnsiTheme="minorHAnsi" w:cstheme="minorHAnsi"/>
                <w:lang w:eastAsia="en-US"/>
              </w:rPr>
              <w:t>)</w:t>
            </w:r>
            <w:r w:rsidR="00F072CC" w:rsidRPr="003F09C0">
              <w:rPr>
                <w:rFonts w:asciiTheme="minorHAnsi" w:eastAsiaTheme="minorHAnsi" w:hAnsiTheme="minorHAnsi" w:cstheme="minorHAnsi"/>
                <w:lang w:eastAsia="en-US"/>
              </w:rPr>
              <w:t xml:space="preserve"> and adjusted our grant in aid accordingly. </w:t>
            </w:r>
          </w:p>
          <w:p w:rsidR="00F072CC" w:rsidRDefault="00F072CC" w:rsidP="003F09C0">
            <w:pPr>
              <w:pStyle w:val="ListParagraph"/>
              <w:numPr>
                <w:ilvl w:val="0"/>
                <w:numId w:val="24"/>
              </w:numPr>
              <w:spacing w:after="200" w:line="276" w:lineRule="auto"/>
              <w:rPr>
                <w:rFonts w:asciiTheme="minorHAnsi" w:eastAsiaTheme="minorHAnsi" w:hAnsiTheme="minorHAnsi" w:cstheme="minorHAnsi"/>
                <w:lang w:eastAsia="en-US"/>
              </w:rPr>
            </w:pPr>
            <w:r w:rsidRPr="003F09C0">
              <w:rPr>
                <w:rFonts w:asciiTheme="minorHAnsi" w:eastAsiaTheme="minorHAnsi" w:hAnsiTheme="minorHAnsi" w:cstheme="minorHAnsi"/>
                <w:lang w:eastAsia="en-US"/>
              </w:rPr>
              <w:t>Our</w:t>
            </w:r>
            <w:r w:rsidR="00461F18" w:rsidRPr="003F09C0">
              <w:rPr>
                <w:rFonts w:asciiTheme="minorHAnsi" w:eastAsiaTheme="minorHAnsi" w:hAnsiTheme="minorHAnsi" w:cstheme="minorHAnsi"/>
                <w:lang w:eastAsia="en-US"/>
              </w:rPr>
              <w:t xml:space="preserve"> </w:t>
            </w:r>
            <w:r w:rsidR="00461F18" w:rsidRPr="00361853">
              <w:rPr>
                <w:rFonts w:asciiTheme="minorHAnsi" w:eastAsiaTheme="minorHAnsi" w:hAnsiTheme="minorHAnsi" w:cstheme="minorHAnsi"/>
                <w:b/>
                <w:lang w:eastAsia="en-US"/>
              </w:rPr>
              <w:t>SIP</w:t>
            </w:r>
            <w:r w:rsidR="00461F18" w:rsidRPr="003F09C0">
              <w:rPr>
                <w:rFonts w:asciiTheme="minorHAnsi" w:eastAsiaTheme="minorHAnsi" w:hAnsiTheme="minorHAnsi" w:cstheme="minorHAnsi"/>
                <w:lang w:eastAsia="en-US"/>
              </w:rPr>
              <w:t xml:space="preserve"> </w:t>
            </w:r>
            <w:r w:rsidR="003F09C0">
              <w:rPr>
                <w:rFonts w:asciiTheme="minorHAnsi" w:eastAsiaTheme="minorHAnsi" w:hAnsiTheme="minorHAnsi" w:cstheme="minorHAnsi"/>
                <w:lang w:eastAsia="en-US"/>
              </w:rPr>
              <w:t xml:space="preserve">business case </w:t>
            </w:r>
            <w:r w:rsidR="007B77AD">
              <w:rPr>
                <w:rFonts w:asciiTheme="minorHAnsi" w:eastAsiaTheme="minorHAnsi" w:hAnsiTheme="minorHAnsi" w:cstheme="minorHAnsi"/>
                <w:lang w:eastAsia="en-US"/>
              </w:rPr>
              <w:t>(</w:t>
            </w:r>
            <w:r w:rsidR="00461F18" w:rsidRPr="003F09C0">
              <w:rPr>
                <w:rFonts w:asciiTheme="minorHAnsi" w:eastAsiaTheme="minorHAnsi" w:hAnsiTheme="minorHAnsi" w:cstheme="minorHAnsi"/>
                <w:lang w:eastAsia="en-US"/>
              </w:rPr>
              <w:t>£260k</w:t>
            </w:r>
            <w:r w:rsidR="007B77AD">
              <w:rPr>
                <w:rFonts w:asciiTheme="minorHAnsi" w:eastAsiaTheme="minorHAnsi" w:hAnsiTheme="minorHAnsi" w:cstheme="minorHAnsi"/>
                <w:lang w:eastAsia="en-US"/>
              </w:rPr>
              <w:t>)</w:t>
            </w:r>
            <w:r w:rsidRPr="003F09C0">
              <w:rPr>
                <w:rFonts w:asciiTheme="minorHAnsi" w:eastAsiaTheme="minorHAnsi" w:hAnsiTheme="minorHAnsi" w:cstheme="minorHAnsi"/>
                <w:lang w:eastAsia="en-US"/>
              </w:rPr>
              <w:t xml:space="preserve"> </w:t>
            </w:r>
            <w:r w:rsidR="007B77AD">
              <w:rPr>
                <w:rFonts w:asciiTheme="minorHAnsi" w:eastAsiaTheme="minorHAnsi" w:hAnsiTheme="minorHAnsi" w:cstheme="minorHAnsi"/>
                <w:b/>
                <w:lang w:eastAsia="en-US"/>
              </w:rPr>
              <w:t>was</w:t>
            </w:r>
            <w:r w:rsidRPr="00361853">
              <w:rPr>
                <w:rFonts w:asciiTheme="minorHAnsi" w:eastAsiaTheme="minorHAnsi" w:hAnsiTheme="minorHAnsi" w:cstheme="minorHAnsi"/>
                <w:b/>
                <w:lang w:eastAsia="en-US"/>
              </w:rPr>
              <w:t xml:space="preserve"> not approved</w:t>
            </w:r>
            <w:r w:rsidRPr="003F09C0">
              <w:rPr>
                <w:rFonts w:asciiTheme="minorHAnsi" w:eastAsiaTheme="minorHAnsi" w:hAnsiTheme="minorHAnsi" w:cstheme="minorHAnsi"/>
                <w:lang w:eastAsia="en-US"/>
              </w:rPr>
              <w:t xml:space="preserve"> due to lack of </w:t>
            </w:r>
            <w:r w:rsidR="003F09C0">
              <w:rPr>
                <w:rFonts w:asciiTheme="minorHAnsi" w:eastAsiaTheme="minorHAnsi" w:hAnsiTheme="minorHAnsi" w:cstheme="minorHAnsi"/>
                <w:lang w:eastAsia="en-US"/>
              </w:rPr>
              <w:t xml:space="preserve">available </w:t>
            </w:r>
            <w:r w:rsidRPr="003F09C0">
              <w:rPr>
                <w:rFonts w:asciiTheme="minorHAnsi" w:eastAsiaTheme="minorHAnsi" w:hAnsiTheme="minorHAnsi" w:cstheme="minorHAnsi"/>
                <w:lang w:eastAsia="en-US"/>
              </w:rPr>
              <w:t xml:space="preserve">resources.  </w:t>
            </w:r>
          </w:p>
          <w:p w:rsidR="00F127E2" w:rsidRPr="003F09C0" w:rsidRDefault="007B77AD" w:rsidP="003F09C0">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Following the Board discussion at their last meeting, a</w:t>
            </w:r>
            <w:r w:rsidR="00F127E2">
              <w:rPr>
                <w:rFonts w:asciiTheme="minorHAnsi" w:eastAsiaTheme="minorHAnsi" w:hAnsiTheme="minorHAnsi" w:cstheme="minorHAnsi"/>
                <w:lang w:eastAsia="en-US"/>
              </w:rPr>
              <w:t xml:space="preserve"> business case for research systems enhancement and replacement (up to £3.2m additional funds) has been prepared </w:t>
            </w:r>
            <w:r>
              <w:rPr>
                <w:rFonts w:asciiTheme="minorHAnsi" w:eastAsiaTheme="minorHAnsi" w:hAnsiTheme="minorHAnsi" w:cstheme="minorHAnsi"/>
                <w:lang w:eastAsia="en-US"/>
              </w:rPr>
              <w:t xml:space="preserve">based on the independent review’s findings. This case is necessary </w:t>
            </w:r>
            <w:r w:rsidR="00F127E2">
              <w:rPr>
                <w:rFonts w:asciiTheme="minorHAnsi" w:eastAsiaTheme="minorHAnsi" w:hAnsiTheme="minorHAnsi" w:cstheme="minorHAnsi"/>
                <w:lang w:eastAsia="en-US"/>
              </w:rPr>
              <w:t xml:space="preserve">to achieve </w:t>
            </w:r>
            <w:r>
              <w:rPr>
                <w:rFonts w:asciiTheme="minorHAnsi" w:eastAsiaTheme="minorHAnsi" w:hAnsiTheme="minorHAnsi" w:cstheme="minorHAnsi"/>
                <w:lang w:eastAsia="en-US"/>
              </w:rPr>
              <w:t>sign-off</w:t>
            </w:r>
            <w:r w:rsidR="00F127E2">
              <w:rPr>
                <w:rFonts w:asciiTheme="minorHAnsi" w:eastAsiaTheme="minorHAnsi" w:hAnsiTheme="minorHAnsi" w:cstheme="minorHAnsi"/>
                <w:lang w:eastAsia="en-US"/>
              </w:rPr>
              <w:t xml:space="preserve"> from DH</w:t>
            </w:r>
            <w:r>
              <w:rPr>
                <w:rFonts w:asciiTheme="minorHAnsi" w:eastAsiaTheme="minorHAnsi" w:hAnsiTheme="minorHAnsi" w:cstheme="minorHAnsi"/>
                <w:lang w:eastAsia="en-US"/>
              </w:rPr>
              <w:t xml:space="preserve">. </w:t>
            </w:r>
            <w:r w:rsidR="00F127E2">
              <w:rPr>
                <w:rFonts w:asciiTheme="minorHAnsi" w:eastAsiaTheme="minorHAnsi" w:hAnsiTheme="minorHAnsi" w:cstheme="minorHAnsi"/>
                <w:lang w:eastAsia="en-US"/>
              </w:rPr>
              <w:t xml:space="preserve"> This is included as a separate agenda item for the Board.  </w:t>
            </w:r>
          </w:p>
          <w:p w:rsidR="00461F18" w:rsidRPr="006D1A57" w:rsidRDefault="00F127E2"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executive have agreed a</w:t>
            </w:r>
            <w:r w:rsidR="00F072CC">
              <w:rPr>
                <w:rFonts w:asciiTheme="minorHAnsi" w:eastAsiaTheme="minorHAnsi" w:hAnsiTheme="minorHAnsi" w:cstheme="minorHAnsi"/>
                <w:lang w:eastAsia="en-US"/>
              </w:rPr>
              <w:t xml:space="preserve">n action plan to </w:t>
            </w:r>
            <w:r>
              <w:rPr>
                <w:rFonts w:asciiTheme="minorHAnsi" w:eastAsiaTheme="minorHAnsi" w:hAnsiTheme="minorHAnsi" w:cstheme="minorHAnsi"/>
                <w:lang w:eastAsia="en-US"/>
              </w:rPr>
              <w:t xml:space="preserve">address identified shortfalls in </w:t>
            </w:r>
            <w:r w:rsidR="00F072CC">
              <w:rPr>
                <w:rFonts w:asciiTheme="minorHAnsi" w:eastAsiaTheme="minorHAnsi" w:hAnsiTheme="minorHAnsi" w:cstheme="minorHAnsi"/>
                <w:lang w:eastAsia="en-US"/>
              </w:rPr>
              <w:t xml:space="preserve">capacity </w:t>
            </w:r>
            <w:r>
              <w:rPr>
                <w:rFonts w:asciiTheme="minorHAnsi" w:eastAsiaTheme="minorHAnsi" w:hAnsiTheme="minorHAnsi" w:cstheme="minorHAnsi"/>
                <w:lang w:eastAsia="en-US"/>
              </w:rPr>
              <w:t>in the short to medium term</w:t>
            </w:r>
            <w:r w:rsidR="007B77AD">
              <w:rPr>
                <w:rFonts w:asciiTheme="minorHAnsi" w:eastAsiaTheme="minorHAnsi" w:hAnsiTheme="minorHAnsi" w:cstheme="minorHAnsi"/>
                <w:lang w:eastAsia="en-US"/>
              </w:rPr>
              <w:t xml:space="preserve"> although this remains a significant risk</w:t>
            </w:r>
            <w:r>
              <w:rPr>
                <w:rFonts w:asciiTheme="minorHAnsi" w:eastAsiaTheme="minorHAnsi" w:hAnsiTheme="minorHAnsi" w:cstheme="minorHAnsi"/>
                <w:lang w:eastAsia="en-US"/>
              </w:rPr>
              <w:t xml:space="preserve">. </w:t>
            </w:r>
            <w:r w:rsidR="006D1A57">
              <w:rPr>
                <w:rFonts w:asciiTheme="minorHAnsi" w:eastAsiaTheme="minorHAnsi" w:hAnsiTheme="minorHAnsi" w:cstheme="minorHAnsi"/>
                <w:lang w:eastAsia="en-US"/>
              </w:rPr>
              <w:t xml:space="preserve"> </w:t>
            </w:r>
          </w:p>
          <w:p w:rsidR="002C0638" w:rsidRPr="000B483A" w:rsidRDefault="00181165" w:rsidP="00950174">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HRA continue</w:t>
            </w:r>
            <w:r w:rsidR="00950174">
              <w:rPr>
                <w:rFonts w:asciiTheme="minorHAnsi" w:eastAsiaTheme="minorHAnsi" w:hAnsiTheme="minorHAnsi" w:cstheme="minorHAnsi"/>
                <w:lang w:eastAsia="en-US"/>
              </w:rPr>
              <w:t>s</w:t>
            </w:r>
            <w:r>
              <w:rPr>
                <w:rFonts w:asciiTheme="minorHAnsi" w:eastAsiaTheme="minorHAnsi" w:hAnsiTheme="minorHAnsi" w:cstheme="minorHAnsi"/>
                <w:lang w:eastAsia="en-US"/>
              </w:rPr>
              <w:t xml:space="preserve"> to meet its regulatory requirements in paying invoices</w:t>
            </w:r>
            <w:r w:rsidR="00826FF2" w:rsidRPr="0064012C">
              <w:rPr>
                <w:rFonts w:asciiTheme="minorHAnsi" w:eastAsiaTheme="minorHAnsi" w:hAnsiTheme="minorHAnsi" w:cstheme="minorHAnsi"/>
                <w:lang w:eastAsia="en-US"/>
              </w:rPr>
              <w:t xml:space="preserve"> </w:t>
            </w:r>
            <w:r w:rsidR="00950174">
              <w:rPr>
                <w:rFonts w:asciiTheme="minorHAnsi" w:eastAsiaTheme="minorHAnsi" w:hAnsiTheme="minorHAnsi" w:cstheme="minorHAnsi"/>
                <w:lang w:eastAsia="en-US"/>
              </w:rPr>
              <w:t>quickly</w:t>
            </w:r>
            <w:r w:rsidR="007117A0">
              <w:rPr>
                <w:rFonts w:asciiTheme="minorHAnsi" w:eastAsiaTheme="minorHAnsi" w:hAnsiTheme="minorHAnsi" w:cstheme="minorHAnsi"/>
                <w:lang w:eastAsia="en-US"/>
              </w:rPr>
              <w:t xml:space="preserve"> and </w:t>
            </w:r>
            <w:r w:rsidR="00361853">
              <w:rPr>
                <w:rFonts w:asciiTheme="minorHAnsi" w:eastAsiaTheme="minorHAnsi" w:hAnsiTheme="minorHAnsi" w:cstheme="minorHAnsi"/>
                <w:lang w:eastAsia="en-US"/>
              </w:rPr>
              <w:t>meeting key finance</w:t>
            </w:r>
            <w:r w:rsidR="007117A0">
              <w:rPr>
                <w:rFonts w:asciiTheme="minorHAnsi" w:eastAsiaTheme="minorHAnsi" w:hAnsiTheme="minorHAnsi" w:cstheme="minorHAnsi"/>
                <w:lang w:eastAsia="en-US"/>
              </w:rPr>
              <w:t xml:space="preserve"> dea</w:t>
            </w:r>
            <w:r w:rsidR="00361853">
              <w:rPr>
                <w:rFonts w:asciiTheme="minorHAnsi" w:eastAsiaTheme="minorHAnsi" w:hAnsiTheme="minorHAnsi" w:cstheme="minorHAnsi"/>
                <w:lang w:eastAsia="en-US"/>
              </w:rPr>
              <w:t>dlines</w:t>
            </w:r>
            <w:r w:rsidR="00950174">
              <w:rPr>
                <w:rFonts w:asciiTheme="minorHAnsi" w:eastAsiaTheme="minorHAnsi" w:hAnsiTheme="minorHAnsi" w:cstheme="minorHAnsi"/>
                <w:lang w:eastAsia="en-US"/>
              </w:rPr>
              <w:t>.</w:t>
            </w:r>
            <w:r w:rsidR="00FF2551">
              <w:rPr>
                <w:rFonts w:asciiTheme="minorHAnsi" w:eastAsiaTheme="minorHAnsi" w:hAnsiTheme="minorHAnsi" w:cstheme="minorHAnsi"/>
                <w:lang w:eastAsia="en-US"/>
              </w:rPr>
              <w:t xml:space="preserve"> </w:t>
            </w:r>
          </w:p>
        </w:tc>
      </w:tr>
      <w:tr w:rsidR="00DF3EE3" w:rsidRPr="00DF3EE3" w:rsidTr="00AF00BB">
        <w:trPr>
          <w:trHeight w:val="757"/>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lastRenderedPageBreak/>
              <w:t>Suitable for wider circulation?</w:t>
            </w:r>
          </w:p>
        </w:tc>
        <w:tc>
          <w:tcPr>
            <w:tcW w:w="6320" w:type="dxa"/>
          </w:tcPr>
          <w:p w:rsidR="00AF00BB" w:rsidRPr="00DF3EE3" w:rsidRDefault="00F072CC" w:rsidP="00F072CC">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EB22E9" w:rsidRPr="00DF3EE3" w:rsidTr="00AF00BB">
        <w:trPr>
          <w:trHeight w:val="287"/>
        </w:trPr>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Time required for item:</w:t>
            </w:r>
          </w:p>
        </w:tc>
        <w:tc>
          <w:tcPr>
            <w:tcW w:w="6320" w:type="dxa"/>
          </w:tcPr>
          <w:p w:rsidR="00EB22E9" w:rsidRDefault="00EB22E9" w:rsidP="00933A84">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1</w:t>
            </w:r>
            <w:r w:rsidR="00933A84">
              <w:rPr>
                <w:rFonts w:asciiTheme="minorHAnsi" w:eastAsiaTheme="minorHAnsi" w:hAnsiTheme="minorHAnsi" w:cstheme="minorHAnsi"/>
                <w:b/>
                <w:lang w:eastAsia="en-US"/>
              </w:rPr>
              <w:t>0</w:t>
            </w:r>
            <w:r>
              <w:rPr>
                <w:rFonts w:asciiTheme="minorHAnsi" w:eastAsiaTheme="minorHAnsi" w:hAnsiTheme="minorHAnsi" w:cstheme="minorHAnsi"/>
                <w:b/>
                <w:lang w:eastAsia="en-US"/>
              </w:rPr>
              <w:t xml:space="preserve"> minutes</w:t>
            </w:r>
          </w:p>
        </w:tc>
      </w:tr>
    </w:tbl>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E44973"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EB22E9" w:rsidRPr="00DF3EE3" w:rsidTr="00DF3EE3">
        <w:tc>
          <w:tcPr>
            <w:tcW w:w="2628" w:type="dxa"/>
            <w:vMerge/>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For discussion</w:t>
            </w:r>
          </w:p>
        </w:tc>
        <w:tc>
          <w:tcPr>
            <w:tcW w:w="1280" w:type="dxa"/>
            <w:shd w:val="clear" w:color="auto" w:fill="auto"/>
          </w:tcPr>
          <w:p w:rsidR="00EB22E9" w:rsidRPr="00DF3EE3" w:rsidRDefault="00EB22E9"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8506B4" w:rsidRPr="00DF3EE3" w:rsidRDefault="008506B4"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4159BE" w:rsidP="00F127E2">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Karen Williams</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826FF2" w:rsidP="00BA069C">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Director of Finance</w:t>
            </w:r>
          </w:p>
        </w:tc>
      </w:tr>
      <w:tr w:rsidR="00DF3EE3" w:rsidRPr="00DF3EE3" w:rsidTr="00DB6762">
        <w:tc>
          <w:tcPr>
            <w:tcW w:w="2628" w:type="dxa"/>
          </w:tcPr>
          <w:p w:rsidR="00DF3EE3" w:rsidRPr="00BD1346" w:rsidRDefault="00DF3EE3" w:rsidP="00DF3EE3">
            <w:pPr>
              <w:spacing w:after="200" w:line="276" w:lineRule="auto"/>
              <w:rPr>
                <w:rFonts w:asciiTheme="minorHAnsi" w:eastAsiaTheme="minorHAnsi" w:hAnsiTheme="minorHAnsi" w:cstheme="minorHAnsi"/>
                <w:b/>
                <w:lang w:eastAsia="en-US"/>
              </w:rPr>
            </w:pPr>
            <w:r w:rsidRPr="00BD1346">
              <w:rPr>
                <w:rFonts w:asciiTheme="minorHAnsi" w:eastAsiaTheme="minorHAnsi" w:hAnsiTheme="minorHAnsi" w:cstheme="minorHAnsi"/>
                <w:b/>
                <w:lang w:eastAsia="en-US"/>
              </w:rPr>
              <w:t>Date:</w:t>
            </w:r>
          </w:p>
        </w:tc>
        <w:tc>
          <w:tcPr>
            <w:tcW w:w="6320" w:type="dxa"/>
            <w:shd w:val="clear" w:color="auto" w:fill="auto"/>
          </w:tcPr>
          <w:p w:rsidR="00DF3EE3" w:rsidRPr="00BD1346" w:rsidRDefault="003E736A" w:rsidP="00F072CC">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1</w:t>
            </w:r>
            <w:r w:rsidR="00F072CC">
              <w:rPr>
                <w:rFonts w:asciiTheme="minorHAnsi" w:eastAsiaTheme="minorHAnsi" w:hAnsiTheme="minorHAnsi" w:cstheme="minorHAnsi"/>
                <w:lang w:eastAsia="en-US"/>
              </w:rPr>
              <w:t>1</w:t>
            </w:r>
            <w:r>
              <w:rPr>
                <w:rFonts w:asciiTheme="minorHAnsi" w:eastAsiaTheme="minorHAnsi" w:hAnsiTheme="minorHAnsi" w:cstheme="minorHAnsi"/>
                <w:lang w:eastAsia="en-US"/>
              </w:rPr>
              <w:t>th</w:t>
            </w:r>
            <w:r w:rsidR="00461F18">
              <w:rPr>
                <w:rFonts w:asciiTheme="minorHAnsi" w:eastAsiaTheme="minorHAnsi" w:hAnsiTheme="minorHAnsi" w:cstheme="minorHAnsi"/>
                <w:lang w:eastAsia="en-US"/>
              </w:rPr>
              <w:t xml:space="preserve"> </w:t>
            </w:r>
            <w:r w:rsidR="00F072CC">
              <w:rPr>
                <w:rFonts w:asciiTheme="minorHAnsi" w:eastAsiaTheme="minorHAnsi" w:hAnsiTheme="minorHAnsi" w:cstheme="minorHAnsi"/>
                <w:lang w:eastAsia="en-US"/>
              </w:rPr>
              <w:t>October</w:t>
            </w:r>
            <w:r w:rsidR="00461F18">
              <w:rPr>
                <w:rFonts w:asciiTheme="minorHAnsi" w:eastAsiaTheme="minorHAnsi" w:hAnsiTheme="minorHAnsi" w:cstheme="minorHAnsi"/>
                <w:lang w:eastAsia="en-US"/>
              </w:rPr>
              <w:t xml:space="preserve"> 2017</w:t>
            </w:r>
          </w:p>
        </w:tc>
      </w:tr>
    </w:tbl>
    <w:p w:rsidR="00150CE4" w:rsidRDefault="00150CE4" w:rsidP="00AD76CF">
      <w:pPr>
        <w:rPr>
          <w:rFonts w:ascii="Arial" w:hAnsi="Arial" w:cs="Arial"/>
          <w:b/>
          <w:sz w:val="22"/>
          <w:szCs w:val="22"/>
        </w:rPr>
      </w:pPr>
    </w:p>
    <w:p w:rsidR="001677C5" w:rsidRDefault="001677C5">
      <w:pPr>
        <w:spacing w:after="200" w:line="276" w:lineRule="auto"/>
        <w:rPr>
          <w:rFonts w:ascii="Arial" w:hAnsi="Arial" w:cs="Arial"/>
          <w:b/>
          <w:sz w:val="22"/>
          <w:szCs w:val="22"/>
        </w:rPr>
      </w:pPr>
      <w:r>
        <w:rPr>
          <w:rFonts w:ascii="Arial" w:hAnsi="Arial" w:cs="Arial"/>
          <w:b/>
          <w:sz w:val="22"/>
          <w:szCs w:val="22"/>
        </w:rPr>
        <w:br w:type="page"/>
      </w:r>
    </w:p>
    <w:p w:rsidR="006C7396" w:rsidRPr="0044673F" w:rsidRDefault="006C7396" w:rsidP="006C7396">
      <w:pPr>
        <w:rPr>
          <w:rFonts w:ascii="Arial" w:hAnsi="Arial" w:cs="Arial"/>
          <w:b/>
          <w:sz w:val="22"/>
          <w:szCs w:val="22"/>
        </w:rPr>
      </w:pPr>
      <w:r w:rsidRPr="0044673F">
        <w:rPr>
          <w:rFonts w:ascii="Arial" w:hAnsi="Arial" w:cs="Arial"/>
          <w:b/>
          <w:sz w:val="22"/>
          <w:szCs w:val="22"/>
        </w:rPr>
        <w:lastRenderedPageBreak/>
        <w:t xml:space="preserve">Finance Report - Financial Year </w:t>
      </w:r>
      <w:r w:rsidR="008D718A">
        <w:rPr>
          <w:rFonts w:ascii="Arial" w:hAnsi="Arial" w:cs="Arial"/>
          <w:b/>
          <w:sz w:val="22"/>
          <w:szCs w:val="22"/>
        </w:rPr>
        <w:t>2017/18</w:t>
      </w:r>
    </w:p>
    <w:p w:rsidR="006C7396" w:rsidRDefault="006C7396" w:rsidP="006C7396">
      <w:pPr>
        <w:rPr>
          <w:rFonts w:ascii="Arial" w:hAnsi="Arial" w:cs="Arial"/>
          <w:b/>
          <w:sz w:val="22"/>
          <w:szCs w:val="22"/>
        </w:rPr>
      </w:pPr>
      <w:r w:rsidRPr="0044673F">
        <w:rPr>
          <w:rFonts w:ascii="Arial" w:hAnsi="Arial" w:cs="Arial"/>
          <w:b/>
          <w:sz w:val="22"/>
          <w:szCs w:val="22"/>
        </w:rPr>
        <w:t xml:space="preserve">Health Research Authority as at </w:t>
      </w:r>
      <w:r w:rsidR="00E872B3">
        <w:rPr>
          <w:rFonts w:ascii="Arial" w:hAnsi="Arial" w:cs="Arial"/>
          <w:b/>
          <w:sz w:val="22"/>
          <w:szCs w:val="22"/>
        </w:rPr>
        <w:t>3</w:t>
      </w:r>
      <w:r w:rsidR="00F072CC">
        <w:rPr>
          <w:rFonts w:ascii="Arial" w:hAnsi="Arial" w:cs="Arial"/>
          <w:b/>
          <w:sz w:val="22"/>
          <w:szCs w:val="22"/>
        </w:rPr>
        <w:t>0</w:t>
      </w:r>
      <w:r w:rsidR="00E872B3">
        <w:rPr>
          <w:rFonts w:ascii="Arial" w:hAnsi="Arial" w:cs="Arial"/>
          <w:b/>
          <w:sz w:val="22"/>
          <w:szCs w:val="22"/>
        </w:rPr>
        <w:t xml:space="preserve"> </w:t>
      </w:r>
      <w:r w:rsidR="00F072CC">
        <w:rPr>
          <w:rFonts w:ascii="Arial" w:hAnsi="Arial" w:cs="Arial"/>
          <w:b/>
          <w:sz w:val="22"/>
          <w:szCs w:val="22"/>
        </w:rPr>
        <w:t>September</w:t>
      </w:r>
      <w:r w:rsidR="003A6DA1">
        <w:rPr>
          <w:rFonts w:ascii="Arial" w:hAnsi="Arial" w:cs="Arial"/>
          <w:b/>
          <w:sz w:val="22"/>
          <w:szCs w:val="22"/>
        </w:rPr>
        <w:t xml:space="preserve"> </w:t>
      </w:r>
      <w:r w:rsidR="001677C5">
        <w:rPr>
          <w:rFonts w:ascii="Arial" w:hAnsi="Arial" w:cs="Arial"/>
          <w:b/>
          <w:sz w:val="22"/>
          <w:szCs w:val="22"/>
        </w:rPr>
        <w:t>2017</w:t>
      </w:r>
    </w:p>
    <w:p w:rsidR="006C7396" w:rsidRDefault="006C7396" w:rsidP="00092A9E">
      <w:pPr>
        <w:rPr>
          <w:rFonts w:ascii="Arial" w:hAnsi="Arial" w:cs="Arial"/>
          <w:b/>
          <w:sz w:val="22"/>
          <w:szCs w:val="22"/>
        </w:rPr>
      </w:pPr>
    </w:p>
    <w:p w:rsidR="00092A9E" w:rsidRDefault="00092A9E" w:rsidP="00092A9E">
      <w:pPr>
        <w:rPr>
          <w:rFonts w:ascii="Arial" w:hAnsi="Arial" w:cs="Arial"/>
          <w:b/>
          <w:sz w:val="22"/>
          <w:szCs w:val="22"/>
        </w:rPr>
      </w:pPr>
      <w:r>
        <w:rPr>
          <w:rFonts w:ascii="Arial" w:hAnsi="Arial" w:cs="Arial"/>
          <w:b/>
          <w:sz w:val="22"/>
          <w:szCs w:val="22"/>
        </w:rPr>
        <w:t xml:space="preserve">Executive Summary </w:t>
      </w:r>
      <w:r w:rsidR="007055AB">
        <w:rPr>
          <w:rFonts w:ascii="Arial" w:hAnsi="Arial" w:cs="Arial"/>
          <w:b/>
          <w:sz w:val="22"/>
          <w:szCs w:val="22"/>
        </w:rPr>
        <w:t>–</w:t>
      </w:r>
      <w:r>
        <w:rPr>
          <w:rFonts w:ascii="Arial" w:hAnsi="Arial" w:cs="Arial"/>
          <w:b/>
          <w:sz w:val="22"/>
          <w:szCs w:val="22"/>
        </w:rPr>
        <w:t xml:space="preserve"> Headlines</w:t>
      </w:r>
    </w:p>
    <w:p w:rsidR="007D4817" w:rsidRPr="00E64DC1" w:rsidRDefault="006C7396" w:rsidP="007B2710">
      <w:pPr>
        <w:pStyle w:val="ListParagraph"/>
        <w:numPr>
          <w:ilvl w:val="0"/>
          <w:numId w:val="2"/>
        </w:numPr>
        <w:spacing w:after="200" w:line="276" w:lineRule="auto"/>
        <w:rPr>
          <w:rFonts w:ascii="Arial" w:eastAsiaTheme="minorHAnsi" w:hAnsi="Arial" w:cs="Arial"/>
          <w:sz w:val="22"/>
          <w:szCs w:val="22"/>
          <w:lang w:eastAsia="en-US"/>
        </w:rPr>
      </w:pPr>
      <w:r w:rsidRPr="00E64DC1">
        <w:rPr>
          <w:rFonts w:ascii="Arial" w:eastAsiaTheme="minorHAnsi" w:hAnsi="Arial" w:cs="Arial"/>
          <w:sz w:val="22"/>
          <w:szCs w:val="22"/>
          <w:lang w:eastAsia="en-US"/>
        </w:rPr>
        <w:t>The HRA</w:t>
      </w:r>
      <w:r w:rsidR="00D07ECB" w:rsidRPr="00E64DC1">
        <w:rPr>
          <w:rFonts w:ascii="Arial" w:eastAsiaTheme="minorHAnsi" w:hAnsi="Arial" w:cs="Arial"/>
          <w:sz w:val="22"/>
          <w:szCs w:val="22"/>
          <w:lang w:eastAsia="en-US"/>
        </w:rPr>
        <w:t xml:space="preserve"> </w:t>
      </w:r>
      <w:r w:rsidR="00950174" w:rsidRPr="00E64DC1">
        <w:rPr>
          <w:rFonts w:ascii="Arial" w:eastAsiaTheme="minorHAnsi" w:hAnsi="Arial" w:cs="Arial"/>
          <w:sz w:val="22"/>
          <w:szCs w:val="22"/>
          <w:lang w:eastAsia="en-US"/>
        </w:rPr>
        <w:t>2017</w:t>
      </w:r>
      <w:r w:rsidR="008D718A" w:rsidRPr="00E64DC1">
        <w:rPr>
          <w:rFonts w:ascii="Arial" w:eastAsiaTheme="minorHAnsi" w:hAnsi="Arial" w:cs="Arial"/>
          <w:sz w:val="22"/>
          <w:szCs w:val="22"/>
          <w:lang w:eastAsia="en-US"/>
        </w:rPr>
        <w:t>/18</w:t>
      </w:r>
      <w:r w:rsidR="00950174" w:rsidRPr="00E64DC1">
        <w:rPr>
          <w:rFonts w:ascii="Arial" w:eastAsiaTheme="minorHAnsi" w:hAnsi="Arial" w:cs="Arial"/>
          <w:sz w:val="22"/>
          <w:szCs w:val="22"/>
          <w:lang w:eastAsia="en-US"/>
        </w:rPr>
        <w:t xml:space="preserve"> </w:t>
      </w:r>
      <w:r w:rsidR="00D07ECB" w:rsidRPr="00E64DC1">
        <w:rPr>
          <w:rFonts w:ascii="Arial" w:eastAsiaTheme="minorHAnsi" w:hAnsi="Arial" w:cs="Arial"/>
          <w:sz w:val="22"/>
          <w:szCs w:val="22"/>
          <w:lang w:eastAsia="en-US"/>
        </w:rPr>
        <w:t xml:space="preserve">outturn </w:t>
      </w:r>
      <w:r w:rsidR="008D718A" w:rsidRPr="00E64DC1">
        <w:rPr>
          <w:rFonts w:ascii="Arial" w:eastAsiaTheme="minorHAnsi" w:hAnsi="Arial" w:cs="Arial"/>
          <w:sz w:val="22"/>
          <w:szCs w:val="22"/>
          <w:lang w:eastAsia="en-US"/>
        </w:rPr>
        <w:t xml:space="preserve">for the first </w:t>
      </w:r>
      <w:r w:rsidR="00F072CC" w:rsidRPr="00E64DC1">
        <w:rPr>
          <w:rFonts w:ascii="Arial" w:eastAsiaTheme="minorHAnsi" w:hAnsi="Arial" w:cs="Arial"/>
          <w:sz w:val="22"/>
          <w:szCs w:val="22"/>
          <w:lang w:eastAsia="en-US"/>
        </w:rPr>
        <w:t>6</w:t>
      </w:r>
      <w:r w:rsidR="003E736A" w:rsidRPr="00E64DC1">
        <w:rPr>
          <w:rFonts w:ascii="Arial" w:eastAsiaTheme="minorHAnsi" w:hAnsi="Arial" w:cs="Arial"/>
          <w:sz w:val="22"/>
          <w:szCs w:val="22"/>
          <w:lang w:eastAsia="en-US"/>
        </w:rPr>
        <w:t xml:space="preserve"> </w:t>
      </w:r>
      <w:r w:rsidR="008D718A" w:rsidRPr="00E64DC1">
        <w:rPr>
          <w:rFonts w:ascii="Arial" w:eastAsiaTheme="minorHAnsi" w:hAnsi="Arial" w:cs="Arial"/>
          <w:sz w:val="22"/>
          <w:szCs w:val="22"/>
          <w:lang w:eastAsia="en-US"/>
        </w:rPr>
        <w:t xml:space="preserve">months of the year </w:t>
      </w:r>
      <w:r w:rsidR="00D07ECB" w:rsidRPr="00E64DC1">
        <w:rPr>
          <w:rFonts w:ascii="Arial" w:eastAsiaTheme="minorHAnsi" w:hAnsi="Arial" w:cs="Arial"/>
          <w:sz w:val="22"/>
          <w:szCs w:val="22"/>
          <w:lang w:eastAsia="en-US"/>
        </w:rPr>
        <w:t>was £</w:t>
      </w:r>
      <w:r w:rsidR="00E64DC1" w:rsidRPr="00E64DC1">
        <w:rPr>
          <w:rFonts w:ascii="Arial" w:eastAsiaTheme="minorHAnsi" w:hAnsi="Arial" w:cs="Arial"/>
          <w:sz w:val="22"/>
          <w:szCs w:val="22"/>
          <w:lang w:eastAsia="en-US"/>
        </w:rPr>
        <w:t>6,</w:t>
      </w:r>
      <w:r w:rsidR="00C74503">
        <w:rPr>
          <w:rFonts w:ascii="Arial" w:eastAsiaTheme="minorHAnsi" w:hAnsi="Arial" w:cs="Arial"/>
          <w:sz w:val="22"/>
          <w:szCs w:val="22"/>
          <w:lang w:eastAsia="en-US"/>
        </w:rPr>
        <w:t>241</w:t>
      </w:r>
      <w:r w:rsidR="001D4F68" w:rsidRPr="00E64DC1">
        <w:rPr>
          <w:rFonts w:ascii="Arial" w:eastAsiaTheme="minorHAnsi" w:hAnsi="Arial" w:cs="Arial"/>
          <w:sz w:val="22"/>
          <w:szCs w:val="22"/>
          <w:lang w:eastAsia="en-US"/>
        </w:rPr>
        <w:t>k</w:t>
      </w:r>
      <w:r w:rsidR="00D07ECB" w:rsidRPr="00E64DC1">
        <w:rPr>
          <w:rFonts w:ascii="Arial" w:eastAsiaTheme="minorHAnsi" w:hAnsi="Arial" w:cs="Arial"/>
          <w:sz w:val="22"/>
          <w:szCs w:val="22"/>
          <w:lang w:eastAsia="en-US"/>
        </w:rPr>
        <w:t xml:space="preserve"> (201</w:t>
      </w:r>
      <w:r w:rsidR="008D718A" w:rsidRPr="00E64DC1">
        <w:rPr>
          <w:rFonts w:ascii="Arial" w:eastAsiaTheme="minorHAnsi" w:hAnsi="Arial" w:cs="Arial"/>
          <w:sz w:val="22"/>
          <w:szCs w:val="22"/>
          <w:lang w:eastAsia="en-US"/>
        </w:rPr>
        <w:t>6/17</w:t>
      </w:r>
      <w:r w:rsidR="00D07ECB" w:rsidRPr="00E64DC1">
        <w:rPr>
          <w:rFonts w:ascii="Arial" w:eastAsiaTheme="minorHAnsi" w:hAnsi="Arial" w:cs="Arial"/>
          <w:sz w:val="22"/>
          <w:szCs w:val="22"/>
          <w:lang w:eastAsia="en-US"/>
        </w:rPr>
        <w:t>: £</w:t>
      </w:r>
      <w:r w:rsidR="007B2710" w:rsidRPr="00E64DC1">
        <w:rPr>
          <w:rFonts w:ascii="Arial" w:eastAsiaTheme="minorHAnsi" w:hAnsi="Arial" w:cs="Arial"/>
          <w:sz w:val="22"/>
          <w:szCs w:val="22"/>
          <w:lang w:eastAsia="en-US"/>
        </w:rPr>
        <w:t>6,157</w:t>
      </w:r>
      <w:r w:rsidR="0015575A" w:rsidRPr="00E64DC1">
        <w:rPr>
          <w:rFonts w:ascii="Arial" w:eastAsiaTheme="minorHAnsi" w:hAnsi="Arial" w:cs="Arial"/>
          <w:sz w:val="22"/>
          <w:szCs w:val="22"/>
          <w:lang w:eastAsia="en-US"/>
        </w:rPr>
        <w:t>k</w:t>
      </w:r>
      <w:r w:rsidR="00D07ECB" w:rsidRPr="00E64DC1">
        <w:rPr>
          <w:rFonts w:ascii="Arial" w:eastAsiaTheme="minorHAnsi" w:hAnsi="Arial" w:cs="Arial"/>
          <w:sz w:val="22"/>
          <w:szCs w:val="22"/>
          <w:lang w:eastAsia="en-US"/>
        </w:rPr>
        <w:t>) and £</w:t>
      </w:r>
      <w:r w:rsidR="007B2710" w:rsidRPr="00E64DC1">
        <w:rPr>
          <w:rFonts w:ascii="Arial" w:eastAsiaTheme="minorHAnsi" w:hAnsi="Arial" w:cs="Arial"/>
          <w:sz w:val="22"/>
          <w:szCs w:val="22"/>
          <w:lang w:eastAsia="en-US"/>
        </w:rPr>
        <w:t>409</w:t>
      </w:r>
      <w:r w:rsidR="008D718A" w:rsidRPr="00E64DC1">
        <w:rPr>
          <w:rFonts w:ascii="Arial" w:eastAsiaTheme="minorHAnsi" w:hAnsi="Arial" w:cs="Arial"/>
          <w:sz w:val="22"/>
          <w:szCs w:val="22"/>
          <w:lang w:eastAsia="en-US"/>
        </w:rPr>
        <w:t xml:space="preserve">k </w:t>
      </w:r>
      <w:r w:rsidR="00D07ECB" w:rsidRPr="00E64DC1">
        <w:rPr>
          <w:rFonts w:ascii="Arial" w:eastAsiaTheme="minorHAnsi" w:hAnsi="Arial" w:cs="Arial"/>
          <w:sz w:val="22"/>
          <w:szCs w:val="22"/>
          <w:lang w:eastAsia="en-US"/>
        </w:rPr>
        <w:t>(2016</w:t>
      </w:r>
      <w:r w:rsidR="008D718A" w:rsidRPr="00E64DC1">
        <w:rPr>
          <w:rFonts w:ascii="Arial" w:eastAsiaTheme="minorHAnsi" w:hAnsi="Arial" w:cs="Arial"/>
          <w:sz w:val="22"/>
          <w:szCs w:val="22"/>
          <w:lang w:eastAsia="en-US"/>
        </w:rPr>
        <w:t>/17</w:t>
      </w:r>
      <w:r w:rsidR="00D07ECB" w:rsidRPr="00E64DC1">
        <w:rPr>
          <w:rFonts w:ascii="Arial" w:eastAsiaTheme="minorHAnsi" w:hAnsi="Arial" w:cs="Arial"/>
          <w:sz w:val="22"/>
          <w:szCs w:val="22"/>
          <w:lang w:eastAsia="en-US"/>
        </w:rPr>
        <w:t xml:space="preserve"> £</w:t>
      </w:r>
      <w:r w:rsidR="00D549D2" w:rsidRPr="00E64DC1">
        <w:rPr>
          <w:rFonts w:ascii="Arial" w:eastAsiaTheme="minorHAnsi" w:hAnsi="Arial" w:cs="Arial"/>
          <w:sz w:val="22"/>
          <w:szCs w:val="22"/>
          <w:lang w:eastAsia="en-US"/>
        </w:rPr>
        <w:t>3</w:t>
      </w:r>
      <w:r w:rsidR="007B2710" w:rsidRPr="00E64DC1">
        <w:rPr>
          <w:rFonts w:ascii="Arial" w:eastAsiaTheme="minorHAnsi" w:hAnsi="Arial" w:cs="Arial"/>
          <w:sz w:val="22"/>
          <w:szCs w:val="22"/>
          <w:lang w:eastAsia="en-US"/>
        </w:rPr>
        <w:t>74</w:t>
      </w:r>
      <w:r w:rsidR="003015EB" w:rsidRPr="00E64DC1">
        <w:rPr>
          <w:rFonts w:ascii="Arial" w:eastAsiaTheme="minorHAnsi" w:hAnsi="Arial" w:cs="Arial"/>
          <w:sz w:val="22"/>
          <w:szCs w:val="22"/>
          <w:lang w:eastAsia="en-US"/>
        </w:rPr>
        <w:t>k</w:t>
      </w:r>
      <w:r w:rsidR="00D07ECB" w:rsidRPr="00E64DC1">
        <w:rPr>
          <w:rFonts w:ascii="Arial" w:eastAsiaTheme="minorHAnsi" w:hAnsi="Arial" w:cs="Arial"/>
          <w:sz w:val="22"/>
          <w:szCs w:val="22"/>
          <w:lang w:eastAsia="en-US"/>
        </w:rPr>
        <w:t>) capital. On revenue expenditure</w:t>
      </w:r>
      <w:r w:rsidR="004C1D2E" w:rsidRPr="00E64DC1">
        <w:rPr>
          <w:rFonts w:ascii="Arial" w:eastAsiaTheme="minorHAnsi" w:hAnsi="Arial" w:cs="Arial"/>
          <w:sz w:val="22"/>
          <w:szCs w:val="22"/>
          <w:lang w:eastAsia="en-US"/>
        </w:rPr>
        <w:t xml:space="preserve"> th</w:t>
      </w:r>
      <w:r w:rsidR="00D07ECB" w:rsidRPr="00E64DC1">
        <w:rPr>
          <w:rFonts w:ascii="Arial" w:eastAsiaTheme="minorHAnsi" w:hAnsi="Arial" w:cs="Arial"/>
          <w:sz w:val="22"/>
          <w:szCs w:val="22"/>
          <w:lang w:eastAsia="en-US"/>
        </w:rPr>
        <w:t>is represented a £</w:t>
      </w:r>
      <w:r w:rsidR="00E64DC1" w:rsidRPr="00E64DC1">
        <w:rPr>
          <w:rFonts w:ascii="Arial" w:eastAsiaTheme="minorHAnsi" w:hAnsi="Arial" w:cs="Arial"/>
          <w:sz w:val="22"/>
          <w:szCs w:val="22"/>
          <w:lang w:eastAsia="en-US"/>
        </w:rPr>
        <w:t>53</w:t>
      </w:r>
      <w:r w:rsidR="00D07ECB" w:rsidRPr="00E64DC1">
        <w:rPr>
          <w:rFonts w:ascii="Arial" w:eastAsiaTheme="minorHAnsi" w:hAnsi="Arial" w:cs="Arial"/>
          <w:sz w:val="22"/>
          <w:szCs w:val="22"/>
          <w:lang w:eastAsia="en-US"/>
        </w:rPr>
        <w:t>k</w:t>
      </w:r>
      <w:r w:rsidR="004C1D2E" w:rsidRPr="00E64DC1">
        <w:rPr>
          <w:rFonts w:ascii="Arial" w:eastAsiaTheme="minorHAnsi" w:hAnsi="Arial" w:cs="Arial"/>
          <w:sz w:val="22"/>
          <w:szCs w:val="22"/>
          <w:lang w:eastAsia="en-US"/>
        </w:rPr>
        <w:t>,</w:t>
      </w:r>
      <w:r w:rsidR="007C4AB8" w:rsidRPr="00E64DC1">
        <w:rPr>
          <w:rFonts w:ascii="Arial" w:eastAsiaTheme="minorHAnsi" w:hAnsi="Arial" w:cs="Arial"/>
          <w:sz w:val="22"/>
          <w:szCs w:val="22"/>
          <w:lang w:eastAsia="en-US"/>
        </w:rPr>
        <w:t xml:space="preserve"> </w:t>
      </w:r>
      <w:r w:rsidR="00C74503">
        <w:rPr>
          <w:rFonts w:ascii="Arial" w:eastAsiaTheme="minorHAnsi" w:hAnsi="Arial" w:cs="Arial"/>
          <w:sz w:val="22"/>
          <w:szCs w:val="22"/>
          <w:lang w:eastAsia="en-US"/>
        </w:rPr>
        <w:t>0.8</w:t>
      </w:r>
      <w:r w:rsidR="004C1D2E" w:rsidRPr="00E64DC1">
        <w:rPr>
          <w:rFonts w:ascii="Arial" w:eastAsiaTheme="minorHAnsi" w:hAnsi="Arial" w:cs="Arial"/>
          <w:sz w:val="22"/>
          <w:szCs w:val="22"/>
          <w:lang w:eastAsia="en-US"/>
        </w:rPr>
        <w:t>%</w:t>
      </w:r>
      <w:r w:rsidR="00D07ECB" w:rsidRPr="00E64DC1">
        <w:rPr>
          <w:rFonts w:ascii="Arial" w:eastAsiaTheme="minorHAnsi" w:hAnsi="Arial" w:cs="Arial"/>
          <w:sz w:val="22"/>
          <w:szCs w:val="22"/>
          <w:lang w:eastAsia="en-US"/>
        </w:rPr>
        <w:t xml:space="preserve"> </w:t>
      </w:r>
      <w:r w:rsidR="0015575A" w:rsidRPr="00E64DC1">
        <w:rPr>
          <w:rFonts w:ascii="Arial" w:eastAsiaTheme="minorHAnsi" w:hAnsi="Arial" w:cs="Arial"/>
          <w:sz w:val="22"/>
          <w:szCs w:val="22"/>
          <w:lang w:eastAsia="en-US"/>
        </w:rPr>
        <w:t xml:space="preserve">underspend </w:t>
      </w:r>
      <w:r w:rsidR="00D07ECB" w:rsidRPr="00E64DC1">
        <w:rPr>
          <w:rFonts w:ascii="Arial" w:eastAsiaTheme="minorHAnsi" w:hAnsi="Arial" w:cs="Arial"/>
          <w:sz w:val="22"/>
          <w:szCs w:val="22"/>
          <w:lang w:eastAsia="en-US"/>
        </w:rPr>
        <w:t>(2016</w:t>
      </w:r>
      <w:r w:rsidR="008D718A" w:rsidRPr="00E64DC1">
        <w:rPr>
          <w:rFonts w:ascii="Arial" w:eastAsiaTheme="minorHAnsi" w:hAnsi="Arial" w:cs="Arial"/>
          <w:sz w:val="22"/>
          <w:szCs w:val="22"/>
          <w:lang w:eastAsia="en-US"/>
        </w:rPr>
        <w:t>/17</w:t>
      </w:r>
      <w:r w:rsidR="00D07ECB" w:rsidRPr="00E64DC1">
        <w:rPr>
          <w:rFonts w:ascii="Arial" w:eastAsiaTheme="minorHAnsi" w:hAnsi="Arial" w:cs="Arial"/>
          <w:sz w:val="22"/>
          <w:szCs w:val="22"/>
          <w:lang w:eastAsia="en-US"/>
        </w:rPr>
        <w:t xml:space="preserve"> £</w:t>
      </w:r>
      <w:r w:rsidR="007B2710" w:rsidRPr="00E64DC1">
        <w:rPr>
          <w:rFonts w:ascii="Arial" w:eastAsiaTheme="minorHAnsi" w:hAnsi="Arial" w:cs="Arial"/>
          <w:sz w:val="22"/>
          <w:szCs w:val="22"/>
          <w:lang w:eastAsia="en-US"/>
        </w:rPr>
        <w:t>4</w:t>
      </w:r>
      <w:r w:rsidR="00D07ECB" w:rsidRPr="00E64DC1">
        <w:rPr>
          <w:rFonts w:ascii="Arial" w:eastAsiaTheme="minorHAnsi" w:hAnsi="Arial" w:cs="Arial"/>
          <w:sz w:val="22"/>
          <w:szCs w:val="22"/>
          <w:lang w:eastAsia="en-US"/>
        </w:rPr>
        <w:t>k</w:t>
      </w:r>
      <w:r w:rsidR="004C1D2E" w:rsidRPr="00E64DC1">
        <w:rPr>
          <w:rFonts w:ascii="Arial" w:eastAsiaTheme="minorHAnsi" w:hAnsi="Arial" w:cs="Arial"/>
          <w:sz w:val="22"/>
          <w:szCs w:val="22"/>
          <w:lang w:eastAsia="en-US"/>
        </w:rPr>
        <w:t xml:space="preserve">, </w:t>
      </w:r>
      <w:r w:rsidR="00055EF8" w:rsidRPr="00E64DC1">
        <w:rPr>
          <w:rFonts w:ascii="Arial" w:eastAsiaTheme="minorHAnsi" w:hAnsi="Arial" w:cs="Arial"/>
          <w:sz w:val="22"/>
          <w:szCs w:val="22"/>
          <w:lang w:eastAsia="en-US"/>
        </w:rPr>
        <w:t>0.</w:t>
      </w:r>
      <w:r w:rsidR="007B2710" w:rsidRPr="00E64DC1">
        <w:rPr>
          <w:rFonts w:ascii="Arial" w:eastAsiaTheme="minorHAnsi" w:hAnsi="Arial" w:cs="Arial"/>
          <w:sz w:val="22"/>
          <w:szCs w:val="22"/>
          <w:lang w:eastAsia="en-US"/>
        </w:rPr>
        <w:t>1</w:t>
      </w:r>
      <w:r w:rsidR="004C1D2E" w:rsidRPr="00E64DC1">
        <w:rPr>
          <w:rFonts w:ascii="Arial" w:eastAsiaTheme="minorHAnsi" w:hAnsi="Arial" w:cs="Arial"/>
          <w:sz w:val="22"/>
          <w:szCs w:val="22"/>
          <w:lang w:eastAsia="en-US"/>
        </w:rPr>
        <w:t>%</w:t>
      </w:r>
      <w:r w:rsidR="0015575A" w:rsidRPr="00E64DC1">
        <w:rPr>
          <w:rFonts w:ascii="Arial" w:eastAsiaTheme="minorHAnsi" w:hAnsi="Arial" w:cs="Arial"/>
          <w:sz w:val="22"/>
          <w:szCs w:val="22"/>
          <w:lang w:eastAsia="en-US"/>
        </w:rPr>
        <w:t xml:space="preserve"> overspend</w:t>
      </w:r>
      <w:r w:rsidR="00D07ECB" w:rsidRPr="00E64DC1">
        <w:rPr>
          <w:rFonts w:ascii="Arial" w:eastAsiaTheme="minorHAnsi" w:hAnsi="Arial" w:cs="Arial"/>
          <w:sz w:val="22"/>
          <w:szCs w:val="22"/>
          <w:lang w:eastAsia="en-US"/>
        </w:rPr>
        <w:t>)</w:t>
      </w:r>
      <w:r w:rsidR="004C1D2E" w:rsidRPr="00E64DC1">
        <w:rPr>
          <w:rFonts w:ascii="Arial" w:eastAsiaTheme="minorHAnsi" w:hAnsi="Arial" w:cs="Arial"/>
          <w:sz w:val="22"/>
          <w:szCs w:val="22"/>
          <w:lang w:eastAsia="en-US"/>
        </w:rPr>
        <w:t xml:space="preserve"> and on capital expenditure a £</w:t>
      </w:r>
      <w:r w:rsidR="007B2710" w:rsidRPr="00E64DC1">
        <w:rPr>
          <w:rFonts w:ascii="Arial" w:eastAsiaTheme="minorHAnsi" w:hAnsi="Arial" w:cs="Arial"/>
          <w:sz w:val="22"/>
          <w:szCs w:val="22"/>
          <w:lang w:eastAsia="en-US"/>
        </w:rPr>
        <w:t>21</w:t>
      </w:r>
      <w:r w:rsidR="004C1D2E" w:rsidRPr="00E64DC1">
        <w:rPr>
          <w:rFonts w:ascii="Arial" w:eastAsiaTheme="minorHAnsi" w:hAnsi="Arial" w:cs="Arial"/>
          <w:sz w:val="22"/>
          <w:szCs w:val="22"/>
          <w:lang w:eastAsia="en-US"/>
        </w:rPr>
        <w:t xml:space="preserve">k, </w:t>
      </w:r>
      <w:r w:rsidR="007B2710" w:rsidRPr="00E64DC1">
        <w:rPr>
          <w:rFonts w:ascii="Arial" w:eastAsiaTheme="minorHAnsi" w:hAnsi="Arial" w:cs="Arial"/>
          <w:sz w:val="22"/>
          <w:szCs w:val="22"/>
          <w:lang w:eastAsia="en-US"/>
        </w:rPr>
        <w:t>5.0</w:t>
      </w:r>
      <w:r w:rsidR="004C1D2E" w:rsidRPr="00E64DC1">
        <w:rPr>
          <w:rFonts w:ascii="Arial" w:eastAsiaTheme="minorHAnsi" w:hAnsi="Arial" w:cs="Arial"/>
          <w:sz w:val="22"/>
          <w:szCs w:val="22"/>
          <w:lang w:eastAsia="en-US"/>
        </w:rPr>
        <w:t>% underspend (2016</w:t>
      </w:r>
      <w:r w:rsidR="008D718A" w:rsidRPr="00E64DC1">
        <w:rPr>
          <w:rFonts w:ascii="Arial" w:eastAsiaTheme="minorHAnsi" w:hAnsi="Arial" w:cs="Arial"/>
          <w:sz w:val="22"/>
          <w:szCs w:val="22"/>
          <w:lang w:eastAsia="en-US"/>
        </w:rPr>
        <w:t>/17</w:t>
      </w:r>
      <w:r w:rsidR="004C1D2E" w:rsidRPr="00E64DC1">
        <w:rPr>
          <w:rFonts w:ascii="Arial" w:eastAsiaTheme="minorHAnsi" w:hAnsi="Arial" w:cs="Arial"/>
          <w:sz w:val="22"/>
          <w:szCs w:val="22"/>
          <w:lang w:eastAsia="en-US"/>
        </w:rPr>
        <w:t xml:space="preserve"> £</w:t>
      </w:r>
      <w:r w:rsidR="007B2710" w:rsidRPr="00E64DC1">
        <w:rPr>
          <w:rFonts w:ascii="Arial" w:eastAsiaTheme="minorHAnsi" w:hAnsi="Arial" w:cs="Arial"/>
          <w:sz w:val="22"/>
          <w:szCs w:val="22"/>
          <w:lang w:eastAsia="en-US"/>
        </w:rPr>
        <w:t>18</w:t>
      </w:r>
      <w:r w:rsidR="004C1D2E" w:rsidRPr="00E64DC1">
        <w:rPr>
          <w:rFonts w:ascii="Arial" w:eastAsiaTheme="minorHAnsi" w:hAnsi="Arial" w:cs="Arial"/>
          <w:sz w:val="22"/>
          <w:szCs w:val="22"/>
          <w:lang w:eastAsia="en-US"/>
        </w:rPr>
        <w:t xml:space="preserve">k, </w:t>
      </w:r>
      <w:r w:rsidR="0015575A" w:rsidRPr="00E64DC1">
        <w:rPr>
          <w:rFonts w:ascii="Arial" w:eastAsiaTheme="minorHAnsi" w:hAnsi="Arial" w:cs="Arial"/>
          <w:sz w:val="22"/>
          <w:szCs w:val="22"/>
          <w:lang w:eastAsia="en-US"/>
        </w:rPr>
        <w:t>4.</w:t>
      </w:r>
      <w:r w:rsidR="007B2710" w:rsidRPr="00E64DC1">
        <w:rPr>
          <w:rFonts w:ascii="Arial" w:eastAsiaTheme="minorHAnsi" w:hAnsi="Arial" w:cs="Arial"/>
          <w:sz w:val="22"/>
          <w:szCs w:val="22"/>
          <w:lang w:eastAsia="en-US"/>
        </w:rPr>
        <w:t>8</w:t>
      </w:r>
      <w:r w:rsidR="004C1D2E" w:rsidRPr="00E64DC1">
        <w:rPr>
          <w:rFonts w:ascii="Arial" w:eastAsiaTheme="minorHAnsi" w:hAnsi="Arial" w:cs="Arial"/>
          <w:sz w:val="22"/>
          <w:szCs w:val="22"/>
          <w:lang w:eastAsia="en-US"/>
        </w:rPr>
        <w:t xml:space="preserve">%). </w:t>
      </w:r>
      <w:r w:rsidR="00FA0CFC" w:rsidRPr="00E64DC1">
        <w:rPr>
          <w:rFonts w:ascii="Arial" w:eastAsiaTheme="minorHAnsi" w:hAnsi="Arial" w:cs="Arial"/>
          <w:sz w:val="22"/>
          <w:szCs w:val="22"/>
          <w:lang w:eastAsia="en-US"/>
        </w:rPr>
        <w:t xml:space="preserve"> </w:t>
      </w:r>
    </w:p>
    <w:p w:rsidR="007D4817" w:rsidRPr="007D4817" w:rsidRDefault="007D4817" w:rsidP="007D4817">
      <w:pPr>
        <w:pStyle w:val="ListParagraph"/>
        <w:rPr>
          <w:rFonts w:ascii="Arial" w:eastAsiaTheme="minorHAnsi" w:hAnsi="Arial" w:cs="Arial"/>
          <w:sz w:val="22"/>
          <w:szCs w:val="22"/>
          <w:lang w:eastAsia="en-US"/>
        </w:rPr>
      </w:pPr>
    </w:p>
    <w:p w:rsidR="00E64DC1" w:rsidRPr="00C6052E" w:rsidRDefault="001D4F68" w:rsidP="00C6052E">
      <w:pPr>
        <w:pStyle w:val="ListParagraph"/>
        <w:numPr>
          <w:ilvl w:val="0"/>
          <w:numId w:val="2"/>
        </w:numPr>
        <w:spacing w:after="200" w:line="276" w:lineRule="auto"/>
        <w:rPr>
          <w:rFonts w:ascii="Arial" w:eastAsiaTheme="minorHAnsi" w:hAnsi="Arial" w:cs="Arial"/>
          <w:sz w:val="22"/>
          <w:szCs w:val="22"/>
          <w:lang w:eastAsia="en-US"/>
        </w:rPr>
      </w:pPr>
      <w:r w:rsidRPr="0015575A">
        <w:rPr>
          <w:rFonts w:ascii="Arial" w:eastAsiaTheme="minorHAnsi" w:hAnsi="Arial" w:cs="Arial"/>
          <w:sz w:val="22"/>
          <w:szCs w:val="22"/>
          <w:lang w:eastAsia="en-US"/>
        </w:rPr>
        <w:t xml:space="preserve">DH have </w:t>
      </w:r>
      <w:r w:rsidR="007B2710">
        <w:rPr>
          <w:rFonts w:ascii="Arial" w:eastAsiaTheme="minorHAnsi" w:hAnsi="Arial" w:cs="Arial"/>
          <w:sz w:val="22"/>
          <w:szCs w:val="22"/>
          <w:lang w:eastAsia="en-US"/>
        </w:rPr>
        <w:t>approved our exec</w:t>
      </w:r>
      <w:r w:rsidR="00E64DC1">
        <w:rPr>
          <w:rFonts w:ascii="Arial" w:eastAsiaTheme="minorHAnsi" w:hAnsi="Arial" w:cs="Arial"/>
          <w:sz w:val="22"/>
          <w:szCs w:val="22"/>
          <w:lang w:eastAsia="en-US"/>
        </w:rPr>
        <w:t>u</w:t>
      </w:r>
      <w:r w:rsidR="007B2710">
        <w:rPr>
          <w:rFonts w:ascii="Arial" w:eastAsiaTheme="minorHAnsi" w:hAnsi="Arial" w:cs="Arial"/>
          <w:sz w:val="22"/>
          <w:szCs w:val="22"/>
          <w:lang w:eastAsia="en-US"/>
        </w:rPr>
        <w:t>t</w:t>
      </w:r>
      <w:r w:rsidR="00E64DC1">
        <w:rPr>
          <w:rFonts w:ascii="Arial" w:eastAsiaTheme="minorHAnsi" w:hAnsi="Arial" w:cs="Arial"/>
          <w:sz w:val="22"/>
          <w:szCs w:val="22"/>
          <w:lang w:eastAsia="en-US"/>
        </w:rPr>
        <w:t>iv</w:t>
      </w:r>
      <w:r w:rsidR="007B2710">
        <w:rPr>
          <w:rFonts w:ascii="Arial" w:eastAsiaTheme="minorHAnsi" w:hAnsi="Arial" w:cs="Arial"/>
          <w:sz w:val="22"/>
          <w:szCs w:val="22"/>
          <w:lang w:eastAsia="en-US"/>
        </w:rPr>
        <w:t>e restructure business case</w:t>
      </w:r>
      <w:r w:rsidR="00E64DC1">
        <w:rPr>
          <w:rFonts w:ascii="Arial" w:eastAsiaTheme="minorHAnsi" w:hAnsi="Arial" w:cs="Arial"/>
          <w:sz w:val="22"/>
          <w:szCs w:val="22"/>
          <w:lang w:eastAsia="en-US"/>
        </w:rPr>
        <w:t xml:space="preserve"> £160k and increased our grant in aid accordingly. Our business case requesting £260k additional funds for SIP over two years has been rejected due to limited funds available. </w:t>
      </w:r>
      <w:r w:rsidR="00C6052E">
        <w:rPr>
          <w:rFonts w:ascii="Arial" w:eastAsiaTheme="minorHAnsi" w:hAnsi="Arial" w:cs="Arial"/>
          <w:sz w:val="22"/>
          <w:szCs w:val="22"/>
          <w:lang w:eastAsia="en-US"/>
        </w:rPr>
        <w:t>The business case for enhancement and replacement of our current research systems has been produced and is presented as a separate agenda item for the Board.</w:t>
      </w:r>
    </w:p>
    <w:p w:rsidR="00361853" w:rsidRPr="00361853" w:rsidRDefault="00361853" w:rsidP="00361853">
      <w:pPr>
        <w:pStyle w:val="ListParagraph"/>
        <w:rPr>
          <w:rFonts w:ascii="Arial" w:eastAsiaTheme="minorHAnsi" w:hAnsi="Arial" w:cs="Arial"/>
          <w:sz w:val="22"/>
          <w:szCs w:val="22"/>
          <w:lang w:eastAsia="en-US"/>
        </w:rPr>
      </w:pPr>
    </w:p>
    <w:p w:rsidR="00361853" w:rsidRDefault="00F127E2" w:rsidP="0015575A">
      <w:pPr>
        <w:pStyle w:val="ListParagraph"/>
        <w:numPr>
          <w:ilvl w:val="0"/>
          <w:numId w:val="2"/>
        </w:num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As a result of these</w:t>
      </w:r>
      <w:r w:rsidR="00361853">
        <w:rPr>
          <w:rFonts w:ascii="Arial" w:eastAsiaTheme="minorHAnsi" w:hAnsi="Arial" w:cs="Arial"/>
          <w:sz w:val="22"/>
          <w:szCs w:val="22"/>
          <w:lang w:eastAsia="en-US"/>
        </w:rPr>
        <w:t xml:space="preserve"> decision</w:t>
      </w:r>
      <w:r>
        <w:rPr>
          <w:rFonts w:ascii="Arial" w:eastAsiaTheme="minorHAnsi" w:hAnsi="Arial" w:cs="Arial"/>
          <w:sz w:val="22"/>
          <w:szCs w:val="22"/>
          <w:lang w:eastAsia="en-US"/>
        </w:rPr>
        <w:t>s</w:t>
      </w:r>
      <w:r w:rsidR="00361853">
        <w:rPr>
          <w:rFonts w:ascii="Arial" w:eastAsiaTheme="minorHAnsi" w:hAnsi="Arial" w:cs="Arial"/>
          <w:sz w:val="22"/>
          <w:szCs w:val="22"/>
          <w:lang w:eastAsia="en-US"/>
        </w:rPr>
        <w:t xml:space="preserve"> and consideration of our forecast out-turn position for 2017/18, the executive have reviewed our strategic resourcing priorities and agreed an actio</w:t>
      </w:r>
      <w:r>
        <w:rPr>
          <w:rFonts w:ascii="Arial" w:eastAsiaTheme="minorHAnsi" w:hAnsi="Arial" w:cs="Arial"/>
          <w:sz w:val="22"/>
          <w:szCs w:val="22"/>
          <w:lang w:eastAsia="en-US"/>
        </w:rPr>
        <w:t xml:space="preserve">n plan to </w:t>
      </w:r>
      <w:r w:rsidR="00361853" w:rsidRPr="00361853">
        <w:rPr>
          <w:rFonts w:ascii="Arial" w:eastAsiaTheme="minorHAnsi" w:hAnsi="Arial" w:cs="Arial"/>
          <w:sz w:val="22"/>
          <w:szCs w:val="22"/>
          <w:lang w:eastAsia="en-US"/>
        </w:rPr>
        <w:t>address capacity and capability gaps</w:t>
      </w:r>
      <w:r>
        <w:rPr>
          <w:rFonts w:ascii="Arial" w:eastAsiaTheme="minorHAnsi" w:hAnsi="Arial" w:cs="Arial"/>
          <w:sz w:val="22"/>
          <w:szCs w:val="22"/>
          <w:lang w:eastAsia="en-US"/>
        </w:rPr>
        <w:t xml:space="preserve"> within service delivery and the change programme(s), </w:t>
      </w:r>
    </w:p>
    <w:p w:rsidR="00E64DC1" w:rsidRPr="00E64DC1" w:rsidRDefault="00E64DC1" w:rsidP="00E64DC1">
      <w:pPr>
        <w:pStyle w:val="ListParagraph"/>
        <w:rPr>
          <w:rFonts w:ascii="Arial" w:eastAsiaTheme="minorHAnsi" w:hAnsi="Arial" w:cs="Arial"/>
          <w:sz w:val="22"/>
          <w:szCs w:val="22"/>
          <w:lang w:eastAsia="en-US"/>
        </w:rPr>
      </w:pPr>
    </w:p>
    <w:p w:rsidR="0015575A" w:rsidRDefault="00E64DC1" w:rsidP="00C6052E">
      <w:pPr>
        <w:pStyle w:val="ListParagraph"/>
        <w:numPr>
          <w:ilvl w:val="0"/>
          <w:numId w:val="2"/>
        </w:num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Salary costs are now tracking below budget net of vacancy factor with staff turnover higher than predicted at budget setting. Actions have been identified </w:t>
      </w:r>
      <w:r w:rsidR="00C6052E">
        <w:rPr>
          <w:rFonts w:ascii="Arial" w:eastAsiaTheme="minorHAnsi" w:hAnsi="Arial" w:cs="Arial"/>
          <w:sz w:val="22"/>
          <w:szCs w:val="22"/>
          <w:lang w:eastAsia="en-US"/>
        </w:rPr>
        <w:t xml:space="preserve">and are being implemented </w:t>
      </w:r>
      <w:r>
        <w:rPr>
          <w:rFonts w:ascii="Arial" w:eastAsiaTheme="minorHAnsi" w:hAnsi="Arial" w:cs="Arial"/>
          <w:sz w:val="22"/>
          <w:szCs w:val="22"/>
          <w:lang w:eastAsia="en-US"/>
        </w:rPr>
        <w:t>to he</w:t>
      </w:r>
      <w:r w:rsidR="00C6052E">
        <w:rPr>
          <w:rFonts w:ascii="Arial" w:eastAsiaTheme="minorHAnsi" w:hAnsi="Arial" w:cs="Arial"/>
          <w:sz w:val="22"/>
          <w:szCs w:val="22"/>
          <w:lang w:eastAsia="en-US"/>
        </w:rPr>
        <w:t>lp mitigate the impact of this o</w:t>
      </w:r>
      <w:r>
        <w:rPr>
          <w:rFonts w:ascii="Arial" w:eastAsiaTheme="minorHAnsi" w:hAnsi="Arial" w:cs="Arial"/>
          <w:sz w:val="22"/>
          <w:szCs w:val="22"/>
          <w:lang w:eastAsia="en-US"/>
        </w:rPr>
        <w:t>n service delivery and the change programme</w:t>
      </w:r>
    </w:p>
    <w:p w:rsidR="00C6052E" w:rsidRDefault="00C6052E" w:rsidP="00C6052E">
      <w:pPr>
        <w:pStyle w:val="ListParagraph"/>
        <w:spacing w:after="200" w:line="276" w:lineRule="auto"/>
        <w:rPr>
          <w:rFonts w:ascii="Arial" w:eastAsiaTheme="minorHAnsi" w:hAnsi="Arial" w:cs="Arial"/>
          <w:sz w:val="22"/>
          <w:szCs w:val="22"/>
          <w:lang w:eastAsia="en-US"/>
        </w:rPr>
      </w:pPr>
    </w:p>
    <w:p w:rsidR="00423AEF" w:rsidRPr="00386ED9" w:rsidRDefault="00386ED9" w:rsidP="00386ED9">
      <w:pPr>
        <w:pStyle w:val="ListParagraph"/>
        <w:numPr>
          <w:ilvl w:val="0"/>
          <w:numId w:val="24"/>
        </w:num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The HRA</w:t>
      </w:r>
      <w:r w:rsidRPr="00386ED9">
        <w:rPr>
          <w:rFonts w:ascii="Arial" w:eastAsiaTheme="minorHAnsi" w:hAnsi="Arial" w:cs="Arial"/>
          <w:sz w:val="22"/>
          <w:szCs w:val="22"/>
          <w:lang w:eastAsia="en-US"/>
        </w:rPr>
        <w:t xml:space="preserve"> </w:t>
      </w:r>
      <w:r w:rsidRPr="006C7396">
        <w:rPr>
          <w:rFonts w:ascii="Arial" w:eastAsiaTheme="minorHAnsi" w:hAnsi="Arial" w:cs="Arial"/>
          <w:sz w:val="22"/>
          <w:szCs w:val="22"/>
          <w:lang w:eastAsia="en-US"/>
        </w:rPr>
        <w:t>continued to meet its regulatory requirements in paying invoices</w:t>
      </w:r>
      <w:r w:rsidR="001B0417">
        <w:rPr>
          <w:rFonts w:ascii="Arial" w:eastAsiaTheme="minorHAnsi" w:hAnsi="Arial" w:cs="Arial"/>
          <w:sz w:val="22"/>
          <w:szCs w:val="22"/>
          <w:lang w:eastAsia="en-US"/>
        </w:rPr>
        <w:t xml:space="preserve"> quickly</w:t>
      </w:r>
      <w:r w:rsidR="00C6052E">
        <w:rPr>
          <w:rFonts w:ascii="Arial" w:eastAsiaTheme="minorHAnsi" w:hAnsi="Arial" w:cs="Arial"/>
          <w:sz w:val="22"/>
          <w:szCs w:val="22"/>
          <w:lang w:eastAsia="en-US"/>
        </w:rPr>
        <w:t xml:space="preserve"> and key finance deadlines. </w:t>
      </w:r>
    </w:p>
    <w:p w:rsidR="002E0A2A" w:rsidRDefault="00B325BB" w:rsidP="00B62D6B">
      <w:pPr>
        <w:jc w:val="both"/>
        <w:rPr>
          <w:rFonts w:ascii="Arial" w:hAnsi="Arial" w:cs="Arial"/>
          <w:b/>
          <w:sz w:val="22"/>
          <w:szCs w:val="22"/>
        </w:rPr>
      </w:pPr>
      <w:r>
        <w:rPr>
          <w:rFonts w:ascii="Arial" w:hAnsi="Arial" w:cs="Arial"/>
          <w:b/>
          <w:sz w:val="22"/>
          <w:szCs w:val="22"/>
        </w:rPr>
        <w:t>Revenue f</w:t>
      </w:r>
      <w:r w:rsidR="00B62D6B">
        <w:rPr>
          <w:rFonts w:ascii="Arial" w:hAnsi="Arial" w:cs="Arial"/>
          <w:b/>
          <w:sz w:val="22"/>
          <w:szCs w:val="22"/>
        </w:rPr>
        <w:t xml:space="preserve">inancial performance </w:t>
      </w:r>
      <w:r w:rsidR="000D2F24">
        <w:rPr>
          <w:rFonts w:ascii="Arial" w:hAnsi="Arial" w:cs="Arial"/>
          <w:b/>
          <w:sz w:val="22"/>
          <w:szCs w:val="22"/>
        </w:rPr>
        <w:t>for</w:t>
      </w:r>
      <w:r w:rsidR="00B62D6B">
        <w:rPr>
          <w:rFonts w:ascii="Arial" w:hAnsi="Arial" w:cs="Arial"/>
          <w:b/>
          <w:sz w:val="22"/>
          <w:szCs w:val="22"/>
        </w:rPr>
        <w:t xml:space="preserve"> </w:t>
      </w:r>
      <w:r w:rsidR="000D2F24">
        <w:rPr>
          <w:rFonts w:ascii="Arial" w:hAnsi="Arial" w:cs="Arial"/>
          <w:b/>
          <w:sz w:val="22"/>
          <w:szCs w:val="22"/>
        </w:rPr>
        <w:t xml:space="preserve">the </w:t>
      </w:r>
      <w:r w:rsidR="00C6052E">
        <w:rPr>
          <w:rFonts w:ascii="Arial" w:hAnsi="Arial" w:cs="Arial"/>
          <w:b/>
          <w:sz w:val="22"/>
          <w:szCs w:val="22"/>
        </w:rPr>
        <w:t>6</w:t>
      </w:r>
      <w:r w:rsidR="00A4139A">
        <w:rPr>
          <w:rFonts w:ascii="Arial" w:hAnsi="Arial" w:cs="Arial"/>
          <w:b/>
          <w:sz w:val="22"/>
          <w:szCs w:val="22"/>
        </w:rPr>
        <w:t xml:space="preserve"> </w:t>
      </w:r>
      <w:proofErr w:type="spellStart"/>
      <w:r w:rsidR="00A4139A">
        <w:rPr>
          <w:rFonts w:ascii="Arial" w:hAnsi="Arial" w:cs="Arial"/>
          <w:b/>
          <w:sz w:val="22"/>
          <w:szCs w:val="22"/>
        </w:rPr>
        <w:t>mths</w:t>
      </w:r>
      <w:proofErr w:type="spellEnd"/>
      <w:r w:rsidR="000D2F24">
        <w:rPr>
          <w:rFonts w:ascii="Arial" w:hAnsi="Arial" w:cs="Arial"/>
          <w:b/>
          <w:sz w:val="22"/>
          <w:szCs w:val="22"/>
        </w:rPr>
        <w:t xml:space="preserve">-ended </w:t>
      </w:r>
      <w:r w:rsidR="00561998">
        <w:rPr>
          <w:rFonts w:ascii="Arial" w:hAnsi="Arial" w:cs="Arial"/>
          <w:b/>
          <w:sz w:val="22"/>
          <w:szCs w:val="22"/>
        </w:rPr>
        <w:t>3</w:t>
      </w:r>
      <w:r w:rsidR="00C6052E">
        <w:rPr>
          <w:rFonts w:ascii="Arial" w:hAnsi="Arial" w:cs="Arial"/>
          <w:b/>
          <w:sz w:val="22"/>
          <w:szCs w:val="22"/>
        </w:rPr>
        <w:t>0</w:t>
      </w:r>
      <w:r w:rsidR="00561998">
        <w:rPr>
          <w:rFonts w:ascii="Arial" w:hAnsi="Arial" w:cs="Arial"/>
          <w:b/>
          <w:sz w:val="22"/>
          <w:szCs w:val="22"/>
        </w:rPr>
        <w:t xml:space="preserve"> </w:t>
      </w:r>
      <w:r w:rsidR="00C6052E">
        <w:rPr>
          <w:rFonts w:ascii="Arial" w:hAnsi="Arial" w:cs="Arial"/>
          <w:b/>
          <w:sz w:val="22"/>
          <w:szCs w:val="22"/>
        </w:rPr>
        <w:t>September</w:t>
      </w:r>
      <w:r w:rsidR="00736CB7">
        <w:rPr>
          <w:rFonts w:ascii="Arial" w:hAnsi="Arial" w:cs="Arial"/>
          <w:b/>
          <w:sz w:val="22"/>
          <w:szCs w:val="22"/>
        </w:rPr>
        <w:t xml:space="preserve"> </w:t>
      </w:r>
      <w:r w:rsidR="00B62D6B">
        <w:rPr>
          <w:rFonts w:ascii="Arial" w:hAnsi="Arial" w:cs="Arial"/>
          <w:b/>
          <w:sz w:val="22"/>
          <w:szCs w:val="22"/>
        </w:rPr>
        <w:t>201</w:t>
      </w:r>
      <w:r w:rsidR="00423AEF">
        <w:rPr>
          <w:rFonts w:ascii="Arial" w:hAnsi="Arial" w:cs="Arial"/>
          <w:b/>
          <w:sz w:val="22"/>
          <w:szCs w:val="22"/>
        </w:rPr>
        <w:t>7</w:t>
      </w:r>
      <w:r w:rsidR="00AD76CF" w:rsidRPr="00AD76CF">
        <w:rPr>
          <w:rFonts w:ascii="Arial" w:hAnsi="Arial" w:cs="Arial"/>
          <w:b/>
          <w:sz w:val="22"/>
          <w:szCs w:val="22"/>
        </w:rPr>
        <w:t xml:space="preserve"> </w:t>
      </w:r>
    </w:p>
    <w:p w:rsidR="00561998" w:rsidRPr="00195D4C" w:rsidRDefault="00561998" w:rsidP="00B62D6B">
      <w:pPr>
        <w:jc w:val="both"/>
        <w:rPr>
          <w:rFonts w:ascii="Arial" w:hAnsi="Arial" w:cs="Arial"/>
          <w:b/>
          <w:sz w:val="22"/>
          <w:szCs w:val="22"/>
        </w:rPr>
      </w:pPr>
    </w:p>
    <w:tbl>
      <w:tblPr>
        <w:tblW w:w="8691" w:type="dxa"/>
        <w:tblInd w:w="108" w:type="dxa"/>
        <w:tblLook w:val="04A0" w:firstRow="1" w:lastRow="0" w:firstColumn="1" w:lastColumn="0" w:noHBand="0" w:noVBand="1"/>
      </w:tblPr>
      <w:tblGrid>
        <w:gridCol w:w="3454"/>
        <w:gridCol w:w="961"/>
        <w:gridCol w:w="961"/>
        <w:gridCol w:w="961"/>
        <w:gridCol w:w="1052"/>
        <w:gridCol w:w="1302"/>
      </w:tblGrid>
      <w:tr w:rsidR="00584FC2" w:rsidRPr="00584FC2" w:rsidTr="00584FC2">
        <w:trPr>
          <w:trHeight w:val="201"/>
        </w:trPr>
        <w:tc>
          <w:tcPr>
            <w:tcW w:w="3454" w:type="dxa"/>
            <w:tcBorders>
              <w:top w:val="single" w:sz="4" w:space="0" w:color="666666"/>
              <w:left w:val="nil"/>
              <w:bottom w:val="single" w:sz="4" w:space="0" w:color="666666"/>
              <w:right w:val="single" w:sz="4" w:space="0" w:color="666666"/>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 </w:t>
            </w:r>
          </w:p>
        </w:tc>
        <w:tc>
          <w:tcPr>
            <w:tcW w:w="961" w:type="dxa"/>
            <w:tcBorders>
              <w:top w:val="nil"/>
              <w:left w:val="nil"/>
              <w:bottom w:val="nil"/>
              <w:right w:val="nil"/>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2017/18</w:t>
            </w:r>
          </w:p>
        </w:tc>
        <w:tc>
          <w:tcPr>
            <w:tcW w:w="2974" w:type="dxa"/>
            <w:gridSpan w:val="3"/>
            <w:vMerge w:val="restart"/>
            <w:tcBorders>
              <w:top w:val="single" w:sz="8" w:space="0" w:color="FFFFFF"/>
              <w:left w:val="nil"/>
              <w:bottom w:val="nil"/>
              <w:right w:val="nil"/>
            </w:tcBorders>
            <w:shd w:val="clear" w:color="000000" w:fill="95B3D7"/>
            <w:vAlign w:val="center"/>
            <w:hideMark/>
          </w:tcPr>
          <w:p w:rsidR="00584FC2" w:rsidRPr="00584FC2" w:rsidRDefault="00C6052E" w:rsidP="00C6052E">
            <w:pPr>
              <w:jc w:val="center"/>
              <w:rPr>
                <w:rFonts w:ascii="Arial" w:hAnsi="Arial" w:cs="Arial"/>
                <w:b/>
                <w:bCs/>
                <w:color w:val="FFFFFF"/>
                <w:sz w:val="20"/>
                <w:szCs w:val="20"/>
              </w:rPr>
            </w:pPr>
            <w:r>
              <w:rPr>
                <w:rFonts w:ascii="Arial" w:hAnsi="Arial" w:cs="Arial"/>
                <w:b/>
                <w:bCs/>
                <w:color w:val="FFFFFF"/>
                <w:sz w:val="20"/>
                <w:szCs w:val="20"/>
              </w:rPr>
              <w:t>6</w:t>
            </w:r>
            <w:r w:rsidR="00584FC2" w:rsidRPr="00584FC2">
              <w:rPr>
                <w:rFonts w:ascii="Arial" w:hAnsi="Arial" w:cs="Arial"/>
                <w:b/>
                <w:bCs/>
                <w:color w:val="FFFFFF"/>
                <w:sz w:val="20"/>
                <w:szCs w:val="20"/>
              </w:rPr>
              <w:t xml:space="preserve"> Months ended 3</w:t>
            </w:r>
            <w:r>
              <w:rPr>
                <w:rFonts w:ascii="Arial" w:hAnsi="Arial" w:cs="Arial"/>
                <w:b/>
                <w:bCs/>
                <w:color w:val="FFFFFF"/>
                <w:sz w:val="20"/>
                <w:szCs w:val="20"/>
              </w:rPr>
              <w:t>0</w:t>
            </w:r>
            <w:r w:rsidR="00584FC2" w:rsidRPr="00584FC2">
              <w:rPr>
                <w:rFonts w:ascii="Arial" w:hAnsi="Arial" w:cs="Arial"/>
                <w:b/>
                <w:bCs/>
                <w:color w:val="FFFFFF"/>
                <w:sz w:val="20"/>
                <w:szCs w:val="20"/>
              </w:rPr>
              <w:t xml:space="preserve"> </w:t>
            </w:r>
            <w:r>
              <w:rPr>
                <w:rFonts w:ascii="Arial" w:hAnsi="Arial" w:cs="Arial"/>
                <w:b/>
                <w:bCs/>
                <w:color w:val="FFFFFF"/>
                <w:sz w:val="20"/>
                <w:szCs w:val="20"/>
              </w:rPr>
              <w:t>Sep</w:t>
            </w:r>
            <w:r w:rsidR="00584FC2" w:rsidRPr="00584FC2">
              <w:rPr>
                <w:rFonts w:ascii="Arial" w:hAnsi="Arial" w:cs="Arial"/>
                <w:b/>
                <w:bCs/>
                <w:color w:val="FFFFFF"/>
                <w:sz w:val="20"/>
                <w:szCs w:val="20"/>
              </w:rPr>
              <w:t xml:space="preserve"> 2017 (£'000)</w:t>
            </w:r>
          </w:p>
        </w:tc>
        <w:tc>
          <w:tcPr>
            <w:tcW w:w="1302" w:type="dxa"/>
            <w:tcBorders>
              <w:top w:val="nil"/>
              <w:left w:val="nil"/>
              <w:bottom w:val="nil"/>
              <w:right w:val="nil"/>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 </w:t>
            </w:r>
          </w:p>
        </w:tc>
      </w:tr>
      <w:tr w:rsidR="00584FC2" w:rsidRPr="00584FC2" w:rsidTr="00584FC2">
        <w:trPr>
          <w:trHeight w:val="118"/>
        </w:trPr>
        <w:tc>
          <w:tcPr>
            <w:tcW w:w="3454" w:type="dxa"/>
            <w:tcBorders>
              <w:top w:val="nil"/>
              <w:left w:val="nil"/>
              <w:bottom w:val="nil"/>
              <w:right w:val="nil"/>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 </w:t>
            </w:r>
          </w:p>
        </w:tc>
        <w:tc>
          <w:tcPr>
            <w:tcW w:w="961" w:type="dxa"/>
            <w:tcBorders>
              <w:top w:val="nil"/>
              <w:left w:val="nil"/>
              <w:bottom w:val="nil"/>
              <w:right w:val="nil"/>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£'000</w:t>
            </w:r>
          </w:p>
        </w:tc>
        <w:tc>
          <w:tcPr>
            <w:tcW w:w="2974" w:type="dxa"/>
            <w:gridSpan w:val="3"/>
            <w:vMerge/>
            <w:tcBorders>
              <w:top w:val="nil"/>
              <w:left w:val="nil"/>
              <w:bottom w:val="nil"/>
              <w:right w:val="nil"/>
            </w:tcBorders>
            <w:vAlign w:val="center"/>
            <w:hideMark/>
          </w:tcPr>
          <w:p w:rsidR="00584FC2" w:rsidRPr="00584FC2" w:rsidRDefault="00584FC2" w:rsidP="00584FC2">
            <w:pPr>
              <w:rPr>
                <w:rFonts w:ascii="Arial" w:hAnsi="Arial" w:cs="Arial"/>
                <w:b/>
                <w:bCs/>
                <w:color w:val="FFFFFF"/>
                <w:sz w:val="20"/>
                <w:szCs w:val="20"/>
              </w:rPr>
            </w:pPr>
          </w:p>
        </w:tc>
        <w:tc>
          <w:tcPr>
            <w:tcW w:w="1302" w:type="dxa"/>
            <w:tcBorders>
              <w:top w:val="nil"/>
              <w:left w:val="nil"/>
              <w:bottom w:val="nil"/>
              <w:right w:val="nil"/>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w:t>
            </w:r>
          </w:p>
        </w:tc>
      </w:tr>
      <w:tr w:rsidR="00584FC2" w:rsidRPr="00584FC2" w:rsidTr="00584FC2">
        <w:trPr>
          <w:trHeight w:val="207"/>
        </w:trPr>
        <w:tc>
          <w:tcPr>
            <w:tcW w:w="3454" w:type="dxa"/>
            <w:tcBorders>
              <w:top w:val="nil"/>
              <w:left w:val="nil"/>
              <w:bottom w:val="single" w:sz="8" w:space="0" w:color="CCCCCC"/>
              <w:right w:val="single" w:sz="8" w:space="0" w:color="CCCCCC"/>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Income</w:t>
            </w:r>
          </w:p>
        </w:tc>
        <w:tc>
          <w:tcPr>
            <w:tcW w:w="961" w:type="dxa"/>
            <w:tcBorders>
              <w:top w:val="nil"/>
              <w:left w:val="nil"/>
              <w:bottom w:val="nil"/>
              <w:right w:val="single" w:sz="8" w:space="0" w:color="55ACD3"/>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Latest Budget</w:t>
            </w:r>
          </w:p>
        </w:tc>
        <w:tc>
          <w:tcPr>
            <w:tcW w:w="961" w:type="dxa"/>
            <w:tcBorders>
              <w:top w:val="nil"/>
              <w:left w:val="nil"/>
              <w:bottom w:val="nil"/>
              <w:right w:val="single" w:sz="8" w:space="0" w:color="55ACD3"/>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Budget</w:t>
            </w:r>
          </w:p>
        </w:tc>
        <w:tc>
          <w:tcPr>
            <w:tcW w:w="961" w:type="dxa"/>
            <w:tcBorders>
              <w:top w:val="nil"/>
              <w:left w:val="nil"/>
              <w:bottom w:val="nil"/>
              <w:right w:val="single" w:sz="8" w:space="0" w:color="55ACD3"/>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Actual</w:t>
            </w:r>
          </w:p>
        </w:tc>
        <w:tc>
          <w:tcPr>
            <w:tcW w:w="1051" w:type="dxa"/>
            <w:tcBorders>
              <w:top w:val="nil"/>
              <w:left w:val="nil"/>
              <w:bottom w:val="nil"/>
              <w:right w:val="nil"/>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Variance</w:t>
            </w:r>
          </w:p>
        </w:tc>
        <w:tc>
          <w:tcPr>
            <w:tcW w:w="1302" w:type="dxa"/>
            <w:tcBorders>
              <w:top w:val="nil"/>
              <w:left w:val="nil"/>
              <w:bottom w:val="nil"/>
              <w:right w:val="single" w:sz="8" w:space="0" w:color="55ACD3"/>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Variance</w:t>
            </w:r>
          </w:p>
        </w:tc>
      </w:tr>
      <w:tr w:rsidR="00584FC2" w:rsidRPr="00584FC2" w:rsidTr="00C6052E">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584FC2" w:rsidRPr="00584FC2" w:rsidRDefault="00584FC2" w:rsidP="00584FC2">
            <w:pPr>
              <w:rPr>
                <w:rFonts w:ascii="Arial" w:hAnsi="Arial" w:cs="Arial"/>
                <w:color w:val="000000"/>
                <w:sz w:val="18"/>
                <w:szCs w:val="18"/>
              </w:rPr>
            </w:pPr>
            <w:r w:rsidRPr="00584FC2">
              <w:rPr>
                <w:rFonts w:ascii="Arial" w:hAnsi="Arial" w:cs="Arial"/>
                <w:color w:val="000000"/>
                <w:sz w:val="18"/>
                <w:szCs w:val="18"/>
              </w:rPr>
              <w:t>Grant in Aid confirmed</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12,310</w:t>
            </w:r>
          </w:p>
        </w:tc>
        <w:tc>
          <w:tcPr>
            <w:tcW w:w="961" w:type="dxa"/>
            <w:tcBorders>
              <w:top w:val="nil"/>
              <w:left w:val="nil"/>
              <w:bottom w:val="nil"/>
              <w:right w:val="nil"/>
            </w:tcBorders>
            <w:shd w:val="clear" w:color="auto" w:fill="auto"/>
            <w:noWrap/>
            <w:vAlign w:val="bottom"/>
          </w:tcPr>
          <w:p w:rsidR="00584FC2" w:rsidRPr="00584FC2" w:rsidRDefault="006E1354" w:rsidP="00584FC2">
            <w:pPr>
              <w:jc w:val="right"/>
              <w:rPr>
                <w:rFonts w:ascii="Calibri" w:hAnsi="Calibri" w:cs="Calibri"/>
                <w:color w:val="000000"/>
                <w:sz w:val="22"/>
                <w:szCs w:val="22"/>
              </w:rPr>
            </w:pPr>
            <w:r>
              <w:rPr>
                <w:rFonts w:ascii="Calibri" w:hAnsi="Calibri" w:cs="Calibri"/>
                <w:color w:val="000000"/>
                <w:sz w:val="22"/>
                <w:szCs w:val="22"/>
              </w:rPr>
              <w:t>6,079</w:t>
            </w:r>
          </w:p>
        </w:tc>
        <w:tc>
          <w:tcPr>
            <w:tcW w:w="961" w:type="dxa"/>
            <w:tcBorders>
              <w:top w:val="nil"/>
              <w:left w:val="nil"/>
              <w:bottom w:val="nil"/>
              <w:right w:val="nil"/>
            </w:tcBorders>
            <w:shd w:val="clear" w:color="auto" w:fill="auto"/>
            <w:noWrap/>
            <w:vAlign w:val="bottom"/>
          </w:tcPr>
          <w:p w:rsidR="00584FC2" w:rsidRPr="00584FC2" w:rsidRDefault="006E1354" w:rsidP="00584FC2">
            <w:pPr>
              <w:jc w:val="right"/>
              <w:rPr>
                <w:rFonts w:ascii="Calibri" w:hAnsi="Calibri" w:cs="Calibri"/>
                <w:color w:val="000000"/>
                <w:sz w:val="22"/>
                <w:szCs w:val="22"/>
              </w:rPr>
            </w:pPr>
            <w:r>
              <w:rPr>
                <w:rFonts w:ascii="Calibri" w:hAnsi="Calibri" w:cs="Calibri"/>
                <w:color w:val="000000"/>
                <w:sz w:val="22"/>
                <w:szCs w:val="22"/>
              </w:rPr>
              <w:t>6,026</w:t>
            </w:r>
          </w:p>
        </w:tc>
        <w:tc>
          <w:tcPr>
            <w:tcW w:w="1051" w:type="dxa"/>
            <w:tcBorders>
              <w:top w:val="nil"/>
              <w:left w:val="nil"/>
              <w:bottom w:val="nil"/>
              <w:right w:val="nil"/>
            </w:tcBorders>
            <w:shd w:val="clear" w:color="auto" w:fill="auto"/>
            <w:noWrap/>
            <w:vAlign w:val="bottom"/>
          </w:tcPr>
          <w:p w:rsidR="00584FC2" w:rsidRPr="00584FC2" w:rsidRDefault="006E1354" w:rsidP="00584FC2">
            <w:pPr>
              <w:jc w:val="right"/>
              <w:rPr>
                <w:rFonts w:ascii="Calibri" w:hAnsi="Calibri" w:cs="Calibri"/>
                <w:color w:val="000000"/>
                <w:sz w:val="22"/>
                <w:szCs w:val="22"/>
              </w:rPr>
            </w:pPr>
            <w:r>
              <w:rPr>
                <w:rFonts w:ascii="Calibri" w:hAnsi="Calibri" w:cs="Calibri"/>
                <w:color w:val="000000"/>
                <w:sz w:val="22"/>
                <w:szCs w:val="22"/>
              </w:rPr>
              <w:t>(53)</w:t>
            </w:r>
          </w:p>
        </w:tc>
        <w:tc>
          <w:tcPr>
            <w:tcW w:w="1302" w:type="dxa"/>
            <w:tcBorders>
              <w:top w:val="nil"/>
              <w:left w:val="nil"/>
              <w:bottom w:val="nil"/>
              <w:right w:val="nil"/>
            </w:tcBorders>
            <w:shd w:val="clear" w:color="auto" w:fill="auto"/>
            <w:noWrap/>
            <w:vAlign w:val="bottom"/>
          </w:tcPr>
          <w:p w:rsidR="00584FC2" w:rsidRPr="00584FC2" w:rsidRDefault="00426F4E" w:rsidP="00584FC2">
            <w:pPr>
              <w:jc w:val="right"/>
              <w:rPr>
                <w:rFonts w:ascii="Calibri" w:hAnsi="Calibri" w:cs="Calibri"/>
                <w:color w:val="000000"/>
                <w:sz w:val="22"/>
                <w:szCs w:val="22"/>
              </w:rPr>
            </w:pPr>
            <w:r>
              <w:rPr>
                <w:rFonts w:ascii="Calibri" w:hAnsi="Calibri" w:cs="Calibri"/>
                <w:color w:val="000000"/>
                <w:sz w:val="22"/>
                <w:szCs w:val="22"/>
              </w:rPr>
              <w:t>(0.9)%</w:t>
            </w:r>
          </w:p>
        </w:tc>
      </w:tr>
      <w:tr w:rsidR="00584FC2" w:rsidRPr="00584FC2" w:rsidTr="00C6052E">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584FC2" w:rsidRPr="00584FC2" w:rsidRDefault="00584FC2" w:rsidP="00584FC2">
            <w:pPr>
              <w:rPr>
                <w:rFonts w:ascii="Arial" w:hAnsi="Arial" w:cs="Arial"/>
                <w:color w:val="000000"/>
                <w:sz w:val="18"/>
                <w:szCs w:val="18"/>
              </w:rPr>
            </w:pPr>
            <w:r w:rsidRPr="00584FC2">
              <w:rPr>
                <w:rFonts w:ascii="Arial" w:hAnsi="Arial" w:cs="Arial"/>
                <w:color w:val="000000"/>
                <w:sz w:val="18"/>
                <w:szCs w:val="18"/>
              </w:rPr>
              <w:t>HRA income</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205</w:t>
            </w:r>
          </w:p>
        </w:tc>
        <w:tc>
          <w:tcPr>
            <w:tcW w:w="961" w:type="dxa"/>
            <w:tcBorders>
              <w:top w:val="nil"/>
              <w:left w:val="nil"/>
              <w:bottom w:val="nil"/>
              <w:right w:val="nil"/>
            </w:tcBorders>
            <w:shd w:val="clear" w:color="auto" w:fill="auto"/>
            <w:noWrap/>
            <w:vAlign w:val="bottom"/>
          </w:tcPr>
          <w:p w:rsidR="00584FC2" w:rsidRPr="00584FC2" w:rsidRDefault="006E1354" w:rsidP="00584FC2">
            <w:pPr>
              <w:jc w:val="right"/>
              <w:rPr>
                <w:rFonts w:ascii="Calibri" w:hAnsi="Calibri" w:cs="Calibri"/>
                <w:color w:val="000000"/>
                <w:sz w:val="22"/>
                <w:szCs w:val="22"/>
              </w:rPr>
            </w:pPr>
            <w:r>
              <w:rPr>
                <w:rFonts w:ascii="Calibri" w:hAnsi="Calibri" w:cs="Calibri"/>
                <w:color w:val="000000"/>
                <w:sz w:val="22"/>
                <w:szCs w:val="22"/>
              </w:rPr>
              <w:t>102</w:t>
            </w:r>
          </w:p>
        </w:tc>
        <w:tc>
          <w:tcPr>
            <w:tcW w:w="961" w:type="dxa"/>
            <w:tcBorders>
              <w:top w:val="nil"/>
              <w:left w:val="nil"/>
              <w:bottom w:val="nil"/>
              <w:right w:val="nil"/>
            </w:tcBorders>
            <w:shd w:val="clear" w:color="auto" w:fill="auto"/>
            <w:noWrap/>
            <w:vAlign w:val="bottom"/>
          </w:tcPr>
          <w:p w:rsidR="00584FC2" w:rsidRPr="00584FC2" w:rsidRDefault="006E1354" w:rsidP="00584FC2">
            <w:pPr>
              <w:jc w:val="right"/>
              <w:rPr>
                <w:rFonts w:ascii="Calibri" w:hAnsi="Calibri" w:cs="Calibri"/>
                <w:color w:val="000000"/>
                <w:sz w:val="22"/>
                <w:szCs w:val="22"/>
              </w:rPr>
            </w:pPr>
            <w:r>
              <w:rPr>
                <w:rFonts w:ascii="Calibri" w:hAnsi="Calibri" w:cs="Calibri"/>
                <w:color w:val="000000"/>
                <w:sz w:val="22"/>
                <w:szCs w:val="22"/>
              </w:rPr>
              <w:t>102</w:t>
            </w:r>
          </w:p>
        </w:tc>
        <w:tc>
          <w:tcPr>
            <w:tcW w:w="1051" w:type="dxa"/>
            <w:tcBorders>
              <w:top w:val="nil"/>
              <w:left w:val="nil"/>
              <w:bottom w:val="nil"/>
              <w:right w:val="nil"/>
            </w:tcBorders>
            <w:shd w:val="clear" w:color="auto" w:fill="auto"/>
            <w:noWrap/>
            <w:vAlign w:val="bottom"/>
          </w:tcPr>
          <w:p w:rsidR="00584FC2" w:rsidRPr="00584FC2" w:rsidRDefault="006E1354" w:rsidP="00584FC2">
            <w:pPr>
              <w:jc w:val="right"/>
              <w:rPr>
                <w:rFonts w:ascii="Calibri" w:hAnsi="Calibri" w:cs="Calibri"/>
                <w:color w:val="000000"/>
                <w:sz w:val="22"/>
                <w:szCs w:val="22"/>
              </w:rPr>
            </w:pPr>
            <w:r>
              <w:rPr>
                <w:rFonts w:ascii="Calibri" w:hAnsi="Calibri" w:cs="Calibri"/>
                <w:color w:val="000000"/>
                <w:sz w:val="22"/>
                <w:szCs w:val="22"/>
              </w:rPr>
              <w:t>0</w:t>
            </w:r>
          </w:p>
        </w:tc>
        <w:tc>
          <w:tcPr>
            <w:tcW w:w="1302" w:type="dxa"/>
            <w:tcBorders>
              <w:top w:val="nil"/>
              <w:left w:val="nil"/>
              <w:bottom w:val="nil"/>
              <w:right w:val="nil"/>
            </w:tcBorders>
            <w:shd w:val="clear" w:color="auto" w:fill="auto"/>
            <w:noWrap/>
            <w:vAlign w:val="bottom"/>
          </w:tcPr>
          <w:p w:rsidR="00584FC2" w:rsidRPr="00584FC2" w:rsidRDefault="006E1354" w:rsidP="000E02D9">
            <w:pPr>
              <w:jc w:val="right"/>
              <w:rPr>
                <w:rFonts w:ascii="Calibri" w:hAnsi="Calibri" w:cs="Calibri"/>
                <w:color w:val="000000"/>
                <w:sz w:val="22"/>
                <w:szCs w:val="22"/>
              </w:rPr>
            </w:pPr>
            <w:r>
              <w:rPr>
                <w:rFonts w:ascii="Calibri" w:hAnsi="Calibri" w:cs="Calibri"/>
                <w:color w:val="000000"/>
                <w:sz w:val="22"/>
                <w:szCs w:val="22"/>
              </w:rPr>
              <w:t>-</w:t>
            </w:r>
          </w:p>
        </w:tc>
      </w:tr>
      <w:tr w:rsidR="00584FC2" w:rsidRPr="00584FC2" w:rsidTr="00C6052E">
        <w:trPr>
          <w:trHeight w:val="118"/>
        </w:trPr>
        <w:tc>
          <w:tcPr>
            <w:tcW w:w="3454" w:type="dxa"/>
            <w:tcBorders>
              <w:top w:val="nil"/>
              <w:left w:val="single" w:sz="8" w:space="0" w:color="FFFFFF"/>
              <w:bottom w:val="nil"/>
              <w:right w:val="single" w:sz="8" w:space="0" w:color="FFFFFF"/>
            </w:tcBorders>
            <w:shd w:val="clear" w:color="auto" w:fill="auto"/>
            <w:vAlign w:val="bottom"/>
            <w:hideMark/>
          </w:tcPr>
          <w:p w:rsidR="00584FC2" w:rsidRPr="00584FC2" w:rsidRDefault="00584FC2" w:rsidP="00584FC2">
            <w:pPr>
              <w:rPr>
                <w:rFonts w:ascii="Arial" w:hAnsi="Arial" w:cs="Arial"/>
                <w:color w:val="000000"/>
                <w:sz w:val="18"/>
                <w:szCs w:val="18"/>
              </w:rPr>
            </w:pPr>
            <w:r w:rsidRPr="00584FC2">
              <w:rPr>
                <w:rFonts w:ascii="Arial" w:hAnsi="Arial" w:cs="Arial"/>
                <w:color w:val="000000"/>
                <w:sz w:val="18"/>
                <w:szCs w:val="18"/>
              </w:rPr>
              <w:t>Non cash revenue resource limit</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570</w:t>
            </w:r>
          </w:p>
        </w:tc>
        <w:tc>
          <w:tcPr>
            <w:tcW w:w="961" w:type="dxa"/>
            <w:tcBorders>
              <w:top w:val="nil"/>
              <w:left w:val="nil"/>
              <w:bottom w:val="nil"/>
              <w:right w:val="nil"/>
            </w:tcBorders>
            <w:shd w:val="clear" w:color="auto" w:fill="auto"/>
            <w:noWrap/>
            <w:vAlign w:val="bottom"/>
          </w:tcPr>
          <w:p w:rsidR="00584FC2" w:rsidRPr="00584FC2" w:rsidRDefault="006E1354" w:rsidP="00584FC2">
            <w:pPr>
              <w:jc w:val="right"/>
              <w:rPr>
                <w:rFonts w:ascii="Calibri" w:hAnsi="Calibri" w:cs="Calibri"/>
                <w:color w:val="000000"/>
                <w:sz w:val="22"/>
                <w:szCs w:val="22"/>
              </w:rPr>
            </w:pPr>
            <w:r>
              <w:rPr>
                <w:rFonts w:ascii="Calibri" w:hAnsi="Calibri" w:cs="Calibri"/>
                <w:color w:val="000000"/>
                <w:sz w:val="22"/>
                <w:szCs w:val="22"/>
              </w:rPr>
              <w:t>258</w:t>
            </w:r>
          </w:p>
        </w:tc>
        <w:tc>
          <w:tcPr>
            <w:tcW w:w="961" w:type="dxa"/>
            <w:tcBorders>
              <w:top w:val="nil"/>
              <w:left w:val="nil"/>
              <w:bottom w:val="nil"/>
              <w:right w:val="nil"/>
            </w:tcBorders>
            <w:shd w:val="clear" w:color="auto" w:fill="auto"/>
            <w:noWrap/>
            <w:vAlign w:val="bottom"/>
          </w:tcPr>
          <w:p w:rsidR="00584FC2" w:rsidRPr="00584FC2" w:rsidRDefault="006E1354" w:rsidP="00584FC2">
            <w:pPr>
              <w:jc w:val="right"/>
              <w:rPr>
                <w:rFonts w:ascii="Calibri" w:hAnsi="Calibri" w:cs="Calibri"/>
                <w:color w:val="000000"/>
                <w:sz w:val="22"/>
                <w:szCs w:val="22"/>
              </w:rPr>
            </w:pPr>
            <w:r>
              <w:rPr>
                <w:rFonts w:ascii="Calibri" w:hAnsi="Calibri" w:cs="Calibri"/>
                <w:color w:val="000000"/>
                <w:sz w:val="22"/>
                <w:szCs w:val="22"/>
              </w:rPr>
              <w:t>258</w:t>
            </w:r>
          </w:p>
        </w:tc>
        <w:tc>
          <w:tcPr>
            <w:tcW w:w="1051" w:type="dxa"/>
            <w:tcBorders>
              <w:top w:val="nil"/>
              <w:left w:val="nil"/>
              <w:bottom w:val="nil"/>
              <w:right w:val="nil"/>
            </w:tcBorders>
            <w:shd w:val="clear" w:color="auto" w:fill="auto"/>
            <w:noWrap/>
            <w:vAlign w:val="bottom"/>
          </w:tcPr>
          <w:p w:rsidR="00584FC2" w:rsidRPr="00584FC2" w:rsidRDefault="006E1354" w:rsidP="00584FC2">
            <w:pPr>
              <w:jc w:val="right"/>
              <w:rPr>
                <w:rFonts w:ascii="Calibri" w:hAnsi="Calibri" w:cs="Calibri"/>
                <w:color w:val="000000"/>
                <w:sz w:val="22"/>
                <w:szCs w:val="22"/>
              </w:rPr>
            </w:pPr>
            <w:r>
              <w:rPr>
                <w:rFonts w:ascii="Calibri" w:hAnsi="Calibri" w:cs="Calibri"/>
                <w:color w:val="000000"/>
                <w:sz w:val="22"/>
                <w:szCs w:val="22"/>
              </w:rPr>
              <w:t>0</w:t>
            </w:r>
          </w:p>
        </w:tc>
        <w:tc>
          <w:tcPr>
            <w:tcW w:w="1302" w:type="dxa"/>
            <w:tcBorders>
              <w:top w:val="nil"/>
              <w:left w:val="nil"/>
              <w:bottom w:val="nil"/>
              <w:right w:val="nil"/>
            </w:tcBorders>
            <w:shd w:val="clear" w:color="auto" w:fill="auto"/>
            <w:noWrap/>
            <w:vAlign w:val="bottom"/>
          </w:tcPr>
          <w:p w:rsidR="00584FC2" w:rsidRPr="00584FC2" w:rsidRDefault="006E1354" w:rsidP="000E02D9">
            <w:pPr>
              <w:jc w:val="right"/>
              <w:rPr>
                <w:rFonts w:ascii="Calibri" w:hAnsi="Calibri" w:cs="Calibri"/>
                <w:color w:val="000000"/>
                <w:sz w:val="22"/>
                <w:szCs w:val="22"/>
              </w:rPr>
            </w:pPr>
            <w:r>
              <w:rPr>
                <w:rFonts w:ascii="Calibri" w:hAnsi="Calibri" w:cs="Calibri"/>
                <w:color w:val="000000"/>
                <w:sz w:val="22"/>
                <w:szCs w:val="22"/>
              </w:rPr>
              <w:t>-</w:t>
            </w:r>
          </w:p>
        </w:tc>
      </w:tr>
      <w:tr w:rsidR="00584FC2" w:rsidRPr="00584FC2" w:rsidTr="00C6052E">
        <w:trPr>
          <w:trHeight w:val="118"/>
        </w:trPr>
        <w:tc>
          <w:tcPr>
            <w:tcW w:w="3454" w:type="dxa"/>
            <w:tcBorders>
              <w:top w:val="nil"/>
              <w:left w:val="single" w:sz="8" w:space="0" w:color="FFFFFF"/>
              <w:bottom w:val="nil"/>
              <w:right w:val="single" w:sz="8" w:space="0" w:color="FFFFFF"/>
            </w:tcBorders>
            <w:shd w:val="clear" w:color="000000" w:fill="365F91"/>
            <w:vAlign w:val="bottom"/>
            <w:hideMark/>
          </w:tcPr>
          <w:p w:rsidR="00584FC2" w:rsidRPr="00584FC2" w:rsidRDefault="00584FC2" w:rsidP="00584FC2">
            <w:pPr>
              <w:rPr>
                <w:rFonts w:ascii="Arial" w:hAnsi="Arial" w:cs="Arial"/>
                <w:b/>
                <w:bCs/>
                <w:color w:val="FFFFFF"/>
                <w:sz w:val="18"/>
                <w:szCs w:val="18"/>
              </w:rPr>
            </w:pPr>
            <w:r w:rsidRPr="00584FC2">
              <w:rPr>
                <w:rFonts w:ascii="Arial" w:hAnsi="Arial" w:cs="Arial"/>
                <w:b/>
                <w:bCs/>
                <w:color w:val="FFFFFF"/>
                <w:sz w:val="18"/>
                <w:szCs w:val="18"/>
              </w:rPr>
              <w:t xml:space="preserve"> Total Income</w:t>
            </w:r>
          </w:p>
        </w:tc>
        <w:tc>
          <w:tcPr>
            <w:tcW w:w="961" w:type="dxa"/>
            <w:tcBorders>
              <w:top w:val="nil"/>
              <w:left w:val="single" w:sz="8" w:space="0" w:color="FFFFFF"/>
              <w:bottom w:val="nil"/>
              <w:right w:val="single" w:sz="8" w:space="0" w:color="FFFFFF"/>
            </w:tcBorders>
            <w:shd w:val="clear" w:color="000000" w:fill="365F91"/>
            <w:vAlign w:val="bottom"/>
            <w:hideMark/>
          </w:tcPr>
          <w:p w:rsidR="00584FC2" w:rsidRPr="00584FC2" w:rsidRDefault="00584FC2" w:rsidP="00584FC2">
            <w:pPr>
              <w:jc w:val="right"/>
              <w:rPr>
                <w:rFonts w:ascii="Arial" w:hAnsi="Arial" w:cs="Arial"/>
                <w:b/>
                <w:bCs/>
                <w:color w:val="FFFFFF"/>
                <w:sz w:val="18"/>
                <w:szCs w:val="18"/>
              </w:rPr>
            </w:pPr>
            <w:r w:rsidRPr="00584FC2">
              <w:rPr>
                <w:rFonts w:ascii="Arial" w:hAnsi="Arial" w:cs="Arial"/>
                <w:b/>
                <w:bCs/>
                <w:color w:val="FFFFFF"/>
                <w:sz w:val="18"/>
                <w:szCs w:val="18"/>
              </w:rPr>
              <w:t>13,085</w:t>
            </w:r>
          </w:p>
        </w:tc>
        <w:tc>
          <w:tcPr>
            <w:tcW w:w="961" w:type="dxa"/>
            <w:tcBorders>
              <w:top w:val="nil"/>
              <w:left w:val="nil"/>
              <w:bottom w:val="nil"/>
              <w:right w:val="single" w:sz="8" w:space="0" w:color="FFFFFF"/>
            </w:tcBorders>
            <w:shd w:val="clear" w:color="000000" w:fill="365F91"/>
            <w:vAlign w:val="bottom"/>
            <w:hideMark/>
          </w:tcPr>
          <w:p w:rsidR="00584FC2" w:rsidRPr="00584FC2" w:rsidRDefault="006E1354" w:rsidP="00584FC2">
            <w:pPr>
              <w:jc w:val="right"/>
              <w:rPr>
                <w:rFonts w:ascii="Arial" w:hAnsi="Arial" w:cs="Arial"/>
                <w:b/>
                <w:bCs/>
                <w:color w:val="FFFFFF"/>
                <w:sz w:val="18"/>
                <w:szCs w:val="18"/>
              </w:rPr>
            </w:pPr>
            <w:r>
              <w:rPr>
                <w:rFonts w:ascii="Arial" w:hAnsi="Arial" w:cs="Arial"/>
                <w:b/>
                <w:bCs/>
                <w:color w:val="FFFFFF"/>
                <w:sz w:val="18"/>
                <w:szCs w:val="18"/>
              </w:rPr>
              <w:t>6,439</w:t>
            </w:r>
          </w:p>
        </w:tc>
        <w:tc>
          <w:tcPr>
            <w:tcW w:w="961" w:type="dxa"/>
            <w:tcBorders>
              <w:top w:val="nil"/>
              <w:left w:val="nil"/>
              <w:bottom w:val="nil"/>
              <w:right w:val="single" w:sz="8" w:space="0" w:color="FFFFFF"/>
            </w:tcBorders>
            <w:shd w:val="clear" w:color="000000" w:fill="365F91"/>
            <w:vAlign w:val="bottom"/>
            <w:hideMark/>
          </w:tcPr>
          <w:p w:rsidR="00584FC2" w:rsidRPr="00584FC2" w:rsidRDefault="006E1354" w:rsidP="00584FC2">
            <w:pPr>
              <w:jc w:val="right"/>
              <w:rPr>
                <w:rFonts w:ascii="Arial" w:hAnsi="Arial" w:cs="Arial"/>
                <w:b/>
                <w:bCs/>
                <w:color w:val="FFFFFF"/>
                <w:sz w:val="18"/>
                <w:szCs w:val="18"/>
              </w:rPr>
            </w:pPr>
            <w:r>
              <w:rPr>
                <w:rFonts w:ascii="Arial" w:hAnsi="Arial" w:cs="Arial"/>
                <w:b/>
                <w:bCs/>
                <w:color w:val="FFFFFF"/>
                <w:sz w:val="18"/>
                <w:szCs w:val="18"/>
              </w:rPr>
              <w:t>6,386</w:t>
            </w:r>
          </w:p>
        </w:tc>
        <w:tc>
          <w:tcPr>
            <w:tcW w:w="1051" w:type="dxa"/>
            <w:tcBorders>
              <w:top w:val="nil"/>
              <w:left w:val="nil"/>
              <w:bottom w:val="nil"/>
              <w:right w:val="single" w:sz="8" w:space="0" w:color="FFFFFF"/>
            </w:tcBorders>
            <w:shd w:val="clear" w:color="000000" w:fill="365F91"/>
            <w:vAlign w:val="bottom"/>
          </w:tcPr>
          <w:p w:rsidR="00584FC2" w:rsidRPr="00584FC2" w:rsidRDefault="006E1354" w:rsidP="00584FC2">
            <w:pPr>
              <w:jc w:val="right"/>
              <w:rPr>
                <w:rFonts w:ascii="Arial" w:hAnsi="Arial" w:cs="Arial"/>
                <w:b/>
                <w:bCs/>
                <w:color w:val="FFFFFF"/>
                <w:sz w:val="18"/>
                <w:szCs w:val="18"/>
              </w:rPr>
            </w:pPr>
            <w:r>
              <w:rPr>
                <w:rFonts w:ascii="Arial" w:hAnsi="Arial" w:cs="Arial"/>
                <w:b/>
                <w:bCs/>
                <w:color w:val="FFFFFF"/>
                <w:sz w:val="18"/>
                <w:szCs w:val="18"/>
              </w:rPr>
              <w:t>(53)</w:t>
            </w:r>
          </w:p>
        </w:tc>
        <w:tc>
          <w:tcPr>
            <w:tcW w:w="1302" w:type="dxa"/>
            <w:tcBorders>
              <w:top w:val="nil"/>
              <w:left w:val="nil"/>
              <w:bottom w:val="nil"/>
              <w:right w:val="single" w:sz="8" w:space="0" w:color="FFFFFF"/>
            </w:tcBorders>
            <w:shd w:val="clear" w:color="000000" w:fill="365F91"/>
            <w:vAlign w:val="bottom"/>
          </w:tcPr>
          <w:p w:rsidR="00584FC2" w:rsidRPr="00584FC2" w:rsidRDefault="00426F4E" w:rsidP="00584FC2">
            <w:pPr>
              <w:jc w:val="right"/>
              <w:rPr>
                <w:rFonts w:ascii="Arial" w:hAnsi="Arial" w:cs="Arial"/>
                <w:b/>
                <w:bCs/>
                <w:color w:val="FFFFFF"/>
                <w:sz w:val="18"/>
                <w:szCs w:val="18"/>
              </w:rPr>
            </w:pPr>
            <w:r>
              <w:rPr>
                <w:rFonts w:ascii="Arial" w:hAnsi="Arial" w:cs="Arial"/>
                <w:b/>
                <w:bCs/>
                <w:color w:val="FFFFFF"/>
                <w:sz w:val="18"/>
                <w:szCs w:val="18"/>
              </w:rPr>
              <w:t>(0.8)%</w:t>
            </w:r>
          </w:p>
        </w:tc>
      </w:tr>
      <w:tr w:rsidR="00584FC2" w:rsidRPr="00584FC2" w:rsidTr="00584FC2">
        <w:trPr>
          <w:trHeight w:val="207"/>
        </w:trPr>
        <w:tc>
          <w:tcPr>
            <w:tcW w:w="3454" w:type="dxa"/>
            <w:tcBorders>
              <w:top w:val="nil"/>
              <w:left w:val="nil"/>
              <w:bottom w:val="single" w:sz="8" w:space="0" w:color="CCCCCC"/>
              <w:right w:val="single" w:sz="8" w:space="0" w:color="CCCCCC"/>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Expenditure</w:t>
            </w:r>
          </w:p>
        </w:tc>
        <w:tc>
          <w:tcPr>
            <w:tcW w:w="961" w:type="dxa"/>
            <w:tcBorders>
              <w:top w:val="nil"/>
              <w:left w:val="nil"/>
              <w:bottom w:val="nil"/>
              <w:right w:val="single" w:sz="8" w:space="0" w:color="55ACD3"/>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 </w:t>
            </w:r>
          </w:p>
        </w:tc>
        <w:tc>
          <w:tcPr>
            <w:tcW w:w="961" w:type="dxa"/>
            <w:tcBorders>
              <w:top w:val="nil"/>
              <w:left w:val="nil"/>
              <w:bottom w:val="nil"/>
              <w:right w:val="single" w:sz="8" w:space="0" w:color="55ACD3"/>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 </w:t>
            </w:r>
          </w:p>
        </w:tc>
        <w:tc>
          <w:tcPr>
            <w:tcW w:w="961" w:type="dxa"/>
            <w:tcBorders>
              <w:top w:val="nil"/>
              <w:left w:val="nil"/>
              <w:bottom w:val="nil"/>
              <w:right w:val="single" w:sz="8" w:space="0" w:color="55ACD3"/>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 </w:t>
            </w:r>
          </w:p>
        </w:tc>
        <w:tc>
          <w:tcPr>
            <w:tcW w:w="1051" w:type="dxa"/>
            <w:tcBorders>
              <w:top w:val="nil"/>
              <w:left w:val="nil"/>
              <w:bottom w:val="nil"/>
              <w:right w:val="nil"/>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 </w:t>
            </w:r>
          </w:p>
        </w:tc>
        <w:tc>
          <w:tcPr>
            <w:tcW w:w="1302" w:type="dxa"/>
            <w:tcBorders>
              <w:top w:val="nil"/>
              <w:left w:val="nil"/>
              <w:bottom w:val="nil"/>
              <w:right w:val="nil"/>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 </w:t>
            </w:r>
          </w:p>
        </w:tc>
      </w:tr>
      <w:tr w:rsidR="00584FC2" w:rsidRPr="00584FC2" w:rsidTr="00C6052E">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584FC2" w:rsidRPr="00584FC2" w:rsidRDefault="00584FC2" w:rsidP="00584FC2">
            <w:pPr>
              <w:rPr>
                <w:rFonts w:ascii="Arial" w:hAnsi="Arial" w:cs="Arial"/>
                <w:color w:val="000000"/>
                <w:sz w:val="18"/>
                <w:szCs w:val="18"/>
              </w:rPr>
            </w:pPr>
            <w:r w:rsidRPr="00584FC2">
              <w:rPr>
                <w:rFonts w:ascii="Arial" w:hAnsi="Arial" w:cs="Arial"/>
                <w:color w:val="000000"/>
                <w:sz w:val="18"/>
                <w:szCs w:val="18"/>
              </w:rPr>
              <w:t xml:space="preserve">HRA Approval </w:t>
            </w:r>
          </w:p>
        </w:tc>
        <w:tc>
          <w:tcPr>
            <w:tcW w:w="961" w:type="dxa"/>
            <w:tcBorders>
              <w:top w:val="nil"/>
              <w:left w:val="nil"/>
              <w:bottom w:val="nil"/>
              <w:right w:val="nil"/>
            </w:tcBorders>
            <w:shd w:val="clear" w:color="auto" w:fill="auto"/>
            <w:noWrap/>
            <w:vAlign w:val="bottom"/>
            <w:hideMark/>
          </w:tcPr>
          <w:p w:rsidR="00584FC2" w:rsidRPr="00584FC2" w:rsidRDefault="00584FC2" w:rsidP="000E02D9">
            <w:pPr>
              <w:jc w:val="right"/>
              <w:rPr>
                <w:rFonts w:ascii="Calibri" w:hAnsi="Calibri" w:cs="Calibri"/>
                <w:color w:val="000000"/>
                <w:sz w:val="22"/>
                <w:szCs w:val="22"/>
              </w:rPr>
            </w:pPr>
            <w:r w:rsidRPr="00584FC2">
              <w:rPr>
                <w:rFonts w:ascii="Calibri" w:hAnsi="Calibri" w:cs="Calibri"/>
                <w:color w:val="000000"/>
                <w:sz w:val="22"/>
                <w:szCs w:val="22"/>
              </w:rPr>
              <w:t>2,7</w:t>
            </w:r>
            <w:r w:rsidR="000E02D9">
              <w:rPr>
                <w:rFonts w:ascii="Calibri" w:hAnsi="Calibri" w:cs="Calibri"/>
                <w:color w:val="000000"/>
                <w:sz w:val="22"/>
                <w:szCs w:val="22"/>
              </w:rPr>
              <w:t>67</w:t>
            </w:r>
          </w:p>
        </w:tc>
        <w:tc>
          <w:tcPr>
            <w:tcW w:w="961" w:type="dxa"/>
            <w:tcBorders>
              <w:top w:val="nil"/>
              <w:left w:val="nil"/>
              <w:bottom w:val="nil"/>
              <w:right w:val="nil"/>
            </w:tcBorders>
            <w:shd w:val="clear" w:color="auto" w:fill="auto"/>
            <w:noWrap/>
            <w:vAlign w:val="bottom"/>
          </w:tcPr>
          <w:p w:rsidR="00584FC2" w:rsidRPr="00584FC2" w:rsidRDefault="00D441C3" w:rsidP="00584FC2">
            <w:pPr>
              <w:jc w:val="right"/>
              <w:rPr>
                <w:rFonts w:ascii="Calibri" w:hAnsi="Calibri" w:cs="Calibri"/>
                <w:color w:val="000000"/>
                <w:sz w:val="22"/>
                <w:szCs w:val="22"/>
              </w:rPr>
            </w:pPr>
            <w:r>
              <w:rPr>
                <w:rFonts w:ascii="Calibri" w:hAnsi="Calibri" w:cs="Calibri"/>
                <w:color w:val="000000"/>
                <w:sz w:val="22"/>
                <w:szCs w:val="22"/>
              </w:rPr>
              <w:t>1,367</w:t>
            </w:r>
          </w:p>
        </w:tc>
        <w:tc>
          <w:tcPr>
            <w:tcW w:w="961" w:type="dxa"/>
            <w:tcBorders>
              <w:top w:val="nil"/>
              <w:left w:val="nil"/>
              <w:bottom w:val="nil"/>
              <w:right w:val="nil"/>
            </w:tcBorders>
            <w:shd w:val="clear" w:color="auto" w:fill="auto"/>
            <w:noWrap/>
            <w:vAlign w:val="bottom"/>
          </w:tcPr>
          <w:p w:rsidR="00584FC2" w:rsidRPr="00584FC2" w:rsidRDefault="00D441C3" w:rsidP="00584FC2">
            <w:pPr>
              <w:jc w:val="right"/>
              <w:rPr>
                <w:rFonts w:ascii="Calibri" w:hAnsi="Calibri" w:cs="Calibri"/>
                <w:color w:val="000000"/>
                <w:sz w:val="22"/>
                <w:szCs w:val="22"/>
              </w:rPr>
            </w:pPr>
            <w:r>
              <w:rPr>
                <w:rFonts w:ascii="Calibri" w:hAnsi="Calibri" w:cs="Calibri"/>
                <w:color w:val="000000"/>
                <w:sz w:val="22"/>
                <w:szCs w:val="22"/>
              </w:rPr>
              <w:t>1,354</w:t>
            </w:r>
          </w:p>
        </w:tc>
        <w:tc>
          <w:tcPr>
            <w:tcW w:w="1051" w:type="dxa"/>
            <w:tcBorders>
              <w:top w:val="nil"/>
              <w:left w:val="nil"/>
              <w:bottom w:val="nil"/>
              <w:right w:val="nil"/>
            </w:tcBorders>
            <w:shd w:val="clear" w:color="auto" w:fill="auto"/>
            <w:noWrap/>
            <w:vAlign w:val="bottom"/>
          </w:tcPr>
          <w:p w:rsidR="00584FC2" w:rsidRPr="00584FC2" w:rsidRDefault="00D441C3" w:rsidP="000E02D9">
            <w:pPr>
              <w:jc w:val="right"/>
              <w:rPr>
                <w:rFonts w:ascii="Calibri" w:hAnsi="Calibri" w:cs="Calibri"/>
                <w:color w:val="000000"/>
                <w:sz w:val="22"/>
                <w:szCs w:val="22"/>
              </w:rPr>
            </w:pPr>
            <w:r>
              <w:rPr>
                <w:rFonts w:ascii="Calibri" w:hAnsi="Calibri" w:cs="Calibri"/>
                <w:color w:val="000000"/>
                <w:sz w:val="22"/>
                <w:szCs w:val="22"/>
              </w:rPr>
              <w:t>(13)</w:t>
            </w:r>
          </w:p>
        </w:tc>
        <w:tc>
          <w:tcPr>
            <w:tcW w:w="1302" w:type="dxa"/>
            <w:tcBorders>
              <w:top w:val="nil"/>
              <w:left w:val="nil"/>
              <w:bottom w:val="nil"/>
              <w:right w:val="nil"/>
            </w:tcBorders>
            <w:shd w:val="clear" w:color="auto" w:fill="auto"/>
            <w:noWrap/>
            <w:vAlign w:val="bottom"/>
          </w:tcPr>
          <w:p w:rsidR="00584FC2" w:rsidRPr="00584FC2" w:rsidRDefault="00D441C3" w:rsidP="000E02D9">
            <w:pPr>
              <w:jc w:val="right"/>
              <w:rPr>
                <w:rFonts w:ascii="Calibri" w:hAnsi="Calibri" w:cs="Calibri"/>
                <w:color w:val="000000"/>
                <w:sz w:val="22"/>
                <w:szCs w:val="22"/>
              </w:rPr>
            </w:pPr>
            <w:r>
              <w:rPr>
                <w:rFonts w:ascii="Calibri" w:hAnsi="Calibri" w:cs="Calibri"/>
                <w:color w:val="000000"/>
                <w:sz w:val="22"/>
                <w:szCs w:val="22"/>
              </w:rPr>
              <w:t>(0.9)%</w:t>
            </w:r>
          </w:p>
        </w:tc>
      </w:tr>
      <w:tr w:rsidR="00584FC2" w:rsidRPr="00584FC2" w:rsidTr="00C6052E">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584FC2" w:rsidRPr="00584FC2" w:rsidRDefault="00584FC2" w:rsidP="00584FC2">
            <w:pPr>
              <w:rPr>
                <w:rFonts w:ascii="Arial" w:hAnsi="Arial" w:cs="Arial"/>
                <w:color w:val="000000"/>
                <w:sz w:val="18"/>
                <w:szCs w:val="18"/>
              </w:rPr>
            </w:pPr>
            <w:r w:rsidRPr="00584FC2">
              <w:rPr>
                <w:rFonts w:ascii="Arial" w:hAnsi="Arial" w:cs="Arial"/>
                <w:color w:val="000000"/>
                <w:sz w:val="18"/>
                <w:szCs w:val="18"/>
              </w:rPr>
              <w:t>Research ethics service</w:t>
            </w:r>
          </w:p>
        </w:tc>
        <w:tc>
          <w:tcPr>
            <w:tcW w:w="961" w:type="dxa"/>
            <w:tcBorders>
              <w:top w:val="nil"/>
              <w:left w:val="nil"/>
              <w:bottom w:val="nil"/>
              <w:right w:val="nil"/>
            </w:tcBorders>
            <w:shd w:val="clear" w:color="auto" w:fill="auto"/>
            <w:noWrap/>
            <w:vAlign w:val="bottom"/>
            <w:hideMark/>
          </w:tcPr>
          <w:p w:rsidR="00584FC2" w:rsidRPr="00584FC2" w:rsidRDefault="000E02D9" w:rsidP="00584FC2">
            <w:pPr>
              <w:jc w:val="right"/>
              <w:rPr>
                <w:rFonts w:ascii="Calibri" w:hAnsi="Calibri" w:cs="Calibri"/>
                <w:color w:val="000000"/>
                <w:sz w:val="22"/>
                <w:szCs w:val="22"/>
              </w:rPr>
            </w:pPr>
            <w:r>
              <w:rPr>
                <w:rFonts w:ascii="Calibri" w:hAnsi="Calibri" w:cs="Calibri"/>
                <w:color w:val="000000"/>
                <w:sz w:val="22"/>
                <w:szCs w:val="22"/>
              </w:rPr>
              <w:t>3,723</w:t>
            </w:r>
          </w:p>
        </w:tc>
        <w:tc>
          <w:tcPr>
            <w:tcW w:w="961" w:type="dxa"/>
            <w:tcBorders>
              <w:top w:val="nil"/>
              <w:left w:val="nil"/>
              <w:bottom w:val="nil"/>
              <w:right w:val="nil"/>
            </w:tcBorders>
            <w:shd w:val="clear" w:color="auto" w:fill="auto"/>
            <w:noWrap/>
            <w:vAlign w:val="bottom"/>
          </w:tcPr>
          <w:p w:rsidR="00584FC2" w:rsidRPr="00584FC2" w:rsidRDefault="00D441C3" w:rsidP="00584FC2">
            <w:pPr>
              <w:jc w:val="right"/>
              <w:rPr>
                <w:rFonts w:ascii="Calibri" w:hAnsi="Calibri" w:cs="Calibri"/>
                <w:color w:val="000000"/>
                <w:sz w:val="22"/>
                <w:szCs w:val="22"/>
              </w:rPr>
            </w:pPr>
            <w:r>
              <w:rPr>
                <w:rFonts w:ascii="Calibri" w:hAnsi="Calibri" w:cs="Calibri"/>
                <w:color w:val="000000"/>
                <w:sz w:val="22"/>
                <w:szCs w:val="22"/>
              </w:rPr>
              <w:t>1,967</w:t>
            </w:r>
          </w:p>
        </w:tc>
        <w:tc>
          <w:tcPr>
            <w:tcW w:w="961" w:type="dxa"/>
            <w:tcBorders>
              <w:top w:val="nil"/>
              <w:left w:val="nil"/>
              <w:bottom w:val="nil"/>
              <w:right w:val="nil"/>
            </w:tcBorders>
            <w:shd w:val="clear" w:color="auto" w:fill="auto"/>
            <w:noWrap/>
            <w:vAlign w:val="bottom"/>
          </w:tcPr>
          <w:p w:rsidR="00584FC2" w:rsidRPr="00584FC2" w:rsidRDefault="00D441C3" w:rsidP="00584FC2">
            <w:pPr>
              <w:jc w:val="right"/>
              <w:rPr>
                <w:rFonts w:ascii="Calibri" w:hAnsi="Calibri" w:cs="Calibri"/>
                <w:color w:val="000000"/>
                <w:sz w:val="22"/>
                <w:szCs w:val="22"/>
              </w:rPr>
            </w:pPr>
            <w:r>
              <w:rPr>
                <w:rFonts w:ascii="Calibri" w:hAnsi="Calibri" w:cs="Calibri"/>
                <w:color w:val="000000"/>
                <w:sz w:val="22"/>
                <w:szCs w:val="22"/>
              </w:rPr>
              <w:t>1,936</w:t>
            </w:r>
          </w:p>
        </w:tc>
        <w:tc>
          <w:tcPr>
            <w:tcW w:w="1051" w:type="dxa"/>
            <w:tcBorders>
              <w:top w:val="nil"/>
              <w:left w:val="nil"/>
              <w:bottom w:val="nil"/>
              <w:right w:val="nil"/>
            </w:tcBorders>
            <w:shd w:val="clear" w:color="auto" w:fill="auto"/>
            <w:noWrap/>
            <w:vAlign w:val="bottom"/>
          </w:tcPr>
          <w:p w:rsidR="00584FC2" w:rsidRPr="00584FC2" w:rsidRDefault="00D441C3" w:rsidP="000E02D9">
            <w:pPr>
              <w:jc w:val="right"/>
              <w:rPr>
                <w:rFonts w:ascii="Calibri" w:hAnsi="Calibri" w:cs="Calibri"/>
                <w:color w:val="000000"/>
                <w:sz w:val="22"/>
                <w:szCs w:val="22"/>
              </w:rPr>
            </w:pPr>
            <w:r>
              <w:rPr>
                <w:rFonts w:ascii="Calibri" w:hAnsi="Calibri" w:cs="Calibri"/>
                <w:color w:val="000000"/>
                <w:sz w:val="22"/>
                <w:szCs w:val="22"/>
              </w:rPr>
              <w:t>(31)</w:t>
            </w:r>
          </w:p>
        </w:tc>
        <w:tc>
          <w:tcPr>
            <w:tcW w:w="1302" w:type="dxa"/>
            <w:tcBorders>
              <w:top w:val="nil"/>
              <w:left w:val="nil"/>
              <w:bottom w:val="nil"/>
              <w:right w:val="nil"/>
            </w:tcBorders>
            <w:shd w:val="clear" w:color="auto" w:fill="auto"/>
            <w:noWrap/>
            <w:vAlign w:val="bottom"/>
          </w:tcPr>
          <w:p w:rsidR="00584FC2" w:rsidRPr="00584FC2" w:rsidRDefault="00D441C3" w:rsidP="000E02D9">
            <w:pPr>
              <w:jc w:val="right"/>
              <w:rPr>
                <w:rFonts w:ascii="Calibri" w:hAnsi="Calibri" w:cs="Calibri"/>
                <w:color w:val="000000"/>
                <w:sz w:val="22"/>
                <w:szCs w:val="22"/>
              </w:rPr>
            </w:pPr>
            <w:r>
              <w:rPr>
                <w:rFonts w:ascii="Calibri" w:hAnsi="Calibri" w:cs="Calibri"/>
                <w:color w:val="000000"/>
                <w:sz w:val="22"/>
                <w:szCs w:val="22"/>
              </w:rPr>
              <w:t>(1.6)%</w:t>
            </w:r>
          </w:p>
        </w:tc>
      </w:tr>
      <w:tr w:rsidR="00584FC2" w:rsidRPr="00584FC2" w:rsidTr="00C6052E">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584FC2" w:rsidRPr="00584FC2" w:rsidRDefault="00584FC2" w:rsidP="00584FC2">
            <w:pPr>
              <w:rPr>
                <w:rFonts w:ascii="Arial" w:hAnsi="Arial" w:cs="Arial"/>
                <w:color w:val="000000"/>
                <w:sz w:val="18"/>
                <w:szCs w:val="18"/>
              </w:rPr>
            </w:pPr>
            <w:r w:rsidRPr="00584FC2">
              <w:rPr>
                <w:rFonts w:ascii="Arial" w:hAnsi="Arial" w:cs="Arial"/>
                <w:color w:val="000000"/>
                <w:sz w:val="18"/>
                <w:szCs w:val="18"/>
              </w:rPr>
              <w:t>Research systems</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1,312</w:t>
            </w:r>
          </w:p>
        </w:tc>
        <w:tc>
          <w:tcPr>
            <w:tcW w:w="961" w:type="dxa"/>
            <w:tcBorders>
              <w:top w:val="nil"/>
              <w:left w:val="nil"/>
              <w:bottom w:val="nil"/>
              <w:right w:val="nil"/>
            </w:tcBorders>
            <w:shd w:val="clear" w:color="auto" w:fill="auto"/>
            <w:noWrap/>
            <w:vAlign w:val="bottom"/>
          </w:tcPr>
          <w:p w:rsidR="00584FC2" w:rsidRPr="00584FC2" w:rsidRDefault="00D441C3" w:rsidP="00584FC2">
            <w:pPr>
              <w:jc w:val="right"/>
              <w:rPr>
                <w:rFonts w:ascii="Calibri" w:hAnsi="Calibri" w:cs="Calibri"/>
                <w:color w:val="000000"/>
                <w:sz w:val="22"/>
                <w:szCs w:val="22"/>
              </w:rPr>
            </w:pPr>
            <w:r>
              <w:rPr>
                <w:rFonts w:ascii="Calibri" w:hAnsi="Calibri" w:cs="Calibri"/>
                <w:color w:val="000000"/>
                <w:sz w:val="22"/>
                <w:szCs w:val="22"/>
              </w:rPr>
              <w:t>668</w:t>
            </w:r>
          </w:p>
        </w:tc>
        <w:tc>
          <w:tcPr>
            <w:tcW w:w="961" w:type="dxa"/>
            <w:tcBorders>
              <w:top w:val="nil"/>
              <w:left w:val="nil"/>
              <w:bottom w:val="nil"/>
              <w:right w:val="nil"/>
            </w:tcBorders>
            <w:shd w:val="clear" w:color="auto" w:fill="auto"/>
            <w:noWrap/>
            <w:vAlign w:val="bottom"/>
          </w:tcPr>
          <w:p w:rsidR="00584FC2" w:rsidRPr="00584FC2" w:rsidRDefault="00D441C3" w:rsidP="00584FC2">
            <w:pPr>
              <w:jc w:val="right"/>
              <w:rPr>
                <w:rFonts w:ascii="Calibri" w:hAnsi="Calibri" w:cs="Calibri"/>
                <w:color w:val="000000"/>
                <w:sz w:val="22"/>
                <w:szCs w:val="22"/>
              </w:rPr>
            </w:pPr>
            <w:r>
              <w:rPr>
                <w:rFonts w:ascii="Calibri" w:hAnsi="Calibri" w:cs="Calibri"/>
                <w:color w:val="000000"/>
                <w:sz w:val="22"/>
                <w:szCs w:val="22"/>
              </w:rPr>
              <w:t>662</w:t>
            </w:r>
          </w:p>
        </w:tc>
        <w:tc>
          <w:tcPr>
            <w:tcW w:w="1051" w:type="dxa"/>
            <w:tcBorders>
              <w:top w:val="nil"/>
              <w:left w:val="nil"/>
              <w:bottom w:val="nil"/>
              <w:right w:val="nil"/>
            </w:tcBorders>
            <w:shd w:val="clear" w:color="auto" w:fill="auto"/>
            <w:noWrap/>
            <w:vAlign w:val="bottom"/>
          </w:tcPr>
          <w:p w:rsidR="00584FC2" w:rsidRPr="00584FC2" w:rsidRDefault="00D441C3" w:rsidP="000E02D9">
            <w:pPr>
              <w:jc w:val="right"/>
              <w:rPr>
                <w:rFonts w:ascii="Calibri" w:hAnsi="Calibri" w:cs="Calibri"/>
                <w:color w:val="000000"/>
                <w:sz w:val="22"/>
                <w:szCs w:val="22"/>
              </w:rPr>
            </w:pPr>
            <w:r>
              <w:rPr>
                <w:rFonts w:ascii="Calibri" w:hAnsi="Calibri" w:cs="Calibri"/>
                <w:color w:val="000000"/>
                <w:sz w:val="22"/>
                <w:szCs w:val="22"/>
              </w:rPr>
              <w:t>(6)</w:t>
            </w:r>
          </w:p>
        </w:tc>
        <w:tc>
          <w:tcPr>
            <w:tcW w:w="1302" w:type="dxa"/>
            <w:tcBorders>
              <w:top w:val="nil"/>
              <w:left w:val="nil"/>
              <w:bottom w:val="nil"/>
              <w:right w:val="nil"/>
            </w:tcBorders>
            <w:shd w:val="clear" w:color="auto" w:fill="auto"/>
            <w:noWrap/>
            <w:vAlign w:val="bottom"/>
          </w:tcPr>
          <w:p w:rsidR="00584FC2" w:rsidRPr="00584FC2" w:rsidRDefault="00D441C3" w:rsidP="000E02D9">
            <w:pPr>
              <w:jc w:val="right"/>
              <w:rPr>
                <w:rFonts w:ascii="Calibri" w:hAnsi="Calibri" w:cs="Calibri"/>
                <w:color w:val="000000"/>
                <w:sz w:val="22"/>
                <w:szCs w:val="22"/>
              </w:rPr>
            </w:pPr>
            <w:r>
              <w:rPr>
                <w:rFonts w:ascii="Calibri" w:hAnsi="Calibri" w:cs="Calibri"/>
                <w:color w:val="000000"/>
                <w:sz w:val="22"/>
                <w:szCs w:val="22"/>
              </w:rPr>
              <w:t>(0.9)%</w:t>
            </w:r>
          </w:p>
        </w:tc>
      </w:tr>
      <w:tr w:rsidR="00584FC2" w:rsidRPr="00584FC2" w:rsidTr="00C6052E">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584FC2" w:rsidRPr="00584FC2" w:rsidRDefault="00584FC2" w:rsidP="00584FC2">
            <w:pPr>
              <w:rPr>
                <w:rFonts w:ascii="Arial" w:hAnsi="Arial" w:cs="Arial"/>
                <w:color w:val="000000"/>
                <w:sz w:val="18"/>
                <w:szCs w:val="18"/>
              </w:rPr>
            </w:pPr>
            <w:r w:rsidRPr="00584FC2">
              <w:rPr>
                <w:rFonts w:ascii="Arial" w:hAnsi="Arial" w:cs="Arial"/>
                <w:color w:val="000000"/>
                <w:sz w:val="18"/>
                <w:szCs w:val="18"/>
              </w:rPr>
              <w:t>Confidentiality Advisory Service</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280</w:t>
            </w:r>
          </w:p>
        </w:tc>
        <w:tc>
          <w:tcPr>
            <w:tcW w:w="961" w:type="dxa"/>
            <w:tcBorders>
              <w:top w:val="nil"/>
              <w:left w:val="nil"/>
              <w:bottom w:val="nil"/>
              <w:right w:val="nil"/>
            </w:tcBorders>
            <w:shd w:val="clear" w:color="auto" w:fill="auto"/>
            <w:noWrap/>
            <w:vAlign w:val="bottom"/>
          </w:tcPr>
          <w:p w:rsidR="00584FC2" w:rsidRPr="00584FC2" w:rsidRDefault="00D441C3" w:rsidP="00584FC2">
            <w:pPr>
              <w:jc w:val="right"/>
              <w:rPr>
                <w:rFonts w:ascii="Calibri" w:hAnsi="Calibri" w:cs="Calibri"/>
                <w:color w:val="000000"/>
                <w:sz w:val="22"/>
                <w:szCs w:val="22"/>
              </w:rPr>
            </w:pPr>
            <w:r>
              <w:rPr>
                <w:rFonts w:ascii="Calibri" w:hAnsi="Calibri" w:cs="Calibri"/>
                <w:color w:val="000000"/>
                <w:sz w:val="22"/>
                <w:szCs w:val="22"/>
              </w:rPr>
              <w:t>123</w:t>
            </w:r>
          </w:p>
        </w:tc>
        <w:tc>
          <w:tcPr>
            <w:tcW w:w="961" w:type="dxa"/>
            <w:tcBorders>
              <w:top w:val="nil"/>
              <w:left w:val="nil"/>
              <w:bottom w:val="nil"/>
              <w:right w:val="nil"/>
            </w:tcBorders>
            <w:shd w:val="clear" w:color="auto" w:fill="auto"/>
            <w:noWrap/>
            <w:vAlign w:val="bottom"/>
          </w:tcPr>
          <w:p w:rsidR="00584FC2" w:rsidRPr="00584FC2" w:rsidRDefault="00D441C3" w:rsidP="00584FC2">
            <w:pPr>
              <w:jc w:val="right"/>
              <w:rPr>
                <w:rFonts w:ascii="Calibri" w:hAnsi="Calibri" w:cs="Calibri"/>
                <w:color w:val="000000"/>
                <w:sz w:val="22"/>
                <w:szCs w:val="22"/>
              </w:rPr>
            </w:pPr>
            <w:r>
              <w:rPr>
                <w:rFonts w:ascii="Calibri" w:hAnsi="Calibri" w:cs="Calibri"/>
                <w:color w:val="000000"/>
                <w:sz w:val="22"/>
                <w:szCs w:val="22"/>
              </w:rPr>
              <w:t>108</w:t>
            </w:r>
          </w:p>
        </w:tc>
        <w:tc>
          <w:tcPr>
            <w:tcW w:w="1051" w:type="dxa"/>
            <w:tcBorders>
              <w:top w:val="nil"/>
              <w:left w:val="nil"/>
              <w:bottom w:val="nil"/>
              <w:right w:val="nil"/>
            </w:tcBorders>
            <w:shd w:val="clear" w:color="auto" w:fill="auto"/>
            <w:noWrap/>
            <w:vAlign w:val="bottom"/>
          </w:tcPr>
          <w:p w:rsidR="00584FC2" w:rsidRPr="00584FC2" w:rsidRDefault="00D441C3" w:rsidP="000E02D9">
            <w:pPr>
              <w:jc w:val="right"/>
              <w:rPr>
                <w:rFonts w:ascii="Calibri" w:hAnsi="Calibri" w:cs="Calibri"/>
                <w:color w:val="000000"/>
                <w:sz w:val="22"/>
                <w:szCs w:val="22"/>
              </w:rPr>
            </w:pPr>
            <w:r>
              <w:rPr>
                <w:rFonts w:ascii="Calibri" w:hAnsi="Calibri" w:cs="Calibri"/>
                <w:color w:val="000000"/>
                <w:sz w:val="22"/>
                <w:szCs w:val="22"/>
              </w:rPr>
              <w:t>(15)</w:t>
            </w:r>
          </w:p>
        </w:tc>
        <w:tc>
          <w:tcPr>
            <w:tcW w:w="1302" w:type="dxa"/>
            <w:tcBorders>
              <w:top w:val="nil"/>
              <w:left w:val="nil"/>
              <w:bottom w:val="nil"/>
              <w:right w:val="nil"/>
            </w:tcBorders>
            <w:shd w:val="clear" w:color="auto" w:fill="auto"/>
            <w:noWrap/>
            <w:vAlign w:val="bottom"/>
          </w:tcPr>
          <w:p w:rsidR="00584FC2" w:rsidRPr="00584FC2" w:rsidRDefault="00D441C3" w:rsidP="000E02D9">
            <w:pPr>
              <w:jc w:val="right"/>
              <w:rPr>
                <w:rFonts w:ascii="Calibri" w:hAnsi="Calibri" w:cs="Calibri"/>
                <w:color w:val="000000"/>
                <w:sz w:val="22"/>
                <w:szCs w:val="22"/>
              </w:rPr>
            </w:pPr>
            <w:r>
              <w:rPr>
                <w:rFonts w:ascii="Calibri" w:hAnsi="Calibri" w:cs="Calibri"/>
                <w:color w:val="000000"/>
                <w:sz w:val="22"/>
                <w:szCs w:val="22"/>
              </w:rPr>
              <w:t>(12.1)%</w:t>
            </w:r>
          </w:p>
        </w:tc>
      </w:tr>
      <w:tr w:rsidR="00584FC2" w:rsidRPr="00584FC2" w:rsidTr="00C6052E">
        <w:trPr>
          <w:trHeight w:val="124"/>
        </w:trPr>
        <w:tc>
          <w:tcPr>
            <w:tcW w:w="3454" w:type="dxa"/>
            <w:tcBorders>
              <w:top w:val="nil"/>
              <w:left w:val="single" w:sz="8" w:space="0" w:color="FFFFFF"/>
              <w:bottom w:val="single" w:sz="8" w:space="0" w:color="FFFFFF"/>
              <w:right w:val="single" w:sz="8" w:space="0" w:color="FFFFFF"/>
            </w:tcBorders>
            <w:shd w:val="clear" w:color="000000" w:fill="365F91"/>
            <w:vAlign w:val="bottom"/>
            <w:hideMark/>
          </w:tcPr>
          <w:p w:rsidR="00584FC2" w:rsidRPr="00461F18" w:rsidRDefault="00584FC2" w:rsidP="00584FC2">
            <w:pPr>
              <w:rPr>
                <w:rFonts w:ascii="Arial" w:hAnsi="Arial" w:cs="Arial"/>
                <w:b/>
                <w:color w:val="FFFFFF"/>
                <w:sz w:val="18"/>
                <w:szCs w:val="18"/>
              </w:rPr>
            </w:pPr>
            <w:r w:rsidRPr="00461F18">
              <w:rPr>
                <w:rFonts w:ascii="Arial" w:hAnsi="Arial" w:cs="Arial"/>
                <w:b/>
                <w:color w:val="FFFFFF"/>
                <w:sz w:val="18"/>
                <w:szCs w:val="18"/>
              </w:rPr>
              <w:t>Total Services Expenditure</w:t>
            </w:r>
          </w:p>
        </w:tc>
        <w:tc>
          <w:tcPr>
            <w:tcW w:w="961" w:type="dxa"/>
            <w:tcBorders>
              <w:top w:val="nil"/>
              <w:left w:val="nil"/>
              <w:bottom w:val="nil"/>
              <w:right w:val="nil"/>
            </w:tcBorders>
            <w:shd w:val="clear" w:color="000000" w:fill="365F91"/>
            <w:noWrap/>
            <w:vAlign w:val="bottom"/>
            <w:hideMark/>
          </w:tcPr>
          <w:p w:rsidR="00584FC2" w:rsidRPr="00461F18" w:rsidRDefault="00584FC2" w:rsidP="000E02D9">
            <w:pPr>
              <w:jc w:val="right"/>
              <w:rPr>
                <w:rFonts w:ascii="Calibri" w:hAnsi="Calibri" w:cs="Calibri"/>
                <w:b/>
                <w:color w:val="FFFFFF"/>
                <w:sz w:val="22"/>
                <w:szCs w:val="22"/>
              </w:rPr>
            </w:pPr>
            <w:r w:rsidRPr="00461F18">
              <w:rPr>
                <w:rFonts w:ascii="Calibri" w:hAnsi="Calibri" w:cs="Calibri"/>
                <w:b/>
                <w:color w:val="FFFFFF"/>
                <w:sz w:val="22"/>
                <w:szCs w:val="22"/>
              </w:rPr>
              <w:t>8,0</w:t>
            </w:r>
            <w:r w:rsidR="000E02D9">
              <w:rPr>
                <w:rFonts w:ascii="Calibri" w:hAnsi="Calibri" w:cs="Calibri"/>
                <w:b/>
                <w:color w:val="FFFFFF"/>
                <w:sz w:val="22"/>
                <w:szCs w:val="22"/>
              </w:rPr>
              <w:t>82</w:t>
            </w:r>
          </w:p>
        </w:tc>
        <w:tc>
          <w:tcPr>
            <w:tcW w:w="961" w:type="dxa"/>
            <w:tcBorders>
              <w:top w:val="nil"/>
              <w:left w:val="nil"/>
              <w:bottom w:val="nil"/>
              <w:right w:val="nil"/>
            </w:tcBorders>
            <w:shd w:val="clear" w:color="000000" w:fill="365F91"/>
            <w:noWrap/>
            <w:vAlign w:val="bottom"/>
          </w:tcPr>
          <w:p w:rsidR="00584FC2" w:rsidRPr="00461F18" w:rsidRDefault="00D441C3" w:rsidP="00584FC2">
            <w:pPr>
              <w:jc w:val="right"/>
              <w:rPr>
                <w:rFonts w:ascii="Calibri" w:hAnsi="Calibri" w:cs="Calibri"/>
                <w:b/>
                <w:color w:val="FFFFFF"/>
                <w:sz w:val="22"/>
                <w:szCs w:val="22"/>
              </w:rPr>
            </w:pPr>
            <w:r>
              <w:rPr>
                <w:rFonts w:ascii="Calibri" w:hAnsi="Calibri" w:cs="Calibri"/>
                <w:b/>
                <w:color w:val="FFFFFF"/>
                <w:sz w:val="22"/>
                <w:szCs w:val="22"/>
              </w:rPr>
              <w:t>4,125</w:t>
            </w:r>
          </w:p>
        </w:tc>
        <w:tc>
          <w:tcPr>
            <w:tcW w:w="961" w:type="dxa"/>
            <w:tcBorders>
              <w:top w:val="nil"/>
              <w:left w:val="nil"/>
              <w:bottom w:val="nil"/>
              <w:right w:val="nil"/>
            </w:tcBorders>
            <w:shd w:val="clear" w:color="000000" w:fill="365F91"/>
            <w:noWrap/>
            <w:vAlign w:val="bottom"/>
          </w:tcPr>
          <w:p w:rsidR="00584FC2" w:rsidRPr="00461F18" w:rsidRDefault="00D441C3" w:rsidP="00584FC2">
            <w:pPr>
              <w:jc w:val="right"/>
              <w:rPr>
                <w:rFonts w:ascii="Calibri" w:hAnsi="Calibri" w:cs="Calibri"/>
                <w:b/>
                <w:color w:val="FFFFFF"/>
                <w:sz w:val="22"/>
                <w:szCs w:val="22"/>
              </w:rPr>
            </w:pPr>
            <w:r>
              <w:rPr>
                <w:rFonts w:ascii="Calibri" w:hAnsi="Calibri" w:cs="Calibri"/>
                <w:b/>
                <w:color w:val="FFFFFF"/>
                <w:sz w:val="22"/>
                <w:szCs w:val="22"/>
              </w:rPr>
              <w:t>4,060</w:t>
            </w:r>
          </w:p>
        </w:tc>
        <w:tc>
          <w:tcPr>
            <w:tcW w:w="1051" w:type="dxa"/>
            <w:tcBorders>
              <w:top w:val="nil"/>
              <w:left w:val="nil"/>
              <w:bottom w:val="nil"/>
              <w:right w:val="nil"/>
            </w:tcBorders>
            <w:shd w:val="clear" w:color="000000" w:fill="365F91"/>
            <w:noWrap/>
            <w:vAlign w:val="bottom"/>
          </w:tcPr>
          <w:p w:rsidR="00584FC2" w:rsidRPr="00461F18" w:rsidRDefault="009D4BE3" w:rsidP="000E02D9">
            <w:pPr>
              <w:jc w:val="right"/>
              <w:rPr>
                <w:rFonts w:ascii="Calibri" w:hAnsi="Calibri" w:cs="Calibri"/>
                <w:b/>
                <w:color w:val="FFFFFF"/>
                <w:sz w:val="22"/>
                <w:szCs w:val="22"/>
              </w:rPr>
            </w:pPr>
            <w:r>
              <w:rPr>
                <w:rFonts w:ascii="Calibri" w:hAnsi="Calibri" w:cs="Calibri"/>
                <w:b/>
                <w:color w:val="FFFFFF"/>
                <w:sz w:val="22"/>
                <w:szCs w:val="22"/>
              </w:rPr>
              <w:t>(65)</w:t>
            </w:r>
          </w:p>
        </w:tc>
        <w:tc>
          <w:tcPr>
            <w:tcW w:w="1302" w:type="dxa"/>
            <w:tcBorders>
              <w:top w:val="nil"/>
              <w:left w:val="nil"/>
              <w:bottom w:val="nil"/>
              <w:right w:val="nil"/>
            </w:tcBorders>
            <w:shd w:val="clear" w:color="000000" w:fill="365F91"/>
            <w:noWrap/>
            <w:vAlign w:val="bottom"/>
          </w:tcPr>
          <w:p w:rsidR="00584FC2" w:rsidRPr="00461F18" w:rsidRDefault="009D4BE3" w:rsidP="000E02D9">
            <w:pPr>
              <w:jc w:val="right"/>
              <w:rPr>
                <w:rFonts w:ascii="Calibri" w:hAnsi="Calibri" w:cs="Calibri"/>
                <w:b/>
                <w:color w:val="FFFFFF"/>
                <w:sz w:val="22"/>
                <w:szCs w:val="22"/>
              </w:rPr>
            </w:pPr>
            <w:r>
              <w:rPr>
                <w:rFonts w:ascii="Calibri" w:hAnsi="Calibri" w:cs="Calibri"/>
                <w:b/>
                <w:color w:val="FFFFFF"/>
                <w:sz w:val="22"/>
                <w:szCs w:val="22"/>
              </w:rPr>
              <w:t>(1.6)%</w:t>
            </w:r>
          </w:p>
        </w:tc>
      </w:tr>
      <w:tr w:rsidR="00584FC2" w:rsidRPr="00584FC2" w:rsidTr="00C6052E">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584FC2" w:rsidRPr="00584FC2" w:rsidRDefault="00584FC2" w:rsidP="00584FC2">
            <w:pPr>
              <w:rPr>
                <w:rFonts w:ascii="Arial" w:hAnsi="Arial" w:cs="Arial"/>
                <w:color w:val="000000"/>
                <w:sz w:val="18"/>
                <w:szCs w:val="18"/>
              </w:rPr>
            </w:pPr>
            <w:r w:rsidRPr="00584FC2">
              <w:rPr>
                <w:rFonts w:ascii="Arial" w:hAnsi="Arial" w:cs="Arial"/>
                <w:color w:val="000000"/>
                <w:sz w:val="18"/>
                <w:szCs w:val="18"/>
              </w:rPr>
              <w:t xml:space="preserve">Chief Exec </w:t>
            </w:r>
            <w:proofErr w:type="spellStart"/>
            <w:r w:rsidRPr="00584FC2">
              <w:rPr>
                <w:rFonts w:ascii="Arial" w:hAnsi="Arial" w:cs="Arial"/>
                <w:color w:val="000000"/>
                <w:sz w:val="18"/>
                <w:szCs w:val="18"/>
              </w:rPr>
              <w:t>inc.</w:t>
            </w:r>
            <w:proofErr w:type="spellEnd"/>
            <w:r w:rsidRPr="00584FC2">
              <w:rPr>
                <w:rFonts w:ascii="Arial" w:hAnsi="Arial" w:cs="Arial"/>
                <w:color w:val="000000"/>
                <w:sz w:val="18"/>
                <w:szCs w:val="18"/>
              </w:rPr>
              <w:t xml:space="preserve"> Governance.</w:t>
            </w:r>
          </w:p>
        </w:tc>
        <w:tc>
          <w:tcPr>
            <w:tcW w:w="961" w:type="dxa"/>
            <w:tcBorders>
              <w:top w:val="nil"/>
              <w:left w:val="nil"/>
              <w:bottom w:val="nil"/>
              <w:right w:val="nil"/>
            </w:tcBorders>
            <w:shd w:val="clear" w:color="auto" w:fill="auto"/>
            <w:noWrap/>
            <w:vAlign w:val="bottom"/>
            <w:hideMark/>
          </w:tcPr>
          <w:p w:rsidR="00584FC2" w:rsidRPr="00584FC2" w:rsidRDefault="000E02D9" w:rsidP="00584FC2">
            <w:pPr>
              <w:jc w:val="right"/>
              <w:rPr>
                <w:rFonts w:ascii="Calibri" w:hAnsi="Calibri" w:cs="Calibri"/>
                <w:color w:val="000000"/>
                <w:sz w:val="22"/>
                <w:szCs w:val="22"/>
              </w:rPr>
            </w:pPr>
            <w:r>
              <w:rPr>
                <w:rFonts w:ascii="Calibri" w:hAnsi="Calibri" w:cs="Calibri"/>
                <w:color w:val="000000"/>
                <w:sz w:val="22"/>
                <w:szCs w:val="22"/>
              </w:rPr>
              <w:t>922</w:t>
            </w:r>
          </w:p>
        </w:tc>
        <w:tc>
          <w:tcPr>
            <w:tcW w:w="961" w:type="dxa"/>
            <w:tcBorders>
              <w:top w:val="nil"/>
              <w:left w:val="nil"/>
              <w:bottom w:val="nil"/>
              <w:right w:val="nil"/>
            </w:tcBorders>
            <w:shd w:val="clear" w:color="auto" w:fill="auto"/>
            <w:noWrap/>
            <w:vAlign w:val="bottom"/>
          </w:tcPr>
          <w:p w:rsidR="00584FC2" w:rsidRPr="00584FC2" w:rsidRDefault="009D4BE3" w:rsidP="00584FC2">
            <w:pPr>
              <w:jc w:val="right"/>
              <w:rPr>
                <w:rFonts w:ascii="Calibri" w:hAnsi="Calibri" w:cs="Calibri"/>
                <w:color w:val="000000"/>
                <w:sz w:val="22"/>
                <w:szCs w:val="22"/>
              </w:rPr>
            </w:pPr>
            <w:r>
              <w:rPr>
                <w:rFonts w:ascii="Calibri" w:hAnsi="Calibri" w:cs="Calibri"/>
                <w:color w:val="000000"/>
                <w:sz w:val="22"/>
                <w:szCs w:val="22"/>
              </w:rPr>
              <w:t>390</w:t>
            </w:r>
          </w:p>
        </w:tc>
        <w:tc>
          <w:tcPr>
            <w:tcW w:w="961" w:type="dxa"/>
            <w:tcBorders>
              <w:top w:val="nil"/>
              <w:left w:val="nil"/>
              <w:bottom w:val="nil"/>
              <w:right w:val="nil"/>
            </w:tcBorders>
            <w:shd w:val="clear" w:color="auto" w:fill="auto"/>
            <w:noWrap/>
            <w:vAlign w:val="bottom"/>
          </w:tcPr>
          <w:p w:rsidR="00584FC2" w:rsidRPr="00584FC2" w:rsidRDefault="009D4BE3" w:rsidP="00584FC2">
            <w:pPr>
              <w:jc w:val="right"/>
              <w:rPr>
                <w:rFonts w:ascii="Calibri" w:hAnsi="Calibri" w:cs="Calibri"/>
                <w:color w:val="000000"/>
                <w:sz w:val="22"/>
                <w:szCs w:val="22"/>
              </w:rPr>
            </w:pPr>
            <w:r>
              <w:rPr>
                <w:rFonts w:ascii="Calibri" w:hAnsi="Calibri" w:cs="Calibri"/>
                <w:color w:val="000000"/>
                <w:sz w:val="22"/>
                <w:szCs w:val="22"/>
              </w:rPr>
              <w:t>393</w:t>
            </w:r>
          </w:p>
        </w:tc>
        <w:tc>
          <w:tcPr>
            <w:tcW w:w="1051" w:type="dxa"/>
            <w:tcBorders>
              <w:top w:val="nil"/>
              <w:left w:val="nil"/>
              <w:bottom w:val="nil"/>
              <w:right w:val="nil"/>
            </w:tcBorders>
            <w:shd w:val="clear" w:color="auto" w:fill="auto"/>
            <w:noWrap/>
            <w:vAlign w:val="bottom"/>
          </w:tcPr>
          <w:p w:rsidR="00584FC2" w:rsidRPr="00584FC2" w:rsidRDefault="009D4BE3" w:rsidP="00584FC2">
            <w:pPr>
              <w:jc w:val="right"/>
              <w:rPr>
                <w:rFonts w:ascii="Calibri" w:hAnsi="Calibri" w:cs="Calibri"/>
                <w:color w:val="000000"/>
                <w:sz w:val="22"/>
                <w:szCs w:val="22"/>
              </w:rPr>
            </w:pPr>
            <w:r>
              <w:rPr>
                <w:rFonts w:ascii="Calibri" w:hAnsi="Calibri" w:cs="Calibri"/>
                <w:color w:val="000000"/>
                <w:sz w:val="22"/>
                <w:szCs w:val="22"/>
              </w:rPr>
              <w:t>3</w:t>
            </w:r>
          </w:p>
        </w:tc>
        <w:tc>
          <w:tcPr>
            <w:tcW w:w="1302" w:type="dxa"/>
            <w:tcBorders>
              <w:top w:val="nil"/>
              <w:left w:val="nil"/>
              <w:bottom w:val="nil"/>
              <w:right w:val="nil"/>
            </w:tcBorders>
            <w:shd w:val="clear" w:color="auto" w:fill="auto"/>
            <w:noWrap/>
            <w:vAlign w:val="bottom"/>
          </w:tcPr>
          <w:p w:rsidR="00584FC2" w:rsidRPr="00584FC2" w:rsidRDefault="009D4BE3" w:rsidP="00584FC2">
            <w:pPr>
              <w:jc w:val="right"/>
              <w:rPr>
                <w:rFonts w:ascii="Calibri" w:hAnsi="Calibri" w:cs="Calibri"/>
                <w:color w:val="000000"/>
                <w:sz w:val="22"/>
                <w:szCs w:val="22"/>
              </w:rPr>
            </w:pPr>
            <w:r>
              <w:rPr>
                <w:rFonts w:ascii="Calibri" w:hAnsi="Calibri" w:cs="Calibri"/>
                <w:color w:val="000000"/>
                <w:sz w:val="22"/>
                <w:szCs w:val="22"/>
              </w:rPr>
              <w:t>0.8%</w:t>
            </w:r>
          </w:p>
        </w:tc>
      </w:tr>
      <w:tr w:rsidR="00584FC2" w:rsidRPr="00584FC2" w:rsidTr="00C6052E">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584FC2" w:rsidRPr="00584FC2" w:rsidRDefault="00584FC2" w:rsidP="00584FC2">
            <w:pPr>
              <w:rPr>
                <w:rFonts w:ascii="Arial" w:hAnsi="Arial" w:cs="Arial"/>
                <w:color w:val="000000"/>
                <w:sz w:val="18"/>
                <w:szCs w:val="18"/>
              </w:rPr>
            </w:pPr>
            <w:r w:rsidRPr="00584FC2">
              <w:rPr>
                <w:rFonts w:ascii="Arial" w:hAnsi="Arial" w:cs="Arial"/>
                <w:color w:val="000000"/>
                <w:sz w:val="18"/>
                <w:szCs w:val="18"/>
              </w:rPr>
              <w:t>Policy</w:t>
            </w:r>
          </w:p>
        </w:tc>
        <w:tc>
          <w:tcPr>
            <w:tcW w:w="961" w:type="dxa"/>
            <w:tcBorders>
              <w:top w:val="nil"/>
              <w:left w:val="nil"/>
              <w:bottom w:val="nil"/>
              <w:right w:val="nil"/>
            </w:tcBorders>
            <w:shd w:val="clear" w:color="auto" w:fill="auto"/>
            <w:noWrap/>
            <w:vAlign w:val="bottom"/>
            <w:hideMark/>
          </w:tcPr>
          <w:p w:rsidR="00584FC2" w:rsidRPr="00584FC2" w:rsidRDefault="00584FC2" w:rsidP="000E02D9">
            <w:pPr>
              <w:jc w:val="right"/>
              <w:rPr>
                <w:rFonts w:ascii="Calibri" w:hAnsi="Calibri" w:cs="Calibri"/>
                <w:color w:val="000000"/>
                <w:sz w:val="22"/>
                <w:szCs w:val="22"/>
              </w:rPr>
            </w:pPr>
            <w:r w:rsidRPr="00584FC2">
              <w:rPr>
                <w:rFonts w:ascii="Calibri" w:hAnsi="Calibri" w:cs="Calibri"/>
                <w:color w:val="000000"/>
                <w:sz w:val="22"/>
                <w:szCs w:val="22"/>
              </w:rPr>
              <w:t>3</w:t>
            </w:r>
            <w:r w:rsidR="000E02D9">
              <w:rPr>
                <w:rFonts w:ascii="Calibri" w:hAnsi="Calibri" w:cs="Calibri"/>
                <w:color w:val="000000"/>
                <w:sz w:val="22"/>
                <w:szCs w:val="22"/>
              </w:rPr>
              <w:t>11</w:t>
            </w:r>
          </w:p>
        </w:tc>
        <w:tc>
          <w:tcPr>
            <w:tcW w:w="961" w:type="dxa"/>
            <w:tcBorders>
              <w:top w:val="nil"/>
              <w:left w:val="nil"/>
              <w:bottom w:val="nil"/>
              <w:right w:val="nil"/>
            </w:tcBorders>
            <w:shd w:val="clear" w:color="auto" w:fill="auto"/>
            <w:noWrap/>
            <w:vAlign w:val="bottom"/>
          </w:tcPr>
          <w:p w:rsidR="00584FC2" w:rsidRPr="00584FC2" w:rsidRDefault="009D4BE3" w:rsidP="009D4BE3">
            <w:pPr>
              <w:jc w:val="right"/>
              <w:rPr>
                <w:rFonts w:ascii="Calibri" w:hAnsi="Calibri" w:cs="Calibri"/>
                <w:color w:val="000000"/>
                <w:sz w:val="22"/>
                <w:szCs w:val="22"/>
              </w:rPr>
            </w:pPr>
            <w:r>
              <w:rPr>
                <w:rFonts w:ascii="Calibri" w:hAnsi="Calibri" w:cs="Calibri"/>
                <w:color w:val="000000"/>
                <w:sz w:val="22"/>
                <w:szCs w:val="22"/>
              </w:rPr>
              <w:t>130</w:t>
            </w:r>
          </w:p>
        </w:tc>
        <w:tc>
          <w:tcPr>
            <w:tcW w:w="961" w:type="dxa"/>
            <w:tcBorders>
              <w:top w:val="nil"/>
              <w:left w:val="nil"/>
              <w:bottom w:val="nil"/>
              <w:right w:val="nil"/>
            </w:tcBorders>
            <w:shd w:val="clear" w:color="auto" w:fill="auto"/>
            <w:noWrap/>
            <w:vAlign w:val="bottom"/>
          </w:tcPr>
          <w:p w:rsidR="00584FC2" w:rsidRPr="00584FC2" w:rsidRDefault="009D4BE3" w:rsidP="00584FC2">
            <w:pPr>
              <w:jc w:val="right"/>
              <w:rPr>
                <w:rFonts w:ascii="Calibri" w:hAnsi="Calibri" w:cs="Calibri"/>
                <w:color w:val="000000"/>
                <w:sz w:val="22"/>
                <w:szCs w:val="22"/>
              </w:rPr>
            </w:pPr>
            <w:r>
              <w:rPr>
                <w:rFonts w:ascii="Calibri" w:hAnsi="Calibri" w:cs="Calibri"/>
                <w:color w:val="000000"/>
                <w:sz w:val="22"/>
                <w:szCs w:val="22"/>
              </w:rPr>
              <w:t>116</w:t>
            </w:r>
          </w:p>
        </w:tc>
        <w:tc>
          <w:tcPr>
            <w:tcW w:w="1051" w:type="dxa"/>
            <w:tcBorders>
              <w:top w:val="nil"/>
              <w:left w:val="nil"/>
              <w:bottom w:val="nil"/>
              <w:right w:val="nil"/>
            </w:tcBorders>
            <w:shd w:val="clear" w:color="auto" w:fill="auto"/>
            <w:noWrap/>
            <w:vAlign w:val="bottom"/>
          </w:tcPr>
          <w:p w:rsidR="00584FC2" w:rsidRPr="00584FC2" w:rsidRDefault="009D4BE3" w:rsidP="00584FC2">
            <w:pPr>
              <w:jc w:val="right"/>
              <w:rPr>
                <w:rFonts w:ascii="Calibri" w:hAnsi="Calibri" w:cs="Calibri"/>
                <w:color w:val="000000"/>
                <w:sz w:val="22"/>
                <w:szCs w:val="22"/>
              </w:rPr>
            </w:pPr>
            <w:r>
              <w:rPr>
                <w:rFonts w:ascii="Calibri" w:hAnsi="Calibri" w:cs="Calibri"/>
                <w:color w:val="000000"/>
                <w:sz w:val="22"/>
                <w:szCs w:val="22"/>
              </w:rPr>
              <w:t>(14)</w:t>
            </w:r>
          </w:p>
        </w:tc>
        <w:tc>
          <w:tcPr>
            <w:tcW w:w="1302" w:type="dxa"/>
            <w:tcBorders>
              <w:top w:val="nil"/>
              <w:left w:val="nil"/>
              <w:bottom w:val="nil"/>
              <w:right w:val="nil"/>
            </w:tcBorders>
            <w:shd w:val="clear" w:color="auto" w:fill="auto"/>
            <w:noWrap/>
            <w:vAlign w:val="bottom"/>
          </w:tcPr>
          <w:p w:rsidR="00584FC2" w:rsidRPr="00584FC2" w:rsidRDefault="009D4BE3" w:rsidP="00584FC2">
            <w:pPr>
              <w:jc w:val="right"/>
              <w:rPr>
                <w:rFonts w:ascii="Calibri" w:hAnsi="Calibri" w:cs="Calibri"/>
                <w:color w:val="000000"/>
                <w:sz w:val="22"/>
                <w:szCs w:val="22"/>
              </w:rPr>
            </w:pPr>
            <w:r>
              <w:rPr>
                <w:rFonts w:ascii="Calibri" w:hAnsi="Calibri" w:cs="Calibri"/>
                <w:color w:val="000000"/>
                <w:sz w:val="22"/>
                <w:szCs w:val="22"/>
              </w:rPr>
              <w:t>(10.9)%</w:t>
            </w:r>
          </w:p>
        </w:tc>
      </w:tr>
      <w:tr w:rsidR="00584FC2" w:rsidRPr="00584FC2" w:rsidTr="00C6052E">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584FC2" w:rsidRPr="00584FC2" w:rsidRDefault="00584FC2" w:rsidP="00584FC2">
            <w:pPr>
              <w:rPr>
                <w:rFonts w:ascii="Arial" w:hAnsi="Arial" w:cs="Arial"/>
                <w:color w:val="000000"/>
                <w:sz w:val="18"/>
                <w:szCs w:val="18"/>
              </w:rPr>
            </w:pPr>
            <w:r w:rsidRPr="00584FC2">
              <w:rPr>
                <w:rFonts w:ascii="Arial" w:hAnsi="Arial" w:cs="Arial"/>
                <w:color w:val="000000"/>
                <w:sz w:val="18"/>
                <w:szCs w:val="18"/>
              </w:rPr>
              <w:t>Training</w:t>
            </w:r>
          </w:p>
        </w:tc>
        <w:tc>
          <w:tcPr>
            <w:tcW w:w="961" w:type="dxa"/>
            <w:tcBorders>
              <w:top w:val="nil"/>
              <w:left w:val="nil"/>
              <w:bottom w:val="nil"/>
              <w:right w:val="nil"/>
            </w:tcBorders>
            <w:shd w:val="clear" w:color="auto" w:fill="auto"/>
            <w:noWrap/>
            <w:vAlign w:val="bottom"/>
            <w:hideMark/>
          </w:tcPr>
          <w:p w:rsidR="00584FC2" w:rsidRPr="00584FC2" w:rsidRDefault="00584FC2" w:rsidP="000E02D9">
            <w:pPr>
              <w:jc w:val="right"/>
              <w:rPr>
                <w:rFonts w:ascii="Calibri" w:hAnsi="Calibri" w:cs="Calibri"/>
                <w:color w:val="000000"/>
                <w:sz w:val="22"/>
                <w:szCs w:val="22"/>
              </w:rPr>
            </w:pPr>
            <w:r w:rsidRPr="00584FC2">
              <w:rPr>
                <w:rFonts w:ascii="Calibri" w:hAnsi="Calibri" w:cs="Calibri"/>
                <w:color w:val="000000"/>
                <w:sz w:val="22"/>
                <w:szCs w:val="22"/>
              </w:rPr>
              <w:t>41</w:t>
            </w:r>
            <w:r w:rsidR="000E02D9">
              <w:rPr>
                <w:rFonts w:ascii="Calibri" w:hAnsi="Calibri" w:cs="Calibri"/>
                <w:color w:val="000000"/>
                <w:sz w:val="22"/>
                <w:szCs w:val="22"/>
              </w:rPr>
              <w:t>9</w:t>
            </w:r>
          </w:p>
        </w:tc>
        <w:tc>
          <w:tcPr>
            <w:tcW w:w="961" w:type="dxa"/>
            <w:tcBorders>
              <w:top w:val="nil"/>
              <w:left w:val="nil"/>
              <w:bottom w:val="nil"/>
              <w:right w:val="nil"/>
            </w:tcBorders>
            <w:shd w:val="clear" w:color="auto" w:fill="auto"/>
            <w:noWrap/>
            <w:vAlign w:val="bottom"/>
          </w:tcPr>
          <w:p w:rsidR="00584FC2" w:rsidRPr="00584FC2" w:rsidRDefault="009D4BE3" w:rsidP="00584FC2">
            <w:pPr>
              <w:jc w:val="right"/>
              <w:rPr>
                <w:rFonts w:ascii="Calibri" w:hAnsi="Calibri" w:cs="Calibri"/>
                <w:color w:val="000000"/>
                <w:sz w:val="22"/>
                <w:szCs w:val="22"/>
              </w:rPr>
            </w:pPr>
            <w:r>
              <w:rPr>
                <w:rFonts w:ascii="Calibri" w:hAnsi="Calibri" w:cs="Calibri"/>
                <w:color w:val="000000"/>
                <w:sz w:val="22"/>
                <w:szCs w:val="22"/>
              </w:rPr>
              <w:t>138</w:t>
            </w:r>
          </w:p>
        </w:tc>
        <w:tc>
          <w:tcPr>
            <w:tcW w:w="961" w:type="dxa"/>
            <w:tcBorders>
              <w:top w:val="nil"/>
              <w:left w:val="nil"/>
              <w:bottom w:val="nil"/>
              <w:right w:val="nil"/>
            </w:tcBorders>
            <w:shd w:val="clear" w:color="auto" w:fill="auto"/>
            <w:noWrap/>
            <w:vAlign w:val="bottom"/>
          </w:tcPr>
          <w:p w:rsidR="00584FC2" w:rsidRPr="00584FC2" w:rsidRDefault="009D4BE3" w:rsidP="00584FC2">
            <w:pPr>
              <w:jc w:val="right"/>
              <w:rPr>
                <w:rFonts w:ascii="Calibri" w:hAnsi="Calibri" w:cs="Calibri"/>
                <w:color w:val="000000"/>
                <w:sz w:val="22"/>
                <w:szCs w:val="22"/>
              </w:rPr>
            </w:pPr>
            <w:r>
              <w:rPr>
                <w:rFonts w:ascii="Calibri" w:hAnsi="Calibri" w:cs="Calibri"/>
                <w:color w:val="000000"/>
                <w:sz w:val="22"/>
                <w:szCs w:val="22"/>
              </w:rPr>
              <w:t>139</w:t>
            </w:r>
          </w:p>
        </w:tc>
        <w:tc>
          <w:tcPr>
            <w:tcW w:w="1051" w:type="dxa"/>
            <w:tcBorders>
              <w:top w:val="nil"/>
              <w:left w:val="nil"/>
              <w:bottom w:val="nil"/>
              <w:right w:val="nil"/>
            </w:tcBorders>
            <w:shd w:val="clear" w:color="auto" w:fill="auto"/>
            <w:noWrap/>
            <w:vAlign w:val="bottom"/>
          </w:tcPr>
          <w:p w:rsidR="00584FC2" w:rsidRPr="00584FC2" w:rsidRDefault="009D4BE3" w:rsidP="00584FC2">
            <w:pPr>
              <w:jc w:val="right"/>
              <w:rPr>
                <w:rFonts w:ascii="Calibri" w:hAnsi="Calibri" w:cs="Calibri"/>
                <w:color w:val="000000"/>
                <w:sz w:val="22"/>
                <w:szCs w:val="22"/>
              </w:rPr>
            </w:pPr>
            <w:r>
              <w:rPr>
                <w:rFonts w:ascii="Calibri" w:hAnsi="Calibri" w:cs="Calibri"/>
                <w:color w:val="000000"/>
                <w:sz w:val="22"/>
                <w:szCs w:val="22"/>
              </w:rPr>
              <w:t>1</w:t>
            </w:r>
          </w:p>
        </w:tc>
        <w:tc>
          <w:tcPr>
            <w:tcW w:w="1302" w:type="dxa"/>
            <w:tcBorders>
              <w:top w:val="nil"/>
              <w:left w:val="nil"/>
              <w:bottom w:val="nil"/>
              <w:right w:val="nil"/>
            </w:tcBorders>
            <w:shd w:val="clear" w:color="auto" w:fill="auto"/>
            <w:noWrap/>
            <w:vAlign w:val="bottom"/>
          </w:tcPr>
          <w:p w:rsidR="00584FC2" w:rsidRPr="00584FC2" w:rsidRDefault="009D4BE3" w:rsidP="00584FC2">
            <w:pPr>
              <w:jc w:val="right"/>
              <w:rPr>
                <w:rFonts w:ascii="Calibri" w:hAnsi="Calibri" w:cs="Calibri"/>
                <w:color w:val="000000"/>
                <w:sz w:val="22"/>
                <w:szCs w:val="22"/>
              </w:rPr>
            </w:pPr>
            <w:r>
              <w:rPr>
                <w:rFonts w:ascii="Calibri" w:hAnsi="Calibri" w:cs="Calibri"/>
                <w:color w:val="000000"/>
                <w:sz w:val="22"/>
                <w:szCs w:val="22"/>
              </w:rPr>
              <w:t>0.6%</w:t>
            </w:r>
          </w:p>
        </w:tc>
      </w:tr>
      <w:tr w:rsidR="00584FC2" w:rsidRPr="00584FC2" w:rsidTr="00C6052E">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584FC2" w:rsidRPr="00584FC2" w:rsidRDefault="00584FC2" w:rsidP="00584FC2">
            <w:pPr>
              <w:rPr>
                <w:rFonts w:ascii="Arial" w:hAnsi="Arial" w:cs="Arial"/>
                <w:color w:val="000000"/>
                <w:sz w:val="18"/>
                <w:szCs w:val="18"/>
              </w:rPr>
            </w:pPr>
            <w:r w:rsidRPr="00584FC2">
              <w:rPr>
                <w:rFonts w:ascii="Arial" w:hAnsi="Arial" w:cs="Arial"/>
                <w:color w:val="000000"/>
                <w:sz w:val="18"/>
                <w:szCs w:val="18"/>
              </w:rPr>
              <w:t>Corporate Services</w:t>
            </w:r>
          </w:p>
        </w:tc>
        <w:tc>
          <w:tcPr>
            <w:tcW w:w="961" w:type="dxa"/>
            <w:tcBorders>
              <w:top w:val="nil"/>
              <w:left w:val="nil"/>
              <w:bottom w:val="nil"/>
              <w:right w:val="nil"/>
            </w:tcBorders>
            <w:shd w:val="clear" w:color="auto" w:fill="auto"/>
            <w:noWrap/>
            <w:vAlign w:val="bottom"/>
            <w:hideMark/>
          </w:tcPr>
          <w:p w:rsidR="00584FC2" w:rsidRPr="00584FC2" w:rsidRDefault="00584FC2" w:rsidP="000E02D9">
            <w:pPr>
              <w:jc w:val="right"/>
              <w:rPr>
                <w:rFonts w:ascii="Calibri" w:hAnsi="Calibri" w:cs="Calibri"/>
                <w:color w:val="000000"/>
                <w:sz w:val="22"/>
                <w:szCs w:val="22"/>
              </w:rPr>
            </w:pPr>
            <w:r w:rsidRPr="00584FC2">
              <w:rPr>
                <w:rFonts w:ascii="Calibri" w:hAnsi="Calibri" w:cs="Calibri"/>
                <w:color w:val="000000"/>
                <w:sz w:val="22"/>
                <w:szCs w:val="22"/>
              </w:rPr>
              <w:t>1,0</w:t>
            </w:r>
            <w:r w:rsidR="000E02D9">
              <w:rPr>
                <w:rFonts w:ascii="Calibri" w:hAnsi="Calibri" w:cs="Calibri"/>
                <w:color w:val="000000"/>
                <w:sz w:val="22"/>
                <w:szCs w:val="22"/>
              </w:rPr>
              <w:t>40</w:t>
            </w:r>
          </w:p>
        </w:tc>
        <w:tc>
          <w:tcPr>
            <w:tcW w:w="961" w:type="dxa"/>
            <w:tcBorders>
              <w:top w:val="nil"/>
              <w:left w:val="nil"/>
              <w:bottom w:val="nil"/>
              <w:right w:val="nil"/>
            </w:tcBorders>
            <w:shd w:val="clear" w:color="auto" w:fill="auto"/>
            <w:noWrap/>
            <w:vAlign w:val="bottom"/>
          </w:tcPr>
          <w:p w:rsidR="00584FC2" w:rsidRPr="00584FC2" w:rsidRDefault="009D4BE3" w:rsidP="00584FC2">
            <w:pPr>
              <w:jc w:val="right"/>
              <w:rPr>
                <w:rFonts w:ascii="Calibri" w:hAnsi="Calibri" w:cs="Calibri"/>
                <w:color w:val="000000"/>
                <w:sz w:val="22"/>
                <w:szCs w:val="22"/>
              </w:rPr>
            </w:pPr>
            <w:r>
              <w:rPr>
                <w:rFonts w:ascii="Calibri" w:hAnsi="Calibri" w:cs="Calibri"/>
                <w:color w:val="000000"/>
                <w:sz w:val="22"/>
                <w:szCs w:val="22"/>
              </w:rPr>
              <w:t>501</w:t>
            </w:r>
          </w:p>
        </w:tc>
        <w:tc>
          <w:tcPr>
            <w:tcW w:w="961" w:type="dxa"/>
            <w:tcBorders>
              <w:top w:val="nil"/>
              <w:left w:val="nil"/>
              <w:bottom w:val="nil"/>
              <w:right w:val="nil"/>
            </w:tcBorders>
            <w:shd w:val="clear" w:color="auto" w:fill="auto"/>
            <w:noWrap/>
            <w:vAlign w:val="bottom"/>
          </w:tcPr>
          <w:p w:rsidR="00584FC2" w:rsidRPr="00584FC2" w:rsidRDefault="009D4BE3" w:rsidP="00584FC2">
            <w:pPr>
              <w:jc w:val="right"/>
              <w:rPr>
                <w:rFonts w:ascii="Calibri" w:hAnsi="Calibri" w:cs="Calibri"/>
                <w:color w:val="000000"/>
                <w:sz w:val="22"/>
                <w:szCs w:val="22"/>
              </w:rPr>
            </w:pPr>
            <w:r>
              <w:rPr>
                <w:rFonts w:ascii="Calibri" w:hAnsi="Calibri" w:cs="Calibri"/>
                <w:color w:val="000000"/>
                <w:sz w:val="22"/>
                <w:szCs w:val="22"/>
              </w:rPr>
              <w:t>513</w:t>
            </w:r>
          </w:p>
        </w:tc>
        <w:tc>
          <w:tcPr>
            <w:tcW w:w="1051" w:type="dxa"/>
            <w:tcBorders>
              <w:top w:val="nil"/>
              <w:left w:val="nil"/>
              <w:bottom w:val="nil"/>
              <w:right w:val="nil"/>
            </w:tcBorders>
            <w:shd w:val="clear" w:color="auto" w:fill="auto"/>
            <w:noWrap/>
            <w:vAlign w:val="bottom"/>
          </w:tcPr>
          <w:p w:rsidR="00584FC2" w:rsidRPr="00584FC2" w:rsidRDefault="009D4BE3" w:rsidP="00584FC2">
            <w:pPr>
              <w:jc w:val="right"/>
              <w:rPr>
                <w:rFonts w:ascii="Calibri" w:hAnsi="Calibri" w:cs="Calibri"/>
                <w:color w:val="000000"/>
                <w:sz w:val="22"/>
                <w:szCs w:val="22"/>
              </w:rPr>
            </w:pPr>
            <w:r>
              <w:rPr>
                <w:rFonts w:ascii="Calibri" w:hAnsi="Calibri" w:cs="Calibri"/>
                <w:color w:val="000000"/>
                <w:sz w:val="22"/>
                <w:szCs w:val="22"/>
              </w:rPr>
              <w:t>12</w:t>
            </w:r>
          </w:p>
        </w:tc>
        <w:tc>
          <w:tcPr>
            <w:tcW w:w="1302" w:type="dxa"/>
            <w:tcBorders>
              <w:top w:val="nil"/>
              <w:left w:val="nil"/>
              <w:bottom w:val="nil"/>
              <w:right w:val="nil"/>
            </w:tcBorders>
            <w:shd w:val="clear" w:color="auto" w:fill="auto"/>
            <w:noWrap/>
            <w:vAlign w:val="bottom"/>
          </w:tcPr>
          <w:p w:rsidR="00584FC2" w:rsidRPr="00584FC2" w:rsidRDefault="009D4BE3" w:rsidP="00584FC2">
            <w:pPr>
              <w:jc w:val="right"/>
              <w:rPr>
                <w:rFonts w:ascii="Calibri" w:hAnsi="Calibri" w:cs="Calibri"/>
                <w:color w:val="000000"/>
                <w:sz w:val="22"/>
                <w:szCs w:val="22"/>
              </w:rPr>
            </w:pPr>
            <w:r>
              <w:rPr>
                <w:rFonts w:ascii="Calibri" w:hAnsi="Calibri" w:cs="Calibri"/>
                <w:color w:val="000000"/>
                <w:sz w:val="22"/>
                <w:szCs w:val="22"/>
              </w:rPr>
              <w:t>2.3%</w:t>
            </w:r>
          </w:p>
        </w:tc>
      </w:tr>
      <w:tr w:rsidR="00584FC2" w:rsidRPr="00584FC2" w:rsidTr="00C6052E">
        <w:trPr>
          <w:trHeight w:val="118"/>
        </w:trPr>
        <w:tc>
          <w:tcPr>
            <w:tcW w:w="3454" w:type="dxa"/>
            <w:tcBorders>
              <w:top w:val="nil"/>
              <w:left w:val="single" w:sz="8" w:space="0" w:color="FFFFFF"/>
              <w:bottom w:val="nil"/>
              <w:right w:val="single" w:sz="8" w:space="0" w:color="FFFFFF"/>
            </w:tcBorders>
            <w:shd w:val="clear" w:color="auto" w:fill="auto"/>
            <w:vAlign w:val="bottom"/>
            <w:hideMark/>
          </w:tcPr>
          <w:p w:rsidR="00584FC2" w:rsidRPr="00584FC2" w:rsidRDefault="00584FC2" w:rsidP="00584FC2">
            <w:pPr>
              <w:rPr>
                <w:rFonts w:ascii="Arial" w:hAnsi="Arial" w:cs="Arial"/>
                <w:color w:val="000000"/>
                <w:sz w:val="18"/>
                <w:szCs w:val="18"/>
              </w:rPr>
            </w:pPr>
            <w:r w:rsidRPr="00584FC2">
              <w:rPr>
                <w:rFonts w:ascii="Arial" w:hAnsi="Arial" w:cs="Arial"/>
                <w:color w:val="000000"/>
                <w:sz w:val="18"/>
                <w:szCs w:val="18"/>
              </w:rPr>
              <w:t xml:space="preserve">Finance, Procurement &amp; Estates </w:t>
            </w:r>
          </w:p>
        </w:tc>
        <w:tc>
          <w:tcPr>
            <w:tcW w:w="961" w:type="dxa"/>
            <w:tcBorders>
              <w:top w:val="nil"/>
              <w:left w:val="nil"/>
              <w:bottom w:val="nil"/>
              <w:right w:val="nil"/>
            </w:tcBorders>
            <w:shd w:val="clear" w:color="auto" w:fill="auto"/>
            <w:noWrap/>
            <w:vAlign w:val="bottom"/>
            <w:hideMark/>
          </w:tcPr>
          <w:p w:rsidR="00584FC2" w:rsidRPr="00584FC2" w:rsidRDefault="00584FC2" w:rsidP="000E02D9">
            <w:pPr>
              <w:jc w:val="right"/>
              <w:rPr>
                <w:rFonts w:ascii="Calibri" w:hAnsi="Calibri" w:cs="Calibri"/>
                <w:color w:val="000000"/>
                <w:sz w:val="22"/>
                <w:szCs w:val="22"/>
              </w:rPr>
            </w:pPr>
            <w:r w:rsidRPr="00584FC2">
              <w:rPr>
                <w:rFonts w:ascii="Calibri" w:hAnsi="Calibri" w:cs="Calibri"/>
                <w:color w:val="000000"/>
                <w:sz w:val="22"/>
                <w:szCs w:val="22"/>
              </w:rPr>
              <w:t>1,6</w:t>
            </w:r>
            <w:r w:rsidR="000E02D9">
              <w:rPr>
                <w:rFonts w:ascii="Calibri" w:hAnsi="Calibri" w:cs="Calibri"/>
                <w:color w:val="000000"/>
                <w:sz w:val="22"/>
                <w:szCs w:val="22"/>
              </w:rPr>
              <w:t>19</w:t>
            </w:r>
          </w:p>
        </w:tc>
        <w:tc>
          <w:tcPr>
            <w:tcW w:w="961" w:type="dxa"/>
            <w:tcBorders>
              <w:top w:val="nil"/>
              <w:left w:val="nil"/>
              <w:bottom w:val="nil"/>
              <w:right w:val="nil"/>
            </w:tcBorders>
            <w:shd w:val="clear" w:color="auto" w:fill="auto"/>
            <w:noWrap/>
            <w:vAlign w:val="bottom"/>
          </w:tcPr>
          <w:p w:rsidR="00584FC2" w:rsidRPr="00584FC2" w:rsidRDefault="00C74503" w:rsidP="00584FC2">
            <w:pPr>
              <w:jc w:val="right"/>
              <w:rPr>
                <w:rFonts w:ascii="Calibri" w:hAnsi="Calibri" w:cs="Calibri"/>
                <w:color w:val="000000"/>
                <w:sz w:val="22"/>
                <w:szCs w:val="22"/>
              </w:rPr>
            </w:pPr>
            <w:r>
              <w:rPr>
                <w:rFonts w:ascii="Calibri" w:hAnsi="Calibri" w:cs="Calibri"/>
                <w:color w:val="000000"/>
                <w:sz w:val="22"/>
                <w:szCs w:val="22"/>
              </w:rPr>
              <w:t>752</w:t>
            </w:r>
          </w:p>
        </w:tc>
        <w:tc>
          <w:tcPr>
            <w:tcW w:w="961" w:type="dxa"/>
            <w:tcBorders>
              <w:top w:val="nil"/>
              <w:left w:val="nil"/>
              <w:bottom w:val="nil"/>
              <w:right w:val="nil"/>
            </w:tcBorders>
            <w:shd w:val="clear" w:color="auto" w:fill="auto"/>
            <w:noWrap/>
            <w:vAlign w:val="bottom"/>
          </w:tcPr>
          <w:p w:rsidR="00584FC2" w:rsidRPr="00584FC2" w:rsidRDefault="00C74503" w:rsidP="00584FC2">
            <w:pPr>
              <w:jc w:val="right"/>
              <w:rPr>
                <w:rFonts w:ascii="Calibri" w:hAnsi="Calibri" w:cs="Calibri"/>
                <w:color w:val="000000"/>
                <w:sz w:val="22"/>
                <w:szCs w:val="22"/>
              </w:rPr>
            </w:pPr>
            <w:r>
              <w:rPr>
                <w:rFonts w:ascii="Calibri" w:hAnsi="Calibri" w:cs="Calibri"/>
                <w:color w:val="000000"/>
                <w:sz w:val="22"/>
                <w:szCs w:val="22"/>
              </w:rPr>
              <w:t>762</w:t>
            </w:r>
          </w:p>
        </w:tc>
        <w:tc>
          <w:tcPr>
            <w:tcW w:w="1051" w:type="dxa"/>
            <w:tcBorders>
              <w:top w:val="nil"/>
              <w:left w:val="nil"/>
              <w:bottom w:val="nil"/>
              <w:right w:val="nil"/>
            </w:tcBorders>
            <w:shd w:val="clear" w:color="auto" w:fill="auto"/>
            <w:noWrap/>
            <w:vAlign w:val="bottom"/>
          </w:tcPr>
          <w:p w:rsidR="00584FC2" w:rsidRPr="00584FC2" w:rsidRDefault="006E1354" w:rsidP="00584FC2">
            <w:pPr>
              <w:jc w:val="right"/>
              <w:rPr>
                <w:rFonts w:ascii="Calibri" w:hAnsi="Calibri" w:cs="Calibri"/>
                <w:color w:val="000000"/>
                <w:sz w:val="22"/>
                <w:szCs w:val="22"/>
              </w:rPr>
            </w:pPr>
            <w:r>
              <w:rPr>
                <w:rFonts w:ascii="Calibri" w:hAnsi="Calibri" w:cs="Calibri"/>
                <w:color w:val="000000"/>
                <w:sz w:val="22"/>
                <w:szCs w:val="22"/>
              </w:rPr>
              <w:t>10</w:t>
            </w:r>
          </w:p>
        </w:tc>
        <w:tc>
          <w:tcPr>
            <w:tcW w:w="1302" w:type="dxa"/>
            <w:tcBorders>
              <w:top w:val="nil"/>
              <w:left w:val="nil"/>
              <w:bottom w:val="nil"/>
              <w:right w:val="nil"/>
            </w:tcBorders>
            <w:shd w:val="clear" w:color="auto" w:fill="auto"/>
            <w:noWrap/>
            <w:vAlign w:val="bottom"/>
          </w:tcPr>
          <w:p w:rsidR="00584FC2" w:rsidRPr="00584FC2" w:rsidRDefault="006E1354" w:rsidP="00584FC2">
            <w:pPr>
              <w:jc w:val="right"/>
              <w:rPr>
                <w:rFonts w:ascii="Calibri" w:hAnsi="Calibri" w:cs="Calibri"/>
                <w:color w:val="000000"/>
                <w:sz w:val="22"/>
                <w:szCs w:val="22"/>
              </w:rPr>
            </w:pPr>
            <w:r>
              <w:rPr>
                <w:rFonts w:ascii="Calibri" w:hAnsi="Calibri" w:cs="Calibri"/>
                <w:color w:val="000000"/>
                <w:sz w:val="22"/>
                <w:szCs w:val="22"/>
              </w:rPr>
              <w:t>1.1%</w:t>
            </w:r>
          </w:p>
        </w:tc>
      </w:tr>
      <w:tr w:rsidR="00584FC2" w:rsidRPr="00584FC2" w:rsidTr="00C6052E">
        <w:trPr>
          <w:trHeight w:val="118"/>
        </w:trPr>
        <w:tc>
          <w:tcPr>
            <w:tcW w:w="3454" w:type="dxa"/>
            <w:tcBorders>
              <w:top w:val="nil"/>
              <w:left w:val="single" w:sz="8" w:space="0" w:color="FFFFFF"/>
              <w:bottom w:val="nil"/>
              <w:right w:val="single" w:sz="8" w:space="0" w:color="FFFFFF"/>
            </w:tcBorders>
            <w:shd w:val="clear" w:color="auto" w:fill="auto"/>
            <w:vAlign w:val="bottom"/>
            <w:hideMark/>
          </w:tcPr>
          <w:p w:rsidR="00584FC2" w:rsidRPr="00584FC2" w:rsidRDefault="00584FC2" w:rsidP="00584FC2">
            <w:pPr>
              <w:rPr>
                <w:rFonts w:ascii="Arial" w:hAnsi="Arial" w:cs="Arial"/>
                <w:color w:val="000000"/>
                <w:sz w:val="18"/>
                <w:szCs w:val="18"/>
              </w:rPr>
            </w:pPr>
            <w:r w:rsidRPr="00584FC2">
              <w:rPr>
                <w:rFonts w:ascii="Arial" w:hAnsi="Arial" w:cs="Arial"/>
                <w:color w:val="000000"/>
                <w:sz w:val="18"/>
                <w:szCs w:val="18"/>
              </w:rPr>
              <w:t>Reserves</w:t>
            </w:r>
          </w:p>
        </w:tc>
        <w:tc>
          <w:tcPr>
            <w:tcW w:w="961" w:type="dxa"/>
            <w:tcBorders>
              <w:top w:val="nil"/>
              <w:left w:val="nil"/>
              <w:bottom w:val="nil"/>
              <w:right w:val="nil"/>
            </w:tcBorders>
            <w:shd w:val="clear" w:color="auto" w:fill="auto"/>
            <w:noWrap/>
            <w:vAlign w:val="bottom"/>
            <w:hideMark/>
          </w:tcPr>
          <w:p w:rsidR="00584FC2" w:rsidRPr="00584FC2" w:rsidRDefault="00584FC2" w:rsidP="000E02D9">
            <w:pPr>
              <w:jc w:val="right"/>
              <w:rPr>
                <w:rFonts w:ascii="Calibri" w:hAnsi="Calibri" w:cs="Calibri"/>
                <w:color w:val="000000"/>
                <w:sz w:val="22"/>
                <w:szCs w:val="22"/>
              </w:rPr>
            </w:pPr>
            <w:r w:rsidRPr="00584FC2">
              <w:rPr>
                <w:rFonts w:ascii="Calibri" w:hAnsi="Calibri" w:cs="Calibri"/>
                <w:color w:val="000000"/>
                <w:sz w:val="22"/>
                <w:szCs w:val="22"/>
              </w:rPr>
              <w:t>1</w:t>
            </w:r>
            <w:r w:rsidR="000E02D9">
              <w:rPr>
                <w:rFonts w:ascii="Calibri" w:hAnsi="Calibri" w:cs="Calibri"/>
                <w:color w:val="000000"/>
                <w:sz w:val="22"/>
                <w:szCs w:val="22"/>
              </w:rPr>
              <w:t>22</w:t>
            </w:r>
          </w:p>
        </w:tc>
        <w:tc>
          <w:tcPr>
            <w:tcW w:w="961" w:type="dxa"/>
            <w:tcBorders>
              <w:top w:val="nil"/>
              <w:left w:val="nil"/>
              <w:bottom w:val="nil"/>
              <w:right w:val="nil"/>
            </w:tcBorders>
            <w:shd w:val="clear" w:color="auto" w:fill="auto"/>
            <w:noWrap/>
            <w:vAlign w:val="bottom"/>
          </w:tcPr>
          <w:p w:rsidR="00584FC2" w:rsidRPr="00584FC2" w:rsidRDefault="006E1354" w:rsidP="00584FC2">
            <w:pPr>
              <w:jc w:val="right"/>
              <w:rPr>
                <w:rFonts w:ascii="Calibri" w:hAnsi="Calibri" w:cs="Calibri"/>
                <w:color w:val="000000"/>
                <w:sz w:val="22"/>
                <w:szCs w:val="22"/>
              </w:rPr>
            </w:pPr>
            <w:r>
              <w:rPr>
                <w:rFonts w:ascii="Calibri" w:hAnsi="Calibri" w:cs="Calibri"/>
                <w:color w:val="000000"/>
                <w:sz w:val="22"/>
                <w:szCs w:val="22"/>
              </w:rPr>
              <w:t>0</w:t>
            </w:r>
          </w:p>
        </w:tc>
        <w:tc>
          <w:tcPr>
            <w:tcW w:w="961" w:type="dxa"/>
            <w:tcBorders>
              <w:top w:val="nil"/>
              <w:left w:val="nil"/>
              <w:bottom w:val="nil"/>
              <w:right w:val="nil"/>
            </w:tcBorders>
            <w:shd w:val="clear" w:color="auto" w:fill="auto"/>
            <w:noWrap/>
            <w:vAlign w:val="bottom"/>
          </w:tcPr>
          <w:p w:rsidR="00584FC2" w:rsidRPr="00584FC2" w:rsidRDefault="006E1354" w:rsidP="00584FC2">
            <w:pPr>
              <w:jc w:val="right"/>
              <w:rPr>
                <w:rFonts w:ascii="Calibri" w:hAnsi="Calibri" w:cs="Calibri"/>
                <w:color w:val="000000"/>
                <w:sz w:val="22"/>
                <w:szCs w:val="22"/>
              </w:rPr>
            </w:pPr>
            <w:r>
              <w:rPr>
                <w:rFonts w:ascii="Calibri" w:hAnsi="Calibri" w:cs="Calibri"/>
                <w:color w:val="000000"/>
                <w:sz w:val="22"/>
                <w:szCs w:val="22"/>
              </w:rPr>
              <w:t>0</w:t>
            </w:r>
          </w:p>
        </w:tc>
        <w:tc>
          <w:tcPr>
            <w:tcW w:w="1051" w:type="dxa"/>
            <w:tcBorders>
              <w:top w:val="nil"/>
              <w:left w:val="nil"/>
              <w:bottom w:val="nil"/>
              <w:right w:val="nil"/>
            </w:tcBorders>
            <w:shd w:val="clear" w:color="auto" w:fill="auto"/>
            <w:noWrap/>
            <w:vAlign w:val="bottom"/>
          </w:tcPr>
          <w:p w:rsidR="00584FC2" w:rsidRPr="00584FC2" w:rsidRDefault="006E1354" w:rsidP="00584FC2">
            <w:pPr>
              <w:jc w:val="right"/>
              <w:rPr>
                <w:rFonts w:ascii="Calibri" w:hAnsi="Calibri" w:cs="Calibri"/>
                <w:color w:val="000000"/>
                <w:sz w:val="22"/>
                <w:szCs w:val="22"/>
              </w:rPr>
            </w:pPr>
            <w:r>
              <w:rPr>
                <w:rFonts w:ascii="Calibri" w:hAnsi="Calibri" w:cs="Calibri"/>
                <w:color w:val="000000"/>
                <w:sz w:val="22"/>
                <w:szCs w:val="22"/>
              </w:rPr>
              <w:t>0</w:t>
            </w:r>
          </w:p>
        </w:tc>
        <w:tc>
          <w:tcPr>
            <w:tcW w:w="1302" w:type="dxa"/>
            <w:tcBorders>
              <w:top w:val="nil"/>
              <w:left w:val="nil"/>
              <w:bottom w:val="nil"/>
              <w:right w:val="nil"/>
            </w:tcBorders>
            <w:shd w:val="clear" w:color="auto" w:fill="auto"/>
            <w:noWrap/>
            <w:vAlign w:val="bottom"/>
          </w:tcPr>
          <w:p w:rsidR="00584FC2" w:rsidRPr="00584FC2" w:rsidRDefault="006E1354" w:rsidP="000E02D9">
            <w:pPr>
              <w:jc w:val="right"/>
              <w:rPr>
                <w:rFonts w:ascii="Calibri" w:hAnsi="Calibri" w:cs="Calibri"/>
                <w:color w:val="000000"/>
                <w:sz w:val="22"/>
                <w:szCs w:val="22"/>
              </w:rPr>
            </w:pPr>
            <w:r>
              <w:rPr>
                <w:rFonts w:ascii="Calibri" w:hAnsi="Calibri" w:cs="Calibri"/>
                <w:color w:val="000000"/>
                <w:sz w:val="22"/>
                <w:szCs w:val="22"/>
              </w:rPr>
              <w:t>-</w:t>
            </w:r>
          </w:p>
        </w:tc>
      </w:tr>
      <w:tr w:rsidR="00584FC2" w:rsidRPr="00584FC2" w:rsidTr="00C6052E">
        <w:trPr>
          <w:trHeight w:val="118"/>
        </w:trPr>
        <w:tc>
          <w:tcPr>
            <w:tcW w:w="3454" w:type="dxa"/>
            <w:tcBorders>
              <w:top w:val="nil"/>
              <w:left w:val="single" w:sz="8" w:space="0" w:color="FFFFFF"/>
              <w:bottom w:val="nil"/>
              <w:right w:val="single" w:sz="8" w:space="0" w:color="FFFFFF"/>
            </w:tcBorders>
            <w:shd w:val="clear" w:color="auto" w:fill="auto"/>
            <w:vAlign w:val="bottom"/>
            <w:hideMark/>
          </w:tcPr>
          <w:p w:rsidR="00584FC2" w:rsidRPr="00584FC2" w:rsidRDefault="00584FC2" w:rsidP="00584FC2">
            <w:pPr>
              <w:rPr>
                <w:rFonts w:ascii="Arial" w:hAnsi="Arial" w:cs="Arial"/>
                <w:color w:val="000000"/>
                <w:sz w:val="18"/>
                <w:szCs w:val="18"/>
              </w:rPr>
            </w:pPr>
            <w:r w:rsidRPr="00584FC2">
              <w:rPr>
                <w:rFonts w:ascii="Arial" w:hAnsi="Arial" w:cs="Arial"/>
                <w:color w:val="000000"/>
                <w:sz w:val="18"/>
                <w:szCs w:val="18"/>
              </w:rPr>
              <w:t>Depreciation</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570</w:t>
            </w:r>
          </w:p>
        </w:tc>
        <w:tc>
          <w:tcPr>
            <w:tcW w:w="961" w:type="dxa"/>
            <w:tcBorders>
              <w:top w:val="nil"/>
              <w:left w:val="nil"/>
              <w:bottom w:val="nil"/>
              <w:right w:val="nil"/>
            </w:tcBorders>
            <w:shd w:val="clear" w:color="auto" w:fill="auto"/>
            <w:noWrap/>
            <w:vAlign w:val="bottom"/>
          </w:tcPr>
          <w:p w:rsidR="00584FC2" w:rsidRPr="00584FC2" w:rsidRDefault="006E1354" w:rsidP="00584FC2">
            <w:pPr>
              <w:jc w:val="right"/>
              <w:rPr>
                <w:rFonts w:ascii="Calibri" w:hAnsi="Calibri" w:cs="Calibri"/>
                <w:color w:val="000000"/>
                <w:sz w:val="22"/>
                <w:szCs w:val="22"/>
              </w:rPr>
            </w:pPr>
            <w:r>
              <w:rPr>
                <w:rFonts w:ascii="Calibri" w:hAnsi="Calibri" w:cs="Calibri"/>
                <w:color w:val="000000"/>
                <w:sz w:val="22"/>
                <w:szCs w:val="22"/>
              </w:rPr>
              <w:t>258</w:t>
            </w:r>
          </w:p>
        </w:tc>
        <w:tc>
          <w:tcPr>
            <w:tcW w:w="961" w:type="dxa"/>
            <w:tcBorders>
              <w:top w:val="nil"/>
              <w:left w:val="nil"/>
              <w:bottom w:val="nil"/>
              <w:right w:val="nil"/>
            </w:tcBorders>
            <w:shd w:val="clear" w:color="auto" w:fill="auto"/>
            <w:noWrap/>
            <w:vAlign w:val="bottom"/>
          </w:tcPr>
          <w:p w:rsidR="00584FC2" w:rsidRPr="00584FC2" w:rsidRDefault="006E1354" w:rsidP="00584FC2">
            <w:pPr>
              <w:jc w:val="right"/>
              <w:rPr>
                <w:rFonts w:ascii="Calibri" w:hAnsi="Calibri" w:cs="Calibri"/>
                <w:color w:val="000000"/>
                <w:sz w:val="22"/>
                <w:szCs w:val="22"/>
              </w:rPr>
            </w:pPr>
            <w:r>
              <w:rPr>
                <w:rFonts w:ascii="Calibri" w:hAnsi="Calibri" w:cs="Calibri"/>
                <w:color w:val="000000"/>
                <w:sz w:val="22"/>
                <w:szCs w:val="22"/>
              </w:rPr>
              <w:t>258</w:t>
            </w:r>
          </w:p>
        </w:tc>
        <w:tc>
          <w:tcPr>
            <w:tcW w:w="1051" w:type="dxa"/>
            <w:tcBorders>
              <w:top w:val="nil"/>
              <w:left w:val="nil"/>
              <w:bottom w:val="nil"/>
              <w:right w:val="nil"/>
            </w:tcBorders>
            <w:shd w:val="clear" w:color="auto" w:fill="auto"/>
            <w:noWrap/>
            <w:vAlign w:val="bottom"/>
          </w:tcPr>
          <w:p w:rsidR="00584FC2" w:rsidRPr="00584FC2" w:rsidRDefault="006E1354" w:rsidP="00584FC2">
            <w:pPr>
              <w:jc w:val="right"/>
              <w:rPr>
                <w:rFonts w:ascii="Calibri" w:hAnsi="Calibri" w:cs="Calibri"/>
                <w:color w:val="000000"/>
                <w:sz w:val="22"/>
                <w:szCs w:val="22"/>
              </w:rPr>
            </w:pPr>
            <w:r>
              <w:rPr>
                <w:rFonts w:ascii="Calibri" w:hAnsi="Calibri" w:cs="Calibri"/>
                <w:color w:val="000000"/>
                <w:sz w:val="22"/>
                <w:szCs w:val="22"/>
              </w:rPr>
              <w:t>0</w:t>
            </w:r>
          </w:p>
        </w:tc>
        <w:tc>
          <w:tcPr>
            <w:tcW w:w="1302" w:type="dxa"/>
            <w:tcBorders>
              <w:top w:val="nil"/>
              <w:left w:val="nil"/>
              <w:bottom w:val="nil"/>
              <w:right w:val="nil"/>
            </w:tcBorders>
            <w:shd w:val="clear" w:color="auto" w:fill="auto"/>
            <w:noWrap/>
            <w:vAlign w:val="bottom"/>
          </w:tcPr>
          <w:p w:rsidR="00584FC2" w:rsidRPr="00584FC2" w:rsidRDefault="006E1354" w:rsidP="00584FC2">
            <w:pPr>
              <w:jc w:val="right"/>
              <w:rPr>
                <w:rFonts w:ascii="Calibri" w:hAnsi="Calibri" w:cs="Calibri"/>
                <w:color w:val="000000"/>
                <w:sz w:val="22"/>
                <w:szCs w:val="22"/>
              </w:rPr>
            </w:pPr>
            <w:r>
              <w:rPr>
                <w:rFonts w:ascii="Calibri" w:hAnsi="Calibri" w:cs="Calibri"/>
                <w:color w:val="000000"/>
                <w:sz w:val="22"/>
                <w:szCs w:val="22"/>
              </w:rPr>
              <w:t>-</w:t>
            </w:r>
          </w:p>
        </w:tc>
      </w:tr>
      <w:tr w:rsidR="00584FC2" w:rsidRPr="00584FC2" w:rsidTr="00C6052E">
        <w:trPr>
          <w:trHeight w:val="118"/>
        </w:trPr>
        <w:tc>
          <w:tcPr>
            <w:tcW w:w="3454" w:type="dxa"/>
            <w:tcBorders>
              <w:top w:val="nil"/>
              <w:left w:val="single" w:sz="8" w:space="0" w:color="FFFFFF"/>
              <w:bottom w:val="nil"/>
              <w:right w:val="single" w:sz="8" w:space="0" w:color="FFFFFF"/>
            </w:tcBorders>
            <w:shd w:val="clear" w:color="000000" w:fill="365F91"/>
            <w:vAlign w:val="bottom"/>
            <w:hideMark/>
          </w:tcPr>
          <w:p w:rsidR="00584FC2" w:rsidRPr="00584FC2" w:rsidRDefault="00584FC2" w:rsidP="00584FC2">
            <w:pPr>
              <w:rPr>
                <w:rFonts w:ascii="Arial" w:hAnsi="Arial" w:cs="Arial"/>
                <w:b/>
                <w:bCs/>
                <w:color w:val="FFFFFF"/>
                <w:sz w:val="18"/>
                <w:szCs w:val="18"/>
              </w:rPr>
            </w:pPr>
            <w:r w:rsidRPr="00584FC2">
              <w:rPr>
                <w:rFonts w:ascii="Arial" w:hAnsi="Arial" w:cs="Arial"/>
                <w:b/>
                <w:bCs/>
                <w:color w:val="FFFFFF"/>
                <w:sz w:val="18"/>
                <w:szCs w:val="18"/>
              </w:rPr>
              <w:t xml:space="preserve"> Total Expenditure</w:t>
            </w:r>
          </w:p>
        </w:tc>
        <w:tc>
          <w:tcPr>
            <w:tcW w:w="961" w:type="dxa"/>
            <w:tcBorders>
              <w:top w:val="nil"/>
              <w:left w:val="single" w:sz="8" w:space="0" w:color="FFFFFF"/>
              <w:bottom w:val="nil"/>
              <w:right w:val="single" w:sz="8" w:space="0" w:color="FFFFFF"/>
            </w:tcBorders>
            <w:shd w:val="clear" w:color="000000" w:fill="365F91"/>
            <w:vAlign w:val="bottom"/>
            <w:hideMark/>
          </w:tcPr>
          <w:p w:rsidR="00584FC2" w:rsidRPr="00584FC2" w:rsidRDefault="00584FC2" w:rsidP="00584FC2">
            <w:pPr>
              <w:jc w:val="right"/>
              <w:rPr>
                <w:rFonts w:ascii="Arial" w:hAnsi="Arial" w:cs="Arial"/>
                <w:b/>
                <w:bCs/>
                <w:color w:val="FFFFFF"/>
                <w:sz w:val="18"/>
                <w:szCs w:val="18"/>
              </w:rPr>
            </w:pPr>
            <w:r w:rsidRPr="00584FC2">
              <w:rPr>
                <w:rFonts w:ascii="Arial" w:hAnsi="Arial" w:cs="Arial"/>
                <w:b/>
                <w:bCs/>
                <w:color w:val="FFFFFF"/>
                <w:sz w:val="18"/>
                <w:szCs w:val="18"/>
              </w:rPr>
              <w:t>13,085</w:t>
            </w:r>
          </w:p>
        </w:tc>
        <w:tc>
          <w:tcPr>
            <w:tcW w:w="961" w:type="dxa"/>
            <w:tcBorders>
              <w:top w:val="nil"/>
              <w:left w:val="nil"/>
              <w:bottom w:val="nil"/>
              <w:right w:val="single" w:sz="8" w:space="0" w:color="FFFFFF"/>
            </w:tcBorders>
            <w:shd w:val="clear" w:color="000000" w:fill="365F91"/>
            <w:vAlign w:val="bottom"/>
          </w:tcPr>
          <w:p w:rsidR="00584FC2" w:rsidRPr="00584FC2" w:rsidRDefault="00C74503" w:rsidP="00C74503">
            <w:pPr>
              <w:jc w:val="right"/>
              <w:rPr>
                <w:rFonts w:ascii="Arial" w:hAnsi="Arial" w:cs="Arial"/>
                <w:b/>
                <w:bCs/>
                <w:color w:val="FFFFFF"/>
                <w:sz w:val="18"/>
                <w:szCs w:val="18"/>
              </w:rPr>
            </w:pPr>
            <w:r>
              <w:rPr>
                <w:rFonts w:ascii="Arial" w:hAnsi="Arial" w:cs="Arial"/>
                <w:b/>
                <w:bCs/>
                <w:color w:val="FFFFFF"/>
                <w:sz w:val="18"/>
                <w:szCs w:val="18"/>
              </w:rPr>
              <w:t>6,294</w:t>
            </w:r>
          </w:p>
        </w:tc>
        <w:tc>
          <w:tcPr>
            <w:tcW w:w="961" w:type="dxa"/>
            <w:tcBorders>
              <w:top w:val="nil"/>
              <w:left w:val="nil"/>
              <w:bottom w:val="nil"/>
              <w:right w:val="single" w:sz="8" w:space="0" w:color="FFFFFF"/>
            </w:tcBorders>
            <w:shd w:val="clear" w:color="000000" w:fill="365F91"/>
            <w:vAlign w:val="bottom"/>
          </w:tcPr>
          <w:p w:rsidR="00584FC2" w:rsidRPr="00584FC2" w:rsidRDefault="00C74503" w:rsidP="00584FC2">
            <w:pPr>
              <w:jc w:val="right"/>
              <w:rPr>
                <w:rFonts w:ascii="Arial" w:hAnsi="Arial" w:cs="Arial"/>
                <w:b/>
                <w:bCs/>
                <w:color w:val="FFFFFF"/>
                <w:sz w:val="18"/>
                <w:szCs w:val="18"/>
              </w:rPr>
            </w:pPr>
            <w:r>
              <w:rPr>
                <w:rFonts w:ascii="Arial" w:hAnsi="Arial" w:cs="Arial"/>
                <w:b/>
                <w:bCs/>
                <w:color w:val="FFFFFF"/>
                <w:sz w:val="18"/>
                <w:szCs w:val="18"/>
              </w:rPr>
              <w:t>6,241</w:t>
            </w:r>
          </w:p>
        </w:tc>
        <w:tc>
          <w:tcPr>
            <w:tcW w:w="1051" w:type="dxa"/>
            <w:tcBorders>
              <w:top w:val="nil"/>
              <w:left w:val="nil"/>
              <w:bottom w:val="nil"/>
              <w:right w:val="single" w:sz="8" w:space="0" w:color="FFFFFF"/>
            </w:tcBorders>
            <w:shd w:val="clear" w:color="000000" w:fill="365F91"/>
            <w:vAlign w:val="bottom"/>
          </w:tcPr>
          <w:p w:rsidR="00584FC2" w:rsidRPr="00584FC2" w:rsidRDefault="006E1354" w:rsidP="000E02D9">
            <w:pPr>
              <w:jc w:val="right"/>
              <w:rPr>
                <w:rFonts w:ascii="Arial" w:hAnsi="Arial" w:cs="Arial"/>
                <w:b/>
                <w:bCs/>
                <w:color w:val="FFFFFF"/>
                <w:sz w:val="18"/>
                <w:szCs w:val="18"/>
              </w:rPr>
            </w:pPr>
            <w:r>
              <w:rPr>
                <w:rFonts w:ascii="Arial" w:hAnsi="Arial" w:cs="Arial"/>
                <w:b/>
                <w:bCs/>
                <w:color w:val="FFFFFF"/>
                <w:sz w:val="18"/>
                <w:szCs w:val="18"/>
              </w:rPr>
              <w:t>(53)</w:t>
            </w:r>
          </w:p>
        </w:tc>
        <w:tc>
          <w:tcPr>
            <w:tcW w:w="1302" w:type="dxa"/>
            <w:tcBorders>
              <w:top w:val="nil"/>
              <w:left w:val="nil"/>
              <w:bottom w:val="nil"/>
              <w:right w:val="single" w:sz="8" w:space="0" w:color="FFFFFF"/>
            </w:tcBorders>
            <w:shd w:val="clear" w:color="000000" w:fill="365F91"/>
            <w:vAlign w:val="bottom"/>
          </w:tcPr>
          <w:p w:rsidR="00584FC2" w:rsidRPr="00584FC2" w:rsidRDefault="00426F4E" w:rsidP="00584FC2">
            <w:pPr>
              <w:jc w:val="right"/>
              <w:rPr>
                <w:rFonts w:ascii="Arial" w:hAnsi="Arial" w:cs="Arial"/>
                <w:b/>
                <w:bCs/>
                <w:color w:val="FFFFFF"/>
                <w:sz w:val="18"/>
                <w:szCs w:val="18"/>
              </w:rPr>
            </w:pPr>
            <w:r>
              <w:rPr>
                <w:rFonts w:ascii="Arial" w:hAnsi="Arial" w:cs="Arial"/>
                <w:b/>
                <w:bCs/>
                <w:color w:val="FFFFFF"/>
                <w:sz w:val="18"/>
                <w:szCs w:val="18"/>
              </w:rPr>
              <w:t>(0.8)%</w:t>
            </w:r>
          </w:p>
        </w:tc>
      </w:tr>
      <w:tr w:rsidR="00584FC2" w:rsidRPr="00584FC2" w:rsidTr="00C6052E">
        <w:trPr>
          <w:trHeight w:val="118"/>
        </w:trPr>
        <w:tc>
          <w:tcPr>
            <w:tcW w:w="3454" w:type="dxa"/>
            <w:tcBorders>
              <w:top w:val="nil"/>
              <w:left w:val="single" w:sz="8" w:space="0" w:color="FFFFFF"/>
              <w:bottom w:val="nil"/>
              <w:right w:val="single" w:sz="8" w:space="0" w:color="FFFFFF"/>
            </w:tcBorders>
            <w:shd w:val="clear" w:color="000000" w:fill="365F91"/>
            <w:vAlign w:val="bottom"/>
            <w:hideMark/>
          </w:tcPr>
          <w:p w:rsidR="00584FC2" w:rsidRPr="00584FC2" w:rsidRDefault="00584FC2" w:rsidP="00584FC2">
            <w:pPr>
              <w:rPr>
                <w:rFonts w:ascii="Arial" w:hAnsi="Arial" w:cs="Arial"/>
                <w:b/>
                <w:bCs/>
                <w:color w:val="FFFFFF"/>
                <w:sz w:val="18"/>
                <w:szCs w:val="18"/>
              </w:rPr>
            </w:pPr>
            <w:r w:rsidRPr="00584FC2">
              <w:rPr>
                <w:rFonts w:ascii="Arial" w:hAnsi="Arial" w:cs="Arial"/>
                <w:b/>
                <w:bCs/>
                <w:color w:val="FFFFFF"/>
                <w:sz w:val="18"/>
                <w:szCs w:val="18"/>
              </w:rPr>
              <w:t>Surplus /Deficit</w:t>
            </w:r>
          </w:p>
        </w:tc>
        <w:tc>
          <w:tcPr>
            <w:tcW w:w="961" w:type="dxa"/>
            <w:tcBorders>
              <w:top w:val="nil"/>
              <w:left w:val="single" w:sz="8" w:space="0" w:color="FFFFFF"/>
              <w:bottom w:val="nil"/>
              <w:right w:val="single" w:sz="8" w:space="0" w:color="FFFFFF"/>
            </w:tcBorders>
            <w:shd w:val="clear" w:color="000000" w:fill="365F91"/>
            <w:vAlign w:val="bottom"/>
            <w:hideMark/>
          </w:tcPr>
          <w:p w:rsidR="00584FC2" w:rsidRPr="00584FC2" w:rsidRDefault="00584FC2" w:rsidP="00584FC2">
            <w:pPr>
              <w:jc w:val="right"/>
              <w:rPr>
                <w:rFonts w:ascii="Arial" w:hAnsi="Arial" w:cs="Arial"/>
                <w:b/>
                <w:bCs/>
                <w:color w:val="FFFFFF"/>
                <w:sz w:val="18"/>
                <w:szCs w:val="18"/>
              </w:rPr>
            </w:pPr>
            <w:r w:rsidRPr="00584FC2">
              <w:rPr>
                <w:rFonts w:ascii="Arial" w:hAnsi="Arial" w:cs="Arial"/>
                <w:b/>
                <w:bCs/>
                <w:color w:val="FFFFFF"/>
                <w:sz w:val="18"/>
                <w:szCs w:val="18"/>
              </w:rPr>
              <w:t>0</w:t>
            </w:r>
          </w:p>
        </w:tc>
        <w:tc>
          <w:tcPr>
            <w:tcW w:w="961" w:type="dxa"/>
            <w:tcBorders>
              <w:top w:val="nil"/>
              <w:left w:val="nil"/>
              <w:bottom w:val="nil"/>
              <w:right w:val="single" w:sz="8" w:space="0" w:color="FFFFFF"/>
            </w:tcBorders>
            <w:shd w:val="clear" w:color="000000" w:fill="365F91"/>
            <w:vAlign w:val="bottom"/>
          </w:tcPr>
          <w:p w:rsidR="00584FC2" w:rsidRPr="00584FC2" w:rsidRDefault="00584FC2" w:rsidP="00584FC2">
            <w:pPr>
              <w:jc w:val="right"/>
              <w:rPr>
                <w:rFonts w:ascii="Arial" w:hAnsi="Arial" w:cs="Arial"/>
                <w:b/>
                <w:bCs/>
                <w:color w:val="FFFFFF"/>
                <w:sz w:val="18"/>
                <w:szCs w:val="18"/>
              </w:rPr>
            </w:pPr>
          </w:p>
        </w:tc>
        <w:tc>
          <w:tcPr>
            <w:tcW w:w="961" w:type="dxa"/>
            <w:tcBorders>
              <w:top w:val="nil"/>
              <w:left w:val="nil"/>
              <w:bottom w:val="nil"/>
              <w:right w:val="single" w:sz="8" w:space="0" w:color="FFFFFF"/>
            </w:tcBorders>
            <w:shd w:val="clear" w:color="000000" w:fill="365F91"/>
            <w:vAlign w:val="bottom"/>
          </w:tcPr>
          <w:p w:rsidR="00584FC2" w:rsidRPr="00584FC2" w:rsidRDefault="00584FC2" w:rsidP="00584FC2">
            <w:pPr>
              <w:jc w:val="right"/>
              <w:rPr>
                <w:rFonts w:ascii="Arial" w:hAnsi="Arial" w:cs="Arial"/>
                <w:b/>
                <w:bCs/>
                <w:color w:val="FFFFFF"/>
                <w:sz w:val="18"/>
                <w:szCs w:val="18"/>
              </w:rPr>
            </w:pPr>
          </w:p>
        </w:tc>
        <w:tc>
          <w:tcPr>
            <w:tcW w:w="1051" w:type="dxa"/>
            <w:tcBorders>
              <w:top w:val="nil"/>
              <w:left w:val="nil"/>
              <w:bottom w:val="nil"/>
              <w:right w:val="single" w:sz="8" w:space="0" w:color="FFFFFF"/>
            </w:tcBorders>
            <w:shd w:val="clear" w:color="000000" w:fill="365F91"/>
            <w:vAlign w:val="bottom"/>
          </w:tcPr>
          <w:p w:rsidR="00584FC2" w:rsidRPr="00584FC2" w:rsidRDefault="00584FC2" w:rsidP="00584FC2">
            <w:pPr>
              <w:jc w:val="right"/>
              <w:rPr>
                <w:rFonts w:ascii="Arial" w:hAnsi="Arial" w:cs="Arial"/>
                <w:b/>
                <w:bCs/>
                <w:color w:val="FFFFFF"/>
                <w:sz w:val="18"/>
                <w:szCs w:val="18"/>
              </w:rPr>
            </w:pPr>
          </w:p>
        </w:tc>
        <w:tc>
          <w:tcPr>
            <w:tcW w:w="1302" w:type="dxa"/>
            <w:tcBorders>
              <w:top w:val="nil"/>
              <w:left w:val="nil"/>
              <w:bottom w:val="nil"/>
              <w:right w:val="single" w:sz="8" w:space="0" w:color="FFFFFF"/>
            </w:tcBorders>
            <w:shd w:val="clear" w:color="000000" w:fill="365F91"/>
            <w:vAlign w:val="bottom"/>
          </w:tcPr>
          <w:p w:rsidR="00584FC2" w:rsidRPr="00584FC2" w:rsidRDefault="00584FC2" w:rsidP="00584FC2">
            <w:pPr>
              <w:jc w:val="right"/>
              <w:rPr>
                <w:rFonts w:ascii="Arial" w:hAnsi="Arial" w:cs="Arial"/>
                <w:b/>
                <w:bCs/>
                <w:color w:val="FFFFFF"/>
                <w:sz w:val="18"/>
                <w:szCs w:val="18"/>
              </w:rPr>
            </w:pPr>
          </w:p>
        </w:tc>
      </w:tr>
    </w:tbl>
    <w:p w:rsidR="00561998" w:rsidRDefault="00561998" w:rsidP="007C5117">
      <w:pPr>
        <w:spacing w:after="200" w:line="276" w:lineRule="auto"/>
        <w:rPr>
          <w:rFonts w:ascii="Arial" w:hAnsi="Arial" w:cs="Arial"/>
          <w:b/>
          <w:sz w:val="22"/>
          <w:szCs w:val="22"/>
        </w:rPr>
      </w:pPr>
    </w:p>
    <w:p w:rsidR="00561998" w:rsidRDefault="00561998" w:rsidP="007C5117">
      <w:pPr>
        <w:spacing w:after="200" w:line="276" w:lineRule="auto"/>
        <w:rPr>
          <w:rFonts w:ascii="Arial" w:hAnsi="Arial" w:cs="Arial"/>
          <w:b/>
          <w:sz w:val="22"/>
          <w:szCs w:val="22"/>
        </w:rPr>
      </w:pPr>
    </w:p>
    <w:p w:rsidR="001B0417" w:rsidRDefault="00E87F9E" w:rsidP="007C5117">
      <w:pPr>
        <w:spacing w:after="200" w:line="276" w:lineRule="auto"/>
        <w:rPr>
          <w:rFonts w:ascii="Arial" w:hAnsi="Arial" w:cs="Arial"/>
          <w:b/>
          <w:sz w:val="22"/>
          <w:szCs w:val="22"/>
        </w:rPr>
      </w:pPr>
      <w:r>
        <w:rPr>
          <w:rFonts w:ascii="Arial" w:hAnsi="Arial" w:cs="Arial"/>
          <w:b/>
          <w:sz w:val="22"/>
          <w:szCs w:val="22"/>
        </w:rPr>
        <w:lastRenderedPageBreak/>
        <w:t>H</w:t>
      </w:r>
      <w:r w:rsidR="00F5159E">
        <w:rPr>
          <w:rFonts w:ascii="Arial" w:hAnsi="Arial" w:cs="Arial"/>
          <w:b/>
          <w:sz w:val="22"/>
          <w:szCs w:val="22"/>
        </w:rPr>
        <w:t>ighlight</w:t>
      </w:r>
      <w:r>
        <w:rPr>
          <w:rFonts w:ascii="Arial" w:hAnsi="Arial" w:cs="Arial"/>
          <w:b/>
          <w:sz w:val="22"/>
          <w:szCs w:val="22"/>
        </w:rPr>
        <w:t xml:space="preserve"> report</w:t>
      </w:r>
      <w:r w:rsidR="001B0417">
        <w:rPr>
          <w:rFonts w:ascii="Arial" w:hAnsi="Arial" w:cs="Arial"/>
          <w:b/>
          <w:sz w:val="22"/>
          <w:szCs w:val="22"/>
        </w:rPr>
        <w:t>:</w:t>
      </w:r>
    </w:p>
    <w:p w:rsidR="003A2BEF" w:rsidRPr="003A2BEF" w:rsidRDefault="004B1E14" w:rsidP="007C5117">
      <w:pPr>
        <w:spacing w:after="200" w:line="276" w:lineRule="auto"/>
        <w:rPr>
          <w:rFonts w:ascii="Arial" w:hAnsi="Arial" w:cs="Arial"/>
          <w:sz w:val="22"/>
          <w:szCs w:val="22"/>
        </w:rPr>
      </w:pPr>
      <w:r>
        <w:rPr>
          <w:rFonts w:ascii="Arial" w:hAnsi="Arial" w:cs="Arial"/>
          <w:sz w:val="22"/>
          <w:szCs w:val="22"/>
        </w:rPr>
        <w:t>Ye</w:t>
      </w:r>
      <w:r w:rsidR="006D1A57">
        <w:rPr>
          <w:rFonts w:ascii="Arial" w:hAnsi="Arial" w:cs="Arial"/>
          <w:sz w:val="22"/>
          <w:szCs w:val="22"/>
        </w:rPr>
        <w:t>ar to date figures</w:t>
      </w:r>
      <w:r>
        <w:rPr>
          <w:rFonts w:ascii="Arial" w:hAnsi="Arial" w:cs="Arial"/>
          <w:sz w:val="22"/>
          <w:szCs w:val="22"/>
        </w:rPr>
        <w:t xml:space="preserve"> remain within 1% of budget and well within our financial KPI of 3%</w:t>
      </w:r>
      <w:r w:rsidR="00727B9F">
        <w:rPr>
          <w:rFonts w:ascii="Arial" w:hAnsi="Arial" w:cs="Arial"/>
          <w:sz w:val="22"/>
          <w:szCs w:val="22"/>
        </w:rPr>
        <w:t>.</w:t>
      </w:r>
    </w:p>
    <w:p w:rsidR="004B1E14" w:rsidRDefault="004B1E14" w:rsidP="007C5117">
      <w:pPr>
        <w:spacing w:after="200" w:line="276" w:lineRule="auto"/>
        <w:rPr>
          <w:rFonts w:ascii="Arial" w:hAnsi="Arial" w:cs="Arial"/>
          <w:sz w:val="22"/>
          <w:szCs w:val="22"/>
        </w:rPr>
      </w:pPr>
      <w:r>
        <w:rPr>
          <w:rFonts w:ascii="Arial" w:hAnsi="Arial" w:cs="Arial"/>
          <w:b/>
          <w:sz w:val="22"/>
          <w:szCs w:val="22"/>
        </w:rPr>
        <w:t>Payroll</w:t>
      </w:r>
      <w:r w:rsidR="00C6052E" w:rsidRPr="00785AD5">
        <w:rPr>
          <w:rFonts w:ascii="Arial" w:hAnsi="Arial" w:cs="Arial"/>
          <w:b/>
          <w:sz w:val="22"/>
          <w:szCs w:val="22"/>
        </w:rPr>
        <w:t xml:space="preserve"> costs</w:t>
      </w:r>
      <w:r w:rsidR="00C6052E">
        <w:rPr>
          <w:rFonts w:ascii="Arial" w:hAnsi="Arial" w:cs="Arial"/>
          <w:sz w:val="22"/>
          <w:szCs w:val="22"/>
        </w:rPr>
        <w:t xml:space="preserve"> </w:t>
      </w:r>
    </w:p>
    <w:p w:rsidR="00426F4E" w:rsidRDefault="004B1E14" w:rsidP="007C5117">
      <w:pPr>
        <w:spacing w:after="200" w:line="276" w:lineRule="auto"/>
        <w:rPr>
          <w:rFonts w:ascii="Arial" w:hAnsi="Arial" w:cs="Arial"/>
          <w:sz w:val="22"/>
          <w:szCs w:val="22"/>
        </w:rPr>
      </w:pPr>
      <w:r>
        <w:rPr>
          <w:rFonts w:ascii="Arial" w:hAnsi="Arial" w:cs="Arial"/>
          <w:sz w:val="22"/>
          <w:szCs w:val="22"/>
        </w:rPr>
        <w:t xml:space="preserve">Salary costs </w:t>
      </w:r>
      <w:r w:rsidR="00C6052E">
        <w:rPr>
          <w:rFonts w:ascii="Arial" w:hAnsi="Arial" w:cs="Arial"/>
          <w:sz w:val="22"/>
          <w:szCs w:val="22"/>
        </w:rPr>
        <w:t xml:space="preserve">are </w:t>
      </w:r>
      <w:r w:rsidR="00911983">
        <w:rPr>
          <w:rFonts w:ascii="Arial" w:hAnsi="Arial" w:cs="Arial"/>
          <w:sz w:val="22"/>
          <w:szCs w:val="22"/>
        </w:rPr>
        <w:t xml:space="preserve">slightly </w:t>
      </w:r>
      <w:r w:rsidR="00C6052E">
        <w:rPr>
          <w:rFonts w:ascii="Arial" w:hAnsi="Arial" w:cs="Arial"/>
          <w:sz w:val="22"/>
          <w:szCs w:val="22"/>
        </w:rPr>
        <w:t>behind budget net of vacancy factor</w:t>
      </w:r>
      <w:r w:rsidR="00911983">
        <w:rPr>
          <w:rFonts w:ascii="Arial" w:hAnsi="Arial" w:cs="Arial"/>
          <w:sz w:val="22"/>
          <w:szCs w:val="22"/>
        </w:rPr>
        <w:t xml:space="preserve"> and are predicted to fall further behind if corrective action is not taken</w:t>
      </w:r>
      <w:r w:rsidR="00C6052E">
        <w:rPr>
          <w:rFonts w:ascii="Arial" w:hAnsi="Arial" w:cs="Arial"/>
          <w:sz w:val="22"/>
          <w:szCs w:val="22"/>
        </w:rPr>
        <w:t xml:space="preserve">. </w:t>
      </w:r>
      <w:r w:rsidR="00426F4E">
        <w:rPr>
          <w:rFonts w:ascii="Arial" w:hAnsi="Arial" w:cs="Arial"/>
          <w:sz w:val="22"/>
          <w:szCs w:val="22"/>
        </w:rPr>
        <w:t>As with prior years t</w:t>
      </w:r>
      <w:r w:rsidR="00785AD5">
        <w:rPr>
          <w:rFonts w:ascii="Arial" w:hAnsi="Arial" w:cs="Arial"/>
          <w:sz w:val="22"/>
          <w:szCs w:val="22"/>
        </w:rPr>
        <w:t xml:space="preserve">here are </w:t>
      </w:r>
      <w:r w:rsidR="00911983">
        <w:rPr>
          <w:rFonts w:ascii="Arial" w:hAnsi="Arial" w:cs="Arial"/>
          <w:sz w:val="22"/>
          <w:szCs w:val="22"/>
        </w:rPr>
        <w:t>a number of factors contributing to this projected underspend</w:t>
      </w:r>
      <w:r w:rsidR="00426F4E">
        <w:rPr>
          <w:rFonts w:ascii="Arial" w:hAnsi="Arial" w:cs="Arial"/>
          <w:sz w:val="22"/>
          <w:szCs w:val="22"/>
        </w:rPr>
        <w:t>:</w:t>
      </w:r>
    </w:p>
    <w:p w:rsidR="00426F4E" w:rsidRDefault="00C6052E" w:rsidP="00426F4E">
      <w:pPr>
        <w:pStyle w:val="ListParagraph"/>
        <w:numPr>
          <w:ilvl w:val="0"/>
          <w:numId w:val="24"/>
        </w:numPr>
        <w:spacing w:after="200" w:line="276" w:lineRule="auto"/>
        <w:rPr>
          <w:rFonts w:ascii="Arial" w:hAnsi="Arial" w:cs="Arial"/>
          <w:sz w:val="22"/>
          <w:szCs w:val="22"/>
        </w:rPr>
      </w:pPr>
      <w:r w:rsidRPr="00426F4E">
        <w:rPr>
          <w:rFonts w:ascii="Arial" w:hAnsi="Arial" w:cs="Arial"/>
          <w:sz w:val="22"/>
          <w:szCs w:val="22"/>
        </w:rPr>
        <w:t xml:space="preserve">staff </w:t>
      </w:r>
      <w:r w:rsidR="00426F4E">
        <w:rPr>
          <w:rFonts w:ascii="Arial" w:hAnsi="Arial" w:cs="Arial"/>
          <w:sz w:val="22"/>
          <w:szCs w:val="22"/>
        </w:rPr>
        <w:t xml:space="preserve">taking development opportunities are </w:t>
      </w:r>
      <w:r w:rsidRPr="00426F4E">
        <w:rPr>
          <w:rFonts w:ascii="Arial" w:hAnsi="Arial" w:cs="Arial"/>
          <w:sz w:val="22"/>
          <w:szCs w:val="22"/>
        </w:rPr>
        <w:t>progress</w:t>
      </w:r>
      <w:r w:rsidR="00426F4E">
        <w:rPr>
          <w:rFonts w:ascii="Arial" w:hAnsi="Arial" w:cs="Arial"/>
          <w:sz w:val="22"/>
          <w:szCs w:val="22"/>
        </w:rPr>
        <w:t>ing</w:t>
      </w:r>
      <w:r w:rsidRPr="00426F4E">
        <w:rPr>
          <w:rFonts w:ascii="Arial" w:hAnsi="Arial" w:cs="Arial"/>
          <w:sz w:val="22"/>
          <w:szCs w:val="22"/>
        </w:rPr>
        <w:t xml:space="preserve"> through the organisation creating a vacancy ‘domino’ effect</w:t>
      </w:r>
    </w:p>
    <w:p w:rsidR="00426F4E" w:rsidRDefault="00C6052E" w:rsidP="00426F4E">
      <w:pPr>
        <w:pStyle w:val="ListParagraph"/>
        <w:numPr>
          <w:ilvl w:val="0"/>
          <w:numId w:val="24"/>
        </w:numPr>
        <w:spacing w:after="200" w:line="276" w:lineRule="auto"/>
        <w:rPr>
          <w:rFonts w:ascii="Arial" w:hAnsi="Arial" w:cs="Arial"/>
          <w:sz w:val="22"/>
          <w:szCs w:val="22"/>
        </w:rPr>
      </w:pPr>
      <w:r w:rsidRPr="00426F4E">
        <w:rPr>
          <w:rFonts w:ascii="Arial" w:hAnsi="Arial" w:cs="Arial"/>
          <w:sz w:val="22"/>
          <w:szCs w:val="22"/>
        </w:rPr>
        <w:t xml:space="preserve">interim structures created to </w:t>
      </w:r>
      <w:r w:rsidR="004B1E14">
        <w:rPr>
          <w:rFonts w:ascii="Arial" w:hAnsi="Arial" w:cs="Arial"/>
          <w:sz w:val="22"/>
          <w:szCs w:val="22"/>
        </w:rPr>
        <w:t>build in</w:t>
      </w:r>
      <w:r w:rsidRPr="00426F4E">
        <w:rPr>
          <w:rFonts w:ascii="Arial" w:hAnsi="Arial" w:cs="Arial"/>
          <w:sz w:val="22"/>
          <w:szCs w:val="22"/>
        </w:rPr>
        <w:t xml:space="preserve"> more flexibility </w:t>
      </w:r>
      <w:r w:rsidR="00426F4E">
        <w:rPr>
          <w:rFonts w:ascii="Arial" w:hAnsi="Arial" w:cs="Arial"/>
          <w:sz w:val="22"/>
          <w:szCs w:val="22"/>
        </w:rPr>
        <w:t xml:space="preserve">and less impact on staff when </w:t>
      </w:r>
      <w:r w:rsidRPr="00426F4E">
        <w:rPr>
          <w:rFonts w:ascii="Arial" w:hAnsi="Arial" w:cs="Arial"/>
          <w:sz w:val="22"/>
          <w:szCs w:val="22"/>
        </w:rPr>
        <w:t xml:space="preserve"> </w:t>
      </w:r>
      <w:r w:rsidR="00785AD5" w:rsidRPr="00426F4E">
        <w:rPr>
          <w:rFonts w:ascii="Arial" w:hAnsi="Arial" w:cs="Arial"/>
          <w:sz w:val="22"/>
          <w:szCs w:val="22"/>
        </w:rPr>
        <w:t>revised</w:t>
      </w:r>
      <w:r w:rsidRPr="00426F4E">
        <w:rPr>
          <w:rFonts w:ascii="Arial" w:hAnsi="Arial" w:cs="Arial"/>
          <w:sz w:val="22"/>
          <w:szCs w:val="22"/>
        </w:rPr>
        <w:t xml:space="preserve"> organisational structures </w:t>
      </w:r>
      <w:r w:rsidR="00426F4E">
        <w:rPr>
          <w:rFonts w:ascii="Arial" w:hAnsi="Arial" w:cs="Arial"/>
          <w:sz w:val="22"/>
          <w:szCs w:val="22"/>
        </w:rPr>
        <w:t>are implemented have also resulted in a vacancy lag</w:t>
      </w:r>
    </w:p>
    <w:p w:rsidR="00426F4E" w:rsidRDefault="00785AD5" w:rsidP="00426F4E">
      <w:pPr>
        <w:pStyle w:val="ListParagraph"/>
        <w:numPr>
          <w:ilvl w:val="0"/>
          <w:numId w:val="24"/>
        </w:numPr>
        <w:spacing w:after="200" w:line="276" w:lineRule="auto"/>
        <w:rPr>
          <w:rFonts w:ascii="Arial" w:hAnsi="Arial" w:cs="Arial"/>
          <w:sz w:val="22"/>
          <w:szCs w:val="22"/>
        </w:rPr>
      </w:pPr>
      <w:r w:rsidRPr="00426F4E">
        <w:rPr>
          <w:rFonts w:ascii="Arial" w:hAnsi="Arial" w:cs="Arial"/>
          <w:sz w:val="22"/>
          <w:szCs w:val="22"/>
        </w:rPr>
        <w:t>uncertainty on the executive restructure business case</w:t>
      </w:r>
    </w:p>
    <w:p w:rsidR="004B1E14" w:rsidRDefault="00B143C1" w:rsidP="00426F4E">
      <w:pPr>
        <w:spacing w:after="200" w:line="276" w:lineRule="auto"/>
        <w:rPr>
          <w:rFonts w:ascii="Arial" w:hAnsi="Arial" w:cs="Arial"/>
          <w:sz w:val="22"/>
          <w:szCs w:val="22"/>
        </w:rPr>
      </w:pPr>
      <w:r>
        <w:rPr>
          <w:rFonts w:ascii="Arial" w:hAnsi="Arial" w:cs="Arial"/>
          <w:sz w:val="22"/>
          <w:szCs w:val="22"/>
        </w:rPr>
        <w:t>Reflecting on</w:t>
      </w:r>
      <w:r w:rsidR="00426F4E">
        <w:rPr>
          <w:rFonts w:ascii="Arial" w:hAnsi="Arial" w:cs="Arial"/>
          <w:sz w:val="22"/>
          <w:szCs w:val="22"/>
        </w:rPr>
        <w:t xml:space="preserve"> lessons learnt from prior years a more holistic approach </w:t>
      </w:r>
      <w:r w:rsidR="004B1E14">
        <w:rPr>
          <w:rFonts w:ascii="Arial" w:hAnsi="Arial" w:cs="Arial"/>
          <w:sz w:val="22"/>
          <w:szCs w:val="22"/>
        </w:rPr>
        <w:t>is being</w:t>
      </w:r>
      <w:r w:rsidR="00426F4E">
        <w:rPr>
          <w:rFonts w:ascii="Arial" w:hAnsi="Arial" w:cs="Arial"/>
          <w:sz w:val="22"/>
          <w:szCs w:val="22"/>
        </w:rPr>
        <w:t xml:space="preserve"> taken to address </w:t>
      </w:r>
      <w:r w:rsidR="004B1E14">
        <w:rPr>
          <w:rFonts w:ascii="Arial" w:hAnsi="Arial" w:cs="Arial"/>
          <w:sz w:val="22"/>
          <w:szCs w:val="22"/>
        </w:rPr>
        <w:t xml:space="preserve">these </w:t>
      </w:r>
      <w:r w:rsidR="00426F4E">
        <w:rPr>
          <w:rFonts w:ascii="Arial" w:hAnsi="Arial" w:cs="Arial"/>
          <w:sz w:val="22"/>
          <w:szCs w:val="22"/>
        </w:rPr>
        <w:t>resourcing gaps</w:t>
      </w:r>
      <w:r w:rsidR="004B1E14">
        <w:rPr>
          <w:rFonts w:ascii="Arial" w:hAnsi="Arial" w:cs="Arial"/>
          <w:sz w:val="22"/>
          <w:szCs w:val="22"/>
        </w:rPr>
        <w:t>. Solutions are being looked at across a variety of teams and functions to relieve pressure points and ensuring</w:t>
      </w:r>
      <w:r w:rsidR="00426F4E">
        <w:rPr>
          <w:rFonts w:ascii="Arial" w:hAnsi="Arial" w:cs="Arial"/>
          <w:sz w:val="22"/>
          <w:szCs w:val="22"/>
        </w:rPr>
        <w:t xml:space="preserve"> </w:t>
      </w:r>
      <w:r w:rsidR="004B1E14">
        <w:rPr>
          <w:rFonts w:ascii="Arial" w:hAnsi="Arial" w:cs="Arial"/>
          <w:sz w:val="22"/>
          <w:szCs w:val="22"/>
        </w:rPr>
        <w:t>corrective action is</w:t>
      </w:r>
      <w:r w:rsidR="00426F4E">
        <w:rPr>
          <w:rFonts w:ascii="Arial" w:hAnsi="Arial" w:cs="Arial"/>
          <w:sz w:val="22"/>
          <w:szCs w:val="22"/>
        </w:rPr>
        <w:t xml:space="preserve"> targeted where </w:t>
      </w:r>
      <w:r w:rsidR="004B1E14">
        <w:rPr>
          <w:rFonts w:ascii="Arial" w:hAnsi="Arial" w:cs="Arial"/>
          <w:sz w:val="22"/>
          <w:szCs w:val="22"/>
        </w:rPr>
        <w:t>it is</w:t>
      </w:r>
      <w:r w:rsidR="00426F4E">
        <w:rPr>
          <w:rFonts w:ascii="Arial" w:hAnsi="Arial" w:cs="Arial"/>
          <w:sz w:val="22"/>
          <w:szCs w:val="22"/>
        </w:rPr>
        <w:t xml:space="preserve"> most needed </w:t>
      </w:r>
      <w:r w:rsidR="004B1E14">
        <w:rPr>
          <w:rFonts w:ascii="Arial" w:hAnsi="Arial" w:cs="Arial"/>
          <w:sz w:val="22"/>
          <w:szCs w:val="22"/>
        </w:rPr>
        <w:t>with</w:t>
      </w:r>
      <w:r w:rsidR="00426F4E">
        <w:rPr>
          <w:rFonts w:ascii="Arial" w:hAnsi="Arial" w:cs="Arial"/>
          <w:sz w:val="22"/>
          <w:szCs w:val="22"/>
        </w:rPr>
        <w:t xml:space="preserve"> gaps </w:t>
      </w:r>
      <w:r w:rsidR="004B1E14">
        <w:rPr>
          <w:rFonts w:ascii="Arial" w:hAnsi="Arial" w:cs="Arial"/>
          <w:sz w:val="22"/>
          <w:szCs w:val="22"/>
        </w:rPr>
        <w:t>being</w:t>
      </w:r>
      <w:r w:rsidR="00426F4E">
        <w:rPr>
          <w:rFonts w:ascii="Arial" w:hAnsi="Arial" w:cs="Arial"/>
          <w:sz w:val="22"/>
          <w:szCs w:val="22"/>
        </w:rPr>
        <w:t xml:space="preserve"> filled quickly</w:t>
      </w:r>
      <w:r w:rsidR="004B1E14">
        <w:rPr>
          <w:rFonts w:ascii="Arial" w:hAnsi="Arial" w:cs="Arial"/>
          <w:sz w:val="22"/>
          <w:szCs w:val="22"/>
        </w:rPr>
        <w:t xml:space="preserve"> </w:t>
      </w:r>
      <w:r w:rsidR="00911983">
        <w:rPr>
          <w:rFonts w:ascii="Arial" w:hAnsi="Arial" w:cs="Arial"/>
          <w:sz w:val="22"/>
          <w:szCs w:val="22"/>
        </w:rPr>
        <w:t xml:space="preserve">wherever </w:t>
      </w:r>
      <w:r w:rsidR="004B1E14">
        <w:rPr>
          <w:rFonts w:ascii="Arial" w:hAnsi="Arial" w:cs="Arial"/>
          <w:sz w:val="22"/>
          <w:szCs w:val="22"/>
        </w:rPr>
        <w:t>possible</w:t>
      </w:r>
      <w:r w:rsidR="00426F4E">
        <w:rPr>
          <w:rFonts w:ascii="Arial" w:hAnsi="Arial" w:cs="Arial"/>
          <w:sz w:val="22"/>
          <w:szCs w:val="22"/>
        </w:rPr>
        <w:t xml:space="preserve">. </w:t>
      </w:r>
    </w:p>
    <w:p w:rsidR="00426F4E" w:rsidRDefault="00E87F9E" w:rsidP="007C5117">
      <w:pPr>
        <w:spacing w:after="200" w:line="276" w:lineRule="auto"/>
        <w:rPr>
          <w:rFonts w:ascii="Arial" w:hAnsi="Arial" w:cs="Arial"/>
          <w:sz w:val="22"/>
          <w:szCs w:val="22"/>
        </w:rPr>
      </w:pPr>
      <w:r w:rsidRPr="00E87F9E">
        <w:rPr>
          <w:rFonts w:ascii="Arial" w:hAnsi="Arial" w:cs="Arial"/>
          <w:b/>
          <w:sz w:val="22"/>
          <w:szCs w:val="22"/>
        </w:rPr>
        <w:t>Reserves</w:t>
      </w:r>
      <w:r>
        <w:rPr>
          <w:rFonts w:ascii="Arial" w:hAnsi="Arial" w:cs="Arial"/>
          <w:sz w:val="22"/>
          <w:szCs w:val="22"/>
        </w:rPr>
        <w:t xml:space="preserve"> </w:t>
      </w:r>
    </w:p>
    <w:p w:rsidR="00426F4E" w:rsidRDefault="00B143C1" w:rsidP="007C5117">
      <w:pPr>
        <w:spacing w:after="200" w:line="276" w:lineRule="auto"/>
        <w:rPr>
          <w:rFonts w:ascii="Arial" w:hAnsi="Arial" w:cs="Arial"/>
          <w:sz w:val="22"/>
          <w:szCs w:val="22"/>
        </w:rPr>
      </w:pPr>
      <w:r>
        <w:rPr>
          <w:rFonts w:ascii="Arial" w:hAnsi="Arial" w:cs="Arial"/>
          <w:sz w:val="22"/>
          <w:szCs w:val="22"/>
        </w:rPr>
        <w:t>Our review of performance to date and the positive decision by DH on our executive team restructure funding mean that we can allocate a further £200k to reserves funded projects</w:t>
      </w:r>
      <w:r w:rsidR="004B1E14">
        <w:rPr>
          <w:rFonts w:ascii="Arial" w:hAnsi="Arial" w:cs="Arial"/>
          <w:sz w:val="22"/>
          <w:szCs w:val="22"/>
        </w:rPr>
        <w:t xml:space="preserve"> (original allocation £</w:t>
      </w:r>
      <w:r w:rsidR="00911983">
        <w:rPr>
          <w:rFonts w:ascii="Arial" w:hAnsi="Arial" w:cs="Arial"/>
          <w:sz w:val="22"/>
          <w:szCs w:val="22"/>
        </w:rPr>
        <w:t>360</w:t>
      </w:r>
      <w:r w:rsidR="004B1E14">
        <w:rPr>
          <w:rFonts w:ascii="Arial" w:hAnsi="Arial" w:cs="Arial"/>
          <w:sz w:val="22"/>
          <w:szCs w:val="22"/>
        </w:rPr>
        <w:t>k)</w:t>
      </w:r>
      <w:r>
        <w:rPr>
          <w:rFonts w:ascii="Arial" w:hAnsi="Arial" w:cs="Arial"/>
          <w:sz w:val="22"/>
          <w:szCs w:val="22"/>
        </w:rPr>
        <w:t xml:space="preserve">. The executive have met to agree an action plan and this will be discussed in more detail at the Board meeting. Key is the need to address capacity and capability gaps given the scale of change programmes being delivered at the HRA. </w:t>
      </w:r>
    </w:p>
    <w:p w:rsidR="001B0417" w:rsidRDefault="0050664B" w:rsidP="007C5117">
      <w:pPr>
        <w:spacing w:after="200" w:line="276" w:lineRule="auto"/>
        <w:rPr>
          <w:rFonts w:ascii="Arial" w:eastAsiaTheme="minorHAnsi" w:hAnsi="Arial" w:cs="Arial"/>
          <w:b/>
          <w:i/>
          <w:sz w:val="22"/>
          <w:szCs w:val="22"/>
          <w:lang w:eastAsia="en-US"/>
        </w:rPr>
      </w:pPr>
      <w:r>
        <w:rPr>
          <w:rFonts w:ascii="Arial" w:eastAsiaTheme="minorHAnsi" w:hAnsi="Arial" w:cs="Arial"/>
          <w:b/>
          <w:i/>
          <w:sz w:val="22"/>
          <w:szCs w:val="22"/>
          <w:lang w:eastAsia="en-US"/>
        </w:rPr>
        <w:t>Approval and ethics services</w:t>
      </w:r>
      <w:r w:rsidR="00264356" w:rsidRPr="005E6832">
        <w:rPr>
          <w:rFonts w:ascii="Arial" w:eastAsiaTheme="minorHAnsi" w:hAnsi="Arial" w:cs="Arial"/>
          <w:b/>
          <w:i/>
          <w:sz w:val="22"/>
          <w:szCs w:val="22"/>
          <w:lang w:eastAsia="en-US"/>
        </w:rPr>
        <w:t>, £</w:t>
      </w:r>
      <w:r w:rsidR="00B143C1">
        <w:rPr>
          <w:rFonts w:ascii="Arial" w:eastAsiaTheme="minorHAnsi" w:hAnsi="Arial" w:cs="Arial"/>
          <w:b/>
          <w:i/>
          <w:sz w:val="22"/>
          <w:szCs w:val="22"/>
          <w:lang w:eastAsia="en-US"/>
        </w:rPr>
        <w:t>65</w:t>
      </w:r>
      <w:r w:rsidR="00264356" w:rsidRPr="005E6832">
        <w:rPr>
          <w:rFonts w:ascii="Arial" w:eastAsiaTheme="minorHAnsi" w:hAnsi="Arial" w:cs="Arial"/>
          <w:b/>
          <w:i/>
          <w:sz w:val="22"/>
          <w:szCs w:val="22"/>
          <w:lang w:eastAsia="en-US"/>
        </w:rPr>
        <w:t>k</w:t>
      </w:r>
      <w:r w:rsidR="00F5159E">
        <w:rPr>
          <w:rFonts w:ascii="Arial" w:eastAsiaTheme="minorHAnsi" w:hAnsi="Arial" w:cs="Arial"/>
          <w:b/>
          <w:i/>
          <w:sz w:val="22"/>
          <w:szCs w:val="22"/>
          <w:lang w:eastAsia="en-US"/>
        </w:rPr>
        <w:t xml:space="preserve"> underspend</w:t>
      </w:r>
      <w:r w:rsidR="00264356" w:rsidRPr="005E6832">
        <w:rPr>
          <w:rFonts w:ascii="Arial" w:eastAsiaTheme="minorHAnsi" w:hAnsi="Arial" w:cs="Arial"/>
          <w:b/>
          <w:i/>
          <w:sz w:val="22"/>
          <w:szCs w:val="22"/>
          <w:lang w:eastAsia="en-US"/>
        </w:rPr>
        <w:t xml:space="preserve">, </w:t>
      </w:r>
      <w:r w:rsidR="00541193">
        <w:rPr>
          <w:rFonts w:ascii="Arial" w:eastAsiaTheme="minorHAnsi" w:hAnsi="Arial" w:cs="Arial"/>
          <w:b/>
          <w:i/>
          <w:sz w:val="22"/>
          <w:szCs w:val="22"/>
          <w:lang w:eastAsia="en-US"/>
        </w:rPr>
        <w:t>1.</w:t>
      </w:r>
      <w:r w:rsidR="00B143C1">
        <w:rPr>
          <w:rFonts w:ascii="Arial" w:eastAsiaTheme="minorHAnsi" w:hAnsi="Arial" w:cs="Arial"/>
          <w:b/>
          <w:i/>
          <w:sz w:val="22"/>
          <w:szCs w:val="22"/>
          <w:lang w:eastAsia="en-US"/>
        </w:rPr>
        <w:t>6</w:t>
      </w:r>
      <w:r w:rsidR="005E6832" w:rsidRPr="005E6832">
        <w:rPr>
          <w:rFonts w:ascii="Arial" w:eastAsiaTheme="minorHAnsi" w:hAnsi="Arial" w:cs="Arial"/>
          <w:b/>
          <w:i/>
          <w:sz w:val="22"/>
          <w:szCs w:val="22"/>
          <w:lang w:eastAsia="en-US"/>
        </w:rPr>
        <w:t>% variance</w:t>
      </w:r>
      <w:r w:rsidR="004226F6" w:rsidRPr="005E6832">
        <w:rPr>
          <w:rFonts w:ascii="Arial" w:eastAsiaTheme="minorHAnsi" w:hAnsi="Arial" w:cs="Arial"/>
          <w:b/>
          <w:i/>
          <w:sz w:val="22"/>
          <w:szCs w:val="22"/>
          <w:lang w:eastAsia="en-US"/>
        </w:rPr>
        <w:t>:</w:t>
      </w:r>
    </w:p>
    <w:p w:rsidR="00596802" w:rsidRDefault="00C875DA" w:rsidP="001C2FF9">
      <w:pPr>
        <w:pStyle w:val="ListParagraph"/>
        <w:numPr>
          <w:ilvl w:val="0"/>
          <w:numId w:val="24"/>
        </w:numPr>
        <w:spacing w:after="200" w:line="276" w:lineRule="auto"/>
        <w:rPr>
          <w:rFonts w:ascii="Arial" w:eastAsiaTheme="minorHAnsi" w:hAnsi="Arial" w:cs="Arial"/>
          <w:sz w:val="22"/>
          <w:szCs w:val="22"/>
          <w:lang w:eastAsia="en-US"/>
        </w:rPr>
      </w:pPr>
      <w:r w:rsidRPr="00596802">
        <w:rPr>
          <w:rFonts w:ascii="Arial" w:eastAsiaTheme="minorHAnsi" w:hAnsi="Arial" w:cs="Arial"/>
          <w:b/>
          <w:sz w:val="22"/>
          <w:szCs w:val="22"/>
          <w:lang w:eastAsia="en-US"/>
        </w:rPr>
        <w:t>Research ethics:</w:t>
      </w:r>
      <w:r w:rsidRPr="00596802">
        <w:rPr>
          <w:rFonts w:ascii="Arial" w:eastAsiaTheme="minorHAnsi" w:hAnsi="Arial" w:cs="Arial"/>
          <w:sz w:val="22"/>
          <w:szCs w:val="22"/>
          <w:lang w:eastAsia="en-US"/>
        </w:rPr>
        <w:t xml:space="preserve"> £</w:t>
      </w:r>
      <w:r w:rsidR="00B143C1">
        <w:rPr>
          <w:rFonts w:ascii="Arial" w:eastAsiaTheme="minorHAnsi" w:hAnsi="Arial" w:cs="Arial"/>
          <w:sz w:val="22"/>
          <w:szCs w:val="22"/>
          <w:lang w:eastAsia="en-US"/>
        </w:rPr>
        <w:t>31</w:t>
      </w:r>
      <w:r w:rsidRPr="00596802">
        <w:rPr>
          <w:rFonts w:ascii="Arial" w:eastAsiaTheme="minorHAnsi" w:hAnsi="Arial" w:cs="Arial"/>
          <w:sz w:val="22"/>
          <w:szCs w:val="22"/>
          <w:lang w:eastAsia="en-US"/>
        </w:rPr>
        <w:t xml:space="preserve">k </w:t>
      </w:r>
      <w:proofErr w:type="gramStart"/>
      <w:r w:rsidR="005F1569">
        <w:rPr>
          <w:rFonts w:ascii="Arial" w:eastAsiaTheme="minorHAnsi" w:hAnsi="Arial" w:cs="Arial"/>
          <w:sz w:val="22"/>
          <w:szCs w:val="22"/>
          <w:lang w:eastAsia="en-US"/>
        </w:rPr>
        <w:t>underspend</w:t>
      </w:r>
      <w:proofErr w:type="gramEnd"/>
      <w:r w:rsidR="005F1569">
        <w:rPr>
          <w:rFonts w:ascii="Arial" w:eastAsiaTheme="minorHAnsi" w:hAnsi="Arial" w:cs="Arial"/>
          <w:sz w:val="22"/>
          <w:szCs w:val="22"/>
          <w:lang w:eastAsia="en-US"/>
        </w:rPr>
        <w:t xml:space="preserve"> </w:t>
      </w:r>
      <w:r w:rsidRPr="00596802">
        <w:rPr>
          <w:rFonts w:ascii="Arial" w:eastAsiaTheme="minorHAnsi" w:hAnsi="Arial" w:cs="Arial"/>
          <w:sz w:val="22"/>
          <w:szCs w:val="22"/>
          <w:lang w:eastAsia="en-US"/>
        </w:rPr>
        <w:t xml:space="preserve">due </w:t>
      </w:r>
      <w:r w:rsidR="00B143C1">
        <w:rPr>
          <w:rFonts w:ascii="Arial" w:eastAsiaTheme="minorHAnsi" w:hAnsi="Arial" w:cs="Arial"/>
          <w:sz w:val="22"/>
          <w:szCs w:val="22"/>
          <w:lang w:eastAsia="en-US"/>
        </w:rPr>
        <w:t xml:space="preserve">to greater staff turnover then planned at band 4 &amp; 5 </w:t>
      </w:r>
      <w:r w:rsidR="00911983">
        <w:rPr>
          <w:rFonts w:ascii="Arial" w:eastAsiaTheme="minorHAnsi" w:hAnsi="Arial" w:cs="Arial"/>
          <w:sz w:val="22"/>
          <w:szCs w:val="22"/>
          <w:lang w:eastAsia="en-US"/>
        </w:rPr>
        <w:t>and savings generated through moving to e</w:t>
      </w:r>
      <w:r w:rsidR="00B04D4D">
        <w:rPr>
          <w:rFonts w:ascii="Arial" w:eastAsiaTheme="minorHAnsi" w:hAnsi="Arial" w:cs="Arial"/>
          <w:sz w:val="22"/>
          <w:szCs w:val="22"/>
          <w:lang w:eastAsia="en-US"/>
        </w:rPr>
        <w:t>-review (print, paper, postage).</w:t>
      </w:r>
      <w:r w:rsidRPr="00596802">
        <w:rPr>
          <w:rFonts w:ascii="Arial" w:eastAsiaTheme="minorHAnsi" w:hAnsi="Arial" w:cs="Arial"/>
          <w:sz w:val="22"/>
          <w:szCs w:val="22"/>
          <w:lang w:eastAsia="en-US"/>
        </w:rPr>
        <w:t xml:space="preserve"> </w:t>
      </w:r>
    </w:p>
    <w:p w:rsidR="00541193" w:rsidRDefault="00541193" w:rsidP="001C2FF9">
      <w:pPr>
        <w:pStyle w:val="ListParagraph"/>
        <w:numPr>
          <w:ilvl w:val="0"/>
          <w:numId w:val="24"/>
        </w:numPr>
        <w:spacing w:after="200" w:line="276" w:lineRule="auto"/>
        <w:rPr>
          <w:rFonts w:ascii="Arial" w:eastAsiaTheme="minorHAnsi" w:hAnsi="Arial" w:cs="Arial"/>
          <w:sz w:val="22"/>
          <w:szCs w:val="22"/>
          <w:lang w:eastAsia="en-US"/>
        </w:rPr>
      </w:pPr>
      <w:r>
        <w:rPr>
          <w:rFonts w:ascii="Arial" w:eastAsiaTheme="minorHAnsi" w:hAnsi="Arial" w:cs="Arial"/>
          <w:b/>
          <w:sz w:val="22"/>
          <w:szCs w:val="22"/>
          <w:lang w:eastAsia="en-US"/>
        </w:rPr>
        <w:t>HRA Approval</w:t>
      </w:r>
      <w:r>
        <w:rPr>
          <w:rFonts w:ascii="Arial" w:eastAsiaTheme="minorHAnsi" w:hAnsi="Arial" w:cs="Arial"/>
          <w:sz w:val="22"/>
          <w:szCs w:val="22"/>
          <w:lang w:eastAsia="en-US"/>
        </w:rPr>
        <w:t xml:space="preserve">: </w:t>
      </w:r>
      <w:r w:rsidR="00DB5313">
        <w:rPr>
          <w:rFonts w:ascii="Arial" w:eastAsiaTheme="minorHAnsi" w:hAnsi="Arial" w:cs="Arial"/>
          <w:sz w:val="22"/>
          <w:szCs w:val="22"/>
          <w:lang w:eastAsia="en-US"/>
        </w:rPr>
        <w:t>£1</w:t>
      </w:r>
      <w:r w:rsidR="00B143C1">
        <w:rPr>
          <w:rFonts w:ascii="Arial" w:eastAsiaTheme="minorHAnsi" w:hAnsi="Arial" w:cs="Arial"/>
          <w:sz w:val="22"/>
          <w:szCs w:val="22"/>
          <w:lang w:eastAsia="en-US"/>
        </w:rPr>
        <w:t>3</w:t>
      </w:r>
      <w:r w:rsidR="00DB5313">
        <w:rPr>
          <w:rFonts w:ascii="Arial" w:eastAsiaTheme="minorHAnsi" w:hAnsi="Arial" w:cs="Arial"/>
          <w:sz w:val="22"/>
          <w:szCs w:val="22"/>
          <w:lang w:eastAsia="en-US"/>
        </w:rPr>
        <w:t>k underspend due mainly to natural</w:t>
      </w:r>
      <w:r w:rsidR="00B04D4D">
        <w:rPr>
          <w:rFonts w:ascii="Arial" w:eastAsiaTheme="minorHAnsi" w:hAnsi="Arial" w:cs="Arial"/>
          <w:sz w:val="22"/>
          <w:szCs w:val="22"/>
          <w:lang w:eastAsia="en-US"/>
        </w:rPr>
        <w:t xml:space="preserve"> ‘turn’ in the assessment team resulting in underspends in staff and staff related costs. </w:t>
      </w:r>
    </w:p>
    <w:p w:rsidR="006D1A57" w:rsidRPr="006D1A57" w:rsidRDefault="001C2FF9" w:rsidP="005F1569">
      <w:pPr>
        <w:pStyle w:val="ListParagraph"/>
        <w:numPr>
          <w:ilvl w:val="0"/>
          <w:numId w:val="24"/>
        </w:numPr>
        <w:spacing w:after="200" w:line="276" w:lineRule="auto"/>
        <w:rPr>
          <w:rFonts w:ascii="Arial" w:eastAsiaTheme="minorHAnsi" w:hAnsi="Arial" w:cs="Arial"/>
          <w:b/>
          <w:i/>
          <w:sz w:val="22"/>
          <w:szCs w:val="22"/>
          <w:lang w:eastAsia="en-US"/>
        </w:rPr>
      </w:pPr>
      <w:r w:rsidRPr="006D1A57">
        <w:rPr>
          <w:rFonts w:ascii="Arial" w:eastAsiaTheme="minorHAnsi" w:hAnsi="Arial" w:cs="Arial"/>
          <w:b/>
          <w:sz w:val="22"/>
          <w:szCs w:val="22"/>
          <w:lang w:eastAsia="en-US"/>
        </w:rPr>
        <w:t>CAG</w:t>
      </w:r>
      <w:r w:rsidR="00C875DA" w:rsidRPr="006D1A57">
        <w:rPr>
          <w:rFonts w:ascii="Arial" w:eastAsiaTheme="minorHAnsi" w:hAnsi="Arial" w:cs="Arial"/>
          <w:b/>
          <w:sz w:val="22"/>
          <w:szCs w:val="22"/>
          <w:lang w:eastAsia="en-US"/>
        </w:rPr>
        <w:t>:</w:t>
      </w:r>
      <w:r w:rsidRPr="006D1A57">
        <w:rPr>
          <w:rFonts w:ascii="Arial" w:eastAsiaTheme="minorHAnsi" w:hAnsi="Arial" w:cs="Arial"/>
          <w:sz w:val="22"/>
          <w:szCs w:val="22"/>
          <w:lang w:eastAsia="en-US"/>
        </w:rPr>
        <w:t xml:space="preserve"> £</w:t>
      </w:r>
      <w:r w:rsidR="00541193" w:rsidRPr="006D1A57">
        <w:rPr>
          <w:rFonts w:ascii="Arial" w:eastAsiaTheme="minorHAnsi" w:hAnsi="Arial" w:cs="Arial"/>
          <w:sz w:val="22"/>
          <w:szCs w:val="22"/>
          <w:lang w:eastAsia="en-US"/>
        </w:rPr>
        <w:t>1</w:t>
      </w:r>
      <w:r w:rsidR="00B143C1">
        <w:rPr>
          <w:rFonts w:ascii="Arial" w:eastAsiaTheme="minorHAnsi" w:hAnsi="Arial" w:cs="Arial"/>
          <w:sz w:val="22"/>
          <w:szCs w:val="22"/>
          <w:lang w:eastAsia="en-US"/>
        </w:rPr>
        <w:t>5</w:t>
      </w:r>
      <w:r w:rsidRPr="006D1A57">
        <w:rPr>
          <w:rFonts w:ascii="Arial" w:eastAsiaTheme="minorHAnsi" w:hAnsi="Arial" w:cs="Arial"/>
          <w:sz w:val="22"/>
          <w:szCs w:val="22"/>
          <w:lang w:eastAsia="en-US"/>
        </w:rPr>
        <w:t xml:space="preserve">k </w:t>
      </w:r>
      <w:proofErr w:type="gramStart"/>
      <w:r w:rsidR="00B143C1">
        <w:rPr>
          <w:rFonts w:ascii="Arial" w:eastAsiaTheme="minorHAnsi" w:hAnsi="Arial" w:cs="Arial"/>
          <w:sz w:val="22"/>
          <w:szCs w:val="22"/>
          <w:lang w:eastAsia="en-US"/>
        </w:rPr>
        <w:t>underspend</w:t>
      </w:r>
      <w:proofErr w:type="gramEnd"/>
      <w:r w:rsidR="005F1569" w:rsidRPr="006D1A57">
        <w:rPr>
          <w:rFonts w:ascii="Arial" w:eastAsiaTheme="minorHAnsi" w:hAnsi="Arial" w:cs="Arial"/>
          <w:sz w:val="22"/>
          <w:szCs w:val="22"/>
          <w:lang w:eastAsia="en-US"/>
        </w:rPr>
        <w:t xml:space="preserve"> </w:t>
      </w:r>
      <w:r w:rsidRPr="006D1A57">
        <w:rPr>
          <w:rFonts w:ascii="Arial" w:eastAsiaTheme="minorHAnsi" w:hAnsi="Arial" w:cs="Arial"/>
          <w:sz w:val="22"/>
          <w:szCs w:val="22"/>
          <w:lang w:eastAsia="en-US"/>
        </w:rPr>
        <w:t xml:space="preserve">due </w:t>
      </w:r>
      <w:r w:rsidR="006D1A57" w:rsidRPr="006D1A57">
        <w:rPr>
          <w:rFonts w:ascii="Arial" w:eastAsiaTheme="minorHAnsi" w:hAnsi="Arial" w:cs="Arial"/>
          <w:sz w:val="22"/>
          <w:szCs w:val="22"/>
          <w:lang w:eastAsia="en-US"/>
        </w:rPr>
        <w:t xml:space="preserve">to </w:t>
      </w:r>
      <w:r w:rsidR="00541193" w:rsidRPr="006D1A57">
        <w:rPr>
          <w:rFonts w:ascii="Arial" w:eastAsiaTheme="minorHAnsi" w:hAnsi="Arial" w:cs="Arial"/>
          <w:sz w:val="22"/>
          <w:szCs w:val="22"/>
          <w:lang w:eastAsia="en-US"/>
        </w:rPr>
        <w:t xml:space="preserve">delays in recruitment and </w:t>
      </w:r>
      <w:r w:rsidRPr="006D1A57">
        <w:rPr>
          <w:rFonts w:ascii="Arial" w:eastAsiaTheme="minorHAnsi" w:hAnsi="Arial" w:cs="Arial"/>
          <w:sz w:val="22"/>
          <w:szCs w:val="22"/>
          <w:lang w:eastAsia="en-US"/>
        </w:rPr>
        <w:t xml:space="preserve">lower </w:t>
      </w:r>
      <w:r w:rsidR="00541193" w:rsidRPr="006D1A57">
        <w:rPr>
          <w:rFonts w:ascii="Arial" w:eastAsiaTheme="minorHAnsi" w:hAnsi="Arial" w:cs="Arial"/>
          <w:sz w:val="22"/>
          <w:szCs w:val="22"/>
          <w:lang w:eastAsia="en-US"/>
        </w:rPr>
        <w:t xml:space="preserve">meeting </w:t>
      </w:r>
      <w:r w:rsidRPr="006D1A57">
        <w:rPr>
          <w:rFonts w:ascii="Arial" w:eastAsiaTheme="minorHAnsi" w:hAnsi="Arial" w:cs="Arial"/>
          <w:sz w:val="22"/>
          <w:szCs w:val="22"/>
          <w:lang w:eastAsia="en-US"/>
        </w:rPr>
        <w:t>costs</w:t>
      </w:r>
      <w:r w:rsidR="006D1A57">
        <w:rPr>
          <w:rFonts w:ascii="Arial" w:eastAsiaTheme="minorHAnsi" w:hAnsi="Arial" w:cs="Arial"/>
          <w:sz w:val="22"/>
          <w:szCs w:val="22"/>
          <w:lang w:eastAsia="en-US"/>
        </w:rPr>
        <w:t>.</w:t>
      </w:r>
    </w:p>
    <w:p w:rsidR="004B1E14" w:rsidRDefault="004B1E14" w:rsidP="006842F3">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Policy, £14k underspend, 10.9% variance</w:t>
      </w:r>
    </w:p>
    <w:p w:rsidR="004B1E14" w:rsidRPr="006E63CA" w:rsidRDefault="006E63CA" w:rsidP="004B1E14">
      <w:pPr>
        <w:pStyle w:val="ListParagraph"/>
        <w:numPr>
          <w:ilvl w:val="0"/>
          <w:numId w:val="42"/>
        </w:numPr>
        <w:spacing w:after="200" w:line="276" w:lineRule="auto"/>
        <w:rPr>
          <w:rFonts w:ascii="Arial" w:eastAsiaTheme="minorHAnsi" w:hAnsi="Arial" w:cs="Arial"/>
          <w:sz w:val="22"/>
          <w:szCs w:val="22"/>
          <w:lang w:eastAsia="en-US"/>
        </w:rPr>
      </w:pPr>
      <w:r>
        <w:rPr>
          <w:rFonts w:ascii="Arial" w:eastAsiaTheme="minorHAnsi" w:hAnsi="Arial" w:cs="Arial"/>
          <w:b/>
          <w:sz w:val="22"/>
          <w:szCs w:val="22"/>
          <w:lang w:eastAsia="en-US"/>
        </w:rPr>
        <w:t xml:space="preserve">Policy: </w:t>
      </w:r>
      <w:r w:rsidRPr="006E63CA">
        <w:rPr>
          <w:rFonts w:ascii="Arial" w:eastAsiaTheme="minorHAnsi" w:hAnsi="Arial" w:cs="Arial"/>
          <w:sz w:val="22"/>
          <w:szCs w:val="22"/>
          <w:lang w:eastAsia="en-US"/>
        </w:rPr>
        <w:t xml:space="preserve">Underspend relates to an unfilled post which will remain vacant while we wait for the new Director of Policy to take up their role. In the meantime it has been agreed that these funds will be redirected to social care agenda to address this identified strategic risk for the HRA. </w:t>
      </w:r>
    </w:p>
    <w:p w:rsidR="006842F3" w:rsidRDefault="006842F3" w:rsidP="006842F3">
      <w:pPr>
        <w:spacing w:after="200" w:line="276" w:lineRule="auto"/>
        <w:rPr>
          <w:rFonts w:ascii="Arial" w:eastAsiaTheme="minorHAnsi" w:hAnsi="Arial" w:cs="Arial"/>
          <w:b/>
          <w:sz w:val="22"/>
          <w:szCs w:val="22"/>
          <w:lang w:eastAsia="en-US"/>
        </w:rPr>
      </w:pPr>
      <w:r w:rsidRPr="006842F3">
        <w:rPr>
          <w:rFonts w:ascii="Arial" w:eastAsiaTheme="minorHAnsi" w:hAnsi="Arial" w:cs="Arial"/>
          <w:b/>
          <w:sz w:val="22"/>
          <w:szCs w:val="22"/>
          <w:lang w:eastAsia="en-US"/>
        </w:rPr>
        <w:t>Corporate services, £1</w:t>
      </w:r>
      <w:r w:rsidR="006E63CA">
        <w:rPr>
          <w:rFonts w:ascii="Arial" w:eastAsiaTheme="minorHAnsi" w:hAnsi="Arial" w:cs="Arial"/>
          <w:b/>
          <w:sz w:val="22"/>
          <w:szCs w:val="22"/>
          <w:lang w:eastAsia="en-US"/>
        </w:rPr>
        <w:t>2k overspend, 2.3</w:t>
      </w:r>
      <w:r w:rsidRPr="006842F3">
        <w:rPr>
          <w:rFonts w:ascii="Arial" w:eastAsiaTheme="minorHAnsi" w:hAnsi="Arial" w:cs="Arial"/>
          <w:b/>
          <w:sz w:val="22"/>
          <w:szCs w:val="22"/>
          <w:lang w:eastAsia="en-US"/>
        </w:rPr>
        <w:t>%</w:t>
      </w:r>
    </w:p>
    <w:p w:rsidR="006842F3" w:rsidRPr="006842F3" w:rsidRDefault="006842F3" w:rsidP="006842F3">
      <w:pPr>
        <w:pStyle w:val="ListParagraph"/>
        <w:numPr>
          <w:ilvl w:val="0"/>
          <w:numId w:val="42"/>
        </w:numPr>
        <w:spacing w:after="200" w:line="276" w:lineRule="auto"/>
        <w:rPr>
          <w:rFonts w:ascii="Arial" w:eastAsiaTheme="minorHAnsi" w:hAnsi="Arial" w:cs="Arial"/>
          <w:b/>
          <w:sz w:val="22"/>
          <w:szCs w:val="22"/>
          <w:lang w:eastAsia="en-US"/>
        </w:rPr>
      </w:pPr>
      <w:r w:rsidRPr="006842F3">
        <w:rPr>
          <w:rFonts w:ascii="Arial" w:eastAsiaTheme="minorHAnsi" w:hAnsi="Arial" w:cs="Arial"/>
          <w:b/>
          <w:sz w:val="22"/>
          <w:szCs w:val="22"/>
          <w:lang w:eastAsia="en-US"/>
        </w:rPr>
        <w:t>Human Resources:</w:t>
      </w:r>
      <w:r>
        <w:rPr>
          <w:rFonts w:ascii="Arial" w:eastAsiaTheme="minorHAnsi" w:hAnsi="Arial" w:cs="Arial"/>
          <w:sz w:val="22"/>
          <w:szCs w:val="22"/>
          <w:lang w:eastAsia="en-US"/>
        </w:rPr>
        <w:t xml:space="preserve"> £8k </w:t>
      </w:r>
      <w:proofErr w:type="gramStart"/>
      <w:r>
        <w:rPr>
          <w:rFonts w:ascii="Arial" w:eastAsiaTheme="minorHAnsi" w:hAnsi="Arial" w:cs="Arial"/>
          <w:sz w:val="22"/>
          <w:szCs w:val="22"/>
          <w:lang w:eastAsia="en-US"/>
        </w:rPr>
        <w:t>overspend</w:t>
      </w:r>
      <w:proofErr w:type="gramEnd"/>
      <w:r>
        <w:rPr>
          <w:rFonts w:ascii="Arial" w:eastAsiaTheme="minorHAnsi" w:hAnsi="Arial" w:cs="Arial"/>
          <w:sz w:val="22"/>
          <w:szCs w:val="22"/>
          <w:lang w:eastAsia="en-US"/>
        </w:rPr>
        <w:t xml:space="preserve"> due to disputed invoice with NH</w:t>
      </w:r>
      <w:r w:rsidR="006E63CA">
        <w:rPr>
          <w:rFonts w:ascii="Arial" w:eastAsiaTheme="minorHAnsi" w:hAnsi="Arial" w:cs="Arial"/>
          <w:sz w:val="22"/>
          <w:szCs w:val="22"/>
          <w:lang w:eastAsia="en-US"/>
        </w:rPr>
        <w:t xml:space="preserve">S BSA for recruitment services who have agreed to issue a credit note and correct for their error. Revised costings are being prepared to </w:t>
      </w:r>
      <w:r>
        <w:rPr>
          <w:rFonts w:ascii="Arial" w:eastAsiaTheme="minorHAnsi" w:hAnsi="Arial" w:cs="Arial"/>
          <w:sz w:val="22"/>
          <w:szCs w:val="22"/>
          <w:lang w:eastAsia="en-US"/>
        </w:rPr>
        <w:t xml:space="preserve">address this error. </w:t>
      </w:r>
    </w:p>
    <w:p w:rsidR="006842F3" w:rsidRPr="006842F3" w:rsidRDefault="006842F3" w:rsidP="006842F3">
      <w:pPr>
        <w:pStyle w:val="ListParagraph"/>
        <w:numPr>
          <w:ilvl w:val="0"/>
          <w:numId w:val="42"/>
        </w:num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Public involvement</w:t>
      </w:r>
      <w:r>
        <w:rPr>
          <w:rFonts w:ascii="Arial" w:eastAsiaTheme="minorHAnsi" w:hAnsi="Arial" w:cs="Arial"/>
          <w:sz w:val="22"/>
          <w:szCs w:val="22"/>
          <w:lang w:eastAsia="en-US"/>
        </w:rPr>
        <w:t xml:space="preserve">: £3k </w:t>
      </w:r>
      <w:proofErr w:type="gramStart"/>
      <w:r>
        <w:rPr>
          <w:rFonts w:ascii="Arial" w:eastAsiaTheme="minorHAnsi" w:hAnsi="Arial" w:cs="Arial"/>
          <w:sz w:val="22"/>
          <w:szCs w:val="22"/>
          <w:lang w:eastAsia="en-US"/>
        </w:rPr>
        <w:t>overspend</w:t>
      </w:r>
      <w:proofErr w:type="gramEnd"/>
      <w:r>
        <w:rPr>
          <w:rFonts w:ascii="Arial" w:eastAsiaTheme="minorHAnsi" w:hAnsi="Arial" w:cs="Arial"/>
          <w:sz w:val="22"/>
          <w:szCs w:val="22"/>
          <w:lang w:eastAsia="en-US"/>
        </w:rPr>
        <w:t xml:space="preserve"> due primarily to participant travel costs reflecting a greater take up of this facility. Our reforecast will </w:t>
      </w:r>
      <w:r w:rsidR="006D1A57">
        <w:rPr>
          <w:rFonts w:ascii="Arial" w:eastAsiaTheme="minorHAnsi" w:hAnsi="Arial" w:cs="Arial"/>
          <w:sz w:val="22"/>
          <w:szCs w:val="22"/>
          <w:lang w:eastAsia="en-US"/>
        </w:rPr>
        <w:t xml:space="preserve">be </w:t>
      </w:r>
      <w:r>
        <w:rPr>
          <w:rFonts w:ascii="Arial" w:eastAsiaTheme="minorHAnsi" w:hAnsi="Arial" w:cs="Arial"/>
          <w:sz w:val="22"/>
          <w:szCs w:val="22"/>
          <w:lang w:eastAsia="en-US"/>
        </w:rPr>
        <w:t>adjust</w:t>
      </w:r>
      <w:r w:rsidR="006D1A57">
        <w:rPr>
          <w:rFonts w:ascii="Arial" w:eastAsiaTheme="minorHAnsi" w:hAnsi="Arial" w:cs="Arial"/>
          <w:sz w:val="22"/>
          <w:szCs w:val="22"/>
          <w:lang w:eastAsia="en-US"/>
        </w:rPr>
        <w:t>ed to reflect</w:t>
      </w:r>
      <w:r>
        <w:rPr>
          <w:rFonts w:ascii="Arial" w:eastAsiaTheme="minorHAnsi" w:hAnsi="Arial" w:cs="Arial"/>
          <w:sz w:val="22"/>
          <w:szCs w:val="22"/>
          <w:lang w:eastAsia="en-US"/>
        </w:rPr>
        <w:t xml:space="preserve"> this in future months. </w:t>
      </w:r>
    </w:p>
    <w:p w:rsidR="005863FA" w:rsidRDefault="005863FA" w:rsidP="005F1569">
      <w:pPr>
        <w:pStyle w:val="ListParagraph"/>
        <w:spacing w:after="200" w:line="276" w:lineRule="auto"/>
        <w:rPr>
          <w:rFonts w:ascii="Arial" w:eastAsiaTheme="minorHAnsi" w:hAnsi="Arial" w:cs="Arial"/>
          <w:sz w:val="22"/>
          <w:szCs w:val="22"/>
          <w:lang w:eastAsia="en-US"/>
        </w:rPr>
      </w:pPr>
    </w:p>
    <w:p w:rsidR="005863FA" w:rsidRDefault="005863FA" w:rsidP="005863FA">
      <w:pPr>
        <w:pStyle w:val="ListParagraph"/>
        <w:spacing w:after="200" w:line="276" w:lineRule="auto"/>
        <w:ind w:left="0"/>
        <w:rPr>
          <w:rFonts w:ascii="Arial" w:eastAsiaTheme="minorHAnsi" w:hAnsi="Arial" w:cs="Arial"/>
          <w:b/>
          <w:sz w:val="22"/>
          <w:szCs w:val="22"/>
          <w:lang w:eastAsia="en-US"/>
        </w:rPr>
      </w:pPr>
      <w:r w:rsidRPr="005863FA">
        <w:rPr>
          <w:rFonts w:ascii="Arial" w:eastAsiaTheme="minorHAnsi" w:hAnsi="Arial" w:cs="Arial"/>
          <w:b/>
          <w:sz w:val="22"/>
          <w:szCs w:val="22"/>
          <w:lang w:eastAsia="en-US"/>
        </w:rPr>
        <w:t>Finance, procurement and estates, £10k overspend, 1.1%</w:t>
      </w:r>
    </w:p>
    <w:p w:rsidR="005863FA" w:rsidRDefault="005863FA" w:rsidP="005863FA">
      <w:pPr>
        <w:pStyle w:val="ListParagraph"/>
        <w:spacing w:after="200" w:line="276" w:lineRule="auto"/>
        <w:ind w:left="0"/>
        <w:rPr>
          <w:rFonts w:ascii="Arial" w:eastAsiaTheme="minorHAnsi" w:hAnsi="Arial" w:cs="Arial"/>
          <w:b/>
          <w:sz w:val="22"/>
          <w:szCs w:val="22"/>
          <w:lang w:eastAsia="en-US"/>
        </w:rPr>
      </w:pPr>
    </w:p>
    <w:p w:rsidR="005863FA" w:rsidRPr="005863FA" w:rsidRDefault="005863FA" w:rsidP="005863FA">
      <w:pPr>
        <w:pStyle w:val="ListParagraph"/>
        <w:numPr>
          <w:ilvl w:val="0"/>
          <w:numId w:val="43"/>
        </w:num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Estates</w:t>
      </w:r>
      <w:r>
        <w:rPr>
          <w:rFonts w:ascii="Arial" w:eastAsiaTheme="minorHAnsi" w:hAnsi="Arial" w:cs="Arial"/>
          <w:sz w:val="22"/>
          <w:szCs w:val="22"/>
          <w:lang w:eastAsia="en-US"/>
        </w:rPr>
        <w:t xml:space="preserve">: £10k </w:t>
      </w:r>
      <w:proofErr w:type="gramStart"/>
      <w:r>
        <w:rPr>
          <w:rFonts w:ascii="Arial" w:eastAsiaTheme="minorHAnsi" w:hAnsi="Arial" w:cs="Arial"/>
          <w:sz w:val="22"/>
          <w:szCs w:val="22"/>
          <w:lang w:eastAsia="en-US"/>
        </w:rPr>
        <w:t>overspend</w:t>
      </w:r>
      <w:proofErr w:type="gramEnd"/>
      <w:r>
        <w:rPr>
          <w:rFonts w:ascii="Arial" w:eastAsiaTheme="minorHAnsi" w:hAnsi="Arial" w:cs="Arial"/>
          <w:sz w:val="22"/>
          <w:szCs w:val="22"/>
          <w:lang w:eastAsia="en-US"/>
        </w:rPr>
        <w:t xml:space="preserve"> due to increased costs of Skipton House. Sub-letting space to NHS BSA will offset these additional costs and result in </w:t>
      </w:r>
      <w:proofErr w:type="gramStart"/>
      <w:r>
        <w:rPr>
          <w:rFonts w:ascii="Arial" w:eastAsiaTheme="minorHAnsi" w:hAnsi="Arial" w:cs="Arial"/>
          <w:sz w:val="22"/>
          <w:szCs w:val="22"/>
          <w:lang w:eastAsia="en-US"/>
        </w:rPr>
        <w:t>an</w:t>
      </w:r>
      <w:proofErr w:type="gramEnd"/>
      <w:r>
        <w:rPr>
          <w:rFonts w:ascii="Arial" w:eastAsiaTheme="minorHAnsi" w:hAnsi="Arial" w:cs="Arial"/>
          <w:sz w:val="22"/>
          <w:szCs w:val="22"/>
          <w:lang w:eastAsia="en-US"/>
        </w:rPr>
        <w:t xml:space="preserve"> net saving by the end of the year. </w:t>
      </w:r>
    </w:p>
    <w:p w:rsidR="00644946" w:rsidRPr="00E87F9E" w:rsidRDefault="00644946" w:rsidP="00644946">
      <w:pPr>
        <w:spacing w:after="200" w:line="276" w:lineRule="auto"/>
        <w:rPr>
          <w:rFonts w:ascii="Arial" w:hAnsi="Arial" w:cs="Arial"/>
          <w:b/>
          <w:sz w:val="22"/>
          <w:szCs w:val="22"/>
        </w:rPr>
      </w:pPr>
      <w:r>
        <w:rPr>
          <w:rFonts w:ascii="Arial" w:hAnsi="Arial" w:cs="Arial"/>
          <w:b/>
          <w:sz w:val="22"/>
          <w:szCs w:val="22"/>
        </w:rPr>
        <w:lastRenderedPageBreak/>
        <w:t>2017/18: financial r</w:t>
      </w:r>
      <w:r w:rsidRPr="00E87F9E">
        <w:rPr>
          <w:rFonts w:ascii="Arial" w:hAnsi="Arial" w:cs="Arial"/>
          <w:b/>
          <w:sz w:val="22"/>
          <w:szCs w:val="22"/>
        </w:rPr>
        <w:t>isks:</w:t>
      </w:r>
    </w:p>
    <w:p w:rsidR="00DF6B8D" w:rsidRDefault="00644946" w:rsidP="00644946">
      <w:pPr>
        <w:pStyle w:val="ListParagraph"/>
        <w:numPr>
          <w:ilvl w:val="0"/>
          <w:numId w:val="40"/>
        </w:numPr>
        <w:spacing w:after="200" w:line="276" w:lineRule="auto"/>
        <w:rPr>
          <w:rFonts w:ascii="Arial" w:hAnsi="Arial" w:cs="Arial"/>
          <w:sz w:val="22"/>
          <w:szCs w:val="22"/>
        </w:rPr>
      </w:pPr>
      <w:r w:rsidRPr="006842F3">
        <w:rPr>
          <w:rFonts w:ascii="Arial" w:hAnsi="Arial" w:cs="Arial"/>
          <w:sz w:val="22"/>
          <w:szCs w:val="22"/>
        </w:rPr>
        <w:t xml:space="preserve">We do not have </w:t>
      </w:r>
      <w:r w:rsidRPr="001178C9">
        <w:rPr>
          <w:rFonts w:ascii="Arial" w:hAnsi="Arial" w:cs="Arial"/>
          <w:b/>
          <w:sz w:val="22"/>
          <w:szCs w:val="22"/>
        </w:rPr>
        <w:t>capacity</w:t>
      </w:r>
      <w:r w:rsidRPr="006842F3">
        <w:rPr>
          <w:rFonts w:ascii="Arial" w:hAnsi="Arial" w:cs="Arial"/>
          <w:sz w:val="22"/>
          <w:szCs w:val="22"/>
        </w:rPr>
        <w:t xml:space="preserve"> </w:t>
      </w:r>
      <w:r w:rsidR="00DF6B8D">
        <w:rPr>
          <w:rFonts w:ascii="Arial" w:hAnsi="Arial" w:cs="Arial"/>
          <w:sz w:val="22"/>
          <w:szCs w:val="22"/>
        </w:rPr>
        <w:t>(financial nor people)</w:t>
      </w:r>
      <w:r w:rsidRPr="006842F3">
        <w:rPr>
          <w:rFonts w:ascii="Arial" w:hAnsi="Arial" w:cs="Arial"/>
          <w:sz w:val="22"/>
          <w:szCs w:val="22"/>
        </w:rPr>
        <w:t xml:space="preserve"> to deliver a significant </w:t>
      </w:r>
      <w:r w:rsidRPr="006842F3">
        <w:rPr>
          <w:rFonts w:ascii="Arial" w:hAnsi="Arial" w:cs="Arial"/>
          <w:b/>
          <w:sz w:val="22"/>
          <w:szCs w:val="22"/>
        </w:rPr>
        <w:t>systems change</w:t>
      </w:r>
      <w:r w:rsidRPr="006842F3">
        <w:rPr>
          <w:rFonts w:ascii="Arial" w:hAnsi="Arial" w:cs="Arial"/>
          <w:sz w:val="22"/>
          <w:szCs w:val="22"/>
        </w:rPr>
        <w:t xml:space="preserve"> programme</w:t>
      </w:r>
      <w:r w:rsidR="00DF6B8D">
        <w:rPr>
          <w:rFonts w:ascii="Arial" w:hAnsi="Arial" w:cs="Arial"/>
          <w:sz w:val="22"/>
          <w:szCs w:val="22"/>
        </w:rPr>
        <w:t xml:space="preserve"> without additional investment. This is acknowledged by DH who </w:t>
      </w:r>
      <w:proofErr w:type="gramStart"/>
      <w:r w:rsidR="00DF6B8D">
        <w:rPr>
          <w:rFonts w:ascii="Arial" w:hAnsi="Arial" w:cs="Arial"/>
          <w:sz w:val="22"/>
          <w:szCs w:val="22"/>
        </w:rPr>
        <w:t>have</w:t>
      </w:r>
      <w:proofErr w:type="gramEnd"/>
      <w:r w:rsidR="00DF6B8D">
        <w:rPr>
          <w:rFonts w:ascii="Arial" w:hAnsi="Arial" w:cs="Arial"/>
          <w:sz w:val="22"/>
          <w:szCs w:val="22"/>
        </w:rPr>
        <w:t xml:space="preserve"> worked with us to develop </w:t>
      </w:r>
      <w:r w:rsidR="006E63CA">
        <w:rPr>
          <w:rFonts w:ascii="Arial" w:hAnsi="Arial" w:cs="Arial"/>
          <w:sz w:val="22"/>
          <w:szCs w:val="22"/>
        </w:rPr>
        <w:t xml:space="preserve">a business case </w:t>
      </w:r>
      <w:r w:rsidR="00DF6B8D">
        <w:rPr>
          <w:rFonts w:ascii="Arial" w:hAnsi="Arial" w:cs="Arial"/>
          <w:sz w:val="22"/>
          <w:szCs w:val="22"/>
        </w:rPr>
        <w:t>for this project.</w:t>
      </w:r>
      <w:r w:rsidR="005863FA">
        <w:rPr>
          <w:rFonts w:ascii="Arial" w:hAnsi="Arial" w:cs="Arial"/>
          <w:sz w:val="22"/>
          <w:szCs w:val="22"/>
        </w:rPr>
        <w:t xml:space="preserve"> </w:t>
      </w:r>
      <w:proofErr w:type="gramStart"/>
      <w:r w:rsidR="006E63CA">
        <w:rPr>
          <w:rFonts w:ascii="Arial" w:hAnsi="Arial" w:cs="Arial"/>
          <w:sz w:val="22"/>
          <w:szCs w:val="22"/>
        </w:rPr>
        <w:t xml:space="preserve">This business case </w:t>
      </w:r>
      <w:r w:rsidR="00DF6B8D">
        <w:rPr>
          <w:rFonts w:ascii="Arial" w:hAnsi="Arial" w:cs="Arial"/>
          <w:sz w:val="22"/>
          <w:szCs w:val="22"/>
        </w:rPr>
        <w:t>sets</w:t>
      </w:r>
      <w:proofErr w:type="gramEnd"/>
      <w:r w:rsidR="00DF6B8D">
        <w:rPr>
          <w:rFonts w:ascii="Arial" w:hAnsi="Arial" w:cs="Arial"/>
          <w:sz w:val="22"/>
          <w:szCs w:val="22"/>
        </w:rPr>
        <w:t xml:space="preserve"> out the resources and funding required to deliver the project identifying the need for an implementation partner to manage and deliver the programme, procurement support as well as the build and roll out. The business case format is required </w:t>
      </w:r>
      <w:r w:rsidR="006E63CA">
        <w:rPr>
          <w:rFonts w:ascii="Arial" w:hAnsi="Arial" w:cs="Arial"/>
          <w:sz w:val="22"/>
          <w:szCs w:val="22"/>
        </w:rPr>
        <w:t xml:space="preserve">to gain the necessary approvals from DH </w:t>
      </w:r>
      <w:r w:rsidR="00DF6B8D">
        <w:rPr>
          <w:rFonts w:ascii="Arial" w:hAnsi="Arial" w:cs="Arial"/>
          <w:sz w:val="22"/>
          <w:szCs w:val="22"/>
        </w:rPr>
        <w:t xml:space="preserve">sponsor, finance </w:t>
      </w:r>
      <w:r w:rsidR="006E63CA">
        <w:rPr>
          <w:rFonts w:ascii="Arial" w:hAnsi="Arial" w:cs="Arial"/>
          <w:sz w:val="22"/>
          <w:szCs w:val="22"/>
        </w:rPr>
        <w:t xml:space="preserve">and commercial </w:t>
      </w:r>
      <w:r w:rsidR="00DF6B8D">
        <w:rPr>
          <w:rFonts w:ascii="Arial" w:hAnsi="Arial" w:cs="Arial"/>
          <w:sz w:val="22"/>
          <w:szCs w:val="22"/>
        </w:rPr>
        <w:t xml:space="preserve">teams. </w:t>
      </w:r>
      <w:r w:rsidR="006E63CA">
        <w:rPr>
          <w:rFonts w:ascii="Arial" w:hAnsi="Arial" w:cs="Arial"/>
          <w:sz w:val="22"/>
          <w:szCs w:val="22"/>
        </w:rPr>
        <w:t xml:space="preserve"> </w:t>
      </w:r>
    </w:p>
    <w:p w:rsidR="00DF6B8D" w:rsidRDefault="00DF6B8D" w:rsidP="00DF6B8D">
      <w:pPr>
        <w:pStyle w:val="ListParagraph"/>
        <w:spacing w:after="200" w:line="276" w:lineRule="auto"/>
        <w:rPr>
          <w:rFonts w:ascii="Arial" w:hAnsi="Arial" w:cs="Arial"/>
          <w:sz w:val="22"/>
          <w:szCs w:val="22"/>
        </w:rPr>
      </w:pPr>
    </w:p>
    <w:p w:rsidR="00644946" w:rsidRDefault="00DF6B8D" w:rsidP="00644946">
      <w:pPr>
        <w:pStyle w:val="ListParagraph"/>
        <w:numPr>
          <w:ilvl w:val="0"/>
          <w:numId w:val="40"/>
        </w:numPr>
        <w:spacing w:after="200" w:line="276" w:lineRule="auto"/>
        <w:rPr>
          <w:rFonts w:ascii="Arial" w:hAnsi="Arial" w:cs="Arial"/>
          <w:sz w:val="22"/>
          <w:szCs w:val="22"/>
        </w:rPr>
      </w:pPr>
      <w:r>
        <w:rPr>
          <w:rFonts w:ascii="Arial" w:hAnsi="Arial" w:cs="Arial"/>
          <w:sz w:val="22"/>
          <w:szCs w:val="22"/>
        </w:rPr>
        <w:t xml:space="preserve">The </w:t>
      </w:r>
      <w:r w:rsidRPr="001178C9">
        <w:rPr>
          <w:rFonts w:ascii="Arial" w:hAnsi="Arial" w:cs="Arial"/>
          <w:b/>
          <w:sz w:val="22"/>
          <w:szCs w:val="22"/>
        </w:rPr>
        <w:t>funding</w:t>
      </w:r>
      <w:r>
        <w:rPr>
          <w:rFonts w:ascii="Arial" w:hAnsi="Arial" w:cs="Arial"/>
          <w:sz w:val="22"/>
          <w:szCs w:val="22"/>
        </w:rPr>
        <w:t xml:space="preserve"> available to support the RS systems </w:t>
      </w:r>
      <w:r w:rsidR="001178C9">
        <w:rPr>
          <w:rFonts w:ascii="Arial" w:hAnsi="Arial" w:cs="Arial"/>
          <w:sz w:val="22"/>
          <w:szCs w:val="22"/>
        </w:rPr>
        <w:t>change programme</w:t>
      </w:r>
      <w:r>
        <w:rPr>
          <w:rFonts w:ascii="Arial" w:hAnsi="Arial" w:cs="Arial"/>
          <w:sz w:val="22"/>
          <w:szCs w:val="22"/>
        </w:rPr>
        <w:t xml:space="preserve"> is </w:t>
      </w:r>
      <w:r w:rsidRPr="001178C9">
        <w:rPr>
          <w:rFonts w:ascii="Arial" w:hAnsi="Arial" w:cs="Arial"/>
          <w:b/>
          <w:sz w:val="22"/>
          <w:szCs w:val="22"/>
        </w:rPr>
        <w:t>time-limited</w:t>
      </w:r>
      <w:r>
        <w:rPr>
          <w:rFonts w:ascii="Arial" w:hAnsi="Arial" w:cs="Arial"/>
          <w:sz w:val="22"/>
          <w:szCs w:val="22"/>
        </w:rPr>
        <w:t xml:space="preserve"> and must be spent by 31/03/2019. </w:t>
      </w:r>
      <w:r w:rsidR="006E63CA">
        <w:rPr>
          <w:rFonts w:ascii="Arial" w:hAnsi="Arial" w:cs="Arial"/>
          <w:sz w:val="22"/>
          <w:szCs w:val="22"/>
        </w:rPr>
        <w:t xml:space="preserve">  </w:t>
      </w:r>
      <w:r>
        <w:rPr>
          <w:rFonts w:ascii="Arial" w:hAnsi="Arial" w:cs="Arial"/>
          <w:sz w:val="22"/>
          <w:szCs w:val="22"/>
        </w:rPr>
        <w:t xml:space="preserve">If the systems change is not delivered within the planned timescales any cost slippage (timing and </w:t>
      </w:r>
      <w:r w:rsidR="005863FA">
        <w:rPr>
          <w:rFonts w:ascii="Arial" w:hAnsi="Arial" w:cs="Arial"/>
          <w:sz w:val="22"/>
          <w:szCs w:val="22"/>
        </w:rPr>
        <w:t>cost over</w:t>
      </w:r>
      <w:r w:rsidR="001178C9">
        <w:rPr>
          <w:rFonts w:ascii="Arial" w:hAnsi="Arial" w:cs="Arial"/>
          <w:sz w:val="22"/>
          <w:szCs w:val="22"/>
        </w:rPr>
        <w:t>run</w:t>
      </w:r>
      <w:r>
        <w:rPr>
          <w:rFonts w:ascii="Arial" w:hAnsi="Arial" w:cs="Arial"/>
          <w:sz w:val="22"/>
          <w:szCs w:val="22"/>
        </w:rPr>
        <w:t xml:space="preserve">) will need to be </w:t>
      </w:r>
      <w:r w:rsidR="001178C9">
        <w:rPr>
          <w:rFonts w:ascii="Arial" w:hAnsi="Arial" w:cs="Arial"/>
          <w:sz w:val="22"/>
          <w:szCs w:val="22"/>
        </w:rPr>
        <w:t>funded</w:t>
      </w:r>
      <w:r>
        <w:rPr>
          <w:rFonts w:ascii="Arial" w:hAnsi="Arial" w:cs="Arial"/>
          <w:sz w:val="22"/>
          <w:szCs w:val="22"/>
        </w:rPr>
        <w:t xml:space="preserve"> from the HRA existing GIA allocation. It is anticipated that the new systems will be more economical to maintain given technological advances and the drive to simplify our approach.</w:t>
      </w:r>
      <w:r w:rsidR="001178C9">
        <w:rPr>
          <w:rFonts w:ascii="Arial" w:hAnsi="Arial" w:cs="Arial"/>
          <w:sz w:val="22"/>
          <w:szCs w:val="22"/>
        </w:rPr>
        <w:t xml:space="preserve"> Contingency planning </w:t>
      </w:r>
      <w:r w:rsidR="005863FA">
        <w:rPr>
          <w:rFonts w:ascii="Arial" w:hAnsi="Arial" w:cs="Arial"/>
          <w:sz w:val="22"/>
          <w:szCs w:val="22"/>
        </w:rPr>
        <w:t>using</w:t>
      </w:r>
      <w:r w:rsidR="001178C9">
        <w:rPr>
          <w:rFonts w:ascii="Arial" w:hAnsi="Arial" w:cs="Arial"/>
          <w:sz w:val="22"/>
          <w:szCs w:val="22"/>
        </w:rPr>
        <w:t xml:space="preserve"> scenario modelling will provide some mitigation however this will remain a significant risk throughout the programme. </w:t>
      </w:r>
    </w:p>
    <w:p w:rsidR="006842F3" w:rsidRPr="006842F3" w:rsidRDefault="006842F3" w:rsidP="006842F3">
      <w:pPr>
        <w:pStyle w:val="ListParagraph"/>
        <w:spacing w:after="200" w:line="276" w:lineRule="auto"/>
        <w:rPr>
          <w:rFonts w:ascii="Arial" w:hAnsi="Arial" w:cs="Arial"/>
          <w:sz w:val="22"/>
          <w:szCs w:val="22"/>
        </w:rPr>
      </w:pPr>
    </w:p>
    <w:p w:rsidR="00CD10AB" w:rsidRPr="002E0A2A" w:rsidRDefault="006842F3" w:rsidP="002E0A2A">
      <w:pPr>
        <w:pStyle w:val="ListParagraph"/>
        <w:numPr>
          <w:ilvl w:val="0"/>
          <w:numId w:val="40"/>
        </w:numPr>
        <w:spacing w:after="200" w:line="276" w:lineRule="auto"/>
        <w:rPr>
          <w:rFonts w:ascii="Arial" w:hAnsi="Arial" w:cs="Arial"/>
          <w:b/>
          <w:sz w:val="22"/>
          <w:szCs w:val="22"/>
        </w:rPr>
      </w:pPr>
      <w:r>
        <w:rPr>
          <w:rFonts w:ascii="Arial" w:hAnsi="Arial" w:cs="Arial"/>
          <w:sz w:val="22"/>
          <w:szCs w:val="22"/>
        </w:rPr>
        <w:t>We know that o</w:t>
      </w:r>
      <w:r w:rsidR="00644946" w:rsidRPr="002E0A2A">
        <w:rPr>
          <w:rFonts w:ascii="Arial" w:hAnsi="Arial" w:cs="Arial"/>
          <w:sz w:val="22"/>
          <w:szCs w:val="22"/>
        </w:rPr>
        <w:t xml:space="preserve">ur current </w:t>
      </w:r>
      <w:r w:rsidR="00644946" w:rsidRPr="002E0A2A">
        <w:rPr>
          <w:rFonts w:ascii="Arial" w:hAnsi="Arial" w:cs="Arial"/>
          <w:b/>
          <w:sz w:val="22"/>
          <w:szCs w:val="22"/>
        </w:rPr>
        <w:t>business model</w:t>
      </w:r>
      <w:r w:rsidR="00644946" w:rsidRPr="002E0A2A">
        <w:rPr>
          <w:rFonts w:ascii="Arial" w:hAnsi="Arial" w:cs="Arial"/>
          <w:sz w:val="22"/>
          <w:szCs w:val="22"/>
        </w:rPr>
        <w:t xml:space="preserve"> </w:t>
      </w:r>
      <w:r w:rsidR="00CD10AB" w:rsidRPr="002E0A2A">
        <w:rPr>
          <w:rFonts w:ascii="Arial" w:hAnsi="Arial" w:cs="Arial"/>
          <w:sz w:val="22"/>
          <w:szCs w:val="22"/>
        </w:rPr>
        <w:t xml:space="preserve">needs to adapt in order to </w:t>
      </w:r>
      <w:r w:rsidR="00644946" w:rsidRPr="002E0A2A">
        <w:rPr>
          <w:rFonts w:ascii="Arial" w:hAnsi="Arial" w:cs="Arial"/>
          <w:sz w:val="22"/>
          <w:szCs w:val="22"/>
        </w:rPr>
        <w:t xml:space="preserve">sustain future real terms reductions in GIA as required by the spending review. </w:t>
      </w:r>
      <w:r w:rsidR="00DE0FA9">
        <w:rPr>
          <w:rFonts w:ascii="Arial" w:hAnsi="Arial" w:cs="Arial"/>
          <w:sz w:val="22"/>
          <w:szCs w:val="22"/>
        </w:rPr>
        <w:t>The many unknowns (new system development, external environment, outcome of SIP) mean that creating a sustainable business model over the coming months will need to be responsive to the ever changing environment HRA operates</w:t>
      </w:r>
      <w:r w:rsidR="005863FA">
        <w:rPr>
          <w:rFonts w:ascii="Arial" w:hAnsi="Arial" w:cs="Arial"/>
          <w:sz w:val="22"/>
          <w:szCs w:val="22"/>
        </w:rPr>
        <w:t>.</w:t>
      </w:r>
    </w:p>
    <w:p w:rsidR="00FF2551" w:rsidRPr="00471EAB" w:rsidRDefault="0050664B" w:rsidP="007C5117">
      <w:pPr>
        <w:spacing w:after="200" w:line="276" w:lineRule="auto"/>
        <w:rPr>
          <w:rFonts w:ascii="Arial" w:hAnsi="Arial" w:cs="Arial"/>
          <w:b/>
          <w:sz w:val="22"/>
          <w:szCs w:val="22"/>
        </w:rPr>
      </w:pPr>
      <w:r>
        <w:rPr>
          <w:rFonts w:ascii="Arial" w:hAnsi="Arial" w:cs="Arial"/>
          <w:b/>
          <w:sz w:val="22"/>
          <w:szCs w:val="22"/>
        </w:rPr>
        <w:t>Staff</w:t>
      </w:r>
      <w:r w:rsidR="00891562">
        <w:rPr>
          <w:rFonts w:ascii="Arial" w:hAnsi="Arial" w:cs="Arial"/>
          <w:b/>
          <w:sz w:val="22"/>
          <w:szCs w:val="22"/>
        </w:rPr>
        <w:t xml:space="preserve"> costs </w:t>
      </w:r>
      <w:r>
        <w:rPr>
          <w:rFonts w:ascii="Arial" w:hAnsi="Arial" w:cs="Arial"/>
          <w:b/>
          <w:sz w:val="22"/>
          <w:szCs w:val="22"/>
        </w:rPr>
        <w:t>(</w:t>
      </w:r>
      <w:r w:rsidR="001178C9">
        <w:rPr>
          <w:rFonts w:ascii="Arial" w:hAnsi="Arial" w:cs="Arial"/>
          <w:b/>
          <w:sz w:val="22"/>
          <w:szCs w:val="22"/>
        </w:rPr>
        <w:t>6</w:t>
      </w:r>
      <w:r>
        <w:rPr>
          <w:rFonts w:ascii="Arial" w:hAnsi="Arial" w:cs="Arial"/>
          <w:b/>
          <w:sz w:val="22"/>
          <w:szCs w:val="22"/>
        </w:rPr>
        <w:t xml:space="preserve"> </w:t>
      </w:r>
      <w:proofErr w:type="spellStart"/>
      <w:r>
        <w:rPr>
          <w:rFonts w:ascii="Arial" w:hAnsi="Arial" w:cs="Arial"/>
          <w:b/>
          <w:sz w:val="22"/>
          <w:szCs w:val="22"/>
        </w:rPr>
        <w:t>mths</w:t>
      </w:r>
      <w:proofErr w:type="spellEnd"/>
      <w:r w:rsidR="000D2F24">
        <w:rPr>
          <w:rFonts w:ascii="Arial" w:hAnsi="Arial" w:cs="Arial"/>
          <w:b/>
          <w:sz w:val="22"/>
          <w:szCs w:val="22"/>
        </w:rPr>
        <w:t>-ended 3</w:t>
      </w:r>
      <w:r w:rsidR="001178C9">
        <w:rPr>
          <w:rFonts w:ascii="Arial" w:hAnsi="Arial" w:cs="Arial"/>
          <w:b/>
          <w:sz w:val="22"/>
          <w:szCs w:val="22"/>
        </w:rPr>
        <w:t>0</w:t>
      </w:r>
      <w:r w:rsidR="00C73CB8">
        <w:rPr>
          <w:rFonts w:ascii="Arial" w:hAnsi="Arial" w:cs="Arial"/>
          <w:b/>
          <w:sz w:val="22"/>
          <w:szCs w:val="22"/>
        </w:rPr>
        <w:t xml:space="preserve"> </w:t>
      </w:r>
      <w:r w:rsidR="001178C9">
        <w:rPr>
          <w:rFonts w:ascii="Arial" w:hAnsi="Arial" w:cs="Arial"/>
          <w:b/>
          <w:sz w:val="22"/>
          <w:szCs w:val="22"/>
        </w:rPr>
        <w:t>September</w:t>
      </w:r>
      <w:r w:rsidR="000D2F24">
        <w:rPr>
          <w:rFonts w:ascii="Arial" w:hAnsi="Arial" w:cs="Arial"/>
          <w:b/>
          <w:sz w:val="22"/>
          <w:szCs w:val="22"/>
        </w:rPr>
        <w:t xml:space="preserve"> 2017</w:t>
      </w:r>
      <w:r>
        <w:rPr>
          <w:rFonts w:ascii="Arial" w:hAnsi="Arial" w:cs="Arial"/>
          <w:b/>
          <w:sz w:val="22"/>
          <w:szCs w:val="22"/>
        </w:rPr>
        <w:t>)</w:t>
      </w:r>
    </w:p>
    <w:tbl>
      <w:tblPr>
        <w:tblW w:w="8222" w:type="dxa"/>
        <w:tblInd w:w="817" w:type="dxa"/>
        <w:tblLayout w:type="fixed"/>
        <w:tblLook w:val="04A0" w:firstRow="1" w:lastRow="0" w:firstColumn="1" w:lastColumn="0" w:noHBand="0" w:noVBand="1"/>
      </w:tblPr>
      <w:tblGrid>
        <w:gridCol w:w="2977"/>
        <w:gridCol w:w="1311"/>
        <w:gridCol w:w="1311"/>
        <w:gridCol w:w="1311"/>
        <w:gridCol w:w="1312"/>
      </w:tblGrid>
      <w:tr w:rsidR="001178C9" w:rsidRPr="00C73CB8" w:rsidTr="00B04D4D">
        <w:trPr>
          <w:trHeight w:val="1500"/>
        </w:trPr>
        <w:tc>
          <w:tcPr>
            <w:tcW w:w="2977" w:type="dxa"/>
            <w:vMerge w:val="restart"/>
            <w:tcBorders>
              <w:top w:val="single" w:sz="8" w:space="0" w:color="auto"/>
              <w:left w:val="single" w:sz="8" w:space="0" w:color="auto"/>
              <w:bottom w:val="nil"/>
              <w:right w:val="nil"/>
            </w:tcBorders>
            <w:shd w:val="clear" w:color="000000" w:fill="95B3D7"/>
            <w:vAlign w:val="center"/>
            <w:hideMark/>
          </w:tcPr>
          <w:p w:rsidR="001178C9" w:rsidRPr="00C73CB8" w:rsidRDefault="001178C9" w:rsidP="00C73CB8">
            <w:pPr>
              <w:rPr>
                <w:rFonts w:ascii="Calibri" w:hAnsi="Calibri"/>
                <w:b/>
                <w:bCs/>
                <w:color w:val="FFFFFF"/>
                <w:sz w:val="22"/>
                <w:szCs w:val="22"/>
              </w:rPr>
            </w:pPr>
            <w:r w:rsidRPr="00C73CB8">
              <w:rPr>
                <w:rFonts w:ascii="Calibri" w:hAnsi="Calibri"/>
                <w:b/>
                <w:bCs/>
                <w:color w:val="FFFFFF"/>
                <w:sz w:val="22"/>
                <w:szCs w:val="22"/>
              </w:rPr>
              <w:t>Service</w:t>
            </w:r>
          </w:p>
        </w:tc>
        <w:tc>
          <w:tcPr>
            <w:tcW w:w="1311" w:type="dxa"/>
            <w:tcBorders>
              <w:top w:val="single" w:sz="8" w:space="0" w:color="auto"/>
              <w:left w:val="nil"/>
              <w:bottom w:val="nil"/>
              <w:right w:val="nil"/>
            </w:tcBorders>
            <w:shd w:val="clear" w:color="000000" w:fill="95B3D7"/>
            <w:vAlign w:val="center"/>
            <w:hideMark/>
          </w:tcPr>
          <w:p w:rsidR="001178C9" w:rsidRPr="00C73CB8" w:rsidRDefault="001178C9" w:rsidP="00C73CB8">
            <w:pPr>
              <w:jc w:val="center"/>
              <w:rPr>
                <w:rFonts w:ascii="Calibri" w:hAnsi="Calibri"/>
                <w:b/>
                <w:bCs/>
                <w:color w:val="FFFFFF"/>
                <w:sz w:val="22"/>
                <w:szCs w:val="22"/>
              </w:rPr>
            </w:pPr>
            <w:r w:rsidRPr="00C73CB8">
              <w:rPr>
                <w:rFonts w:ascii="Calibri" w:hAnsi="Calibri"/>
                <w:b/>
                <w:bCs/>
                <w:color w:val="FFFFFF"/>
                <w:sz w:val="22"/>
                <w:szCs w:val="22"/>
              </w:rPr>
              <w:t>2017/18</w:t>
            </w:r>
            <w:r w:rsidRPr="00C73CB8">
              <w:rPr>
                <w:rFonts w:ascii="Calibri" w:hAnsi="Calibri"/>
                <w:b/>
                <w:bCs/>
                <w:color w:val="FFFFFF"/>
                <w:sz w:val="22"/>
                <w:szCs w:val="22"/>
              </w:rPr>
              <w:br/>
              <w:t xml:space="preserve"> budget net of vacancy factor</w:t>
            </w:r>
          </w:p>
        </w:tc>
        <w:tc>
          <w:tcPr>
            <w:tcW w:w="1311" w:type="dxa"/>
            <w:tcBorders>
              <w:top w:val="single" w:sz="8" w:space="0" w:color="auto"/>
              <w:left w:val="nil"/>
              <w:bottom w:val="nil"/>
              <w:right w:val="nil"/>
            </w:tcBorders>
            <w:shd w:val="clear" w:color="000000" w:fill="95B3D7"/>
            <w:vAlign w:val="center"/>
            <w:hideMark/>
          </w:tcPr>
          <w:p w:rsidR="001178C9" w:rsidRPr="00C73CB8" w:rsidRDefault="001178C9" w:rsidP="00C73CB8">
            <w:pPr>
              <w:jc w:val="center"/>
              <w:rPr>
                <w:rFonts w:ascii="Calibri" w:hAnsi="Calibri"/>
                <w:b/>
                <w:bCs/>
                <w:color w:val="FFFFFF"/>
                <w:sz w:val="22"/>
                <w:szCs w:val="22"/>
              </w:rPr>
            </w:pPr>
            <w:r w:rsidRPr="00C73CB8">
              <w:rPr>
                <w:rFonts w:ascii="Calibri" w:hAnsi="Calibri"/>
                <w:b/>
                <w:bCs/>
                <w:color w:val="FFFFFF"/>
                <w:sz w:val="22"/>
                <w:szCs w:val="22"/>
              </w:rPr>
              <w:t xml:space="preserve">2017/18  </w:t>
            </w:r>
            <w:r w:rsidRPr="00C73CB8">
              <w:rPr>
                <w:rFonts w:ascii="Calibri" w:hAnsi="Calibri"/>
                <w:b/>
                <w:bCs/>
                <w:color w:val="FFFFFF"/>
                <w:sz w:val="22"/>
                <w:szCs w:val="22"/>
              </w:rPr>
              <w:br/>
              <w:t>actual</w:t>
            </w:r>
          </w:p>
        </w:tc>
        <w:tc>
          <w:tcPr>
            <w:tcW w:w="1311" w:type="dxa"/>
            <w:tcBorders>
              <w:top w:val="single" w:sz="8" w:space="0" w:color="auto"/>
              <w:left w:val="nil"/>
              <w:bottom w:val="nil"/>
              <w:right w:val="nil"/>
            </w:tcBorders>
            <w:shd w:val="clear" w:color="000000" w:fill="95B3D7"/>
            <w:vAlign w:val="center"/>
            <w:hideMark/>
          </w:tcPr>
          <w:p w:rsidR="001178C9" w:rsidRPr="00C73CB8" w:rsidRDefault="001178C9" w:rsidP="00C73CB8">
            <w:pPr>
              <w:jc w:val="center"/>
              <w:rPr>
                <w:rFonts w:ascii="Calibri" w:hAnsi="Calibri"/>
                <w:b/>
                <w:bCs/>
                <w:color w:val="FFFFFF"/>
                <w:sz w:val="22"/>
                <w:szCs w:val="22"/>
              </w:rPr>
            </w:pPr>
            <w:r w:rsidRPr="00C73CB8">
              <w:rPr>
                <w:rFonts w:ascii="Calibri" w:hAnsi="Calibri"/>
                <w:b/>
                <w:bCs/>
                <w:color w:val="FFFFFF"/>
                <w:sz w:val="22"/>
                <w:szCs w:val="22"/>
              </w:rPr>
              <w:t>Variance vs budget net of vacancy factor</w:t>
            </w:r>
          </w:p>
        </w:tc>
        <w:tc>
          <w:tcPr>
            <w:tcW w:w="1312" w:type="dxa"/>
            <w:tcBorders>
              <w:top w:val="single" w:sz="8" w:space="0" w:color="auto"/>
              <w:left w:val="nil"/>
              <w:bottom w:val="nil"/>
              <w:right w:val="single" w:sz="8" w:space="0" w:color="auto"/>
            </w:tcBorders>
            <w:shd w:val="clear" w:color="000000" w:fill="95B3D7"/>
            <w:vAlign w:val="center"/>
            <w:hideMark/>
          </w:tcPr>
          <w:p w:rsidR="001178C9" w:rsidRPr="00C73CB8" w:rsidRDefault="001178C9" w:rsidP="00C73CB8">
            <w:pPr>
              <w:jc w:val="center"/>
              <w:rPr>
                <w:rFonts w:ascii="Calibri" w:hAnsi="Calibri"/>
                <w:b/>
                <w:bCs/>
                <w:color w:val="FFFFFF"/>
                <w:sz w:val="22"/>
                <w:szCs w:val="22"/>
              </w:rPr>
            </w:pPr>
            <w:r w:rsidRPr="00C73CB8">
              <w:rPr>
                <w:rFonts w:ascii="Calibri" w:hAnsi="Calibri"/>
                <w:b/>
                <w:bCs/>
                <w:color w:val="FFFFFF"/>
                <w:sz w:val="22"/>
                <w:szCs w:val="22"/>
              </w:rPr>
              <w:t>% Variance net of vacancy factor</w:t>
            </w:r>
          </w:p>
        </w:tc>
      </w:tr>
      <w:tr w:rsidR="001178C9" w:rsidRPr="00C73CB8" w:rsidTr="00B04D4D">
        <w:trPr>
          <w:trHeight w:val="300"/>
        </w:trPr>
        <w:tc>
          <w:tcPr>
            <w:tcW w:w="2977" w:type="dxa"/>
            <w:vMerge/>
            <w:tcBorders>
              <w:top w:val="single" w:sz="8" w:space="0" w:color="auto"/>
              <w:left w:val="single" w:sz="8" w:space="0" w:color="auto"/>
              <w:bottom w:val="nil"/>
              <w:right w:val="nil"/>
            </w:tcBorders>
            <w:vAlign w:val="center"/>
            <w:hideMark/>
          </w:tcPr>
          <w:p w:rsidR="001178C9" w:rsidRPr="00C73CB8" w:rsidRDefault="001178C9" w:rsidP="00C73CB8">
            <w:pPr>
              <w:rPr>
                <w:rFonts w:ascii="Calibri" w:hAnsi="Calibri"/>
                <w:b/>
                <w:bCs/>
                <w:color w:val="FFFFFF"/>
                <w:sz w:val="22"/>
                <w:szCs w:val="22"/>
              </w:rPr>
            </w:pPr>
          </w:p>
        </w:tc>
        <w:tc>
          <w:tcPr>
            <w:tcW w:w="1311" w:type="dxa"/>
            <w:tcBorders>
              <w:top w:val="nil"/>
              <w:left w:val="nil"/>
              <w:bottom w:val="nil"/>
              <w:right w:val="nil"/>
            </w:tcBorders>
            <w:shd w:val="clear" w:color="000000" w:fill="95B3D7"/>
            <w:vAlign w:val="center"/>
            <w:hideMark/>
          </w:tcPr>
          <w:p w:rsidR="001178C9" w:rsidRPr="00C73CB8" w:rsidRDefault="001178C9" w:rsidP="00C73CB8">
            <w:pPr>
              <w:jc w:val="center"/>
              <w:rPr>
                <w:rFonts w:ascii="Calibri" w:hAnsi="Calibri"/>
                <w:b/>
                <w:bCs/>
                <w:color w:val="FFFFFF"/>
                <w:sz w:val="22"/>
                <w:szCs w:val="22"/>
              </w:rPr>
            </w:pPr>
            <w:r w:rsidRPr="00C73CB8">
              <w:rPr>
                <w:rFonts w:ascii="Calibri" w:hAnsi="Calibri"/>
                <w:b/>
                <w:bCs/>
                <w:color w:val="FFFFFF"/>
                <w:sz w:val="22"/>
                <w:szCs w:val="22"/>
              </w:rPr>
              <w:t xml:space="preserve">£000 </w:t>
            </w:r>
          </w:p>
        </w:tc>
        <w:tc>
          <w:tcPr>
            <w:tcW w:w="1311" w:type="dxa"/>
            <w:tcBorders>
              <w:top w:val="nil"/>
              <w:left w:val="nil"/>
              <w:bottom w:val="nil"/>
              <w:right w:val="nil"/>
            </w:tcBorders>
            <w:shd w:val="clear" w:color="000000" w:fill="95B3D7"/>
            <w:vAlign w:val="center"/>
            <w:hideMark/>
          </w:tcPr>
          <w:p w:rsidR="001178C9" w:rsidRPr="00C73CB8" w:rsidRDefault="001178C9" w:rsidP="00C73CB8">
            <w:pPr>
              <w:jc w:val="center"/>
              <w:rPr>
                <w:rFonts w:ascii="Calibri" w:hAnsi="Calibri"/>
                <w:b/>
                <w:bCs/>
                <w:color w:val="FFFFFF"/>
                <w:sz w:val="22"/>
                <w:szCs w:val="22"/>
              </w:rPr>
            </w:pPr>
            <w:r w:rsidRPr="00C73CB8">
              <w:rPr>
                <w:rFonts w:ascii="Calibri" w:hAnsi="Calibri"/>
                <w:b/>
                <w:bCs/>
                <w:color w:val="FFFFFF"/>
                <w:sz w:val="22"/>
                <w:szCs w:val="22"/>
              </w:rPr>
              <w:t xml:space="preserve">£000 </w:t>
            </w:r>
          </w:p>
        </w:tc>
        <w:tc>
          <w:tcPr>
            <w:tcW w:w="1311" w:type="dxa"/>
            <w:tcBorders>
              <w:top w:val="nil"/>
              <w:left w:val="nil"/>
              <w:bottom w:val="nil"/>
              <w:right w:val="nil"/>
            </w:tcBorders>
            <w:shd w:val="clear" w:color="000000" w:fill="95B3D7"/>
            <w:vAlign w:val="center"/>
            <w:hideMark/>
          </w:tcPr>
          <w:p w:rsidR="001178C9" w:rsidRPr="00C73CB8" w:rsidRDefault="001178C9" w:rsidP="00C73CB8">
            <w:pPr>
              <w:jc w:val="center"/>
              <w:rPr>
                <w:rFonts w:ascii="Calibri" w:hAnsi="Calibri"/>
                <w:b/>
                <w:bCs/>
                <w:color w:val="FFFFFF"/>
                <w:sz w:val="22"/>
                <w:szCs w:val="22"/>
              </w:rPr>
            </w:pPr>
            <w:r w:rsidRPr="00C73CB8">
              <w:rPr>
                <w:rFonts w:ascii="Calibri" w:hAnsi="Calibri"/>
                <w:b/>
                <w:bCs/>
                <w:color w:val="FFFFFF"/>
                <w:sz w:val="22"/>
                <w:szCs w:val="22"/>
              </w:rPr>
              <w:t xml:space="preserve">£000 </w:t>
            </w:r>
          </w:p>
        </w:tc>
        <w:tc>
          <w:tcPr>
            <w:tcW w:w="1312" w:type="dxa"/>
            <w:tcBorders>
              <w:top w:val="nil"/>
              <w:left w:val="nil"/>
              <w:bottom w:val="nil"/>
              <w:right w:val="single" w:sz="8" w:space="0" w:color="auto"/>
            </w:tcBorders>
            <w:shd w:val="clear" w:color="000000" w:fill="95B3D7"/>
            <w:vAlign w:val="center"/>
            <w:hideMark/>
          </w:tcPr>
          <w:p w:rsidR="001178C9" w:rsidRPr="00C73CB8" w:rsidRDefault="001178C9" w:rsidP="00C73CB8">
            <w:pPr>
              <w:jc w:val="center"/>
              <w:rPr>
                <w:rFonts w:ascii="Calibri" w:hAnsi="Calibri"/>
                <w:b/>
                <w:bCs/>
                <w:color w:val="FFFFFF"/>
                <w:sz w:val="22"/>
                <w:szCs w:val="22"/>
              </w:rPr>
            </w:pPr>
            <w:r w:rsidRPr="00C73CB8">
              <w:rPr>
                <w:rFonts w:ascii="Calibri" w:hAnsi="Calibri"/>
                <w:b/>
                <w:bCs/>
                <w:color w:val="FFFFFF"/>
                <w:sz w:val="22"/>
                <w:szCs w:val="22"/>
              </w:rPr>
              <w:t xml:space="preserve">£000 </w:t>
            </w:r>
          </w:p>
        </w:tc>
      </w:tr>
      <w:tr w:rsidR="001178C9" w:rsidRPr="00C73CB8" w:rsidTr="00B04D4D">
        <w:trPr>
          <w:trHeight w:val="300"/>
        </w:trPr>
        <w:tc>
          <w:tcPr>
            <w:tcW w:w="2977" w:type="dxa"/>
            <w:tcBorders>
              <w:top w:val="nil"/>
              <w:left w:val="single" w:sz="8" w:space="0" w:color="auto"/>
              <w:bottom w:val="nil"/>
              <w:right w:val="nil"/>
            </w:tcBorders>
            <w:shd w:val="clear" w:color="auto" w:fill="auto"/>
            <w:vAlign w:val="center"/>
            <w:hideMark/>
          </w:tcPr>
          <w:p w:rsidR="001178C9" w:rsidRPr="00C73CB8" w:rsidRDefault="001178C9" w:rsidP="00C73CB8">
            <w:pPr>
              <w:rPr>
                <w:rFonts w:ascii="Calibri" w:hAnsi="Calibri"/>
                <w:color w:val="000000"/>
                <w:sz w:val="20"/>
                <w:szCs w:val="20"/>
              </w:rPr>
            </w:pPr>
            <w:r w:rsidRPr="00C73CB8">
              <w:rPr>
                <w:rFonts w:ascii="Calibri" w:hAnsi="Calibri"/>
                <w:color w:val="000000"/>
                <w:sz w:val="20"/>
                <w:szCs w:val="20"/>
              </w:rPr>
              <w:t>Research ethics service</w:t>
            </w:r>
          </w:p>
        </w:tc>
        <w:tc>
          <w:tcPr>
            <w:tcW w:w="1311" w:type="dxa"/>
            <w:tcBorders>
              <w:top w:val="nil"/>
              <w:left w:val="nil"/>
              <w:bottom w:val="nil"/>
              <w:right w:val="nil"/>
            </w:tcBorders>
            <w:shd w:val="clear" w:color="auto" w:fill="auto"/>
            <w:noWrap/>
            <w:vAlign w:val="center"/>
            <w:hideMark/>
          </w:tcPr>
          <w:p w:rsidR="001178C9" w:rsidRPr="00C73CB8" w:rsidRDefault="001178C9" w:rsidP="001178C9">
            <w:pPr>
              <w:jc w:val="center"/>
              <w:rPr>
                <w:rFonts w:ascii="Calibri" w:hAnsi="Calibri"/>
                <w:color w:val="000000"/>
                <w:sz w:val="20"/>
                <w:szCs w:val="20"/>
              </w:rPr>
            </w:pPr>
            <w:r>
              <w:rPr>
                <w:rFonts w:ascii="Calibri" w:hAnsi="Calibri"/>
                <w:color w:val="000000"/>
                <w:sz w:val="20"/>
                <w:szCs w:val="20"/>
              </w:rPr>
              <w:t>1,452</w:t>
            </w:r>
          </w:p>
        </w:tc>
        <w:tc>
          <w:tcPr>
            <w:tcW w:w="1311" w:type="dxa"/>
            <w:tcBorders>
              <w:top w:val="nil"/>
              <w:left w:val="nil"/>
              <w:bottom w:val="nil"/>
              <w:right w:val="nil"/>
            </w:tcBorders>
            <w:shd w:val="clear" w:color="auto" w:fill="auto"/>
            <w:noWrap/>
            <w:vAlign w:val="center"/>
            <w:hideMark/>
          </w:tcPr>
          <w:p w:rsidR="001178C9" w:rsidRPr="00C73CB8" w:rsidRDefault="001178C9" w:rsidP="001178C9">
            <w:pPr>
              <w:jc w:val="center"/>
              <w:rPr>
                <w:rFonts w:ascii="Calibri" w:hAnsi="Calibri"/>
                <w:color w:val="000000"/>
                <w:sz w:val="20"/>
                <w:szCs w:val="20"/>
              </w:rPr>
            </w:pPr>
            <w:r>
              <w:rPr>
                <w:rFonts w:ascii="Calibri" w:hAnsi="Calibri"/>
                <w:color w:val="000000"/>
                <w:sz w:val="20"/>
                <w:szCs w:val="20"/>
              </w:rPr>
              <w:t>1,446</w:t>
            </w:r>
          </w:p>
        </w:tc>
        <w:tc>
          <w:tcPr>
            <w:tcW w:w="1311" w:type="dxa"/>
            <w:tcBorders>
              <w:top w:val="nil"/>
              <w:left w:val="nil"/>
              <w:bottom w:val="nil"/>
              <w:right w:val="nil"/>
            </w:tcBorders>
            <w:shd w:val="clear" w:color="auto" w:fill="auto"/>
            <w:noWrap/>
            <w:vAlign w:val="center"/>
            <w:hideMark/>
          </w:tcPr>
          <w:p w:rsidR="001178C9" w:rsidRPr="00C73CB8" w:rsidRDefault="001178C9" w:rsidP="001178C9">
            <w:pPr>
              <w:jc w:val="center"/>
              <w:rPr>
                <w:rFonts w:ascii="Calibri" w:hAnsi="Calibri"/>
                <w:color w:val="000000"/>
                <w:sz w:val="20"/>
                <w:szCs w:val="20"/>
              </w:rPr>
            </w:pPr>
            <w:r w:rsidRPr="00C73CB8">
              <w:rPr>
                <w:rFonts w:ascii="Calibri" w:hAnsi="Calibri"/>
                <w:color w:val="000000"/>
                <w:sz w:val="20"/>
                <w:szCs w:val="20"/>
              </w:rPr>
              <w:t>(</w:t>
            </w:r>
            <w:r>
              <w:rPr>
                <w:rFonts w:ascii="Calibri" w:hAnsi="Calibri"/>
                <w:color w:val="000000"/>
                <w:sz w:val="20"/>
                <w:szCs w:val="20"/>
              </w:rPr>
              <w:t>6</w:t>
            </w:r>
            <w:r w:rsidRPr="00C73CB8">
              <w:rPr>
                <w:rFonts w:ascii="Calibri" w:hAnsi="Calibri"/>
                <w:color w:val="000000"/>
                <w:sz w:val="20"/>
                <w:szCs w:val="20"/>
              </w:rPr>
              <w:t>)</w:t>
            </w:r>
          </w:p>
        </w:tc>
        <w:tc>
          <w:tcPr>
            <w:tcW w:w="1312" w:type="dxa"/>
            <w:tcBorders>
              <w:top w:val="nil"/>
              <w:left w:val="nil"/>
              <w:bottom w:val="nil"/>
              <w:right w:val="single" w:sz="8" w:space="0" w:color="auto"/>
            </w:tcBorders>
            <w:shd w:val="clear" w:color="auto" w:fill="auto"/>
            <w:noWrap/>
            <w:vAlign w:val="center"/>
            <w:hideMark/>
          </w:tcPr>
          <w:p w:rsidR="001178C9" w:rsidRPr="00C73CB8" w:rsidRDefault="001178C9" w:rsidP="0042286D">
            <w:pPr>
              <w:jc w:val="center"/>
              <w:rPr>
                <w:rFonts w:ascii="Calibri" w:hAnsi="Calibri"/>
                <w:color w:val="000000"/>
                <w:sz w:val="20"/>
                <w:szCs w:val="20"/>
              </w:rPr>
            </w:pPr>
            <w:r w:rsidRPr="00C73CB8">
              <w:rPr>
                <w:rFonts w:ascii="Calibri" w:hAnsi="Calibri"/>
                <w:color w:val="000000"/>
                <w:sz w:val="20"/>
                <w:szCs w:val="20"/>
              </w:rPr>
              <w:t>(</w:t>
            </w:r>
            <w:r w:rsidR="0042286D">
              <w:rPr>
                <w:rFonts w:ascii="Calibri" w:hAnsi="Calibri"/>
                <w:color w:val="000000"/>
                <w:sz w:val="20"/>
                <w:szCs w:val="20"/>
              </w:rPr>
              <w:t>0.4</w:t>
            </w:r>
            <w:r w:rsidRPr="00C73CB8">
              <w:rPr>
                <w:rFonts w:ascii="Calibri" w:hAnsi="Calibri"/>
                <w:color w:val="000000"/>
                <w:sz w:val="20"/>
                <w:szCs w:val="20"/>
              </w:rPr>
              <w:t>)%</w:t>
            </w:r>
          </w:p>
        </w:tc>
      </w:tr>
      <w:tr w:rsidR="001178C9" w:rsidRPr="00C73CB8" w:rsidTr="00B04D4D">
        <w:trPr>
          <w:trHeight w:val="300"/>
        </w:trPr>
        <w:tc>
          <w:tcPr>
            <w:tcW w:w="2977" w:type="dxa"/>
            <w:tcBorders>
              <w:top w:val="nil"/>
              <w:left w:val="single" w:sz="8" w:space="0" w:color="auto"/>
              <w:bottom w:val="nil"/>
              <w:right w:val="nil"/>
            </w:tcBorders>
            <w:shd w:val="clear" w:color="auto" w:fill="auto"/>
            <w:vAlign w:val="center"/>
            <w:hideMark/>
          </w:tcPr>
          <w:p w:rsidR="001178C9" w:rsidRPr="00C73CB8" w:rsidRDefault="001178C9" w:rsidP="00C73CB8">
            <w:pPr>
              <w:rPr>
                <w:rFonts w:ascii="Calibri" w:hAnsi="Calibri"/>
                <w:color w:val="000000"/>
                <w:sz w:val="20"/>
                <w:szCs w:val="20"/>
              </w:rPr>
            </w:pPr>
            <w:r w:rsidRPr="00C73CB8">
              <w:rPr>
                <w:rFonts w:ascii="Calibri" w:hAnsi="Calibri"/>
                <w:color w:val="000000"/>
                <w:sz w:val="20"/>
                <w:szCs w:val="20"/>
              </w:rPr>
              <w:t xml:space="preserve">HRA Approval </w:t>
            </w:r>
          </w:p>
        </w:tc>
        <w:tc>
          <w:tcPr>
            <w:tcW w:w="1311" w:type="dxa"/>
            <w:tcBorders>
              <w:top w:val="nil"/>
              <w:left w:val="nil"/>
              <w:bottom w:val="nil"/>
              <w:right w:val="nil"/>
            </w:tcBorders>
            <w:shd w:val="clear" w:color="auto" w:fill="auto"/>
            <w:noWrap/>
            <w:vAlign w:val="center"/>
            <w:hideMark/>
          </w:tcPr>
          <w:p w:rsidR="001178C9" w:rsidRPr="00C73CB8" w:rsidRDefault="001178C9" w:rsidP="001178C9">
            <w:pPr>
              <w:jc w:val="center"/>
              <w:rPr>
                <w:rFonts w:ascii="Calibri" w:hAnsi="Calibri"/>
                <w:color w:val="000000"/>
                <w:sz w:val="20"/>
                <w:szCs w:val="20"/>
              </w:rPr>
            </w:pPr>
            <w:r>
              <w:rPr>
                <w:rFonts w:ascii="Calibri" w:hAnsi="Calibri"/>
                <w:color w:val="000000"/>
                <w:sz w:val="20"/>
                <w:szCs w:val="20"/>
              </w:rPr>
              <w:t>1,305</w:t>
            </w:r>
          </w:p>
        </w:tc>
        <w:tc>
          <w:tcPr>
            <w:tcW w:w="1311" w:type="dxa"/>
            <w:tcBorders>
              <w:top w:val="nil"/>
              <w:left w:val="nil"/>
              <w:bottom w:val="nil"/>
              <w:right w:val="nil"/>
            </w:tcBorders>
            <w:shd w:val="clear" w:color="auto" w:fill="auto"/>
            <w:noWrap/>
            <w:vAlign w:val="center"/>
            <w:hideMark/>
          </w:tcPr>
          <w:p w:rsidR="001178C9" w:rsidRPr="00C73CB8" w:rsidRDefault="001178C9" w:rsidP="001178C9">
            <w:pPr>
              <w:jc w:val="center"/>
              <w:rPr>
                <w:rFonts w:ascii="Calibri" w:hAnsi="Calibri"/>
                <w:color w:val="000000"/>
                <w:sz w:val="20"/>
                <w:szCs w:val="20"/>
              </w:rPr>
            </w:pPr>
            <w:r>
              <w:rPr>
                <w:rFonts w:ascii="Calibri" w:hAnsi="Calibri"/>
                <w:color w:val="000000"/>
                <w:sz w:val="20"/>
                <w:szCs w:val="20"/>
              </w:rPr>
              <w:t>1,</w:t>
            </w:r>
            <w:r w:rsidR="0042286D">
              <w:rPr>
                <w:rFonts w:ascii="Calibri" w:hAnsi="Calibri"/>
                <w:color w:val="000000"/>
                <w:sz w:val="20"/>
                <w:szCs w:val="20"/>
              </w:rPr>
              <w:t>304</w:t>
            </w:r>
          </w:p>
        </w:tc>
        <w:tc>
          <w:tcPr>
            <w:tcW w:w="1311" w:type="dxa"/>
            <w:tcBorders>
              <w:top w:val="nil"/>
              <w:left w:val="nil"/>
              <w:bottom w:val="nil"/>
              <w:right w:val="nil"/>
            </w:tcBorders>
            <w:shd w:val="clear" w:color="auto" w:fill="auto"/>
            <w:noWrap/>
            <w:vAlign w:val="center"/>
            <w:hideMark/>
          </w:tcPr>
          <w:p w:rsidR="001178C9" w:rsidRPr="00C73CB8" w:rsidRDefault="001178C9" w:rsidP="00C73CB8">
            <w:pPr>
              <w:jc w:val="center"/>
              <w:rPr>
                <w:rFonts w:ascii="Calibri" w:hAnsi="Calibri"/>
                <w:color w:val="000000"/>
                <w:sz w:val="20"/>
                <w:szCs w:val="20"/>
              </w:rPr>
            </w:pPr>
            <w:r>
              <w:rPr>
                <w:rFonts w:ascii="Calibri" w:hAnsi="Calibri"/>
                <w:color w:val="000000"/>
                <w:sz w:val="20"/>
                <w:szCs w:val="20"/>
              </w:rPr>
              <w:t>(1)</w:t>
            </w:r>
          </w:p>
        </w:tc>
        <w:tc>
          <w:tcPr>
            <w:tcW w:w="1312" w:type="dxa"/>
            <w:tcBorders>
              <w:top w:val="nil"/>
              <w:left w:val="nil"/>
              <w:bottom w:val="nil"/>
              <w:right w:val="single" w:sz="8" w:space="0" w:color="auto"/>
            </w:tcBorders>
            <w:shd w:val="clear" w:color="auto" w:fill="auto"/>
            <w:noWrap/>
            <w:vAlign w:val="center"/>
            <w:hideMark/>
          </w:tcPr>
          <w:p w:rsidR="001178C9" w:rsidRPr="00C73CB8" w:rsidRDefault="001178C9" w:rsidP="0042286D">
            <w:pPr>
              <w:jc w:val="center"/>
              <w:rPr>
                <w:rFonts w:ascii="Calibri" w:hAnsi="Calibri"/>
                <w:color w:val="000000"/>
                <w:sz w:val="20"/>
                <w:szCs w:val="20"/>
              </w:rPr>
            </w:pPr>
            <w:r>
              <w:rPr>
                <w:rFonts w:ascii="Calibri" w:hAnsi="Calibri"/>
                <w:color w:val="000000"/>
                <w:sz w:val="20"/>
                <w:szCs w:val="20"/>
              </w:rPr>
              <w:t>(0.</w:t>
            </w:r>
            <w:r w:rsidR="0042286D">
              <w:rPr>
                <w:rFonts w:ascii="Calibri" w:hAnsi="Calibri"/>
                <w:color w:val="000000"/>
                <w:sz w:val="20"/>
                <w:szCs w:val="20"/>
              </w:rPr>
              <w:t>0</w:t>
            </w:r>
            <w:r>
              <w:rPr>
                <w:rFonts w:ascii="Calibri" w:hAnsi="Calibri"/>
                <w:color w:val="000000"/>
                <w:sz w:val="20"/>
                <w:szCs w:val="20"/>
              </w:rPr>
              <w:t>)</w:t>
            </w:r>
            <w:r w:rsidRPr="00C73CB8">
              <w:rPr>
                <w:rFonts w:ascii="Calibri" w:hAnsi="Calibri"/>
                <w:color w:val="000000"/>
                <w:sz w:val="20"/>
                <w:szCs w:val="20"/>
              </w:rPr>
              <w:t>%</w:t>
            </w:r>
          </w:p>
        </w:tc>
      </w:tr>
      <w:tr w:rsidR="001178C9" w:rsidRPr="00C73CB8" w:rsidTr="00B04D4D">
        <w:trPr>
          <w:trHeight w:val="300"/>
        </w:trPr>
        <w:tc>
          <w:tcPr>
            <w:tcW w:w="2977" w:type="dxa"/>
            <w:tcBorders>
              <w:top w:val="nil"/>
              <w:left w:val="single" w:sz="8" w:space="0" w:color="auto"/>
              <w:bottom w:val="nil"/>
              <w:right w:val="nil"/>
            </w:tcBorders>
            <w:shd w:val="clear" w:color="auto" w:fill="auto"/>
            <w:vAlign w:val="center"/>
            <w:hideMark/>
          </w:tcPr>
          <w:p w:rsidR="001178C9" w:rsidRPr="00C73CB8" w:rsidRDefault="001178C9" w:rsidP="00C73CB8">
            <w:pPr>
              <w:rPr>
                <w:rFonts w:ascii="Calibri" w:hAnsi="Calibri"/>
                <w:color w:val="000000"/>
                <w:sz w:val="20"/>
                <w:szCs w:val="20"/>
              </w:rPr>
            </w:pPr>
            <w:r w:rsidRPr="00C73CB8">
              <w:rPr>
                <w:rFonts w:ascii="Calibri" w:hAnsi="Calibri"/>
                <w:color w:val="000000"/>
                <w:sz w:val="20"/>
                <w:szCs w:val="20"/>
              </w:rPr>
              <w:t>Confidentiality advisory service</w:t>
            </w:r>
          </w:p>
        </w:tc>
        <w:tc>
          <w:tcPr>
            <w:tcW w:w="1311" w:type="dxa"/>
            <w:tcBorders>
              <w:top w:val="nil"/>
              <w:left w:val="nil"/>
              <w:bottom w:val="nil"/>
              <w:right w:val="nil"/>
            </w:tcBorders>
            <w:shd w:val="clear" w:color="auto" w:fill="auto"/>
            <w:noWrap/>
            <w:vAlign w:val="center"/>
            <w:hideMark/>
          </w:tcPr>
          <w:p w:rsidR="001178C9" w:rsidRPr="00C73CB8" w:rsidRDefault="001178C9" w:rsidP="00C73CB8">
            <w:pPr>
              <w:jc w:val="center"/>
              <w:rPr>
                <w:rFonts w:ascii="Calibri" w:hAnsi="Calibri"/>
                <w:color w:val="000000"/>
                <w:sz w:val="20"/>
                <w:szCs w:val="20"/>
              </w:rPr>
            </w:pPr>
            <w:r>
              <w:rPr>
                <w:rFonts w:ascii="Calibri" w:hAnsi="Calibri"/>
                <w:color w:val="000000"/>
                <w:sz w:val="20"/>
                <w:szCs w:val="20"/>
              </w:rPr>
              <w:t>97</w:t>
            </w:r>
          </w:p>
        </w:tc>
        <w:tc>
          <w:tcPr>
            <w:tcW w:w="1311" w:type="dxa"/>
            <w:tcBorders>
              <w:top w:val="nil"/>
              <w:left w:val="nil"/>
              <w:bottom w:val="nil"/>
              <w:right w:val="nil"/>
            </w:tcBorders>
            <w:shd w:val="clear" w:color="auto" w:fill="auto"/>
            <w:noWrap/>
            <w:vAlign w:val="center"/>
            <w:hideMark/>
          </w:tcPr>
          <w:p w:rsidR="001178C9" w:rsidRPr="00C73CB8" w:rsidRDefault="001178C9" w:rsidP="00C73CB8">
            <w:pPr>
              <w:jc w:val="center"/>
              <w:rPr>
                <w:rFonts w:ascii="Calibri" w:hAnsi="Calibri"/>
                <w:color w:val="000000"/>
                <w:sz w:val="20"/>
                <w:szCs w:val="20"/>
              </w:rPr>
            </w:pPr>
            <w:r>
              <w:rPr>
                <w:rFonts w:ascii="Calibri" w:hAnsi="Calibri"/>
                <w:color w:val="000000"/>
                <w:sz w:val="20"/>
                <w:szCs w:val="20"/>
              </w:rPr>
              <w:t>90</w:t>
            </w:r>
          </w:p>
        </w:tc>
        <w:tc>
          <w:tcPr>
            <w:tcW w:w="1311" w:type="dxa"/>
            <w:tcBorders>
              <w:top w:val="nil"/>
              <w:left w:val="nil"/>
              <w:bottom w:val="nil"/>
              <w:right w:val="nil"/>
            </w:tcBorders>
            <w:shd w:val="clear" w:color="auto" w:fill="auto"/>
            <w:noWrap/>
            <w:vAlign w:val="center"/>
            <w:hideMark/>
          </w:tcPr>
          <w:p w:rsidR="001178C9" w:rsidRPr="00C73CB8" w:rsidRDefault="001178C9" w:rsidP="0042286D">
            <w:pPr>
              <w:jc w:val="center"/>
              <w:rPr>
                <w:rFonts w:ascii="Calibri" w:hAnsi="Calibri"/>
                <w:color w:val="000000"/>
                <w:sz w:val="20"/>
                <w:szCs w:val="20"/>
              </w:rPr>
            </w:pPr>
            <w:r w:rsidRPr="00C73CB8">
              <w:rPr>
                <w:rFonts w:ascii="Calibri" w:hAnsi="Calibri"/>
                <w:color w:val="000000"/>
                <w:sz w:val="20"/>
                <w:szCs w:val="20"/>
              </w:rPr>
              <w:t>(</w:t>
            </w:r>
            <w:r w:rsidR="0042286D">
              <w:rPr>
                <w:rFonts w:ascii="Calibri" w:hAnsi="Calibri"/>
                <w:color w:val="000000"/>
                <w:sz w:val="20"/>
                <w:szCs w:val="20"/>
              </w:rPr>
              <w:t>7</w:t>
            </w:r>
            <w:r w:rsidRPr="00C73CB8">
              <w:rPr>
                <w:rFonts w:ascii="Calibri" w:hAnsi="Calibri"/>
                <w:color w:val="000000"/>
                <w:sz w:val="20"/>
                <w:szCs w:val="20"/>
              </w:rPr>
              <w:t>)</w:t>
            </w:r>
          </w:p>
        </w:tc>
        <w:tc>
          <w:tcPr>
            <w:tcW w:w="1312" w:type="dxa"/>
            <w:tcBorders>
              <w:top w:val="nil"/>
              <w:left w:val="nil"/>
              <w:bottom w:val="nil"/>
              <w:right w:val="single" w:sz="8" w:space="0" w:color="auto"/>
            </w:tcBorders>
            <w:shd w:val="clear" w:color="auto" w:fill="auto"/>
            <w:noWrap/>
            <w:vAlign w:val="center"/>
            <w:hideMark/>
          </w:tcPr>
          <w:p w:rsidR="001178C9" w:rsidRPr="00C73CB8" w:rsidRDefault="001178C9" w:rsidP="0042286D">
            <w:pPr>
              <w:jc w:val="center"/>
              <w:rPr>
                <w:rFonts w:ascii="Calibri" w:hAnsi="Calibri"/>
                <w:color w:val="000000"/>
                <w:sz w:val="20"/>
                <w:szCs w:val="20"/>
              </w:rPr>
            </w:pPr>
            <w:r w:rsidRPr="00C73CB8">
              <w:rPr>
                <w:rFonts w:ascii="Calibri" w:hAnsi="Calibri"/>
                <w:color w:val="000000"/>
                <w:sz w:val="20"/>
                <w:szCs w:val="20"/>
              </w:rPr>
              <w:t>(</w:t>
            </w:r>
            <w:r w:rsidR="0042286D">
              <w:rPr>
                <w:rFonts w:ascii="Calibri" w:hAnsi="Calibri"/>
                <w:color w:val="000000"/>
                <w:sz w:val="20"/>
                <w:szCs w:val="20"/>
              </w:rPr>
              <w:t>7.2</w:t>
            </w:r>
            <w:r w:rsidRPr="00C73CB8">
              <w:rPr>
                <w:rFonts w:ascii="Calibri" w:hAnsi="Calibri"/>
                <w:color w:val="000000"/>
                <w:sz w:val="20"/>
                <w:szCs w:val="20"/>
              </w:rPr>
              <w:t>)%</w:t>
            </w:r>
          </w:p>
        </w:tc>
      </w:tr>
      <w:tr w:rsidR="001178C9" w:rsidRPr="00C73CB8" w:rsidTr="00B04D4D">
        <w:trPr>
          <w:trHeight w:val="300"/>
        </w:trPr>
        <w:tc>
          <w:tcPr>
            <w:tcW w:w="2977" w:type="dxa"/>
            <w:tcBorders>
              <w:top w:val="nil"/>
              <w:left w:val="single" w:sz="8" w:space="0" w:color="auto"/>
              <w:bottom w:val="nil"/>
              <w:right w:val="nil"/>
            </w:tcBorders>
            <w:shd w:val="clear" w:color="auto" w:fill="auto"/>
            <w:vAlign w:val="center"/>
            <w:hideMark/>
          </w:tcPr>
          <w:p w:rsidR="001178C9" w:rsidRPr="00C73CB8" w:rsidRDefault="001178C9" w:rsidP="00C73CB8">
            <w:pPr>
              <w:rPr>
                <w:rFonts w:ascii="Calibri" w:hAnsi="Calibri"/>
                <w:color w:val="000000"/>
                <w:sz w:val="20"/>
                <w:szCs w:val="20"/>
              </w:rPr>
            </w:pPr>
            <w:r w:rsidRPr="00C73CB8">
              <w:rPr>
                <w:rFonts w:ascii="Calibri" w:hAnsi="Calibri"/>
                <w:color w:val="000000"/>
                <w:sz w:val="20"/>
                <w:szCs w:val="20"/>
              </w:rPr>
              <w:t>Research systems</w:t>
            </w:r>
          </w:p>
        </w:tc>
        <w:tc>
          <w:tcPr>
            <w:tcW w:w="1311" w:type="dxa"/>
            <w:tcBorders>
              <w:top w:val="nil"/>
              <w:left w:val="nil"/>
              <w:bottom w:val="nil"/>
              <w:right w:val="nil"/>
            </w:tcBorders>
            <w:shd w:val="clear" w:color="auto" w:fill="auto"/>
            <w:noWrap/>
            <w:vAlign w:val="center"/>
            <w:hideMark/>
          </w:tcPr>
          <w:p w:rsidR="001178C9" w:rsidRPr="00C73CB8" w:rsidRDefault="0042286D" w:rsidP="00C73CB8">
            <w:pPr>
              <w:jc w:val="center"/>
              <w:rPr>
                <w:rFonts w:ascii="Calibri" w:hAnsi="Calibri"/>
                <w:color w:val="000000"/>
                <w:sz w:val="20"/>
                <w:szCs w:val="20"/>
              </w:rPr>
            </w:pPr>
            <w:r>
              <w:rPr>
                <w:rFonts w:ascii="Calibri" w:hAnsi="Calibri"/>
                <w:color w:val="000000"/>
                <w:sz w:val="20"/>
                <w:szCs w:val="20"/>
              </w:rPr>
              <w:t>256</w:t>
            </w:r>
          </w:p>
        </w:tc>
        <w:tc>
          <w:tcPr>
            <w:tcW w:w="1311" w:type="dxa"/>
            <w:tcBorders>
              <w:top w:val="nil"/>
              <w:left w:val="nil"/>
              <w:bottom w:val="nil"/>
              <w:right w:val="nil"/>
            </w:tcBorders>
            <w:shd w:val="clear" w:color="auto" w:fill="auto"/>
            <w:noWrap/>
            <w:vAlign w:val="center"/>
            <w:hideMark/>
          </w:tcPr>
          <w:p w:rsidR="001178C9" w:rsidRPr="00C73CB8" w:rsidRDefault="0042286D" w:rsidP="00C73CB8">
            <w:pPr>
              <w:jc w:val="center"/>
              <w:rPr>
                <w:rFonts w:ascii="Calibri" w:hAnsi="Calibri"/>
                <w:color w:val="000000"/>
                <w:sz w:val="20"/>
                <w:szCs w:val="20"/>
              </w:rPr>
            </w:pPr>
            <w:r>
              <w:rPr>
                <w:rFonts w:ascii="Calibri" w:hAnsi="Calibri"/>
                <w:color w:val="000000"/>
                <w:sz w:val="20"/>
                <w:szCs w:val="20"/>
              </w:rPr>
              <w:t>256</w:t>
            </w:r>
          </w:p>
        </w:tc>
        <w:tc>
          <w:tcPr>
            <w:tcW w:w="1311" w:type="dxa"/>
            <w:tcBorders>
              <w:top w:val="nil"/>
              <w:left w:val="nil"/>
              <w:bottom w:val="nil"/>
              <w:right w:val="nil"/>
            </w:tcBorders>
            <w:shd w:val="clear" w:color="auto" w:fill="auto"/>
            <w:noWrap/>
            <w:vAlign w:val="center"/>
            <w:hideMark/>
          </w:tcPr>
          <w:p w:rsidR="001178C9" w:rsidRPr="00C73CB8" w:rsidRDefault="0042286D" w:rsidP="00C73CB8">
            <w:pPr>
              <w:jc w:val="center"/>
              <w:rPr>
                <w:rFonts w:ascii="Calibri" w:hAnsi="Calibri"/>
                <w:color w:val="000000"/>
                <w:sz w:val="20"/>
                <w:szCs w:val="20"/>
              </w:rPr>
            </w:pPr>
            <w:r>
              <w:rPr>
                <w:rFonts w:ascii="Calibri" w:hAnsi="Calibri"/>
                <w:color w:val="000000"/>
                <w:sz w:val="20"/>
                <w:szCs w:val="20"/>
              </w:rPr>
              <w:t>0</w:t>
            </w:r>
          </w:p>
        </w:tc>
        <w:tc>
          <w:tcPr>
            <w:tcW w:w="1312" w:type="dxa"/>
            <w:tcBorders>
              <w:top w:val="nil"/>
              <w:left w:val="nil"/>
              <w:bottom w:val="single" w:sz="4" w:space="0" w:color="auto"/>
              <w:right w:val="single" w:sz="8" w:space="0" w:color="auto"/>
            </w:tcBorders>
            <w:shd w:val="clear" w:color="auto" w:fill="auto"/>
            <w:noWrap/>
            <w:vAlign w:val="center"/>
            <w:hideMark/>
          </w:tcPr>
          <w:p w:rsidR="001178C9" w:rsidRPr="00C73CB8" w:rsidRDefault="001178C9" w:rsidP="0042286D">
            <w:pPr>
              <w:jc w:val="center"/>
              <w:rPr>
                <w:rFonts w:ascii="Calibri" w:hAnsi="Calibri"/>
                <w:color w:val="000000"/>
                <w:sz w:val="20"/>
                <w:szCs w:val="20"/>
              </w:rPr>
            </w:pPr>
            <w:r w:rsidRPr="00C73CB8">
              <w:rPr>
                <w:rFonts w:ascii="Calibri" w:hAnsi="Calibri"/>
                <w:color w:val="000000"/>
                <w:sz w:val="20"/>
                <w:szCs w:val="20"/>
              </w:rPr>
              <w:t>(</w:t>
            </w:r>
            <w:r w:rsidR="0042286D">
              <w:rPr>
                <w:rFonts w:ascii="Calibri" w:hAnsi="Calibri"/>
                <w:color w:val="000000"/>
                <w:sz w:val="20"/>
                <w:szCs w:val="20"/>
              </w:rPr>
              <w:t>0.0</w:t>
            </w:r>
            <w:r w:rsidRPr="00C73CB8">
              <w:rPr>
                <w:rFonts w:ascii="Calibri" w:hAnsi="Calibri"/>
                <w:color w:val="000000"/>
                <w:sz w:val="20"/>
                <w:szCs w:val="20"/>
              </w:rPr>
              <w:t>)%</w:t>
            </w:r>
          </w:p>
        </w:tc>
      </w:tr>
      <w:tr w:rsidR="001178C9" w:rsidRPr="00C73CB8" w:rsidTr="00B04D4D">
        <w:trPr>
          <w:trHeight w:val="300"/>
        </w:trPr>
        <w:tc>
          <w:tcPr>
            <w:tcW w:w="2977" w:type="dxa"/>
            <w:tcBorders>
              <w:top w:val="nil"/>
              <w:left w:val="single" w:sz="8" w:space="0" w:color="auto"/>
              <w:bottom w:val="nil"/>
              <w:right w:val="nil"/>
            </w:tcBorders>
            <w:shd w:val="clear" w:color="000000" w:fill="365F91"/>
            <w:vAlign w:val="center"/>
            <w:hideMark/>
          </w:tcPr>
          <w:p w:rsidR="001178C9" w:rsidRPr="00C73CB8" w:rsidRDefault="001178C9" w:rsidP="00C73CB8">
            <w:pPr>
              <w:rPr>
                <w:rFonts w:ascii="Calibri" w:hAnsi="Calibri"/>
                <w:b/>
                <w:bCs/>
                <w:color w:val="FFFFFF"/>
                <w:sz w:val="20"/>
                <w:szCs w:val="20"/>
              </w:rPr>
            </w:pPr>
            <w:r w:rsidRPr="00C73CB8">
              <w:rPr>
                <w:rFonts w:ascii="Calibri" w:hAnsi="Calibri"/>
                <w:b/>
                <w:bCs/>
                <w:color w:val="FFFFFF"/>
                <w:sz w:val="20"/>
                <w:szCs w:val="20"/>
              </w:rPr>
              <w:t>Total Services Staff Costs</w:t>
            </w:r>
          </w:p>
        </w:tc>
        <w:tc>
          <w:tcPr>
            <w:tcW w:w="1311" w:type="dxa"/>
            <w:tcBorders>
              <w:top w:val="nil"/>
              <w:left w:val="nil"/>
              <w:bottom w:val="nil"/>
              <w:right w:val="nil"/>
            </w:tcBorders>
            <w:shd w:val="clear" w:color="000000" w:fill="365F91"/>
            <w:noWrap/>
            <w:vAlign w:val="center"/>
            <w:hideMark/>
          </w:tcPr>
          <w:p w:rsidR="001178C9" w:rsidRPr="00C73CB8" w:rsidRDefault="0042286D" w:rsidP="00C73CB8">
            <w:pPr>
              <w:jc w:val="center"/>
              <w:rPr>
                <w:rFonts w:ascii="Calibri" w:hAnsi="Calibri"/>
                <w:b/>
                <w:bCs/>
                <w:color w:val="FFFFFF"/>
                <w:sz w:val="20"/>
                <w:szCs w:val="20"/>
              </w:rPr>
            </w:pPr>
            <w:r>
              <w:rPr>
                <w:rFonts w:ascii="Calibri" w:hAnsi="Calibri"/>
                <w:b/>
                <w:bCs/>
                <w:color w:val="FFFFFF"/>
                <w:sz w:val="20"/>
                <w:szCs w:val="20"/>
              </w:rPr>
              <w:t>3,110</w:t>
            </w:r>
          </w:p>
        </w:tc>
        <w:tc>
          <w:tcPr>
            <w:tcW w:w="1311" w:type="dxa"/>
            <w:tcBorders>
              <w:top w:val="nil"/>
              <w:left w:val="nil"/>
              <w:bottom w:val="nil"/>
              <w:right w:val="nil"/>
            </w:tcBorders>
            <w:shd w:val="clear" w:color="000000" w:fill="365F91"/>
            <w:noWrap/>
            <w:vAlign w:val="center"/>
            <w:hideMark/>
          </w:tcPr>
          <w:p w:rsidR="001178C9" w:rsidRPr="00C73CB8" w:rsidRDefault="0042286D" w:rsidP="0042286D">
            <w:pPr>
              <w:jc w:val="center"/>
              <w:rPr>
                <w:rFonts w:ascii="Calibri" w:hAnsi="Calibri"/>
                <w:b/>
                <w:bCs/>
                <w:color w:val="FFFFFF"/>
                <w:sz w:val="20"/>
                <w:szCs w:val="20"/>
              </w:rPr>
            </w:pPr>
            <w:r>
              <w:rPr>
                <w:rFonts w:ascii="Calibri" w:hAnsi="Calibri"/>
                <w:b/>
                <w:bCs/>
                <w:color w:val="FFFFFF"/>
                <w:sz w:val="20"/>
                <w:szCs w:val="20"/>
              </w:rPr>
              <w:t>3,096</w:t>
            </w:r>
          </w:p>
        </w:tc>
        <w:tc>
          <w:tcPr>
            <w:tcW w:w="1311" w:type="dxa"/>
            <w:tcBorders>
              <w:top w:val="nil"/>
              <w:left w:val="nil"/>
              <w:bottom w:val="nil"/>
              <w:right w:val="nil"/>
            </w:tcBorders>
            <w:shd w:val="clear" w:color="000000" w:fill="365F91"/>
            <w:noWrap/>
            <w:vAlign w:val="center"/>
            <w:hideMark/>
          </w:tcPr>
          <w:p w:rsidR="001178C9" w:rsidRPr="00C73CB8" w:rsidRDefault="001178C9" w:rsidP="0042286D">
            <w:pPr>
              <w:jc w:val="center"/>
              <w:rPr>
                <w:rFonts w:ascii="Calibri" w:hAnsi="Calibri"/>
                <w:b/>
                <w:bCs/>
                <w:color w:val="FFFFFF"/>
                <w:sz w:val="20"/>
                <w:szCs w:val="20"/>
              </w:rPr>
            </w:pPr>
            <w:r w:rsidRPr="00C73CB8">
              <w:rPr>
                <w:rFonts w:ascii="Calibri" w:hAnsi="Calibri"/>
                <w:b/>
                <w:bCs/>
                <w:color w:val="FFFFFF"/>
                <w:sz w:val="20"/>
                <w:szCs w:val="20"/>
              </w:rPr>
              <w:t>(</w:t>
            </w:r>
            <w:r w:rsidR="0042286D">
              <w:rPr>
                <w:rFonts w:ascii="Calibri" w:hAnsi="Calibri"/>
                <w:b/>
                <w:bCs/>
                <w:color w:val="FFFFFF"/>
                <w:sz w:val="20"/>
                <w:szCs w:val="20"/>
              </w:rPr>
              <w:t>14</w:t>
            </w:r>
            <w:r w:rsidRPr="00C73CB8">
              <w:rPr>
                <w:rFonts w:ascii="Calibri" w:hAnsi="Calibri"/>
                <w:b/>
                <w:bCs/>
                <w:color w:val="FFFFFF"/>
                <w:sz w:val="20"/>
                <w:szCs w:val="20"/>
              </w:rPr>
              <w:t>)</w:t>
            </w:r>
          </w:p>
        </w:tc>
        <w:tc>
          <w:tcPr>
            <w:tcW w:w="1312" w:type="dxa"/>
            <w:tcBorders>
              <w:top w:val="nil"/>
              <w:left w:val="nil"/>
              <w:bottom w:val="nil"/>
              <w:right w:val="single" w:sz="8" w:space="0" w:color="auto"/>
            </w:tcBorders>
            <w:shd w:val="clear" w:color="000000" w:fill="365F91"/>
            <w:noWrap/>
            <w:vAlign w:val="center"/>
            <w:hideMark/>
          </w:tcPr>
          <w:p w:rsidR="001178C9" w:rsidRPr="00C73CB8" w:rsidRDefault="0042286D" w:rsidP="00595296">
            <w:pPr>
              <w:jc w:val="center"/>
              <w:rPr>
                <w:rFonts w:ascii="Calibri" w:hAnsi="Calibri"/>
                <w:b/>
                <w:bCs/>
                <w:color w:val="FFFFFF"/>
                <w:sz w:val="20"/>
                <w:szCs w:val="20"/>
              </w:rPr>
            </w:pPr>
            <w:r>
              <w:rPr>
                <w:rFonts w:ascii="Calibri" w:hAnsi="Calibri"/>
                <w:b/>
                <w:bCs/>
                <w:color w:val="FFFFFF"/>
                <w:sz w:val="20"/>
                <w:szCs w:val="20"/>
              </w:rPr>
              <w:t>(0.5</w:t>
            </w:r>
            <w:r w:rsidR="001178C9" w:rsidRPr="00C73CB8">
              <w:rPr>
                <w:rFonts w:ascii="Calibri" w:hAnsi="Calibri"/>
                <w:b/>
                <w:bCs/>
                <w:color w:val="FFFFFF"/>
                <w:sz w:val="20"/>
                <w:szCs w:val="20"/>
              </w:rPr>
              <w:t>)%</w:t>
            </w:r>
          </w:p>
        </w:tc>
      </w:tr>
      <w:tr w:rsidR="001178C9" w:rsidRPr="00C73CB8" w:rsidTr="00B04D4D">
        <w:trPr>
          <w:trHeight w:val="300"/>
        </w:trPr>
        <w:tc>
          <w:tcPr>
            <w:tcW w:w="2977" w:type="dxa"/>
            <w:tcBorders>
              <w:top w:val="nil"/>
              <w:left w:val="single" w:sz="8" w:space="0" w:color="auto"/>
              <w:bottom w:val="nil"/>
              <w:right w:val="nil"/>
            </w:tcBorders>
            <w:shd w:val="clear" w:color="auto" w:fill="auto"/>
            <w:vAlign w:val="center"/>
            <w:hideMark/>
          </w:tcPr>
          <w:p w:rsidR="001178C9" w:rsidRPr="00C73CB8" w:rsidRDefault="001178C9" w:rsidP="00C73CB8">
            <w:pPr>
              <w:rPr>
                <w:rFonts w:ascii="Calibri" w:hAnsi="Calibri"/>
                <w:color w:val="000000"/>
                <w:sz w:val="20"/>
                <w:szCs w:val="20"/>
              </w:rPr>
            </w:pPr>
            <w:r w:rsidRPr="00C73CB8">
              <w:rPr>
                <w:rFonts w:ascii="Calibri" w:hAnsi="Calibri"/>
                <w:color w:val="000000"/>
                <w:sz w:val="20"/>
                <w:szCs w:val="20"/>
              </w:rPr>
              <w:t> </w:t>
            </w:r>
          </w:p>
        </w:tc>
        <w:tc>
          <w:tcPr>
            <w:tcW w:w="1311" w:type="dxa"/>
            <w:tcBorders>
              <w:top w:val="nil"/>
              <w:left w:val="nil"/>
              <w:bottom w:val="nil"/>
              <w:right w:val="nil"/>
            </w:tcBorders>
            <w:shd w:val="clear" w:color="auto" w:fill="auto"/>
            <w:noWrap/>
            <w:vAlign w:val="center"/>
            <w:hideMark/>
          </w:tcPr>
          <w:p w:rsidR="001178C9" w:rsidRPr="00C73CB8" w:rsidRDefault="001178C9" w:rsidP="00C73CB8">
            <w:pPr>
              <w:jc w:val="center"/>
              <w:rPr>
                <w:rFonts w:ascii="Calibri" w:hAnsi="Calibri"/>
                <w:color w:val="000000"/>
                <w:sz w:val="20"/>
                <w:szCs w:val="20"/>
              </w:rPr>
            </w:pPr>
          </w:p>
        </w:tc>
        <w:tc>
          <w:tcPr>
            <w:tcW w:w="1311" w:type="dxa"/>
            <w:tcBorders>
              <w:top w:val="nil"/>
              <w:left w:val="nil"/>
              <w:bottom w:val="nil"/>
              <w:right w:val="nil"/>
            </w:tcBorders>
            <w:shd w:val="clear" w:color="auto" w:fill="auto"/>
            <w:noWrap/>
            <w:vAlign w:val="center"/>
            <w:hideMark/>
          </w:tcPr>
          <w:p w:rsidR="001178C9" w:rsidRPr="00C73CB8" w:rsidRDefault="001178C9" w:rsidP="00C73CB8">
            <w:pPr>
              <w:jc w:val="center"/>
              <w:rPr>
                <w:rFonts w:ascii="Calibri" w:hAnsi="Calibri"/>
                <w:color w:val="000000"/>
                <w:sz w:val="20"/>
                <w:szCs w:val="20"/>
              </w:rPr>
            </w:pPr>
          </w:p>
        </w:tc>
        <w:tc>
          <w:tcPr>
            <w:tcW w:w="1311" w:type="dxa"/>
            <w:tcBorders>
              <w:top w:val="nil"/>
              <w:left w:val="nil"/>
              <w:bottom w:val="nil"/>
              <w:right w:val="nil"/>
            </w:tcBorders>
            <w:shd w:val="clear" w:color="auto" w:fill="auto"/>
            <w:noWrap/>
            <w:vAlign w:val="center"/>
            <w:hideMark/>
          </w:tcPr>
          <w:p w:rsidR="001178C9" w:rsidRPr="00C73CB8" w:rsidRDefault="001178C9" w:rsidP="00C73CB8">
            <w:pPr>
              <w:jc w:val="center"/>
              <w:rPr>
                <w:rFonts w:ascii="Calibri" w:hAnsi="Calibri"/>
                <w:color w:val="000000"/>
                <w:sz w:val="20"/>
                <w:szCs w:val="20"/>
              </w:rPr>
            </w:pPr>
          </w:p>
        </w:tc>
        <w:tc>
          <w:tcPr>
            <w:tcW w:w="1312" w:type="dxa"/>
            <w:tcBorders>
              <w:top w:val="nil"/>
              <w:left w:val="nil"/>
              <w:bottom w:val="nil"/>
              <w:right w:val="single" w:sz="8" w:space="0" w:color="auto"/>
            </w:tcBorders>
            <w:shd w:val="clear" w:color="auto" w:fill="auto"/>
            <w:noWrap/>
            <w:vAlign w:val="center"/>
            <w:hideMark/>
          </w:tcPr>
          <w:p w:rsidR="001178C9" w:rsidRPr="00C73CB8" w:rsidRDefault="001178C9" w:rsidP="00C73CB8">
            <w:pPr>
              <w:jc w:val="center"/>
              <w:rPr>
                <w:rFonts w:ascii="Calibri" w:hAnsi="Calibri"/>
                <w:color w:val="000000"/>
                <w:sz w:val="20"/>
                <w:szCs w:val="20"/>
              </w:rPr>
            </w:pPr>
            <w:r w:rsidRPr="00C73CB8">
              <w:rPr>
                <w:rFonts w:ascii="Calibri" w:hAnsi="Calibri"/>
                <w:color w:val="000000"/>
                <w:sz w:val="20"/>
                <w:szCs w:val="20"/>
              </w:rPr>
              <w:t> </w:t>
            </w:r>
          </w:p>
        </w:tc>
      </w:tr>
      <w:tr w:rsidR="001178C9" w:rsidRPr="00C73CB8" w:rsidTr="00B04D4D">
        <w:trPr>
          <w:trHeight w:val="300"/>
        </w:trPr>
        <w:tc>
          <w:tcPr>
            <w:tcW w:w="2977" w:type="dxa"/>
            <w:tcBorders>
              <w:top w:val="nil"/>
              <w:left w:val="single" w:sz="8" w:space="0" w:color="auto"/>
              <w:bottom w:val="nil"/>
              <w:right w:val="nil"/>
            </w:tcBorders>
            <w:shd w:val="clear" w:color="auto" w:fill="auto"/>
            <w:vAlign w:val="center"/>
            <w:hideMark/>
          </w:tcPr>
          <w:p w:rsidR="001178C9" w:rsidRPr="00C73CB8" w:rsidRDefault="001178C9" w:rsidP="00C73CB8">
            <w:pPr>
              <w:rPr>
                <w:rFonts w:ascii="Calibri" w:hAnsi="Calibri"/>
                <w:color w:val="000000"/>
                <w:sz w:val="20"/>
                <w:szCs w:val="20"/>
              </w:rPr>
            </w:pPr>
            <w:r w:rsidRPr="00C73CB8">
              <w:rPr>
                <w:rFonts w:ascii="Calibri" w:hAnsi="Calibri"/>
                <w:color w:val="000000"/>
                <w:sz w:val="20"/>
                <w:szCs w:val="20"/>
              </w:rPr>
              <w:t>Chief executive (</w:t>
            </w:r>
            <w:proofErr w:type="spellStart"/>
            <w:r w:rsidRPr="00C73CB8">
              <w:rPr>
                <w:rFonts w:ascii="Calibri" w:hAnsi="Calibri"/>
                <w:color w:val="000000"/>
                <w:sz w:val="20"/>
                <w:szCs w:val="20"/>
              </w:rPr>
              <w:t>inc</w:t>
            </w:r>
            <w:proofErr w:type="spellEnd"/>
            <w:r w:rsidRPr="00C73CB8">
              <w:rPr>
                <w:rFonts w:ascii="Calibri" w:hAnsi="Calibri"/>
                <w:color w:val="000000"/>
                <w:sz w:val="20"/>
                <w:szCs w:val="20"/>
              </w:rPr>
              <w:t xml:space="preserve"> Governance )</w:t>
            </w:r>
          </w:p>
        </w:tc>
        <w:tc>
          <w:tcPr>
            <w:tcW w:w="1311" w:type="dxa"/>
            <w:tcBorders>
              <w:top w:val="nil"/>
              <w:left w:val="nil"/>
              <w:bottom w:val="nil"/>
              <w:right w:val="nil"/>
            </w:tcBorders>
            <w:shd w:val="clear" w:color="auto" w:fill="auto"/>
            <w:noWrap/>
            <w:vAlign w:val="center"/>
            <w:hideMark/>
          </w:tcPr>
          <w:p w:rsidR="001178C9" w:rsidRPr="00C73CB8" w:rsidRDefault="0042286D" w:rsidP="00C73CB8">
            <w:pPr>
              <w:jc w:val="center"/>
              <w:rPr>
                <w:rFonts w:ascii="Calibri" w:hAnsi="Calibri"/>
                <w:color w:val="000000"/>
                <w:sz w:val="20"/>
                <w:szCs w:val="20"/>
              </w:rPr>
            </w:pPr>
            <w:r>
              <w:rPr>
                <w:rFonts w:ascii="Calibri" w:hAnsi="Calibri"/>
                <w:color w:val="000000"/>
                <w:sz w:val="20"/>
                <w:szCs w:val="20"/>
              </w:rPr>
              <w:t>358</w:t>
            </w:r>
          </w:p>
        </w:tc>
        <w:tc>
          <w:tcPr>
            <w:tcW w:w="1311" w:type="dxa"/>
            <w:tcBorders>
              <w:top w:val="nil"/>
              <w:left w:val="nil"/>
              <w:bottom w:val="nil"/>
              <w:right w:val="nil"/>
            </w:tcBorders>
            <w:shd w:val="clear" w:color="auto" w:fill="auto"/>
            <w:noWrap/>
            <w:vAlign w:val="center"/>
            <w:hideMark/>
          </w:tcPr>
          <w:p w:rsidR="001178C9" w:rsidRPr="00C73CB8" w:rsidRDefault="001178C9" w:rsidP="0042286D">
            <w:pPr>
              <w:jc w:val="center"/>
              <w:rPr>
                <w:rFonts w:ascii="Calibri" w:hAnsi="Calibri"/>
                <w:color w:val="000000"/>
                <w:sz w:val="20"/>
                <w:szCs w:val="20"/>
              </w:rPr>
            </w:pPr>
            <w:r>
              <w:rPr>
                <w:rFonts w:ascii="Calibri" w:hAnsi="Calibri"/>
                <w:color w:val="000000"/>
                <w:sz w:val="20"/>
                <w:szCs w:val="20"/>
              </w:rPr>
              <w:t>3</w:t>
            </w:r>
            <w:r w:rsidR="0042286D">
              <w:rPr>
                <w:rFonts w:ascii="Calibri" w:hAnsi="Calibri"/>
                <w:color w:val="000000"/>
                <w:sz w:val="20"/>
                <w:szCs w:val="20"/>
              </w:rPr>
              <w:t>64</w:t>
            </w:r>
          </w:p>
        </w:tc>
        <w:tc>
          <w:tcPr>
            <w:tcW w:w="1311" w:type="dxa"/>
            <w:tcBorders>
              <w:top w:val="nil"/>
              <w:left w:val="nil"/>
              <w:bottom w:val="nil"/>
              <w:right w:val="nil"/>
            </w:tcBorders>
            <w:shd w:val="clear" w:color="auto" w:fill="auto"/>
            <w:noWrap/>
            <w:vAlign w:val="center"/>
            <w:hideMark/>
          </w:tcPr>
          <w:p w:rsidR="001178C9" w:rsidRPr="00C73CB8" w:rsidRDefault="001178C9" w:rsidP="00C73CB8">
            <w:pPr>
              <w:jc w:val="center"/>
              <w:rPr>
                <w:rFonts w:ascii="Calibri" w:hAnsi="Calibri"/>
                <w:color w:val="000000"/>
                <w:sz w:val="20"/>
                <w:szCs w:val="20"/>
              </w:rPr>
            </w:pPr>
            <w:r>
              <w:rPr>
                <w:rFonts w:ascii="Calibri" w:hAnsi="Calibri"/>
                <w:color w:val="000000"/>
                <w:sz w:val="20"/>
                <w:szCs w:val="20"/>
              </w:rPr>
              <w:t>6</w:t>
            </w:r>
          </w:p>
        </w:tc>
        <w:tc>
          <w:tcPr>
            <w:tcW w:w="1312" w:type="dxa"/>
            <w:tcBorders>
              <w:top w:val="nil"/>
              <w:left w:val="nil"/>
              <w:bottom w:val="nil"/>
              <w:right w:val="single" w:sz="8" w:space="0" w:color="auto"/>
            </w:tcBorders>
            <w:shd w:val="clear" w:color="auto" w:fill="auto"/>
            <w:noWrap/>
            <w:vAlign w:val="center"/>
            <w:hideMark/>
          </w:tcPr>
          <w:p w:rsidR="001178C9" w:rsidRPr="00C73CB8" w:rsidRDefault="0042286D" w:rsidP="00C73CB8">
            <w:pPr>
              <w:jc w:val="center"/>
              <w:rPr>
                <w:rFonts w:ascii="Calibri" w:hAnsi="Calibri"/>
                <w:color w:val="000000"/>
                <w:sz w:val="20"/>
                <w:szCs w:val="20"/>
              </w:rPr>
            </w:pPr>
            <w:r>
              <w:rPr>
                <w:rFonts w:ascii="Calibri" w:hAnsi="Calibri"/>
                <w:color w:val="000000"/>
                <w:sz w:val="20"/>
                <w:szCs w:val="20"/>
              </w:rPr>
              <w:t>1.7</w:t>
            </w:r>
            <w:r w:rsidR="001178C9" w:rsidRPr="00C73CB8">
              <w:rPr>
                <w:rFonts w:ascii="Calibri" w:hAnsi="Calibri"/>
                <w:color w:val="000000"/>
                <w:sz w:val="20"/>
                <w:szCs w:val="20"/>
              </w:rPr>
              <w:t>%</w:t>
            </w:r>
          </w:p>
        </w:tc>
      </w:tr>
      <w:tr w:rsidR="001178C9" w:rsidRPr="00C73CB8" w:rsidTr="00B04D4D">
        <w:trPr>
          <w:trHeight w:val="300"/>
        </w:trPr>
        <w:tc>
          <w:tcPr>
            <w:tcW w:w="2977" w:type="dxa"/>
            <w:tcBorders>
              <w:top w:val="nil"/>
              <w:left w:val="single" w:sz="8" w:space="0" w:color="auto"/>
              <w:bottom w:val="nil"/>
              <w:right w:val="nil"/>
            </w:tcBorders>
            <w:shd w:val="clear" w:color="auto" w:fill="auto"/>
            <w:vAlign w:val="center"/>
            <w:hideMark/>
          </w:tcPr>
          <w:p w:rsidR="001178C9" w:rsidRPr="00C73CB8" w:rsidRDefault="001178C9" w:rsidP="00C73CB8">
            <w:pPr>
              <w:rPr>
                <w:rFonts w:ascii="Calibri" w:hAnsi="Calibri"/>
                <w:color w:val="000000"/>
                <w:sz w:val="20"/>
                <w:szCs w:val="20"/>
              </w:rPr>
            </w:pPr>
            <w:r w:rsidRPr="00C73CB8">
              <w:rPr>
                <w:rFonts w:ascii="Calibri" w:hAnsi="Calibri"/>
                <w:color w:val="000000"/>
                <w:sz w:val="20"/>
                <w:szCs w:val="20"/>
              </w:rPr>
              <w:t>Policy</w:t>
            </w:r>
          </w:p>
        </w:tc>
        <w:tc>
          <w:tcPr>
            <w:tcW w:w="1311" w:type="dxa"/>
            <w:tcBorders>
              <w:top w:val="nil"/>
              <w:left w:val="nil"/>
              <w:bottom w:val="nil"/>
              <w:right w:val="nil"/>
            </w:tcBorders>
            <w:shd w:val="clear" w:color="auto" w:fill="auto"/>
            <w:noWrap/>
            <w:vAlign w:val="center"/>
            <w:hideMark/>
          </w:tcPr>
          <w:p w:rsidR="001178C9" w:rsidRPr="00C73CB8" w:rsidRDefault="0042286D" w:rsidP="00C73CB8">
            <w:pPr>
              <w:jc w:val="center"/>
              <w:rPr>
                <w:rFonts w:ascii="Calibri" w:hAnsi="Calibri"/>
                <w:color w:val="000000"/>
                <w:sz w:val="20"/>
                <w:szCs w:val="20"/>
              </w:rPr>
            </w:pPr>
            <w:r>
              <w:rPr>
                <w:rFonts w:ascii="Calibri" w:hAnsi="Calibri"/>
                <w:color w:val="000000"/>
                <w:sz w:val="20"/>
                <w:szCs w:val="20"/>
              </w:rPr>
              <w:t>114</w:t>
            </w:r>
          </w:p>
        </w:tc>
        <w:tc>
          <w:tcPr>
            <w:tcW w:w="1311" w:type="dxa"/>
            <w:tcBorders>
              <w:top w:val="nil"/>
              <w:left w:val="nil"/>
              <w:bottom w:val="nil"/>
              <w:right w:val="nil"/>
            </w:tcBorders>
            <w:shd w:val="clear" w:color="auto" w:fill="auto"/>
            <w:noWrap/>
            <w:vAlign w:val="center"/>
            <w:hideMark/>
          </w:tcPr>
          <w:p w:rsidR="001178C9" w:rsidRPr="00C73CB8" w:rsidRDefault="0042286D" w:rsidP="00C73CB8">
            <w:pPr>
              <w:jc w:val="center"/>
              <w:rPr>
                <w:rFonts w:ascii="Calibri" w:hAnsi="Calibri"/>
                <w:color w:val="000000"/>
                <w:sz w:val="20"/>
                <w:szCs w:val="20"/>
              </w:rPr>
            </w:pPr>
            <w:r>
              <w:rPr>
                <w:rFonts w:ascii="Calibri" w:hAnsi="Calibri"/>
                <w:color w:val="000000"/>
                <w:sz w:val="20"/>
                <w:szCs w:val="20"/>
              </w:rPr>
              <w:t>102</w:t>
            </w:r>
          </w:p>
        </w:tc>
        <w:tc>
          <w:tcPr>
            <w:tcW w:w="1311" w:type="dxa"/>
            <w:tcBorders>
              <w:top w:val="nil"/>
              <w:left w:val="nil"/>
              <w:bottom w:val="nil"/>
              <w:right w:val="nil"/>
            </w:tcBorders>
            <w:shd w:val="clear" w:color="auto" w:fill="auto"/>
            <w:noWrap/>
            <w:vAlign w:val="center"/>
            <w:hideMark/>
          </w:tcPr>
          <w:p w:rsidR="001178C9" w:rsidRPr="00C73CB8" w:rsidRDefault="0042286D" w:rsidP="00C73CB8">
            <w:pPr>
              <w:jc w:val="center"/>
              <w:rPr>
                <w:rFonts w:ascii="Calibri" w:hAnsi="Calibri"/>
                <w:color w:val="000000"/>
                <w:sz w:val="20"/>
                <w:szCs w:val="20"/>
              </w:rPr>
            </w:pPr>
            <w:r>
              <w:rPr>
                <w:rFonts w:ascii="Calibri" w:hAnsi="Calibri"/>
                <w:color w:val="000000"/>
                <w:sz w:val="20"/>
                <w:szCs w:val="20"/>
              </w:rPr>
              <w:t>(12)</w:t>
            </w:r>
          </w:p>
        </w:tc>
        <w:tc>
          <w:tcPr>
            <w:tcW w:w="1312" w:type="dxa"/>
            <w:tcBorders>
              <w:top w:val="nil"/>
              <w:left w:val="nil"/>
              <w:bottom w:val="nil"/>
              <w:right w:val="single" w:sz="8" w:space="0" w:color="auto"/>
            </w:tcBorders>
            <w:shd w:val="clear" w:color="auto" w:fill="auto"/>
            <w:noWrap/>
            <w:vAlign w:val="center"/>
            <w:hideMark/>
          </w:tcPr>
          <w:p w:rsidR="001178C9" w:rsidRPr="00C73CB8" w:rsidRDefault="0042286D" w:rsidP="0042286D">
            <w:pPr>
              <w:jc w:val="center"/>
              <w:rPr>
                <w:rFonts w:ascii="Calibri" w:hAnsi="Calibri"/>
                <w:color w:val="000000"/>
                <w:sz w:val="20"/>
                <w:szCs w:val="20"/>
              </w:rPr>
            </w:pPr>
            <w:r>
              <w:rPr>
                <w:rFonts w:ascii="Calibri" w:hAnsi="Calibri"/>
                <w:color w:val="000000"/>
                <w:sz w:val="20"/>
                <w:szCs w:val="20"/>
              </w:rPr>
              <w:t>(10.5)</w:t>
            </w:r>
            <w:r w:rsidR="001178C9" w:rsidRPr="00C73CB8">
              <w:rPr>
                <w:rFonts w:ascii="Calibri" w:hAnsi="Calibri"/>
                <w:color w:val="000000"/>
                <w:sz w:val="20"/>
                <w:szCs w:val="20"/>
              </w:rPr>
              <w:t>%</w:t>
            </w:r>
          </w:p>
        </w:tc>
      </w:tr>
      <w:tr w:rsidR="001178C9" w:rsidRPr="00C73CB8" w:rsidTr="00B04D4D">
        <w:trPr>
          <w:trHeight w:val="300"/>
        </w:trPr>
        <w:tc>
          <w:tcPr>
            <w:tcW w:w="2977" w:type="dxa"/>
            <w:tcBorders>
              <w:top w:val="nil"/>
              <w:left w:val="single" w:sz="8" w:space="0" w:color="auto"/>
              <w:bottom w:val="nil"/>
              <w:right w:val="nil"/>
            </w:tcBorders>
            <w:shd w:val="clear" w:color="auto" w:fill="auto"/>
            <w:vAlign w:val="center"/>
            <w:hideMark/>
          </w:tcPr>
          <w:p w:rsidR="001178C9" w:rsidRPr="00C73CB8" w:rsidRDefault="001178C9" w:rsidP="00C73CB8">
            <w:pPr>
              <w:rPr>
                <w:rFonts w:ascii="Calibri" w:hAnsi="Calibri"/>
                <w:color w:val="000000"/>
                <w:sz w:val="20"/>
                <w:szCs w:val="20"/>
              </w:rPr>
            </w:pPr>
            <w:r w:rsidRPr="00C73CB8">
              <w:rPr>
                <w:rFonts w:ascii="Calibri" w:hAnsi="Calibri"/>
                <w:color w:val="000000"/>
                <w:sz w:val="20"/>
                <w:szCs w:val="20"/>
              </w:rPr>
              <w:t>Training</w:t>
            </w:r>
          </w:p>
        </w:tc>
        <w:tc>
          <w:tcPr>
            <w:tcW w:w="1311" w:type="dxa"/>
            <w:tcBorders>
              <w:top w:val="nil"/>
              <w:left w:val="nil"/>
              <w:bottom w:val="nil"/>
              <w:right w:val="nil"/>
            </w:tcBorders>
            <w:shd w:val="clear" w:color="auto" w:fill="auto"/>
            <w:noWrap/>
            <w:vAlign w:val="center"/>
            <w:hideMark/>
          </w:tcPr>
          <w:p w:rsidR="001178C9" w:rsidRPr="00C73CB8" w:rsidRDefault="0042286D" w:rsidP="0042286D">
            <w:pPr>
              <w:jc w:val="center"/>
              <w:rPr>
                <w:rFonts w:ascii="Calibri" w:hAnsi="Calibri"/>
                <w:color w:val="000000"/>
                <w:sz w:val="20"/>
                <w:szCs w:val="20"/>
              </w:rPr>
            </w:pPr>
            <w:r>
              <w:rPr>
                <w:rFonts w:ascii="Calibri" w:hAnsi="Calibri"/>
                <w:color w:val="000000"/>
                <w:sz w:val="20"/>
                <w:szCs w:val="20"/>
              </w:rPr>
              <w:t>89</w:t>
            </w:r>
          </w:p>
        </w:tc>
        <w:tc>
          <w:tcPr>
            <w:tcW w:w="1311" w:type="dxa"/>
            <w:tcBorders>
              <w:top w:val="nil"/>
              <w:left w:val="nil"/>
              <w:bottom w:val="nil"/>
              <w:right w:val="nil"/>
            </w:tcBorders>
            <w:shd w:val="clear" w:color="auto" w:fill="auto"/>
            <w:noWrap/>
            <w:vAlign w:val="center"/>
            <w:hideMark/>
          </w:tcPr>
          <w:p w:rsidR="001178C9" w:rsidRPr="00C73CB8" w:rsidRDefault="0042286D" w:rsidP="00C73CB8">
            <w:pPr>
              <w:jc w:val="center"/>
              <w:rPr>
                <w:rFonts w:ascii="Calibri" w:hAnsi="Calibri"/>
                <w:color w:val="000000"/>
                <w:sz w:val="20"/>
                <w:szCs w:val="20"/>
              </w:rPr>
            </w:pPr>
            <w:r>
              <w:rPr>
                <w:rFonts w:ascii="Calibri" w:hAnsi="Calibri"/>
                <w:color w:val="000000"/>
                <w:sz w:val="20"/>
                <w:szCs w:val="20"/>
              </w:rPr>
              <w:t>89</w:t>
            </w:r>
          </w:p>
        </w:tc>
        <w:tc>
          <w:tcPr>
            <w:tcW w:w="1311" w:type="dxa"/>
            <w:tcBorders>
              <w:top w:val="nil"/>
              <w:left w:val="nil"/>
              <w:bottom w:val="nil"/>
              <w:right w:val="nil"/>
            </w:tcBorders>
            <w:shd w:val="clear" w:color="auto" w:fill="auto"/>
            <w:noWrap/>
            <w:vAlign w:val="center"/>
            <w:hideMark/>
          </w:tcPr>
          <w:p w:rsidR="001178C9" w:rsidRPr="00C73CB8" w:rsidRDefault="001178C9" w:rsidP="00C73CB8">
            <w:pPr>
              <w:jc w:val="center"/>
              <w:rPr>
                <w:rFonts w:ascii="Calibri" w:hAnsi="Calibri"/>
                <w:color w:val="000000"/>
                <w:sz w:val="20"/>
                <w:szCs w:val="20"/>
              </w:rPr>
            </w:pPr>
            <w:r w:rsidRPr="00C73CB8">
              <w:rPr>
                <w:rFonts w:ascii="Calibri" w:hAnsi="Calibri"/>
                <w:color w:val="000000"/>
                <w:sz w:val="20"/>
                <w:szCs w:val="20"/>
              </w:rPr>
              <w:t>0</w:t>
            </w:r>
          </w:p>
        </w:tc>
        <w:tc>
          <w:tcPr>
            <w:tcW w:w="1312" w:type="dxa"/>
            <w:tcBorders>
              <w:top w:val="nil"/>
              <w:left w:val="nil"/>
              <w:bottom w:val="nil"/>
              <w:right w:val="single" w:sz="8" w:space="0" w:color="auto"/>
            </w:tcBorders>
            <w:shd w:val="clear" w:color="auto" w:fill="auto"/>
            <w:noWrap/>
            <w:vAlign w:val="center"/>
            <w:hideMark/>
          </w:tcPr>
          <w:p w:rsidR="001178C9" w:rsidRPr="00C73CB8" w:rsidRDefault="001178C9" w:rsidP="00595296">
            <w:pPr>
              <w:jc w:val="center"/>
              <w:rPr>
                <w:rFonts w:ascii="Calibri" w:hAnsi="Calibri"/>
                <w:color w:val="000000"/>
                <w:sz w:val="20"/>
                <w:szCs w:val="20"/>
              </w:rPr>
            </w:pPr>
            <w:r w:rsidRPr="00C73CB8">
              <w:rPr>
                <w:rFonts w:ascii="Calibri" w:hAnsi="Calibri"/>
                <w:color w:val="000000"/>
                <w:sz w:val="20"/>
                <w:szCs w:val="20"/>
              </w:rPr>
              <w:t>0.</w:t>
            </w:r>
            <w:r>
              <w:rPr>
                <w:rFonts w:ascii="Calibri" w:hAnsi="Calibri"/>
                <w:color w:val="000000"/>
                <w:sz w:val="20"/>
                <w:szCs w:val="20"/>
              </w:rPr>
              <w:t>0</w:t>
            </w:r>
            <w:r w:rsidRPr="00C73CB8">
              <w:rPr>
                <w:rFonts w:ascii="Calibri" w:hAnsi="Calibri"/>
                <w:color w:val="000000"/>
                <w:sz w:val="20"/>
                <w:szCs w:val="20"/>
              </w:rPr>
              <w:t>%</w:t>
            </w:r>
          </w:p>
        </w:tc>
      </w:tr>
      <w:tr w:rsidR="001178C9" w:rsidRPr="00C73CB8" w:rsidTr="00B04D4D">
        <w:trPr>
          <w:trHeight w:val="289"/>
        </w:trPr>
        <w:tc>
          <w:tcPr>
            <w:tcW w:w="2977" w:type="dxa"/>
            <w:tcBorders>
              <w:top w:val="nil"/>
              <w:left w:val="single" w:sz="8" w:space="0" w:color="auto"/>
              <w:bottom w:val="nil"/>
              <w:right w:val="nil"/>
            </w:tcBorders>
            <w:shd w:val="clear" w:color="auto" w:fill="auto"/>
            <w:vAlign w:val="center"/>
            <w:hideMark/>
          </w:tcPr>
          <w:p w:rsidR="001178C9" w:rsidRPr="00C73CB8" w:rsidRDefault="001178C9" w:rsidP="00C73CB8">
            <w:pPr>
              <w:rPr>
                <w:rFonts w:ascii="Calibri" w:hAnsi="Calibri"/>
                <w:color w:val="000000"/>
                <w:sz w:val="20"/>
                <w:szCs w:val="20"/>
              </w:rPr>
            </w:pPr>
            <w:r w:rsidRPr="00C73CB8">
              <w:rPr>
                <w:rFonts w:ascii="Calibri" w:hAnsi="Calibri"/>
                <w:color w:val="000000"/>
                <w:sz w:val="20"/>
                <w:szCs w:val="20"/>
              </w:rPr>
              <w:t>Corporate services</w:t>
            </w:r>
          </w:p>
        </w:tc>
        <w:tc>
          <w:tcPr>
            <w:tcW w:w="1311" w:type="dxa"/>
            <w:tcBorders>
              <w:top w:val="nil"/>
              <w:left w:val="nil"/>
              <w:bottom w:val="nil"/>
              <w:right w:val="nil"/>
            </w:tcBorders>
            <w:shd w:val="clear" w:color="auto" w:fill="auto"/>
            <w:noWrap/>
            <w:vAlign w:val="center"/>
            <w:hideMark/>
          </w:tcPr>
          <w:p w:rsidR="001178C9" w:rsidRPr="00C73CB8" w:rsidRDefault="0042286D" w:rsidP="00C73CB8">
            <w:pPr>
              <w:jc w:val="center"/>
              <w:rPr>
                <w:rFonts w:ascii="Calibri" w:hAnsi="Calibri"/>
                <w:color w:val="000000"/>
                <w:sz w:val="20"/>
                <w:szCs w:val="20"/>
              </w:rPr>
            </w:pPr>
            <w:r>
              <w:rPr>
                <w:rFonts w:ascii="Calibri" w:hAnsi="Calibri"/>
                <w:color w:val="000000"/>
                <w:sz w:val="20"/>
                <w:szCs w:val="20"/>
              </w:rPr>
              <w:t>411</w:t>
            </w:r>
          </w:p>
        </w:tc>
        <w:tc>
          <w:tcPr>
            <w:tcW w:w="1311" w:type="dxa"/>
            <w:tcBorders>
              <w:top w:val="nil"/>
              <w:left w:val="nil"/>
              <w:bottom w:val="nil"/>
              <w:right w:val="nil"/>
            </w:tcBorders>
            <w:shd w:val="clear" w:color="auto" w:fill="auto"/>
            <w:noWrap/>
            <w:vAlign w:val="center"/>
            <w:hideMark/>
          </w:tcPr>
          <w:p w:rsidR="001178C9" w:rsidRPr="00C73CB8" w:rsidRDefault="0042286D" w:rsidP="00C73CB8">
            <w:pPr>
              <w:jc w:val="center"/>
              <w:rPr>
                <w:rFonts w:ascii="Calibri" w:hAnsi="Calibri"/>
                <w:color w:val="000000"/>
                <w:sz w:val="20"/>
                <w:szCs w:val="20"/>
              </w:rPr>
            </w:pPr>
            <w:r>
              <w:rPr>
                <w:rFonts w:ascii="Calibri" w:hAnsi="Calibri"/>
                <w:color w:val="000000"/>
                <w:sz w:val="20"/>
                <w:szCs w:val="20"/>
              </w:rPr>
              <w:t>411</w:t>
            </w:r>
          </w:p>
        </w:tc>
        <w:tc>
          <w:tcPr>
            <w:tcW w:w="1311" w:type="dxa"/>
            <w:tcBorders>
              <w:top w:val="nil"/>
              <w:left w:val="nil"/>
              <w:bottom w:val="nil"/>
              <w:right w:val="nil"/>
            </w:tcBorders>
            <w:shd w:val="clear" w:color="auto" w:fill="auto"/>
            <w:noWrap/>
            <w:vAlign w:val="center"/>
            <w:hideMark/>
          </w:tcPr>
          <w:p w:rsidR="001178C9" w:rsidRPr="00C73CB8" w:rsidRDefault="0042286D" w:rsidP="00595296">
            <w:pPr>
              <w:jc w:val="center"/>
              <w:rPr>
                <w:rFonts w:ascii="Calibri" w:hAnsi="Calibri"/>
                <w:color w:val="000000"/>
                <w:sz w:val="20"/>
                <w:szCs w:val="20"/>
              </w:rPr>
            </w:pPr>
            <w:r>
              <w:rPr>
                <w:rFonts w:ascii="Calibri" w:hAnsi="Calibri"/>
                <w:color w:val="000000"/>
                <w:sz w:val="20"/>
                <w:szCs w:val="20"/>
              </w:rPr>
              <w:t>0</w:t>
            </w:r>
          </w:p>
        </w:tc>
        <w:tc>
          <w:tcPr>
            <w:tcW w:w="1312" w:type="dxa"/>
            <w:tcBorders>
              <w:top w:val="nil"/>
              <w:left w:val="nil"/>
              <w:bottom w:val="nil"/>
              <w:right w:val="single" w:sz="8" w:space="0" w:color="auto"/>
            </w:tcBorders>
            <w:shd w:val="clear" w:color="auto" w:fill="auto"/>
            <w:noWrap/>
            <w:vAlign w:val="center"/>
            <w:hideMark/>
          </w:tcPr>
          <w:p w:rsidR="001178C9" w:rsidRPr="00C73CB8" w:rsidRDefault="001178C9" w:rsidP="0042286D">
            <w:pPr>
              <w:jc w:val="center"/>
              <w:rPr>
                <w:rFonts w:ascii="Calibri" w:hAnsi="Calibri"/>
                <w:color w:val="000000"/>
                <w:sz w:val="20"/>
                <w:szCs w:val="20"/>
              </w:rPr>
            </w:pPr>
            <w:r>
              <w:rPr>
                <w:rFonts w:ascii="Calibri" w:hAnsi="Calibri"/>
                <w:color w:val="000000"/>
                <w:sz w:val="20"/>
                <w:szCs w:val="20"/>
              </w:rPr>
              <w:t>0</w:t>
            </w:r>
            <w:r w:rsidRPr="00C73CB8">
              <w:rPr>
                <w:rFonts w:ascii="Calibri" w:hAnsi="Calibri"/>
                <w:color w:val="000000"/>
                <w:sz w:val="20"/>
                <w:szCs w:val="20"/>
              </w:rPr>
              <w:t>.</w:t>
            </w:r>
            <w:r w:rsidR="0042286D">
              <w:rPr>
                <w:rFonts w:ascii="Calibri" w:hAnsi="Calibri"/>
                <w:color w:val="000000"/>
                <w:sz w:val="20"/>
                <w:szCs w:val="20"/>
              </w:rPr>
              <w:t>0</w:t>
            </w:r>
            <w:r w:rsidRPr="00C73CB8">
              <w:rPr>
                <w:rFonts w:ascii="Calibri" w:hAnsi="Calibri"/>
                <w:color w:val="000000"/>
                <w:sz w:val="20"/>
                <w:szCs w:val="20"/>
              </w:rPr>
              <w:t>%</w:t>
            </w:r>
          </w:p>
        </w:tc>
      </w:tr>
      <w:tr w:rsidR="001178C9" w:rsidRPr="00C73CB8" w:rsidTr="00B04D4D">
        <w:trPr>
          <w:trHeight w:val="289"/>
        </w:trPr>
        <w:tc>
          <w:tcPr>
            <w:tcW w:w="2977" w:type="dxa"/>
            <w:tcBorders>
              <w:top w:val="nil"/>
              <w:left w:val="single" w:sz="8" w:space="0" w:color="auto"/>
              <w:bottom w:val="nil"/>
              <w:right w:val="nil"/>
            </w:tcBorders>
            <w:shd w:val="clear" w:color="auto" w:fill="auto"/>
            <w:vAlign w:val="center"/>
            <w:hideMark/>
          </w:tcPr>
          <w:p w:rsidR="001178C9" w:rsidRPr="00C73CB8" w:rsidRDefault="001178C9" w:rsidP="00C73CB8">
            <w:pPr>
              <w:rPr>
                <w:rFonts w:ascii="Calibri" w:hAnsi="Calibri"/>
                <w:color w:val="000000"/>
                <w:sz w:val="20"/>
                <w:szCs w:val="20"/>
              </w:rPr>
            </w:pPr>
            <w:r w:rsidRPr="00C73CB8">
              <w:rPr>
                <w:rFonts w:ascii="Calibri" w:hAnsi="Calibri"/>
                <w:color w:val="000000"/>
                <w:sz w:val="20"/>
                <w:szCs w:val="20"/>
              </w:rPr>
              <w:t>Finance, Procurement and Estates</w:t>
            </w:r>
          </w:p>
        </w:tc>
        <w:tc>
          <w:tcPr>
            <w:tcW w:w="1311" w:type="dxa"/>
            <w:tcBorders>
              <w:top w:val="nil"/>
              <w:left w:val="nil"/>
              <w:bottom w:val="nil"/>
              <w:right w:val="nil"/>
            </w:tcBorders>
            <w:shd w:val="clear" w:color="auto" w:fill="auto"/>
            <w:noWrap/>
            <w:vAlign w:val="center"/>
            <w:hideMark/>
          </w:tcPr>
          <w:p w:rsidR="001178C9" w:rsidRPr="00C73CB8" w:rsidRDefault="0042286D" w:rsidP="00C73CB8">
            <w:pPr>
              <w:jc w:val="center"/>
              <w:rPr>
                <w:rFonts w:ascii="Calibri" w:hAnsi="Calibri"/>
                <w:color w:val="000000"/>
                <w:sz w:val="20"/>
                <w:szCs w:val="20"/>
              </w:rPr>
            </w:pPr>
            <w:r>
              <w:rPr>
                <w:rFonts w:ascii="Calibri" w:hAnsi="Calibri"/>
                <w:color w:val="000000"/>
                <w:sz w:val="20"/>
                <w:szCs w:val="20"/>
              </w:rPr>
              <w:t>24</w:t>
            </w:r>
            <w:r w:rsidR="001178C9">
              <w:rPr>
                <w:rFonts w:ascii="Calibri" w:hAnsi="Calibri"/>
                <w:color w:val="000000"/>
                <w:sz w:val="20"/>
                <w:szCs w:val="20"/>
              </w:rPr>
              <w:t>3</w:t>
            </w:r>
          </w:p>
        </w:tc>
        <w:tc>
          <w:tcPr>
            <w:tcW w:w="1311" w:type="dxa"/>
            <w:tcBorders>
              <w:top w:val="nil"/>
              <w:left w:val="nil"/>
              <w:bottom w:val="nil"/>
              <w:right w:val="nil"/>
            </w:tcBorders>
            <w:shd w:val="clear" w:color="auto" w:fill="auto"/>
            <w:noWrap/>
            <w:vAlign w:val="center"/>
            <w:hideMark/>
          </w:tcPr>
          <w:p w:rsidR="001178C9" w:rsidRPr="00C73CB8" w:rsidRDefault="001178C9" w:rsidP="0042286D">
            <w:pPr>
              <w:jc w:val="center"/>
              <w:rPr>
                <w:rFonts w:ascii="Calibri" w:hAnsi="Calibri"/>
                <w:color w:val="000000"/>
                <w:sz w:val="20"/>
                <w:szCs w:val="20"/>
              </w:rPr>
            </w:pPr>
            <w:r>
              <w:rPr>
                <w:rFonts w:ascii="Calibri" w:hAnsi="Calibri"/>
                <w:color w:val="000000"/>
                <w:sz w:val="20"/>
                <w:szCs w:val="20"/>
              </w:rPr>
              <w:t>2</w:t>
            </w:r>
            <w:r w:rsidR="0042286D">
              <w:rPr>
                <w:rFonts w:ascii="Calibri" w:hAnsi="Calibri"/>
                <w:color w:val="000000"/>
                <w:sz w:val="20"/>
                <w:szCs w:val="20"/>
              </w:rPr>
              <w:t>40</w:t>
            </w:r>
          </w:p>
        </w:tc>
        <w:tc>
          <w:tcPr>
            <w:tcW w:w="1311" w:type="dxa"/>
            <w:tcBorders>
              <w:top w:val="nil"/>
              <w:left w:val="nil"/>
              <w:bottom w:val="nil"/>
              <w:right w:val="nil"/>
            </w:tcBorders>
            <w:shd w:val="clear" w:color="auto" w:fill="auto"/>
            <w:noWrap/>
            <w:vAlign w:val="center"/>
            <w:hideMark/>
          </w:tcPr>
          <w:p w:rsidR="001178C9" w:rsidRPr="00C73CB8" w:rsidRDefault="001178C9" w:rsidP="00595296">
            <w:pPr>
              <w:jc w:val="center"/>
              <w:rPr>
                <w:rFonts w:ascii="Calibri" w:hAnsi="Calibri"/>
                <w:color w:val="000000"/>
                <w:sz w:val="20"/>
                <w:szCs w:val="20"/>
              </w:rPr>
            </w:pPr>
            <w:r w:rsidRPr="00C73CB8">
              <w:rPr>
                <w:rFonts w:ascii="Calibri" w:hAnsi="Calibri"/>
                <w:color w:val="000000"/>
                <w:sz w:val="20"/>
                <w:szCs w:val="20"/>
              </w:rPr>
              <w:t>(</w:t>
            </w:r>
            <w:r>
              <w:rPr>
                <w:rFonts w:ascii="Calibri" w:hAnsi="Calibri"/>
                <w:color w:val="000000"/>
                <w:sz w:val="20"/>
                <w:szCs w:val="20"/>
              </w:rPr>
              <w:t>3</w:t>
            </w:r>
            <w:r w:rsidRPr="00C73CB8">
              <w:rPr>
                <w:rFonts w:ascii="Calibri" w:hAnsi="Calibri"/>
                <w:color w:val="000000"/>
                <w:sz w:val="20"/>
                <w:szCs w:val="20"/>
              </w:rPr>
              <w:t>)</w:t>
            </w:r>
          </w:p>
        </w:tc>
        <w:tc>
          <w:tcPr>
            <w:tcW w:w="1312" w:type="dxa"/>
            <w:tcBorders>
              <w:top w:val="nil"/>
              <w:left w:val="nil"/>
              <w:bottom w:val="nil"/>
              <w:right w:val="single" w:sz="8" w:space="0" w:color="auto"/>
            </w:tcBorders>
            <w:shd w:val="clear" w:color="auto" w:fill="auto"/>
            <w:noWrap/>
            <w:vAlign w:val="center"/>
            <w:hideMark/>
          </w:tcPr>
          <w:p w:rsidR="001178C9" w:rsidRPr="00C73CB8" w:rsidRDefault="001178C9" w:rsidP="0042286D">
            <w:pPr>
              <w:jc w:val="center"/>
              <w:rPr>
                <w:rFonts w:ascii="Calibri" w:hAnsi="Calibri"/>
                <w:color w:val="000000"/>
                <w:sz w:val="20"/>
                <w:szCs w:val="20"/>
              </w:rPr>
            </w:pPr>
            <w:r w:rsidRPr="00C73CB8">
              <w:rPr>
                <w:rFonts w:ascii="Calibri" w:hAnsi="Calibri"/>
                <w:color w:val="000000"/>
                <w:sz w:val="20"/>
                <w:szCs w:val="20"/>
              </w:rPr>
              <w:t>(</w:t>
            </w:r>
            <w:r>
              <w:rPr>
                <w:rFonts w:ascii="Calibri" w:hAnsi="Calibri"/>
                <w:color w:val="000000"/>
                <w:sz w:val="20"/>
                <w:szCs w:val="20"/>
              </w:rPr>
              <w:t>1.</w:t>
            </w:r>
            <w:r w:rsidR="0042286D">
              <w:rPr>
                <w:rFonts w:ascii="Calibri" w:hAnsi="Calibri"/>
                <w:color w:val="000000"/>
                <w:sz w:val="20"/>
                <w:szCs w:val="20"/>
              </w:rPr>
              <w:t>2</w:t>
            </w:r>
            <w:r w:rsidRPr="00C73CB8">
              <w:rPr>
                <w:rFonts w:ascii="Calibri" w:hAnsi="Calibri"/>
                <w:color w:val="000000"/>
                <w:sz w:val="20"/>
                <w:szCs w:val="20"/>
              </w:rPr>
              <w:t>)%</w:t>
            </w:r>
          </w:p>
        </w:tc>
      </w:tr>
      <w:tr w:rsidR="001178C9" w:rsidRPr="00C73CB8" w:rsidTr="00B04D4D">
        <w:trPr>
          <w:trHeight w:val="315"/>
        </w:trPr>
        <w:tc>
          <w:tcPr>
            <w:tcW w:w="2977" w:type="dxa"/>
            <w:tcBorders>
              <w:top w:val="nil"/>
              <w:left w:val="single" w:sz="8" w:space="0" w:color="auto"/>
              <w:bottom w:val="single" w:sz="8" w:space="0" w:color="auto"/>
              <w:right w:val="nil"/>
            </w:tcBorders>
            <w:shd w:val="clear" w:color="000000" w:fill="365F91"/>
            <w:vAlign w:val="center"/>
            <w:hideMark/>
          </w:tcPr>
          <w:p w:rsidR="001178C9" w:rsidRPr="00C73CB8" w:rsidRDefault="001178C9" w:rsidP="00C73CB8">
            <w:pPr>
              <w:rPr>
                <w:rFonts w:ascii="Calibri" w:hAnsi="Calibri"/>
                <w:b/>
                <w:bCs/>
                <w:color w:val="FFFFFF"/>
                <w:sz w:val="20"/>
                <w:szCs w:val="20"/>
              </w:rPr>
            </w:pPr>
            <w:r w:rsidRPr="00C73CB8">
              <w:rPr>
                <w:rFonts w:ascii="Calibri" w:hAnsi="Calibri"/>
                <w:b/>
                <w:bCs/>
                <w:color w:val="FFFFFF"/>
                <w:sz w:val="20"/>
                <w:szCs w:val="20"/>
              </w:rPr>
              <w:t>Total Staff Costs</w:t>
            </w:r>
          </w:p>
        </w:tc>
        <w:tc>
          <w:tcPr>
            <w:tcW w:w="1311" w:type="dxa"/>
            <w:tcBorders>
              <w:top w:val="nil"/>
              <w:left w:val="nil"/>
              <w:bottom w:val="single" w:sz="8" w:space="0" w:color="auto"/>
              <w:right w:val="nil"/>
            </w:tcBorders>
            <w:shd w:val="clear" w:color="000000" w:fill="365F91"/>
            <w:noWrap/>
            <w:vAlign w:val="center"/>
            <w:hideMark/>
          </w:tcPr>
          <w:p w:rsidR="001178C9" w:rsidRPr="00C73CB8" w:rsidRDefault="0042286D" w:rsidP="00C73CB8">
            <w:pPr>
              <w:jc w:val="center"/>
              <w:rPr>
                <w:rFonts w:ascii="Calibri" w:hAnsi="Calibri"/>
                <w:b/>
                <w:bCs/>
                <w:color w:val="FFFFFF"/>
                <w:sz w:val="20"/>
                <w:szCs w:val="20"/>
              </w:rPr>
            </w:pPr>
            <w:r>
              <w:rPr>
                <w:rFonts w:ascii="Calibri" w:hAnsi="Calibri"/>
                <w:b/>
                <w:bCs/>
                <w:color w:val="FFFFFF"/>
                <w:sz w:val="20"/>
                <w:szCs w:val="20"/>
              </w:rPr>
              <w:t>4,325</w:t>
            </w:r>
          </w:p>
        </w:tc>
        <w:tc>
          <w:tcPr>
            <w:tcW w:w="1311" w:type="dxa"/>
            <w:tcBorders>
              <w:top w:val="nil"/>
              <w:left w:val="nil"/>
              <w:bottom w:val="single" w:sz="8" w:space="0" w:color="auto"/>
              <w:right w:val="nil"/>
            </w:tcBorders>
            <w:shd w:val="clear" w:color="000000" w:fill="365F91"/>
            <w:noWrap/>
            <w:vAlign w:val="center"/>
            <w:hideMark/>
          </w:tcPr>
          <w:p w:rsidR="001178C9" w:rsidRPr="00C73CB8" w:rsidRDefault="001178C9" w:rsidP="0042286D">
            <w:pPr>
              <w:jc w:val="center"/>
              <w:rPr>
                <w:rFonts w:ascii="Calibri" w:hAnsi="Calibri"/>
                <w:b/>
                <w:bCs/>
                <w:color w:val="FFFFFF"/>
                <w:sz w:val="20"/>
                <w:szCs w:val="20"/>
              </w:rPr>
            </w:pPr>
            <w:r>
              <w:rPr>
                <w:rFonts w:ascii="Calibri" w:hAnsi="Calibri"/>
                <w:b/>
                <w:bCs/>
                <w:color w:val="FFFFFF"/>
                <w:sz w:val="20"/>
                <w:szCs w:val="20"/>
              </w:rPr>
              <w:t>3,</w:t>
            </w:r>
            <w:r w:rsidR="0042286D">
              <w:rPr>
                <w:rFonts w:ascii="Calibri" w:hAnsi="Calibri"/>
                <w:b/>
                <w:bCs/>
                <w:color w:val="FFFFFF"/>
                <w:sz w:val="20"/>
                <w:szCs w:val="20"/>
              </w:rPr>
              <w:t>302</w:t>
            </w:r>
          </w:p>
        </w:tc>
        <w:tc>
          <w:tcPr>
            <w:tcW w:w="1311" w:type="dxa"/>
            <w:tcBorders>
              <w:top w:val="nil"/>
              <w:left w:val="nil"/>
              <w:bottom w:val="single" w:sz="8" w:space="0" w:color="auto"/>
              <w:right w:val="nil"/>
            </w:tcBorders>
            <w:shd w:val="clear" w:color="000000" w:fill="365F91"/>
            <w:noWrap/>
            <w:vAlign w:val="center"/>
            <w:hideMark/>
          </w:tcPr>
          <w:p w:rsidR="001178C9" w:rsidRPr="00C73CB8" w:rsidRDefault="001178C9" w:rsidP="0042286D">
            <w:pPr>
              <w:jc w:val="center"/>
              <w:rPr>
                <w:rFonts w:ascii="Calibri" w:hAnsi="Calibri"/>
                <w:b/>
                <w:bCs/>
                <w:color w:val="FFFFFF"/>
                <w:sz w:val="20"/>
                <w:szCs w:val="20"/>
              </w:rPr>
            </w:pPr>
            <w:r w:rsidRPr="00C73CB8">
              <w:rPr>
                <w:rFonts w:ascii="Calibri" w:hAnsi="Calibri"/>
                <w:b/>
                <w:bCs/>
                <w:color w:val="FFFFFF"/>
                <w:sz w:val="20"/>
                <w:szCs w:val="20"/>
              </w:rPr>
              <w:t>(</w:t>
            </w:r>
            <w:r w:rsidR="0042286D">
              <w:rPr>
                <w:rFonts w:ascii="Calibri" w:hAnsi="Calibri"/>
                <w:b/>
                <w:bCs/>
                <w:color w:val="FFFFFF"/>
                <w:sz w:val="20"/>
                <w:szCs w:val="20"/>
              </w:rPr>
              <w:t>2</w:t>
            </w:r>
            <w:r>
              <w:rPr>
                <w:rFonts w:ascii="Calibri" w:hAnsi="Calibri"/>
                <w:b/>
                <w:bCs/>
                <w:color w:val="FFFFFF"/>
                <w:sz w:val="20"/>
                <w:szCs w:val="20"/>
              </w:rPr>
              <w:t>3</w:t>
            </w:r>
            <w:r w:rsidRPr="00C73CB8">
              <w:rPr>
                <w:rFonts w:ascii="Calibri" w:hAnsi="Calibri"/>
                <w:b/>
                <w:bCs/>
                <w:color w:val="FFFFFF"/>
                <w:sz w:val="20"/>
                <w:szCs w:val="20"/>
              </w:rPr>
              <w:t>)</w:t>
            </w:r>
          </w:p>
        </w:tc>
        <w:tc>
          <w:tcPr>
            <w:tcW w:w="1312" w:type="dxa"/>
            <w:tcBorders>
              <w:top w:val="nil"/>
              <w:left w:val="nil"/>
              <w:bottom w:val="single" w:sz="8" w:space="0" w:color="auto"/>
              <w:right w:val="single" w:sz="8" w:space="0" w:color="auto"/>
            </w:tcBorders>
            <w:shd w:val="clear" w:color="000000" w:fill="365F91"/>
            <w:noWrap/>
            <w:vAlign w:val="center"/>
            <w:hideMark/>
          </w:tcPr>
          <w:p w:rsidR="001178C9" w:rsidRPr="00C73CB8" w:rsidRDefault="001178C9" w:rsidP="0042286D">
            <w:pPr>
              <w:jc w:val="center"/>
              <w:rPr>
                <w:rFonts w:ascii="Calibri" w:hAnsi="Calibri"/>
                <w:b/>
                <w:bCs/>
                <w:color w:val="FFFFFF"/>
                <w:sz w:val="20"/>
                <w:szCs w:val="20"/>
              </w:rPr>
            </w:pPr>
            <w:r w:rsidRPr="00C73CB8">
              <w:rPr>
                <w:rFonts w:ascii="Calibri" w:hAnsi="Calibri"/>
                <w:b/>
                <w:bCs/>
                <w:color w:val="FFFFFF"/>
                <w:sz w:val="20"/>
                <w:szCs w:val="20"/>
              </w:rPr>
              <w:t>(</w:t>
            </w:r>
            <w:r w:rsidR="0042286D">
              <w:rPr>
                <w:rFonts w:ascii="Calibri" w:hAnsi="Calibri"/>
                <w:b/>
                <w:bCs/>
                <w:color w:val="FFFFFF"/>
                <w:sz w:val="20"/>
                <w:szCs w:val="20"/>
              </w:rPr>
              <w:t>0.5</w:t>
            </w:r>
            <w:r w:rsidRPr="00C73CB8">
              <w:rPr>
                <w:rFonts w:ascii="Calibri" w:hAnsi="Calibri"/>
                <w:b/>
                <w:bCs/>
                <w:color w:val="FFFFFF"/>
                <w:sz w:val="20"/>
                <w:szCs w:val="20"/>
              </w:rPr>
              <w:t>)%</w:t>
            </w:r>
          </w:p>
        </w:tc>
      </w:tr>
    </w:tbl>
    <w:p w:rsidR="00644946" w:rsidRDefault="00644946" w:rsidP="0043174B">
      <w:pPr>
        <w:spacing w:after="200" w:line="276" w:lineRule="auto"/>
        <w:rPr>
          <w:rFonts w:ascii="Arial" w:hAnsi="Arial" w:cs="Arial"/>
          <w:sz w:val="22"/>
          <w:szCs w:val="22"/>
        </w:rPr>
      </w:pPr>
    </w:p>
    <w:p w:rsidR="00B04D4D" w:rsidRDefault="00B04D4D">
      <w:pPr>
        <w:spacing w:after="200" w:line="276" w:lineRule="auto"/>
        <w:rPr>
          <w:rFonts w:ascii="Arial" w:hAnsi="Arial" w:cs="Arial"/>
          <w:b/>
          <w:sz w:val="22"/>
          <w:szCs w:val="22"/>
        </w:rPr>
      </w:pPr>
      <w:r>
        <w:rPr>
          <w:rFonts w:ascii="Arial" w:hAnsi="Arial" w:cs="Arial"/>
          <w:sz w:val="22"/>
          <w:szCs w:val="22"/>
        </w:rPr>
        <w:t>Staff costs are tracking close to budget with 0.5% overall variance at the 6 month point in the year £23k. Predictions for the next few months show that vacant posts particularly at bands 4&amp;5 are a concern. As a result, the executive has put in place plans to help address these gaps as well as provide additional resource to support the change programme</w:t>
      </w:r>
      <w:r w:rsidR="00EB590F">
        <w:rPr>
          <w:rFonts w:ascii="Arial" w:hAnsi="Arial" w:cs="Arial"/>
          <w:sz w:val="22"/>
          <w:szCs w:val="22"/>
        </w:rPr>
        <w:t xml:space="preserve">. </w:t>
      </w:r>
      <w:r>
        <w:rPr>
          <w:rFonts w:ascii="Arial" w:hAnsi="Arial" w:cs="Arial"/>
          <w:b/>
          <w:sz w:val="22"/>
          <w:szCs w:val="22"/>
        </w:rPr>
        <w:br w:type="page"/>
      </w:r>
    </w:p>
    <w:p w:rsidR="00B62D6B" w:rsidRPr="00195D4C" w:rsidRDefault="00195D4C" w:rsidP="007C5117">
      <w:pPr>
        <w:spacing w:after="200" w:line="276" w:lineRule="auto"/>
        <w:rPr>
          <w:rFonts w:ascii="Arial" w:hAnsi="Arial" w:cs="Arial"/>
          <w:b/>
          <w:sz w:val="22"/>
          <w:szCs w:val="22"/>
        </w:rPr>
      </w:pPr>
      <w:r>
        <w:rPr>
          <w:rFonts w:ascii="Arial" w:hAnsi="Arial" w:cs="Arial"/>
          <w:b/>
          <w:sz w:val="22"/>
          <w:szCs w:val="22"/>
        </w:rPr>
        <w:lastRenderedPageBreak/>
        <w:t>Capital expenditure</w:t>
      </w:r>
    </w:p>
    <w:tbl>
      <w:tblPr>
        <w:tblW w:w="9700" w:type="dxa"/>
        <w:tblInd w:w="93" w:type="dxa"/>
        <w:tblLook w:val="04A0" w:firstRow="1" w:lastRow="0" w:firstColumn="1" w:lastColumn="0" w:noHBand="0" w:noVBand="1"/>
      </w:tblPr>
      <w:tblGrid>
        <w:gridCol w:w="3820"/>
        <w:gridCol w:w="260"/>
        <w:gridCol w:w="1280"/>
        <w:gridCol w:w="1460"/>
        <w:gridCol w:w="1400"/>
        <w:gridCol w:w="1480"/>
      </w:tblGrid>
      <w:tr w:rsidR="00BF31D1" w:rsidRPr="00BF31D1" w:rsidTr="00AE22B5">
        <w:trPr>
          <w:trHeight w:val="528"/>
        </w:trPr>
        <w:tc>
          <w:tcPr>
            <w:tcW w:w="3820" w:type="dxa"/>
            <w:vMerge w:val="restart"/>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center"/>
            <w:hideMark/>
          </w:tcPr>
          <w:p w:rsidR="00BF31D1" w:rsidRPr="00BF31D1" w:rsidRDefault="00BF31D1" w:rsidP="00BF31D1">
            <w:pPr>
              <w:rPr>
                <w:rFonts w:ascii="Arial" w:hAnsi="Arial" w:cs="Arial"/>
                <w:b/>
                <w:bCs/>
                <w:color w:val="FFFFFF"/>
                <w:sz w:val="20"/>
                <w:szCs w:val="20"/>
              </w:rPr>
            </w:pPr>
            <w:r w:rsidRPr="00BF31D1">
              <w:rPr>
                <w:rFonts w:ascii="Arial" w:hAnsi="Arial" w:cs="Arial"/>
                <w:b/>
                <w:bCs/>
                <w:color w:val="FFFFFF"/>
                <w:sz w:val="20"/>
                <w:szCs w:val="20"/>
              </w:rPr>
              <w:t>Plan initiative</w:t>
            </w:r>
          </w:p>
        </w:tc>
        <w:tc>
          <w:tcPr>
            <w:tcW w:w="260" w:type="dxa"/>
            <w:tcBorders>
              <w:top w:val="nil"/>
              <w:left w:val="nil"/>
              <w:bottom w:val="nil"/>
              <w:right w:val="nil"/>
            </w:tcBorders>
            <w:shd w:val="clear" w:color="auto" w:fill="auto"/>
            <w:noWrap/>
            <w:vAlign w:val="bottom"/>
            <w:hideMark/>
          </w:tcPr>
          <w:p w:rsidR="00BF31D1" w:rsidRPr="00BF31D1" w:rsidRDefault="00BF31D1" w:rsidP="00BF31D1">
            <w:pPr>
              <w:rPr>
                <w:rFonts w:ascii="Calibri" w:hAnsi="Calibri" w:cs="Calibri"/>
                <w:color w:val="000000"/>
                <w:sz w:val="22"/>
                <w:szCs w:val="22"/>
              </w:rPr>
            </w:pPr>
          </w:p>
        </w:tc>
        <w:tc>
          <w:tcPr>
            <w:tcW w:w="1280" w:type="dxa"/>
            <w:vMerge w:val="restart"/>
            <w:tcBorders>
              <w:top w:val="single" w:sz="8" w:space="0" w:color="FFFFFF"/>
              <w:left w:val="nil"/>
              <w:right w:val="single" w:sz="8" w:space="0" w:color="FFFFFF"/>
            </w:tcBorders>
            <w:shd w:val="clear" w:color="000000" w:fill="95B3D7" w:themeFill="accent1" w:themeFillTint="99"/>
            <w:vAlign w:val="center"/>
            <w:hideMark/>
          </w:tcPr>
          <w:p w:rsidR="00BF31D1" w:rsidRPr="00BF31D1" w:rsidRDefault="001B0713" w:rsidP="00BF31D1">
            <w:pPr>
              <w:jc w:val="center"/>
              <w:rPr>
                <w:rFonts w:ascii="Arial" w:hAnsi="Arial" w:cs="Arial"/>
                <w:b/>
                <w:bCs/>
                <w:color w:val="FFFFFF"/>
                <w:sz w:val="20"/>
                <w:szCs w:val="20"/>
              </w:rPr>
            </w:pPr>
            <w:r>
              <w:rPr>
                <w:rFonts w:ascii="Arial" w:hAnsi="Arial" w:cs="Arial"/>
                <w:b/>
                <w:bCs/>
                <w:color w:val="FFFFFF"/>
                <w:sz w:val="20"/>
                <w:szCs w:val="20"/>
              </w:rPr>
              <w:t>2017/18</w:t>
            </w:r>
            <w:r w:rsidR="00BF31D1" w:rsidRPr="00BF31D1">
              <w:rPr>
                <w:rFonts w:ascii="Arial" w:hAnsi="Arial" w:cs="Arial"/>
                <w:b/>
                <w:bCs/>
                <w:color w:val="FFFFFF"/>
                <w:sz w:val="20"/>
                <w:szCs w:val="20"/>
              </w:rPr>
              <w:t xml:space="preserve"> plan full year</w:t>
            </w:r>
          </w:p>
          <w:p w:rsidR="00BF31D1" w:rsidRPr="00BF31D1" w:rsidRDefault="002451D5" w:rsidP="002451D5">
            <w:pPr>
              <w:jc w:val="right"/>
              <w:rPr>
                <w:rFonts w:ascii="Arial" w:hAnsi="Arial" w:cs="Arial"/>
                <w:b/>
                <w:bCs/>
                <w:color w:val="FFFFFF"/>
                <w:sz w:val="20"/>
                <w:szCs w:val="20"/>
              </w:rPr>
            </w:pPr>
            <w:r>
              <w:rPr>
                <w:rFonts w:ascii="Arial" w:hAnsi="Arial" w:cs="Arial"/>
                <w:b/>
                <w:bCs/>
                <w:color w:val="FFFFFF"/>
                <w:sz w:val="20"/>
                <w:szCs w:val="20"/>
              </w:rPr>
              <w:t>£</w:t>
            </w:r>
            <w:r w:rsidR="00BF31D1" w:rsidRPr="00BF31D1">
              <w:rPr>
                <w:rFonts w:ascii="Arial" w:hAnsi="Arial" w:cs="Arial"/>
                <w:b/>
                <w:bCs/>
                <w:color w:val="FFFFFF"/>
                <w:sz w:val="20"/>
                <w:szCs w:val="20"/>
              </w:rPr>
              <w:t>000</w:t>
            </w:r>
          </w:p>
        </w:tc>
        <w:tc>
          <w:tcPr>
            <w:tcW w:w="1460" w:type="dxa"/>
            <w:tcBorders>
              <w:top w:val="single" w:sz="8" w:space="0" w:color="FFFFFF"/>
              <w:left w:val="nil"/>
              <w:bottom w:val="nil"/>
              <w:right w:val="single" w:sz="4" w:space="0" w:color="F2F2F2"/>
            </w:tcBorders>
            <w:shd w:val="clear" w:color="000000" w:fill="95B3D7" w:themeFill="accent1" w:themeFillTint="99"/>
            <w:vAlign w:val="center"/>
            <w:hideMark/>
          </w:tcPr>
          <w:p w:rsidR="00BF31D1" w:rsidRPr="00BF31D1" w:rsidRDefault="00BF31D1" w:rsidP="00BF31D1">
            <w:pPr>
              <w:jc w:val="center"/>
              <w:rPr>
                <w:rFonts w:ascii="Arial" w:hAnsi="Arial" w:cs="Arial"/>
                <w:b/>
                <w:bCs/>
                <w:color w:val="FFFFFF"/>
                <w:sz w:val="20"/>
                <w:szCs w:val="20"/>
              </w:rPr>
            </w:pPr>
            <w:r w:rsidRPr="00BF31D1">
              <w:rPr>
                <w:rFonts w:ascii="Arial" w:hAnsi="Arial" w:cs="Arial"/>
                <w:b/>
                <w:bCs/>
                <w:color w:val="FFFFFF"/>
                <w:sz w:val="20"/>
                <w:szCs w:val="20"/>
              </w:rPr>
              <w:t xml:space="preserve">2017/18 budget </w:t>
            </w:r>
            <w:proofErr w:type="spellStart"/>
            <w:r w:rsidRPr="00BF31D1">
              <w:rPr>
                <w:rFonts w:ascii="Arial" w:hAnsi="Arial" w:cs="Arial"/>
                <w:b/>
                <w:bCs/>
                <w:color w:val="FFFFFF"/>
                <w:sz w:val="20"/>
                <w:szCs w:val="20"/>
              </w:rPr>
              <w:t>ytd</w:t>
            </w:r>
            <w:proofErr w:type="spellEnd"/>
          </w:p>
        </w:tc>
        <w:tc>
          <w:tcPr>
            <w:tcW w:w="1400" w:type="dxa"/>
            <w:tcBorders>
              <w:top w:val="single" w:sz="8" w:space="0" w:color="FFFFFF"/>
              <w:left w:val="single" w:sz="8" w:space="0" w:color="FFFFFF"/>
              <w:bottom w:val="nil"/>
              <w:right w:val="single" w:sz="4" w:space="0" w:color="F2F2F2"/>
            </w:tcBorders>
            <w:shd w:val="clear" w:color="000000" w:fill="95B3D7" w:themeFill="accent1" w:themeFillTint="99"/>
            <w:vAlign w:val="center"/>
            <w:hideMark/>
          </w:tcPr>
          <w:p w:rsidR="00BF31D1" w:rsidRPr="00BF31D1" w:rsidRDefault="00BF31D1" w:rsidP="00BF31D1">
            <w:pPr>
              <w:jc w:val="center"/>
              <w:rPr>
                <w:rFonts w:ascii="Arial" w:hAnsi="Arial" w:cs="Arial"/>
                <w:b/>
                <w:bCs/>
                <w:color w:val="FFFFFF"/>
                <w:sz w:val="20"/>
                <w:szCs w:val="20"/>
              </w:rPr>
            </w:pPr>
            <w:r w:rsidRPr="00BF31D1">
              <w:rPr>
                <w:rFonts w:ascii="Arial" w:hAnsi="Arial" w:cs="Arial"/>
                <w:b/>
                <w:bCs/>
                <w:color w:val="FFFFFF"/>
                <w:sz w:val="20"/>
                <w:szCs w:val="20"/>
              </w:rPr>
              <w:t xml:space="preserve">2017/18 actual </w:t>
            </w:r>
            <w:proofErr w:type="spellStart"/>
            <w:r w:rsidRPr="00BF31D1">
              <w:rPr>
                <w:rFonts w:ascii="Arial" w:hAnsi="Arial" w:cs="Arial"/>
                <w:b/>
                <w:bCs/>
                <w:color w:val="FFFFFF"/>
                <w:sz w:val="20"/>
                <w:szCs w:val="20"/>
              </w:rPr>
              <w:t>ytd</w:t>
            </w:r>
            <w:proofErr w:type="spellEnd"/>
          </w:p>
        </w:tc>
        <w:tc>
          <w:tcPr>
            <w:tcW w:w="1480" w:type="dxa"/>
            <w:tcBorders>
              <w:top w:val="single" w:sz="8" w:space="0" w:color="FFFFFF"/>
              <w:left w:val="single" w:sz="8" w:space="0" w:color="FFFFFF"/>
              <w:bottom w:val="nil"/>
              <w:right w:val="single" w:sz="4" w:space="0" w:color="F2F2F2"/>
            </w:tcBorders>
            <w:shd w:val="clear" w:color="000000" w:fill="95B3D7" w:themeFill="accent1" w:themeFillTint="99"/>
            <w:vAlign w:val="center"/>
            <w:hideMark/>
          </w:tcPr>
          <w:p w:rsidR="00BF31D1" w:rsidRPr="00BF31D1" w:rsidRDefault="00BF31D1" w:rsidP="00BF31D1">
            <w:pPr>
              <w:jc w:val="center"/>
              <w:rPr>
                <w:rFonts w:ascii="Arial" w:hAnsi="Arial" w:cs="Arial"/>
                <w:b/>
                <w:bCs/>
                <w:color w:val="FFFFFF"/>
                <w:sz w:val="20"/>
                <w:szCs w:val="20"/>
              </w:rPr>
            </w:pPr>
            <w:r w:rsidRPr="00BF31D1">
              <w:rPr>
                <w:rFonts w:ascii="Arial" w:hAnsi="Arial" w:cs="Arial"/>
                <w:b/>
                <w:bCs/>
                <w:color w:val="FFFFFF"/>
                <w:sz w:val="20"/>
                <w:szCs w:val="20"/>
              </w:rPr>
              <w:t xml:space="preserve">2017/18 variance </w:t>
            </w:r>
            <w:proofErr w:type="spellStart"/>
            <w:r w:rsidRPr="00BF31D1">
              <w:rPr>
                <w:rFonts w:ascii="Arial" w:hAnsi="Arial" w:cs="Arial"/>
                <w:b/>
                <w:bCs/>
                <w:color w:val="FFFFFF"/>
                <w:sz w:val="20"/>
                <w:szCs w:val="20"/>
              </w:rPr>
              <w:t>ytd</w:t>
            </w:r>
            <w:proofErr w:type="spellEnd"/>
          </w:p>
        </w:tc>
      </w:tr>
      <w:tr w:rsidR="00BF31D1" w:rsidRPr="00BF31D1" w:rsidTr="00AE22B5">
        <w:trPr>
          <w:trHeight w:val="300"/>
        </w:trPr>
        <w:tc>
          <w:tcPr>
            <w:tcW w:w="3820" w:type="dxa"/>
            <w:vMerge/>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center"/>
            <w:hideMark/>
          </w:tcPr>
          <w:p w:rsidR="00BF31D1" w:rsidRPr="00BF31D1" w:rsidRDefault="00BF31D1" w:rsidP="00BF31D1">
            <w:pPr>
              <w:rPr>
                <w:rFonts w:ascii="Arial" w:hAnsi="Arial" w:cs="Arial"/>
                <w:b/>
                <w:bCs/>
                <w:color w:val="FFFFFF"/>
                <w:sz w:val="20"/>
                <w:szCs w:val="20"/>
              </w:rPr>
            </w:pPr>
          </w:p>
        </w:tc>
        <w:tc>
          <w:tcPr>
            <w:tcW w:w="260" w:type="dxa"/>
            <w:tcBorders>
              <w:top w:val="nil"/>
              <w:left w:val="nil"/>
              <w:bottom w:val="nil"/>
              <w:right w:val="nil"/>
            </w:tcBorders>
            <w:shd w:val="clear" w:color="auto" w:fill="auto"/>
            <w:noWrap/>
            <w:vAlign w:val="bottom"/>
            <w:hideMark/>
          </w:tcPr>
          <w:p w:rsidR="00BF31D1" w:rsidRPr="00BF31D1" w:rsidRDefault="00BF31D1" w:rsidP="00BF31D1">
            <w:pPr>
              <w:rPr>
                <w:rFonts w:ascii="Calibri" w:hAnsi="Calibri" w:cs="Calibri"/>
                <w:color w:val="000000"/>
                <w:sz w:val="22"/>
                <w:szCs w:val="22"/>
              </w:rPr>
            </w:pPr>
          </w:p>
        </w:tc>
        <w:tc>
          <w:tcPr>
            <w:tcW w:w="1280" w:type="dxa"/>
            <w:vMerge/>
            <w:tcBorders>
              <w:left w:val="nil"/>
              <w:bottom w:val="nil"/>
              <w:right w:val="single" w:sz="8" w:space="0" w:color="FFFFFF"/>
            </w:tcBorders>
            <w:shd w:val="clear" w:color="000000" w:fill="95B3D7" w:themeFill="accent1" w:themeFillTint="99"/>
            <w:vAlign w:val="center"/>
            <w:hideMark/>
          </w:tcPr>
          <w:p w:rsidR="00BF31D1" w:rsidRPr="00BF31D1" w:rsidRDefault="00BF31D1" w:rsidP="00BF31D1">
            <w:pPr>
              <w:jc w:val="center"/>
              <w:rPr>
                <w:rFonts w:ascii="Arial" w:hAnsi="Arial" w:cs="Arial"/>
                <w:b/>
                <w:bCs/>
                <w:color w:val="FFFFFF"/>
                <w:sz w:val="20"/>
                <w:szCs w:val="20"/>
              </w:rPr>
            </w:pPr>
          </w:p>
        </w:tc>
        <w:tc>
          <w:tcPr>
            <w:tcW w:w="1460" w:type="dxa"/>
            <w:tcBorders>
              <w:top w:val="nil"/>
              <w:left w:val="nil"/>
              <w:bottom w:val="nil"/>
              <w:right w:val="single" w:sz="4" w:space="0" w:color="F2F2F2"/>
            </w:tcBorders>
            <w:shd w:val="clear" w:color="000000" w:fill="95B3D7" w:themeFill="accent1" w:themeFillTint="99"/>
            <w:vAlign w:val="center"/>
            <w:hideMark/>
          </w:tcPr>
          <w:p w:rsidR="00BF31D1" w:rsidRPr="00BF31D1" w:rsidRDefault="002451D5" w:rsidP="002451D5">
            <w:pPr>
              <w:jc w:val="right"/>
              <w:rPr>
                <w:rFonts w:ascii="Arial" w:hAnsi="Arial" w:cs="Arial"/>
                <w:b/>
                <w:bCs/>
                <w:color w:val="FFFFFF"/>
                <w:sz w:val="20"/>
                <w:szCs w:val="20"/>
              </w:rPr>
            </w:pPr>
            <w:r>
              <w:rPr>
                <w:rFonts w:ascii="Arial" w:hAnsi="Arial" w:cs="Arial"/>
                <w:b/>
                <w:bCs/>
                <w:color w:val="FFFFFF"/>
                <w:sz w:val="20"/>
                <w:szCs w:val="20"/>
              </w:rPr>
              <w:t>£</w:t>
            </w:r>
            <w:r w:rsidR="00BF31D1" w:rsidRPr="00BF31D1">
              <w:rPr>
                <w:rFonts w:ascii="Arial" w:hAnsi="Arial" w:cs="Arial"/>
                <w:b/>
                <w:bCs/>
                <w:color w:val="FFFFFF"/>
                <w:sz w:val="20"/>
                <w:szCs w:val="20"/>
              </w:rPr>
              <w:t>000</w:t>
            </w:r>
          </w:p>
        </w:tc>
        <w:tc>
          <w:tcPr>
            <w:tcW w:w="1400" w:type="dxa"/>
            <w:tcBorders>
              <w:top w:val="nil"/>
              <w:left w:val="single" w:sz="8" w:space="0" w:color="FFFFFF"/>
              <w:bottom w:val="nil"/>
              <w:right w:val="single" w:sz="4" w:space="0" w:color="F2F2F2"/>
            </w:tcBorders>
            <w:shd w:val="clear" w:color="000000" w:fill="95B3D7" w:themeFill="accent1" w:themeFillTint="99"/>
            <w:vAlign w:val="center"/>
            <w:hideMark/>
          </w:tcPr>
          <w:p w:rsidR="00BF31D1" w:rsidRPr="00BF31D1" w:rsidRDefault="002451D5" w:rsidP="002451D5">
            <w:pPr>
              <w:jc w:val="right"/>
              <w:rPr>
                <w:rFonts w:ascii="Arial" w:hAnsi="Arial" w:cs="Arial"/>
                <w:b/>
                <w:bCs/>
                <w:color w:val="FFFFFF"/>
                <w:sz w:val="20"/>
                <w:szCs w:val="20"/>
              </w:rPr>
            </w:pPr>
            <w:r>
              <w:rPr>
                <w:rFonts w:ascii="Arial" w:hAnsi="Arial" w:cs="Arial"/>
                <w:b/>
                <w:bCs/>
                <w:color w:val="FFFFFF"/>
                <w:sz w:val="20"/>
                <w:szCs w:val="20"/>
              </w:rPr>
              <w:t>£</w:t>
            </w:r>
            <w:r w:rsidR="00BF31D1" w:rsidRPr="00BF31D1">
              <w:rPr>
                <w:rFonts w:ascii="Arial" w:hAnsi="Arial" w:cs="Arial"/>
                <w:b/>
                <w:bCs/>
                <w:color w:val="FFFFFF"/>
                <w:sz w:val="20"/>
                <w:szCs w:val="20"/>
              </w:rPr>
              <w:t>000</w:t>
            </w:r>
          </w:p>
        </w:tc>
        <w:tc>
          <w:tcPr>
            <w:tcW w:w="1480" w:type="dxa"/>
            <w:tcBorders>
              <w:top w:val="nil"/>
              <w:left w:val="single" w:sz="8" w:space="0" w:color="FFFFFF"/>
              <w:bottom w:val="nil"/>
              <w:right w:val="single" w:sz="4" w:space="0" w:color="F2F2F2"/>
            </w:tcBorders>
            <w:shd w:val="clear" w:color="000000" w:fill="95B3D7" w:themeFill="accent1" w:themeFillTint="99"/>
            <w:vAlign w:val="center"/>
            <w:hideMark/>
          </w:tcPr>
          <w:p w:rsidR="00BF31D1" w:rsidRPr="00BF31D1" w:rsidRDefault="002451D5" w:rsidP="002451D5">
            <w:pPr>
              <w:jc w:val="right"/>
              <w:rPr>
                <w:rFonts w:ascii="Arial" w:hAnsi="Arial" w:cs="Arial"/>
                <w:b/>
                <w:bCs/>
                <w:color w:val="FFFFFF"/>
                <w:sz w:val="20"/>
                <w:szCs w:val="20"/>
              </w:rPr>
            </w:pPr>
            <w:r>
              <w:rPr>
                <w:rFonts w:ascii="Arial" w:hAnsi="Arial" w:cs="Arial"/>
                <w:b/>
                <w:bCs/>
                <w:color w:val="FFFFFF"/>
                <w:sz w:val="20"/>
                <w:szCs w:val="20"/>
              </w:rPr>
              <w:t>£</w:t>
            </w:r>
            <w:r w:rsidR="00BF31D1" w:rsidRPr="00BF31D1">
              <w:rPr>
                <w:rFonts w:ascii="Arial" w:hAnsi="Arial" w:cs="Arial"/>
                <w:b/>
                <w:bCs/>
                <w:color w:val="FFFFFF"/>
                <w:sz w:val="20"/>
                <w:szCs w:val="20"/>
              </w:rPr>
              <w:t>000</w:t>
            </w:r>
          </w:p>
        </w:tc>
      </w:tr>
      <w:tr w:rsidR="002451D5" w:rsidRPr="00BF31D1" w:rsidTr="00CC45F4">
        <w:trPr>
          <w:trHeight w:val="300"/>
        </w:trPr>
        <w:tc>
          <w:tcPr>
            <w:tcW w:w="3820" w:type="dxa"/>
            <w:tcBorders>
              <w:top w:val="nil"/>
              <w:left w:val="single" w:sz="8" w:space="0" w:color="FFFFFF"/>
              <w:bottom w:val="single" w:sz="8" w:space="0" w:color="FFFFFF"/>
              <w:right w:val="single" w:sz="8" w:space="0" w:color="FFFFFF"/>
            </w:tcBorders>
            <w:shd w:val="clear" w:color="auto" w:fill="auto"/>
            <w:vAlign w:val="center"/>
            <w:hideMark/>
          </w:tcPr>
          <w:p w:rsidR="002451D5" w:rsidRPr="00BF31D1" w:rsidRDefault="002451D5" w:rsidP="00BF31D1">
            <w:pPr>
              <w:rPr>
                <w:rFonts w:ascii="Arial" w:hAnsi="Arial" w:cs="Arial"/>
                <w:color w:val="000000"/>
                <w:sz w:val="18"/>
                <w:szCs w:val="18"/>
              </w:rPr>
            </w:pPr>
            <w:r w:rsidRPr="00BF31D1">
              <w:rPr>
                <w:rFonts w:ascii="Arial" w:hAnsi="Arial" w:cs="Arial"/>
                <w:color w:val="000000"/>
                <w:sz w:val="18"/>
                <w:szCs w:val="18"/>
              </w:rPr>
              <w:t>HARP Developments</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215</w:t>
            </w:r>
          </w:p>
        </w:tc>
        <w:tc>
          <w:tcPr>
            <w:tcW w:w="1460" w:type="dxa"/>
            <w:tcBorders>
              <w:top w:val="nil"/>
              <w:left w:val="nil"/>
              <w:bottom w:val="single" w:sz="8" w:space="0" w:color="FFFFFF"/>
              <w:right w:val="single" w:sz="8" w:space="0" w:color="FFFFFF"/>
            </w:tcBorders>
            <w:shd w:val="clear" w:color="auto" w:fill="auto"/>
            <w:vAlign w:val="center"/>
          </w:tcPr>
          <w:p w:rsidR="002451D5" w:rsidRPr="00BF31D1" w:rsidRDefault="007B77AD" w:rsidP="002451D5">
            <w:pPr>
              <w:jc w:val="right"/>
              <w:rPr>
                <w:rFonts w:ascii="Arial" w:hAnsi="Arial" w:cs="Arial"/>
                <w:color w:val="000000"/>
                <w:sz w:val="18"/>
                <w:szCs w:val="18"/>
              </w:rPr>
            </w:pPr>
            <w:r>
              <w:rPr>
                <w:rFonts w:ascii="Arial" w:hAnsi="Arial" w:cs="Arial"/>
                <w:color w:val="000000"/>
                <w:sz w:val="18"/>
                <w:szCs w:val="18"/>
              </w:rPr>
              <w:t>107</w:t>
            </w:r>
          </w:p>
        </w:tc>
        <w:tc>
          <w:tcPr>
            <w:tcW w:w="1400" w:type="dxa"/>
            <w:tcBorders>
              <w:top w:val="nil"/>
              <w:left w:val="nil"/>
              <w:bottom w:val="single" w:sz="8" w:space="0" w:color="FFFFFF"/>
              <w:right w:val="single" w:sz="8" w:space="0" w:color="FFFFFF"/>
            </w:tcBorders>
            <w:shd w:val="clear" w:color="auto" w:fill="auto"/>
            <w:vAlign w:val="center"/>
          </w:tcPr>
          <w:p w:rsidR="002451D5" w:rsidRPr="00BF31D1" w:rsidRDefault="007B77AD" w:rsidP="002451D5">
            <w:pPr>
              <w:jc w:val="right"/>
              <w:rPr>
                <w:rFonts w:ascii="Arial" w:hAnsi="Arial" w:cs="Arial"/>
                <w:color w:val="000000"/>
                <w:sz w:val="18"/>
                <w:szCs w:val="18"/>
              </w:rPr>
            </w:pPr>
            <w:r>
              <w:rPr>
                <w:rFonts w:ascii="Arial" w:hAnsi="Arial" w:cs="Arial"/>
                <w:color w:val="000000"/>
                <w:sz w:val="18"/>
                <w:szCs w:val="18"/>
              </w:rPr>
              <w:t>105</w:t>
            </w:r>
          </w:p>
        </w:tc>
        <w:tc>
          <w:tcPr>
            <w:tcW w:w="1480" w:type="dxa"/>
            <w:tcBorders>
              <w:top w:val="nil"/>
              <w:left w:val="nil"/>
              <w:bottom w:val="single" w:sz="8" w:space="0" w:color="FFFFFF"/>
              <w:right w:val="single" w:sz="8" w:space="0" w:color="FFFFFF"/>
            </w:tcBorders>
            <w:shd w:val="clear" w:color="auto" w:fill="auto"/>
            <w:vAlign w:val="center"/>
          </w:tcPr>
          <w:p w:rsidR="002451D5" w:rsidRPr="00BF31D1" w:rsidRDefault="002451D5" w:rsidP="007B77AD">
            <w:pPr>
              <w:jc w:val="right"/>
              <w:rPr>
                <w:rFonts w:ascii="Arial" w:hAnsi="Arial" w:cs="Arial"/>
                <w:color w:val="000000"/>
                <w:sz w:val="18"/>
                <w:szCs w:val="18"/>
              </w:rPr>
            </w:pPr>
            <w:r w:rsidRPr="00BF31D1">
              <w:rPr>
                <w:rFonts w:ascii="Arial" w:hAnsi="Arial" w:cs="Arial"/>
                <w:color w:val="000000"/>
                <w:sz w:val="18"/>
                <w:szCs w:val="18"/>
              </w:rPr>
              <w:t>(</w:t>
            </w:r>
            <w:r w:rsidR="007B77AD">
              <w:rPr>
                <w:rFonts w:ascii="Arial" w:hAnsi="Arial" w:cs="Arial"/>
                <w:color w:val="000000"/>
                <w:sz w:val="18"/>
                <w:szCs w:val="18"/>
              </w:rPr>
              <w:t>2</w:t>
            </w:r>
            <w:r w:rsidRPr="00BF31D1">
              <w:rPr>
                <w:rFonts w:ascii="Arial" w:hAnsi="Arial" w:cs="Arial"/>
                <w:color w:val="000000"/>
                <w:sz w:val="18"/>
                <w:szCs w:val="18"/>
              </w:rPr>
              <w:t>)</w:t>
            </w:r>
          </w:p>
        </w:tc>
      </w:tr>
      <w:tr w:rsidR="002451D5" w:rsidRPr="00BF31D1" w:rsidTr="00CC45F4">
        <w:trPr>
          <w:trHeight w:val="300"/>
        </w:trPr>
        <w:tc>
          <w:tcPr>
            <w:tcW w:w="3820" w:type="dxa"/>
            <w:tcBorders>
              <w:top w:val="nil"/>
              <w:left w:val="single" w:sz="8" w:space="0" w:color="FFFFFF"/>
              <w:bottom w:val="single" w:sz="8" w:space="0" w:color="FFFFFF"/>
              <w:right w:val="single" w:sz="8" w:space="0" w:color="FFFFFF"/>
            </w:tcBorders>
            <w:shd w:val="clear" w:color="auto" w:fill="auto"/>
            <w:vAlign w:val="center"/>
            <w:hideMark/>
          </w:tcPr>
          <w:p w:rsidR="002451D5" w:rsidRPr="00BF31D1" w:rsidRDefault="002451D5" w:rsidP="00BF31D1">
            <w:pPr>
              <w:rPr>
                <w:rFonts w:ascii="Arial" w:hAnsi="Arial" w:cs="Arial"/>
                <w:color w:val="000000"/>
                <w:sz w:val="18"/>
                <w:szCs w:val="18"/>
              </w:rPr>
            </w:pPr>
            <w:r w:rsidRPr="00BF31D1">
              <w:rPr>
                <w:rFonts w:ascii="Arial" w:hAnsi="Arial" w:cs="Arial"/>
                <w:color w:val="000000"/>
                <w:sz w:val="18"/>
                <w:szCs w:val="18"/>
              </w:rPr>
              <w:t>IRAS Developments</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362</w:t>
            </w:r>
          </w:p>
        </w:tc>
        <w:tc>
          <w:tcPr>
            <w:tcW w:w="1460" w:type="dxa"/>
            <w:tcBorders>
              <w:top w:val="nil"/>
              <w:left w:val="nil"/>
              <w:bottom w:val="single" w:sz="8" w:space="0" w:color="FFFFFF"/>
              <w:right w:val="single" w:sz="8" w:space="0" w:color="FFFFFF"/>
            </w:tcBorders>
            <w:shd w:val="clear" w:color="auto" w:fill="auto"/>
            <w:vAlign w:val="center"/>
          </w:tcPr>
          <w:p w:rsidR="002451D5" w:rsidRPr="00BF31D1" w:rsidRDefault="007B77AD" w:rsidP="002451D5">
            <w:pPr>
              <w:jc w:val="right"/>
              <w:rPr>
                <w:rFonts w:ascii="Arial" w:hAnsi="Arial" w:cs="Arial"/>
                <w:color w:val="000000"/>
                <w:sz w:val="18"/>
                <w:szCs w:val="18"/>
              </w:rPr>
            </w:pPr>
            <w:r>
              <w:rPr>
                <w:rFonts w:ascii="Arial" w:hAnsi="Arial" w:cs="Arial"/>
                <w:color w:val="000000"/>
                <w:sz w:val="18"/>
                <w:szCs w:val="18"/>
              </w:rPr>
              <w:t>181</w:t>
            </w:r>
          </w:p>
        </w:tc>
        <w:tc>
          <w:tcPr>
            <w:tcW w:w="1400" w:type="dxa"/>
            <w:tcBorders>
              <w:top w:val="nil"/>
              <w:left w:val="nil"/>
              <w:bottom w:val="single" w:sz="8" w:space="0" w:color="FFFFFF"/>
              <w:right w:val="single" w:sz="8" w:space="0" w:color="FFFFFF"/>
            </w:tcBorders>
            <w:shd w:val="clear" w:color="auto" w:fill="auto"/>
            <w:vAlign w:val="center"/>
          </w:tcPr>
          <w:p w:rsidR="002451D5" w:rsidRPr="00BF31D1" w:rsidRDefault="007B77AD" w:rsidP="002451D5">
            <w:pPr>
              <w:jc w:val="right"/>
              <w:rPr>
                <w:rFonts w:ascii="Arial" w:hAnsi="Arial" w:cs="Arial"/>
                <w:color w:val="000000"/>
                <w:sz w:val="18"/>
                <w:szCs w:val="18"/>
              </w:rPr>
            </w:pPr>
            <w:r>
              <w:rPr>
                <w:rFonts w:ascii="Arial" w:hAnsi="Arial" w:cs="Arial"/>
                <w:color w:val="000000"/>
                <w:sz w:val="18"/>
                <w:szCs w:val="18"/>
              </w:rPr>
              <w:t>178</w:t>
            </w:r>
          </w:p>
        </w:tc>
        <w:tc>
          <w:tcPr>
            <w:tcW w:w="14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(3)</w:t>
            </w:r>
          </w:p>
        </w:tc>
      </w:tr>
      <w:tr w:rsidR="002451D5" w:rsidRPr="00BF31D1" w:rsidTr="00CC45F4">
        <w:trPr>
          <w:trHeight w:val="288"/>
        </w:trPr>
        <w:tc>
          <w:tcPr>
            <w:tcW w:w="3820" w:type="dxa"/>
            <w:tcBorders>
              <w:top w:val="nil"/>
              <w:left w:val="single" w:sz="8" w:space="0" w:color="FFFFFF"/>
              <w:bottom w:val="nil"/>
              <w:right w:val="single" w:sz="8" w:space="0" w:color="FFFFFF"/>
            </w:tcBorders>
            <w:shd w:val="clear" w:color="000000" w:fill="366092"/>
            <w:vAlign w:val="center"/>
            <w:hideMark/>
          </w:tcPr>
          <w:p w:rsidR="002451D5" w:rsidRPr="00BF31D1" w:rsidRDefault="002451D5" w:rsidP="00BF31D1">
            <w:pPr>
              <w:rPr>
                <w:rFonts w:ascii="Arial" w:hAnsi="Arial" w:cs="Arial"/>
                <w:b/>
                <w:bCs/>
                <w:color w:val="FFFFFF"/>
                <w:sz w:val="18"/>
                <w:szCs w:val="18"/>
              </w:rPr>
            </w:pPr>
            <w:r w:rsidRPr="00BF31D1">
              <w:rPr>
                <w:rFonts w:ascii="Arial" w:hAnsi="Arial" w:cs="Arial"/>
                <w:b/>
                <w:bCs/>
                <w:color w:val="FFFFFF"/>
                <w:sz w:val="18"/>
                <w:szCs w:val="18"/>
              </w:rPr>
              <w:t>BGO Contract</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single" w:sz="8" w:space="0" w:color="FFFFFF"/>
              <w:bottom w:val="nil"/>
              <w:right w:val="single" w:sz="8" w:space="0" w:color="FFFFFF"/>
            </w:tcBorders>
            <w:shd w:val="clear" w:color="000000" w:fill="366092"/>
            <w:vAlign w:val="center"/>
          </w:tcPr>
          <w:p w:rsidR="002451D5" w:rsidRPr="00BF31D1" w:rsidRDefault="002451D5" w:rsidP="002451D5">
            <w:pPr>
              <w:jc w:val="right"/>
              <w:rPr>
                <w:rFonts w:ascii="Arial" w:hAnsi="Arial" w:cs="Arial"/>
                <w:b/>
                <w:bCs/>
                <w:color w:val="FFFFFF"/>
                <w:sz w:val="18"/>
                <w:szCs w:val="18"/>
              </w:rPr>
            </w:pPr>
            <w:r w:rsidRPr="00BF31D1">
              <w:rPr>
                <w:rFonts w:ascii="Arial" w:hAnsi="Arial" w:cs="Arial"/>
                <w:b/>
                <w:bCs/>
                <w:color w:val="FFFFFF"/>
                <w:sz w:val="18"/>
                <w:szCs w:val="18"/>
              </w:rPr>
              <w:t>577</w:t>
            </w:r>
          </w:p>
        </w:tc>
        <w:tc>
          <w:tcPr>
            <w:tcW w:w="1460" w:type="dxa"/>
            <w:tcBorders>
              <w:top w:val="nil"/>
              <w:left w:val="nil"/>
              <w:bottom w:val="nil"/>
              <w:right w:val="single" w:sz="8" w:space="0" w:color="FFFFFF"/>
            </w:tcBorders>
            <w:shd w:val="clear" w:color="000000" w:fill="366092"/>
            <w:vAlign w:val="center"/>
          </w:tcPr>
          <w:p w:rsidR="002451D5" w:rsidRPr="00BF31D1" w:rsidRDefault="007B77AD" w:rsidP="002451D5">
            <w:pPr>
              <w:jc w:val="right"/>
              <w:rPr>
                <w:rFonts w:ascii="Arial" w:hAnsi="Arial" w:cs="Arial"/>
                <w:b/>
                <w:bCs/>
                <w:color w:val="FFFFFF"/>
                <w:sz w:val="18"/>
                <w:szCs w:val="18"/>
              </w:rPr>
            </w:pPr>
            <w:r>
              <w:rPr>
                <w:rFonts w:ascii="Arial" w:hAnsi="Arial" w:cs="Arial"/>
                <w:b/>
                <w:bCs/>
                <w:color w:val="FFFFFF"/>
                <w:sz w:val="18"/>
                <w:szCs w:val="18"/>
              </w:rPr>
              <w:t>288</w:t>
            </w:r>
          </w:p>
        </w:tc>
        <w:tc>
          <w:tcPr>
            <w:tcW w:w="1400" w:type="dxa"/>
            <w:tcBorders>
              <w:top w:val="nil"/>
              <w:left w:val="nil"/>
              <w:bottom w:val="nil"/>
              <w:right w:val="single" w:sz="8" w:space="0" w:color="FFFFFF"/>
            </w:tcBorders>
            <w:shd w:val="clear" w:color="000000" w:fill="366092"/>
            <w:vAlign w:val="center"/>
          </w:tcPr>
          <w:p w:rsidR="002451D5" w:rsidRPr="00BF31D1" w:rsidRDefault="007B77AD" w:rsidP="002451D5">
            <w:pPr>
              <w:jc w:val="right"/>
              <w:rPr>
                <w:rFonts w:ascii="Arial" w:hAnsi="Arial" w:cs="Arial"/>
                <w:b/>
                <w:bCs/>
                <w:color w:val="FFFFFF"/>
                <w:sz w:val="18"/>
                <w:szCs w:val="18"/>
              </w:rPr>
            </w:pPr>
            <w:r>
              <w:rPr>
                <w:rFonts w:ascii="Arial" w:hAnsi="Arial" w:cs="Arial"/>
                <w:b/>
                <w:bCs/>
                <w:color w:val="FFFFFF"/>
                <w:sz w:val="18"/>
                <w:szCs w:val="18"/>
              </w:rPr>
              <w:t>283</w:t>
            </w:r>
          </w:p>
        </w:tc>
        <w:tc>
          <w:tcPr>
            <w:tcW w:w="1480" w:type="dxa"/>
            <w:tcBorders>
              <w:top w:val="nil"/>
              <w:left w:val="nil"/>
              <w:bottom w:val="nil"/>
              <w:right w:val="single" w:sz="8" w:space="0" w:color="FFFFFF"/>
            </w:tcBorders>
            <w:shd w:val="clear" w:color="000000" w:fill="366092"/>
            <w:vAlign w:val="center"/>
          </w:tcPr>
          <w:p w:rsidR="002451D5" w:rsidRPr="00BF31D1" w:rsidRDefault="002451D5" w:rsidP="007B77AD">
            <w:pPr>
              <w:jc w:val="right"/>
              <w:rPr>
                <w:rFonts w:ascii="Arial" w:hAnsi="Arial" w:cs="Arial"/>
                <w:b/>
                <w:bCs/>
                <w:color w:val="FFFFFF"/>
                <w:sz w:val="18"/>
                <w:szCs w:val="18"/>
              </w:rPr>
            </w:pPr>
            <w:r w:rsidRPr="00BF31D1">
              <w:rPr>
                <w:rFonts w:ascii="Arial" w:hAnsi="Arial" w:cs="Arial"/>
                <w:b/>
                <w:bCs/>
                <w:color w:val="FFFFFF"/>
                <w:sz w:val="18"/>
                <w:szCs w:val="18"/>
              </w:rPr>
              <w:t>(</w:t>
            </w:r>
            <w:r w:rsidR="007B77AD">
              <w:rPr>
                <w:rFonts w:ascii="Arial" w:hAnsi="Arial" w:cs="Arial"/>
                <w:b/>
                <w:bCs/>
                <w:color w:val="FFFFFF"/>
                <w:sz w:val="18"/>
                <w:szCs w:val="18"/>
              </w:rPr>
              <w:t>5</w:t>
            </w:r>
            <w:r w:rsidRPr="00BF31D1">
              <w:rPr>
                <w:rFonts w:ascii="Arial" w:hAnsi="Arial" w:cs="Arial"/>
                <w:b/>
                <w:bCs/>
                <w:color w:val="FFFFFF"/>
                <w:sz w:val="18"/>
                <w:szCs w:val="18"/>
              </w:rPr>
              <w:t>)</w:t>
            </w:r>
          </w:p>
        </w:tc>
      </w:tr>
      <w:tr w:rsidR="002451D5" w:rsidRPr="00BF31D1" w:rsidTr="00CC45F4">
        <w:trPr>
          <w:trHeight w:val="300"/>
        </w:trPr>
        <w:tc>
          <w:tcPr>
            <w:tcW w:w="3820" w:type="dxa"/>
            <w:tcBorders>
              <w:top w:val="nil"/>
              <w:left w:val="single" w:sz="8" w:space="0" w:color="FFFFFF"/>
              <w:bottom w:val="single" w:sz="8" w:space="0" w:color="FFFFFF"/>
              <w:right w:val="single" w:sz="8" w:space="0" w:color="FFFFFF"/>
            </w:tcBorders>
            <w:shd w:val="clear" w:color="auto" w:fill="auto"/>
            <w:vAlign w:val="center"/>
            <w:hideMark/>
          </w:tcPr>
          <w:p w:rsidR="002451D5" w:rsidRPr="00BF31D1" w:rsidRDefault="002451D5" w:rsidP="00BF31D1">
            <w:pPr>
              <w:rPr>
                <w:rFonts w:ascii="Arial" w:hAnsi="Arial" w:cs="Arial"/>
                <w:color w:val="000000"/>
                <w:sz w:val="18"/>
                <w:szCs w:val="18"/>
              </w:rPr>
            </w:pPr>
            <w:r w:rsidRPr="00BF31D1">
              <w:rPr>
                <w:rFonts w:ascii="Arial" w:hAnsi="Arial" w:cs="Arial"/>
                <w:color w:val="000000"/>
                <w:sz w:val="18"/>
                <w:szCs w:val="18"/>
              </w:rPr>
              <w:t>IS Team – capitalised salaries</w:t>
            </w:r>
          </w:p>
        </w:tc>
        <w:tc>
          <w:tcPr>
            <w:tcW w:w="260" w:type="dxa"/>
            <w:tcBorders>
              <w:top w:val="nil"/>
              <w:left w:val="nil"/>
              <w:bottom w:val="nil"/>
              <w:right w:val="nil"/>
            </w:tcBorders>
            <w:shd w:val="clear" w:color="auto" w:fill="auto"/>
            <w:noWrap/>
            <w:vAlign w:val="center"/>
            <w:hideMark/>
          </w:tcPr>
          <w:p w:rsidR="002451D5" w:rsidRPr="00BF31D1" w:rsidRDefault="002451D5" w:rsidP="00BF31D1">
            <w:pPr>
              <w:rPr>
                <w:rFonts w:ascii="Calibri" w:hAnsi="Calibri" w:cs="Calibri"/>
                <w:color w:val="000000"/>
                <w:sz w:val="22"/>
                <w:szCs w:val="22"/>
              </w:rPr>
            </w:pPr>
          </w:p>
        </w:tc>
        <w:tc>
          <w:tcPr>
            <w:tcW w:w="12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114</w:t>
            </w:r>
          </w:p>
        </w:tc>
        <w:tc>
          <w:tcPr>
            <w:tcW w:w="1460" w:type="dxa"/>
            <w:tcBorders>
              <w:top w:val="nil"/>
              <w:left w:val="nil"/>
              <w:bottom w:val="single" w:sz="8" w:space="0" w:color="FFFFFF"/>
              <w:right w:val="single" w:sz="8" w:space="0" w:color="FFFFFF"/>
            </w:tcBorders>
            <w:shd w:val="clear" w:color="auto" w:fill="auto"/>
            <w:vAlign w:val="center"/>
          </w:tcPr>
          <w:p w:rsidR="002451D5" w:rsidRPr="00BF31D1" w:rsidRDefault="007B77AD" w:rsidP="002451D5">
            <w:pPr>
              <w:jc w:val="right"/>
              <w:rPr>
                <w:rFonts w:ascii="Arial" w:hAnsi="Arial" w:cs="Arial"/>
                <w:color w:val="000000"/>
                <w:sz w:val="18"/>
                <w:szCs w:val="18"/>
              </w:rPr>
            </w:pPr>
            <w:r>
              <w:rPr>
                <w:rFonts w:ascii="Arial" w:hAnsi="Arial" w:cs="Arial"/>
                <w:color w:val="000000"/>
                <w:sz w:val="18"/>
                <w:szCs w:val="18"/>
              </w:rPr>
              <w:t>57</w:t>
            </w:r>
          </w:p>
        </w:tc>
        <w:tc>
          <w:tcPr>
            <w:tcW w:w="1400" w:type="dxa"/>
            <w:tcBorders>
              <w:top w:val="nil"/>
              <w:left w:val="nil"/>
              <w:bottom w:val="single" w:sz="8" w:space="0" w:color="FFFFFF"/>
              <w:right w:val="single" w:sz="8" w:space="0" w:color="FFFFFF"/>
            </w:tcBorders>
            <w:shd w:val="clear" w:color="auto" w:fill="auto"/>
            <w:vAlign w:val="center"/>
          </w:tcPr>
          <w:p w:rsidR="002451D5" w:rsidRPr="00BF31D1" w:rsidRDefault="007B77AD" w:rsidP="002451D5">
            <w:pPr>
              <w:jc w:val="right"/>
              <w:rPr>
                <w:rFonts w:ascii="Arial" w:hAnsi="Arial" w:cs="Arial"/>
                <w:color w:val="000000"/>
                <w:sz w:val="18"/>
                <w:szCs w:val="18"/>
              </w:rPr>
            </w:pPr>
            <w:r>
              <w:rPr>
                <w:rFonts w:ascii="Arial" w:hAnsi="Arial" w:cs="Arial"/>
                <w:color w:val="000000"/>
                <w:sz w:val="18"/>
                <w:szCs w:val="18"/>
              </w:rPr>
              <w:t>56</w:t>
            </w:r>
          </w:p>
        </w:tc>
        <w:tc>
          <w:tcPr>
            <w:tcW w:w="14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Pr>
                <w:rFonts w:ascii="Arial" w:hAnsi="Arial" w:cs="Arial"/>
                <w:color w:val="000000"/>
                <w:sz w:val="18"/>
                <w:szCs w:val="18"/>
              </w:rPr>
              <w:t>(1</w:t>
            </w:r>
            <w:r w:rsidRPr="00BF31D1">
              <w:rPr>
                <w:rFonts w:ascii="Arial" w:hAnsi="Arial" w:cs="Arial"/>
                <w:color w:val="000000"/>
                <w:sz w:val="18"/>
                <w:szCs w:val="18"/>
              </w:rPr>
              <w:t>)</w:t>
            </w:r>
          </w:p>
        </w:tc>
      </w:tr>
      <w:tr w:rsidR="002451D5" w:rsidRPr="00BF31D1" w:rsidTr="00CC45F4">
        <w:trPr>
          <w:trHeight w:val="480"/>
        </w:trPr>
        <w:tc>
          <w:tcPr>
            <w:tcW w:w="3820" w:type="dxa"/>
            <w:tcBorders>
              <w:top w:val="nil"/>
              <w:left w:val="single" w:sz="8" w:space="0" w:color="FFFFFF"/>
              <w:bottom w:val="nil"/>
              <w:right w:val="single" w:sz="8" w:space="0" w:color="FFFFFF"/>
            </w:tcBorders>
            <w:shd w:val="clear" w:color="000000" w:fill="366092"/>
            <w:vAlign w:val="center"/>
            <w:hideMark/>
          </w:tcPr>
          <w:p w:rsidR="002451D5" w:rsidRPr="00BF31D1" w:rsidRDefault="002451D5" w:rsidP="00714134">
            <w:pPr>
              <w:rPr>
                <w:rFonts w:ascii="Arial" w:hAnsi="Arial" w:cs="Arial"/>
                <w:b/>
                <w:bCs/>
                <w:color w:val="FFFFFF"/>
                <w:sz w:val="18"/>
                <w:szCs w:val="18"/>
              </w:rPr>
            </w:pPr>
            <w:r w:rsidRPr="00BF31D1">
              <w:rPr>
                <w:rFonts w:ascii="Arial" w:hAnsi="Arial" w:cs="Arial"/>
                <w:b/>
                <w:bCs/>
                <w:color w:val="FFFFFF"/>
                <w:sz w:val="18"/>
                <w:szCs w:val="18"/>
              </w:rPr>
              <w:t>BGO Contract and Capitali</w:t>
            </w:r>
            <w:r w:rsidR="00714134">
              <w:rPr>
                <w:rFonts w:ascii="Arial" w:hAnsi="Arial" w:cs="Arial"/>
                <w:b/>
                <w:bCs/>
                <w:color w:val="FFFFFF"/>
                <w:sz w:val="18"/>
                <w:szCs w:val="18"/>
              </w:rPr>
              <w:t>sed salaries position as at 30 September 2017</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single" w:sz="8" w:space="0" w:color="FFFFFF"/>
              <w:bottom w:val="nil"/>
              <w:right w:val="single" w:sz="8" w:space="0" w:color="FFFFFF"/>
            </w:tcBorders>
            <w:shd w:val="clear" w:color="000000" w:fill="366092"/>
            <w:vAlign w:val="center"/>
          </w:tcPr>
          <w:p w:rsidR="002451D5" w:rsidRPr="00BF31D1" w:rsidRDefault="002451D5" w:rsidP="002451D5">
            <w:pPr>
              <w:jc w:val="right"/>
              <w:rPr>
                <w:rFonts w:ascii="Arial" w:hAnsi="Arial" w:cs="Arial"/>
                <w:b/>
                <w:bCs/>
                <w:color w:val="FFFFFF"/>
                <w:sz w:val="18"/>
                <w:szCs w:val="18"/>
              </w:rPr>
            </w:pPr>
            <w:r w:rsidRPr="00BF31D1">
              <w:rPr>
                <w:rFonts w:ascii="Arial" w:hAnsi="Arial" w:cs="Arial"/>
                <w:b/>
                <w:bCs/>
                <w:color w:val="FFFFFF"/>
                <w:sz w:val="18"/>
                <w:szCs w:val="18"/>
              </w:rPr>
              <w:t>691</w:t>
            </w:r>
          </w:p>
        </w:tc>
        <w:tc>
          <w:tcPr>
            <w:tcW w:w="1460" w:type="dxa"/>
            <w:tcBorders>
              <w:top w:val="nil"/>
              <w:left w:val="nil"/>
              <w:bottom w:val="nil"/>
              <w:right w:val="single" w:sz="8" w:space="0" w:color="FFFFFF"/>
            </w:tcBorders>
            <w:shd w:val="clear" w:color="000000" w:fill="366092"/>
            <w:vAlign w:val="center"/>
          </w:tcPr>
          <w:p w:rsidR="002451D5" w:rsidRPr="00BF31D1" w:rsidRDefault="007B77AD" w:rsidP="002451D5">
            <w:pPr>
              <w:jc w:val="right"/>
              <w:rPr>
                <w:rFonts w:ascii="Arial" w:hAnsi="Arial" w:cs="Arial"/>
                <w:b/>
                <w:bCs/>
                <w:color w:val="FFFFFF"/>
                <w:sz w:val="18"/>
                <w:szCs w:val="18"/>
              </w:rPr>
            </w:pPr>
            <w:r>
              <w:rPr>
                <w:rFonts w:ascii="Arial" w:hAnsi="Arial" w:cs="Arial"/>
                <w:b/>
                <w:bCs/>
                <w:color w:val="FFFFFF"/>
                <w:sz w:val="18"/>
                <w:szCs w:val="18"/>
              </w:rPr>
              <w:t>345</w:t>
            </w:r>
          </w:p>
        </w:tc>
        <w:tc>
          <w:tcPr>
            <w:tcW w:w="1400" w:type="dxa"/>
            <w:tcBorders>
              <w:top w:val="nil"/>
              <w:left w:val="nil"/>
              <w:bottom w:val="nil"/>
              <w:right w:val="single" w:sz="8" w:space="0" w:color="FFFFFF"/>
            </w:tcBorders>
            <w:shd w:val="clear" w:color="000000" w:fill="366092"/>
            <w:vAlign w:val="center"/>
          </w:tcPr>
          <w:p w:rsidR="002451D5" w:rsidRPr="00BF31D1" w:rsidRDefault="007B77AD" w:rsidP="002451D5">
            <w:pPr>
              <w:jc w:val="right"/>
              <w:rPr>
                <w:rFonts w:ascii="Arial" w:hAnsi="Arial" w:cs="Arial"/>
                <w:b/>
                <w:bCs/>
                <w:color w:val="FFFFFF"/>
                <w:sz w:val="18"/>
                <w:szCs w:val="18"/>
              </w:rPr>
            </w:pPr>
            <w:r>
              <w:rPr>
                <w:rFonts w:ascii="Arial" w:hAnsi="Arial" w:cs="Arial"/>
                <w:b/>
                <w:bCs/>
                <w:color w:val="FFFFFF"/>
                <w:sz w:val="18"/>
                <w:szCs w:val="18"/>
              </w:rPr>
              <w:t>339</w:t>
            </w:r>
          </w:p>
        </w:tc>
        <w:tc>
          <w:tcPr>
            <w:tcW w:w="1480" w:type="dxa"/>
            <w:tcBorders>
              <w:top w:val="nil"/>
              <w:left w:val="nil"/>
              <w:bottom w:val="nil"/>
              <w:right w:val="single" w:sz="8" w:space="0" w:color="FFFFFF"/>
            </w:tcBorders>
            <w:shd w:val="clear" w:color="000000" w:fill="366092"/>
            <w:vAlign w:val="center"/>
          </w:tcPr>
          <w:p w:rsidR="002451D5" w:rsidRPr="00BF31D1" w:rsidRDefault="002451D5" w:rsidP="007B77AD">
            <w:pPr>
              <w:jc w:val="right"/>
              <w:rPr>
                <w:rFonts w:ascii="Arial" w:hAnsi="Arial" w:cs="Arial"/>
                <w:b/>
                <w:bCs/>
                <w:color w:val="FFFFFF"/>
                <w:sz w:val="18"/>
                <w:szCs w:val="18"/>
              </w:rPr>
            </w:pPr>
            <w:r w:rsidRPr="00BF31D1">
              <w:rPr>
                <w:rFonts w:ascii="Arial" w:hAnsi="Arial" w:cs="Arial"/>
                <w:b/>
                <w:bCs/>
                <w:color w:val="FFFFFF"/>
                <w:sz w:val="18"/>
                <w:szCs w:val="18"/>
              </w:rPr>
              <w:t>(</w:t>
            </w:r>
            <w:r w:rsidR="007B77AD">
              <w:rPr>
                <w:rFonts w:ascii="Arial" w:hAnsi="Arial" w:cs="Arial"/>
                <w:b/>
                <w:bCs/>
                <w:color w:val="FFFFFF"/>
                <w:sz w:val="18"/>
                <w:szCs w:val="18"/>
              </w:rPr>
              <w:t>6</w:t>
            </w:r>
            <w:r w:rsidRPr="00BF31D1">
              <w:rPr>
                <w:rFonts w:ascii="Arial" w:hAnsi="Arial" w:cs="Arial"/>
                <w:b/>
                <w:bCs/>
                <w:color w:val="FFFFFF"/>
                <w:sz w:val="18"/>
                <w:szCs w:val="18"/>
              </w:rPr>
              <w:t>)</w:t>
            </w:r>
          </w:p>
        </w:tc>
      </w:tr>
      <w:tr w:rsidR="002451D5" w:rsidRPr="00BF31D1" w:rsidTr="00CC45F4">
        <w:trPr>
          <w:trHeight w:val="300"/>
        </w:trPr>
        <w:tc>
          <w:tcPr>
            <w:tcW w:w="3820" w:type="dxa"/>
            <w:tcBorders>
              <w:top w:val="nil"/>
              <w:left w:val="single" w:sz="8" w:space="0" w:color="FFFFFF"/>
              <w:bottom w:val="single" w:sz="8" w:space="0" w:color="FFFFFF"/>
              <w:right w:val="single" w:sz="8" w:space="0" w:color="FFFFFF"/>
            </w:tcBorders>
            <w:shd w:val="clear" w:color="auto" w:fill="auto"/>
            <w:vAlign w:val="center"/>
            <w:hideMark/>
          </w:tcPr>
          <w:p w:rsidR="002451D5" w:rsidRPr="00BF31D1" w:rsidRDefault="002451D5" w:rsidP="00BF31D1">
            <w:pPr>
              <w:rPr>
                <w:rFonts w:ascii="Arial" w:hAnsi="Arial" w:cs="Arial"/>
                <w:color w:val="000000"/>
                <w:sz w:val="18"/>
                <w:szCs w:val="18"/>
              </w:rPr>
            </w:pPr>
            <w:r w:rsidRPr="00BF31D1">
              <w:rPr>
                <w:rFonts w:ascii="Arial" w:hAnsi="Arial" w:cs="Arial"/>
                <w:color w:val="000000"/>
                <w:sz w:val="18"/>
                <w:szCs w:val="18"/>
              </w:rPr>
              <w:t xml:space="preserve">ICT infrastructure </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24</w:t>
            </w:r>
          </w:p>
        </w:tc>
        <w:tc>
          <w:tcPr>
            <w:tcW w:w="1460" w:type="dxa"/>
            <w:tcBorders>
              <w:top w:val="nil"/>
              <w:left w:val="nil"/>
              <w:bottom w:val="single" w:sz="8" w:space="0" w:color="FFFFFF"/>
              <w:right w:val="single" w:sz="8" w:space="0" w:color="FFFFFF"/>
            </w:tcBorders>
            <w:shd w:val="clear" w:color="auto" w:fill="auto"/>
            <w:vAlign w:val="center"/>
          </w:tcPr>
          <w:p w:rsidR="002451D5" w:rsidRPr="00BF31D1" w:rsidRDefault="007B77AD" w:rsidP="002451D5">
            <w:pPr>
              <w:jc w:val="right"/>
              <w:rPr>
                <w:rFonts w:ascii="Arial" w:hAnsi="Arial" w:cs="Arial"/>
                <w:color w:val="000000"/>
                <w:sz w:val="18"/>
                <w:szCs w:val="18"/>
              </w:rPr>
            </w:pPr>
            <w:r>
              <w:rPr>
                <w:rFonts w:ascii="Arial" w:hAnsi="Arial" w:cs="Arial"/>
                <w:color w:val="000000"/>
                <w:sz w:val="18"/>
                <w:szCs w:val="18"/>
              </w:rPr>
              <w:t>12</w:t>
            </w:r>
          </w:p>
        </w:tc>
        <w:tc>
          <w:tcPr>
            <w:tcW w:w="1400" w:type="dxa"/>
            <w:tcBorders>
              <w:top w:val="nil"/>
              <w:left w:val="nil"/>
              <w:bottom w:val="single" w:sz="8" w:space="0" w:color="FFFFFF"/>
              <w:right w:val="single" w:sz="8" w:space="0" w:color="FFFFFF"/>
            </w:tcBorders>
            <w:shd w:val="clear" w:color="auto" w:fill="auto"/>
            <w:vAlign w:val="center"/>
          </w:tcPr>
          <w:p w:rsidR="002451D5" w:rsidRPr="00BF31D1" w:rsidRDefault="00EB02C9" w:rsidP="00EB02C9">
            <w:pPr>
              <w:jc w:val="right"/>
              <w:rPr>
                <w:rFonts w:ascii="Arial" w:hAnsi="Arial" w:cs="Arial"/>
                <w:color w:val="000000"/>
                <w:sz w:val="18"/>
                <w:szCs w:val="18"/>
              </w:rPr>
            </w:pPr>
            <w:r>
              <w:rPr>
                <w:rFonts w:ascii="Arial" w:hAnsi="Arial" w:cs="Arial"/>
                <w:color w:val="000000"/>
                <w:sz w:val="18"/>
                <w:szCs w:val="18"/>
              </w:rPr>
              <w:t>12</w:t>
            </w:r>
          </w:p>
        </w:tc>
        <w:tc>
          <w:tcPr>
            <w:tcW w:w="1480" w:type="dxa"/>
            <w:tcBorders>
              <w:top w:val="nil"/>
              <w:left w:val="nil"/>
              <w:bottom w:val="single" w:sz="8" w:space="0" w:color="FFFFFF"/>
              <w:right w:val="single" w:sz="8" w:space="0" w:color="FFFFFF"/>
            </w:tcBorders>
            <w:shd w:val="clear" w:color="auto" w:fill="auto"/>
            <w:vAlign w:val="center"/>
          </w:tcPr>
          <w:p w:rsidR="002451D5" w:rsidRPr="00BF31D1" w:rsidRDefault="007B77AD" w:rsidP="007B77AD">
            <w:pPr>
              <w:jc w:val="right"/>
              <w:rPr>
                <w:rFonts w:ascii="Arial" w:hAnsi="Arial" w:cs="Arial"/>
                <w:color w:val="000000"/>
                <w:sz w:val="18"/>
                <w:szCs w:val="18"/>
              </w:rPr>
            </w:pPr>
            <w:r>
              <w:rPr>
                <w:rFonts w:ascii="Arial" w:hAnsi="Arial" w:cs="Arial"/>
                <w:color w:val="000000"/>
                <w:sz w:val="18"/>
                <w:szCs w:val="18"/>
              </w:rPr>
              <w:t>(0)</w:t>
            </w:r>
          </w:p>
        </w:tc>
      </w:tr>
      <w:tr w:rsidR="002451D5" w:rsidRPr="00BF31D1" w:rsidTr="00CC45F4">
        <w:trPr>
          <w:trHeight w:val="300"/>
        </w:trPr>
        <w:tc>
          <w:tcPr>
            <w:tcW w:w="3820" w:type="dxa"/>
            <w:tcBorders>
              <w:top w:val="nil"/>
              <w:left w:val="single" w:sz="8" w:space="0" w:color="FFFFFF"/>
              <w:bottom w:val="single" w:sz="8" w:space="0" w:color="FFFFFF"/>
              <w:right w:val="single" w:sz="8" w:space="0" w:color="FFFFFF"/>
            </w:tcBorders>
            <w:shd w:val="clear" w:color="auto" w:fill="auto"/>
            <w:vAlign w:val="center"/>
            <w:hideMark/>
          </w:tcPr>
          <w:p w:rsidR="002451D5" w:rsidRPr="00BF31D1" w:rsidRDefault="002451D5" w:rsidP="00BF31D1">
            <w:pPr>
              <w:rPr>
                <w:rFonts w:ascii="Arial" w:hAnsi="Arial" w:cs="Arial"/>
                <w:color w:val="000000"/>
                <w:sz w:val="18"/>
                <w:szCs w:val="18"/>
              </w:rPr>
            </w:pPr>
            <w:r w:rsidRPr="00BF31D1">
              <w:rPr>
                <w:rFonts w:ascii="Arial" w:hAnsi="Arial" w:cs="Arial"/>
                <w:color w:val="000000"/>
                <w:sz w:val="18"/>
                <w:szCs w:val="18"/>
              </w:rPr>
              <w:t>Estates</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85</w:t>
            </w:r>
          </w:p>
        </w:tc>
        <w:tc>
          <w:tcPr>
            <w:tcW w:w="1460" w:type="dxa"/>
            <w:tcBorders>
              <w:top w:val="nil"/>
              <w:left w:val="nil"/>
              <w:bottom w:val="single" w:sz="8" w:space="0" w:color="FFFFFF"/>
              <w:right w:val="single" w:sz="8" w:space="0" w:color="FFFFFF"/>
            </w:tcBorders>
            <w:shd w:val="clear" w:color="auto" w:fill="auto"/>
            <w:vAlign w:val="center"/>
          </w:tcPr>
          <w:p w:rsidR="002451D5" w:rsidRPr="00BF31D1" w:rsidRDefault="00EB02C9" w:rsidP="002451D5">
            <w:pPr>
              <w:jc w:val="right"/>
              <w:rPr>
                <w:rFonts w:ascii="Arial" w:hAnsi="Arial" w:cs="Arial"/>
                <w:color w:val="000000"/>
                <w:sz w:val="18"/>
                <w:szCs w:val="18"/>
              </w:rPr>
            </w:pPr>
            <w:r>
              <w:rPr>
                <w:rFonts w:ascii="Arial" w:hAnsi="Arial" w:cs="Arial"/>
                <w:color w:val="000000"/>
                <w:sz w:val="18"/>
                <w:szCs w:val="18"/>
              </w:rPr>
              <w:t>45</w:t>
            </w:r>
          </w:p>
        </w:tc>
        <w:tc>
          <w:tcPr>
            <w:tcW w:w="140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0</w:t>
            </w:r>
          </w:p>
        </w:tc>
        <w:tc>
          <w:tcPr>
            <w:tcW w:w="1480" w:type="dxa"/>
            <w:tcBorders>
              <w:top w:val="nil"/>
              <w:left w:val="nil"/>
              <w:bottom w:val="single" w:sz="8" w:space="0" w:color="FFFFFF"/>
              <w:right w:val="single" w:sz="8" w:space="0" w:color="FFFFFF"/>
            </w:tcBorders>
            <w:shd w:val="clear" w:color="auto" w:fill="auto"/>
            <w:vAlign w:val="center"/>
          </w:tcPr>
          <w:p w:rsidR="002451D5" w:rsidRPr="00BF31D1" w:rsidRDefault="00EB02C9" w:rsidP="002451D5">
            <w:pPr>
              <w:jc w:val="right"/>
              <w:rPr>
                <w:rFonts w:ascii="Arial" w:hAnsi="Arial" w:cs="Arial"/>
                <w:color w:val="000000"/>
                <w:sz w:val="18"/>
                <w:szCs w:val="18"/>
              </w:rPr>
            </w:pPr>
            <w:r>
              <w:rPr>
                <w:rFonts w:ascii="Arial" w:hAnsi="Arial" w:cs="Arial"/>
                <w:color w:val="000000"/>
                <w:sz w:val="18"/>
                <w:szCs w:val="18"/>
              </w:rPr>
              <w:t>(45)</w:t>
            </w:r>
          </w:p>
        </w:tc>
      </w:tr>
      <w:tr w:rsidR="002451D5" w:rsidRPr="00BF31D1" w:rsidTr="00CC45F4">
        <w:trPr>
          <w:trHeight w:val="288"/>
        </w:trPr>
        <w:tc>
          <w:tcPr>
            <w:tcW w:w="3820" w:type="dxa"/>
            <w:tcBorders>
              <w:top w:val="nil"/>
              <w:left w:val="single" w:sz="8" w:space="0" w:color="FFFFFF"/>
              <w:bottom w:val="nil"/>
              <w:right w:val="single" w:sz="8" w:space="0" w:color="FFFFFF"/>
            </w:tcBorders>
            <w:shd w:val="clear" w:color="000000" w:fill="366092"/>
            <w:vAlign w:val="center"/>
            <w:hideMark/>
          </w:tcPr>
          <w:p w:rsidR="002451D5" w:rsidRPr="00BF31D1" w:rsidRDefault="002451D5" w:rsidP="00BF31D1">
            <w:pPr>
              <w:rPr>
                <w:rFonts w:ascii="Arial" w:hAnsi="Arial" w:cs="Arial"/>
                <w:b/>
                <w:bCs/>
                <w:color w:val="FFFFFF"/>
                <w:sz w:val="18"/>
                <w:szCs w:val="18"/>
              </w:rPr>
            </w:pPr>
            <w:r w:rsidRPr="00BF31D1">
              <w:rPr>
                <w:rFonts w:ascii="Arial" w:hAnsi="Arial" w:cs="Arial"/>
                <w:b/>
                <w:bCs/>
                <w:color w:val="FFFFFF"/>
                <w:sz w:val="18"/>
                <w:szCs w:val="18"/>
              </w:rPr>
              <w:t>Total Capital</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single" w:sz="8" w:space="0" w:color="FFFFFF"/>
              <w:bottom w:val="nil"/>
              <w:right w:val="single" w:sz="8" w:space="0" w:color="FFFFFF"/>
            </w:tcBorders>
            <w:shd w:val="clear" w:color="000000" w:fill="366092"/>
            <w:vAlign w:val="center"/>
          </w:tcPr>
          <w:p w:rsidR="002451D5" w:rsidRPr="00BF31D1" w:rsidRDefault="002451D5" w:rsidP="002451D5">
            <w:pPr>
              <w:jc w:val="right"/>
              <w:rPr>
                <w:rFonts w:ascii="Arial" w:hAnsi="Arial" w:cs="Arial"/>
                <w:b/>
                <w:bCs/>
                <w:color w:val="FFFFFF"/>
                <w:sz w:val="18"/>
                <w:szCs w:val="18"/>
              </w:rPr>
            </w:pPr>
            <w:r w:rsidRPr="00BF31D1">
              <w:rPr>
                <w:rFonts w:ascii="Arial" w:hAnsi="Arial" w:cs="Arial"/>
                <w:b/>
                <w:bCs/>
                <w:color w:val="FFFFFF"/>
                <w:sz w:val="18"/>
                <w:szCs w:val="18"/>
              </w:rPr>
              <w:t>800</w:t>
            </w:r>
          </w:p>
        </w:tc>
        <w:tc>
          <w:tcPr>
            <w:tcW w:w="1460" w:type="dxa"/>
            <w:tcBorders>
              <w:top w:val="nil"/>
              <w:left w:val="nil"/>
              <w:bottom w:val="nil"/>
              <w:right w:val="single" w:sz="8" w:space="0" w:color="FFFFFF"/>
            </w:tcBorders>
            <w:shd w:val="clear" w:color="000000" w:fill="366092"/>
            <w:vAlign w:val="center"/>
          </w:tcPr>
          <w:p w:rsidR="002451D5" w:rsidRPr="00BF31D1" w:rsidRDefault="007B77AD" w:rsidP="002451D5">
            <w:pPr>
              <w:jc w:val="right"/>
              <w:rPr>
                <w:rFonts w:ascii="Arial" w:hAnsi="Arial" w:cs="Arial"/>
                <w:b/>
                <w:bCs/>
                <w:color w:val="FFFFFF"/>
                <w:sz w:val="18"/>
                <w:szCs w:val="18"/>
              </w:rPr>
            </w:pPr>
            <w:r>
              <w:rPr>
                <w:rFonts w:ascii="Arial" w:hAnsi="Arial" w:cs="Arial"/>
                <w:b/>
                <w:bCs/>
                <w:color w:val="FFFFFF"/>
                <w:sz w:val="18"/>
                <w:szCs w:val="18"/>
              </w:rPr>
              <w:t>430</w:t>
            </w:r>
          </w:p>
        </w:tc>
        <w:tc>
          <w:tcPr>
            <w:tcW w:w="1400" w:type="dxa"/>
            <w:tcBorders>
              <w:top w:val="nil"/>
              <w:left w:val="nil"/>
              <w:bottom w:val="nil"/>
              <w:right w:val="single" w:sz="8" w:space="0" w:color="FFFFFF"/>
            </w:tcBorders>
            <w:shd w:val="clear" w:color="000000" w:fill="366092"/>
            <w:vAlign w:val="center"/>
          </w:tcPr>
          <w:p w:rsidR="002451D5" w:rsidRPr="00BF31D1" w:rsidRDefault="007B77AD" w:rsidP="00EB02C9">
            <w:pPr>
              <w:jc w:val="right"/>
              <w:rPr>
                <w:rFonts w:ascii="Arial" w:hAnsi="Arial" w:cs="Arial"/>
                <w:b/>
                <w:bCs/>
                <w:color w:val="FFFFFF"/>
                <w:sz w:val="18"/>
                <w:szCs w:val="18"/>
              </w:rPr>
            </w:pPr>
            <w:r>
              <w:rPr>
                <w:rFonts w:ascii="Arial" w:hAnsi="Arial" w:cs="Arial"/>
                <w:b/>
                <w:bCs/>
                <w:color w:val="FFFFFF"/>
                <w:sz w:val="18"/>
                <w:szCs w:val="18"/>
              </w:rPr>
              <w:t>3</w:t>
            </w:r>
            <w:r w:rsidR="00EB02C9">
              <w:rPr>
                <w:rFonts w:ascii="Arial" w:hAnsi="Arial" w:cs="Arial"/>
                <w:b/>
                <w:bCs/>
                <w:color w:val="FFFFFF"/>
                <w:sz w:val="18"/>
                <w:szCs w:val="18"/>
              </w:rPr>
              <w:t>51</w:t>
            </w:r>
          </w:p>
        </w:tc>
        <w:tc>
          <w:tcPr>
            <w:tcW w:w="1480" w:type="dxa"/>
            <w:tcBorders>
              <w:top w:val="nil"/>
              <w:left w:val="nil"/>
              <w:bottom w:val="nil"/>
              <w:right w:val="single" w:sz="8" w:space="0" w:color="FFFFFF"/>
            </w:tcBorders>
            <w:shd w:val="clear" w:color="000000" w:fill="366092"/>
            <w:vAlign w:val="center"/>
          </w:tcPr>
          <w:p w:rsidR="002451D5" w:rsidRPr="00BF31D1" w:rsidRDefault="002451D5" w:rsidP="00EB02C9">
            <w:pPr>
              <w:jc w:val="right"/>
              <w:rPr>
                <w:rFonts w:ascii="Arial" w:hAnsi="Arial" w:cs="Arial"/>
                <w:b/>
                <w:bCs/>
                <w:color w:val="FFFFFF"/>
                <w:sz w:val="18"/>
                <w:szCs w:val="18"/>
              </w:rPr>
            </w:pPr>
            <w:r w:rsidRPr="00BF31D1">
              <w:rPr>
                <w:rFonts w:ascii="Arial" w:hAnsi="Arial" w:cs="Arial"/>
                <w:b/>
                <w:bCs/>
                <w:color w:val="FFFFFF"/>
                <w:sz w:val="18"/>
                <w:szCs w:val="18"/>
              </w:rPr>
              <w:t>(</w:t>
            </w:r>
            <w:r w:rsidR="00EB02C9">
              <w:rPr>
                <w:rFonts w:ascii="Arial" w:hAnsi="Arial" w:cs="Arial"/>
                <w:b/>
                <w:bCs/>
                <w:color w:val="FFFFFF"/>
                <w:sz w:val="18"/>
                <w:szCs w:val="18"/>
              </w:rPr>
              <w:t>51</w:t>
            </w:r>
            <w:r w:rsidRPr="00BF31D1">
              <w:rPr>
                <w:rFonts w:ascii="Arial" w:hAnsi="Arial" w:cs="Arial"/>
                <w:b/>
                <w:bCs/>
                <w:color w:val="FFFFFF"/>
                <w:sz w:val="18"/>
                <w:szCs w:val="18"/>
              </w:rPr>
              <w:t>)</w:t>
            </w:r>
          </w:p>
        </w:tc>
      </w:tr>
    </w:tbl>
    <w:p w:rsidR="00DB368B" w:rsidRDefault="00DB368B" w:rsidP="006E30B3">
      <w:pPr>
        <w:spacing w:after="200" w:line="276" w:lineRule="auto"/>
        <w:rPr>
          <w:rFonts w:ascii="Arial" w:hAnsi="Arial" w:cs="Arial"/>
          <w:sz w:val="22"/>
          <w:szCs w:val="22"/>
        </w:rPr>
      </w:pPr>
    </w:p>
    <w:p w:rsidR="00EB02C9" w:rsidRDefault="00BF31D1" w:rsidP="006E30B3">
      <w:pPr>
        <w:spacing w:after="200" w:line="276" w:lineRule="auto"/>
        <w:rPr>
          <w:rFonts w:ascii="Arial" w:hAnsi="Arial" w:cs="Arial"/>
          <w:sz w:val="22"/>
          <w:szCs w:val="22"/>
        </w:rPr>
      </w:pPr>
      <w:r>
        <w:rPr>
          <w:rFonts w:ascii="Arial" w:hAnsi="Arial" w:cs="Arial"/>
          <w:sz w:val="22"/>
          <w:szCs w:val="22"/>
        </w:rPr>
        <w:t>86% of the capital budget is</w:t>
      </w:r>
      <w:r w:rsidR="004A71FD">
        <w:rPr>
          <w:rFonts w:ascii="Arial" w:hAnsi="Arial" w:cs="Arial"/>
          <w:sz w:val="22"/>
          <w:szCs w:val="22"/>
        </w:rPr>
        <w:t xml:space="preserve"> </w:t>
      </w:r>
      <w:r w:rsidR="00535185">
        <w:rPr>
          <w:rFonts w:ascii="Arial" w:hAnsi="Arial" w:cs="Arial"/>
          <w:sz w:val="22"/>
          <w:szCs w:val="22"/>
        </w:rPr>
        <w:t>c</w:t>
      </w:r>
      <w:r w:rsidR="004A71FD">
        <w:rPr>
          <w:rFonts w:ascii="Arial" w:hAnsi="Arial" w:cs="Arial"/>
          <w:sz w:val="22"/>
          <w:szCs w:val="22"/>
        </w:rPr>
        <w:t>ommitted</w:t>
      </w:r>
      <w:r w:rsidR="00535185">
        <w:rPr>
          <w:rFonts w:ascii="Arial" w:hAnsi="Arial" w:cs="Arial"/>
          <w:sz w:val="22"/>
          <w:szCs w:val="22"/>
        </w:rPr>
        <w:t>. The</w:t>
      </w:r>
      <w:r>
        <w:rPr>
          <w:rFonts w:ascii="Arial" w:hAnsi="Arial" w:cs="Arial"/>
          <w:sz w:val="22"/>
          <w:szCs w:val="22"/>
        </w:rPr>
        <w:t xml:space="preserve"> BGO contract delivering HARP and IRAS developments as well as the internal team working o</w:t>
      </w:r>
      <w:r w:rsidR="004A71FD">
        <w:rPr>
          <w:rFonts w:ascii="Arial" w:hAnsi="Arial" w:cs="Arial"/>
          <w:sz w:val="22"/>
          <w:szCs w:val="22"/>
        </w:rPr>
        <w:t>n</w:t>
      </w:r>
      <w:r>
        <w:rPr>
          <w:rFonts w:ascii="Arial" w:hAnsi="Arial" w:cs="Arial"/>
          <w:sz w:val="22"/>
          <w:szCs w:val="22"/>
        </w:rPr>
        <w:t xml:space="preserve"> improvements to the</w:t>
      </w:r>
      <w:r w:rsidR="004A71FD">
        <w:rPr>
          <w:rFonts w:ascii="Arial" w:hAnsi="Arial" w:cs="Arial"/>
          <w:sz w:val="22"/>
          <w:szCs w:val="22"/>
        </w:rPr>
        <w:t>se</w:t>
      </w:r>
      <w:r>
        <w:rPr>
          <w:rFonts w:ascii="Arial" w:hAnsi="Arial" w:cs="Arial"/>
          <w:sz w:val="22"/>
          <w:szCs w:val="22"/>
        </w:rPr>
        <w:t xml:space="preserve"> current system</w:t>
      </w:r>
      <w:r w:rsidR="004A71FD">
        <w:rPr>
          <w:rFonts w:ascii="Arial" w:hAnsi="Arial" w:cs="Arial"/>
          <w:sz w:val="22"/>
          <w:szCs w:val="22"/>
        </w:rPr>
        <w:t>s</w:t>
      </w:r>
      <w:r w:rsidR="00535185">
        <w:rPr>
          <w:rFonts w:ascii="Arial" w:hAnsi="Arial" w:cs="Arial"/>
          <w:sz w:val="22"/>
          <w:szCs w:val="22"/>
        </w:rPr>
        <w:t xml:space="preserve"> make up this amount</w:t>
      </w:r>
      <w:r>
        <w:rPr>
          <w:rFonts w:ascii="Arial" w:hAnsi="Arial" w:cs="Arial"/>
          <w:sz w:val="22"/>
          <w:szCs w:val="22"/>
        </w:rPr>
        <w:t xml:space="preserve">. </w:t>
      </w:r>
    </w:p>
    <w:p w:rsidR="004A71FD" w:rsidRDefault="004A71FD" w:rsidP="006E30B3">
      <w:pPr>
        <w:spacing w:after="200" w:line="276" w:lineRule="auto"/>
        <w:rPr>
          <w:rFonts w:ascii="Arial" w:hAnsi="Arial" w:cs="Arial"/>
          <w:sz w:val="22"/>
          <w:szCs w:val="22"/>
        </w:rPr>
      </w:pPr>
      <w:r>
        <w:rPr>
          <w:rFonts w:ascii="Arial" w:hAnsi="Arial" w:cs="Arial"/>
          <w:sz w:val="22"/>
          <w:szCs w:val="22"/>
        </w:rPr>
        <w:t xml:space="preserve">The remaining amounts </w:t>
      </w:r>
      <w:r w:rsidR="00714134">
        <w:rPr>
          <w:rFonts w:ascii="Arial" w:hAnsi="Arial" w:cs="Arial"/>
          <w:sz w:val="22"/>
          <w:szCs w:val="22"/>
        </w:rPr>
        <w:t>had been</w:t>
      </w:r>
      <w:r>
        <w:rPr>
          <w:rFonts w:ascii="Arial" w:hAnsi="Arial" w:cs="Arial"/>
          <w:sz w:val="22"/>
          <w:szCs w:val="22"/>
        </w:rPr>
        <w:t xml:space="preserve"> </w:t>
      </w:r>
      <w:r w:rsidR="00FF17E1">
        <w:rPr>
          <w:rFonts w:ascii="Arial" w:hAnsi="Arial" w:cs="Arial"/>
          <w:sz w:val="22"/>
          <w:szCs w:val="22"/>
        </w:rPr>
        <w:t xml:space="preserve">fully </w:t>
      </w:r>
      <w:r w:rsidR="002451D5">
        <w:rPr>
          <w:rFonts w:ascii="Arial" w:hAnsi="Arial" w:cs="Arial"/>
          <w:sz w:val="22"/>
          <w:szCs w:val="22"/>
        </w:rPr>
        <w:t>a</w:t>
      </w:r>
      <w:r>
        <w:rPr>
          <w:rFonts w:ascii="Arial" w:hAnsi="Arial" w:cs="Arial"/>
          <w:sz w:val="22"/>
          <w:szCs w:val="22"/>
        </w:rPr>
        <w:t xml:space="preserve">llocated to improvements to the air temperature Skipton House </w:t>
      </w:r>
      <w:r w:rsidR="00535185">
        <w:rPr>
          <w:rFonts w:ascii="Arial" w:hAnsi="Arial" w:cs="Arial"/>
          <w:sz w:val="22"/>
          <w:szCs w:val="22"/>
        </w:rPr>
        <w:t>(</w:t>
      </w:r>
      <w:r w:rsidR="00296174">
        <w:rPr>
          <w:rFonts w:ascii="Arial" w:hAnsi="Arial" w:cs="Arial"/>
          <w:sz w:val="22"/>
          <w:szCs w:val="22"/>
        </w:rPr>
        <w:t>implemented</w:t>
      </w:r>
      <w:r w:rsidR="00535185">
        <w:rPr>
          <w:rFonts w:ascii="Arial" w:hAnsi="Arial" w:cs="Arial"/>
          <w:sz w:val="22"/>
          <w:szCs w:val="22"/>
        </w:rPr>
        <w:t xml:space="preserve">) </w:t>
      </w:r>
      <w:r>
        <w:rPr>
          <w:rFonts w:ascii="Arial" w:hAnsi="Arial" w:cs="Arial"/>
          <w:sz w:val="22"/>
          <w:szCs w:val="22"/>
        </w:rPr>
        <w:t xml:space="preserve">and the </w:t>
      </w:r>
      <w:r w:rsidR="002451D5">
        <w:rPr>
          <w:rFonts w:ascii="Arial" w:hAnsi="Arial" w:cs="Arial"/>
          <w:sz w:val="22"/>
          <w:szCs w:val="22"/>
        </w:rPr>
        <w:t xml:space="preserve">costs related to the </w:t>
      </w:r>
      <w:r>
        <w:rPr>
          <w:rFonts w:ascii="Arial" w:hAnsi="Arial" w:cs="Arial"/>
          <w:sz w:val="22"/>
          <w:szCs w:val="22"/>
        </w:rPr>
        <w:t xml:space="preserve">relocation of our </w:t>
      </w:r>
      <w:r w:rsidR="002451D5">
        <w:rPr>
          <w:rFonts w:ascii="Arial" w:hAnsi="Arial" w:cs="Arial"/>
          <w:sz w:val="22"/>
          <w:szCs w:val="22"/>
        </w:rPr>
        <w:t xml:space="preserve">Northeast </w:t>
      </w:r>
      <w:r>
        <w:rPr>
          <w:rFonts w:ascii="Arial" w:hAnsi="Arial" w:cs="Arial"/>
          <w:sz w:val="22"/>
          <w:szCs w:val="22"/>
        </w:rPr>
        <w:t>office</w:t>
      </w:r>
      <w:r w:rsidR="00714134">
        <w:rPr>
          <w:rFonts w:ascii="Arial" w:hAnsi="Arial" w:cs="Arial"/>
          <w:sz w:val="22"/>
          <w:szCs w:val="22"/>
        </w:rPr>
        <w:t>. D</w:t>
      </w:r>
      <w:r w:rsidR="00E32411">
        <w:rPr>
          <w:rFonts w:ascii="Arial" w:hAnsi="Arial" w:cs="Arial"/>
          <w:sz w:val="22"/>
          <w:szCs w:val="22"/>
        </w:rPr>
        <w:t>H</w:t>
      </w:r>
      <w:r w:rsidR="00714134">
        <w:rPr>
          <w:rFonts w:ascii="Arial" w:hAnsi="Arial" w:cs="Arial"/>
          <w:sz w:val="22"/>
          <w:szCs w:val="22"/>
        </w:rPr>
        <w:t xml:space="preserve"> have now confirmed that the Skipton House costs will not be recharged to the HRA and </w:t>
      </w:r>
      <w:r w:rsidR="00E32411">
        <w:rPr>
          <w:rFonts w:ascii="Arial" w:hAnsi="Arial" w:cs="Arial"/>
          <w:sz w:val="22"/>
          <w:szCs w:val="22"/>
        </w:rPr>
        <w:t xml:space="preserve">the Northeast office move has less capital investment required than previously planned. As a result we are exploring how we might best utilise this uncommitted budget to help support our research systems in preparation for the potential system change programme. </w:t>
      </w:r>
      <w:r w:rsidR="002451D5">
        <w:rPr>
          <w:rFonts w:ascii="Arial" w:hAnsi="Arial" w:cs="Arial"/>
          <w:sz w:val="22"/>
          <w:szCs w:val="22"/>
        </w:rPr>
        <w:t>.</w:t>
      </w:r>
      <w:r w:rsidR="00535185">
        <w:rPr>
          <w:rFonts w:ascii="Arial" w:hAnsi="Arial" w:cs="Arial"/>
          <w:sz w:val="22"/>
          <w:szCs w:val="22"/>
        </w:rPr>
        <w:t xml:space="preserve"> </w:t>
      </w:r>
      <w:r>
        <w:rPr>
          <w:rFonts w:ascii="Arial" w:hAnsi="Arial" w:cs="Arial"/>
          <w:sz w:val="22"/>
          <w:szCs w:val="22"/>
        </w:rPr>
        <w:t xml:space="preserve"> </w:t>
      </w:r>
    </w:p>
    <w:p w:rsidR="00DD6897" w:rsidRDefault="00192D07" w:rsidP="00951DD0">
      <w:pPr>
        <w:pStyle w:val="ListParagraph"/>
        <w:spacing w:line="276" w:lineRule="auto"/>
        <w:ind w:left="0"/>
        <w:rPr>
          <w:rFonts w:ascii="Arial" w:hAnsi="Arial" w:cs="Arial"/>
          <w:b/>
          <w:sz w:val="22"/>
          <w:szCs w:val="22"/>
        </w:rPr>
      </w:pPr>
      <w:r>
        <w:rPr>
          <w:rFonts w:ascii="Arial" w:hAnsi="Arial" w:cs="Arial"/>
          <w:b/>
          <w:sz w:val="22"/>
          <w:szCs w:val="22"/>
        </w:rPr>
        <w:t>B</w:t>
      </w:r>
      <w:r w:rsidR="00DD6897">
        <w:rPr>
          <w:rFonts w:ascii="Arial" w:hAnsi="Arial" w:cs="Arial"/>
          <w:b/>
          <w:sz w:val="22"/>
          <w:szCs w:val="22"/>
        </w:rPr>
        <w:t>etter payments performance</w:t>
      </w:r>
      <w:r w:rsidR="00996C5F">
        <w:rPr>
          <w:rFonts w:ascii="Arial" w:hAnsi="Arial" w:cs="Arial"/>
          <w:b/>
          <w:sz w:val="22"/>
          <w:szCs w:val="22"/>
        </w:rPr>
        <w:t xml:space="preserve"> </w:t>
      </w:r>
    </w:p>
    <w:p w:rsidR="0035681C" w:rsidRPr="0035681C" w:rsidRDefault="0035681C" w:rsidP="00951DD0">
      <w:pPr>
        <w:pStyle w:val="ListParagraph"/>
        <w:spacing w:line="276" w:lineRule="auto"/>
        <w:ind w:left="0"/>
        <w:rPr>
          <w:rFonts w:ascii="Arial" w:hAnsi="Arial" w:cs="Arial"/>
          <w:sz w:val="22"/>
          <w:szCs w:val="22"/>
        </w:rPr>
      </w:pPr>
      <w:r>
        <w:rPr>
          <w:rFonts w:ascii="Arial" w:hAnsi="Arial" w:cs="Arial"/>
          <w:sz w:val="22"/>
          <w:szCs w:val="22"/>
        </w:rPr>
        <w:t>The HRA has continued to meet the duty to pay 95% of invoices in 30 days, also maintaining the internal stretched target of paying 60% of suppliers in 10 days.</w:t>
      </w:r>
      <w:r w:rsidR="00643F97">
        <w:rPr>
          <w:rFonts w:ascii="Arial" w:hAnsi="Arial" w:cs="Arial"/>
          <w:sz w:val="22"/>
          <w:szCs w:val="22"/>
        </w:rPr>
        <w:t xml:space="preserve">  </w:t>
      </w:r>
    </w:p>
    <w:p w:rsidR="0035681C" w:rsidRDefault="0035681C" w:rsidP="00951DD0">
      <w:pPr>
        <w:pStyle w:val="ListParagraph"/>
        <w:spacing w:line="276" w:lineRule="auto"/>
        <w:ind w:left="0"/>
        <w:rPr>
          <w:rFonts w:ascii="Arial" w:hAnsi="Arial" w:cs="Arial"/>
          <w:b/>
          <w:sz w:val="22"/>
          <w:szCs w:val="22"/>
        </w:rPr>
      </w:pPr>
    </w:p>
    <w:tbl>
      <w:tblPr>
        <w:tblW w:w="5218" w:type="dxa"/>
        <w:jc w:val="center"/>
        <w:tblInd w:w="-398" w:type="dxa"/>
        <w:tblLook w:val="04A0" w:firstRow="1" w:lastRow="0" w:firstColumn="1" w:lastColumn="0" w:noHBand="0" w:noVBand="1"/>
      </w:tblPr>
      <w:tblGrid>
        <w:gridCol w:w="2916"/>
        <w:gridCol w:w="982"/>
        <w:gridCol w:w="1320"/>
      </w:tblGrid>
      <w:tr w:rsidR="00736CB7" w:rsidRPr="00236B2E" w:rsidTr="00C80EBC">
        <w:trPr>
          <w:trHeight w:val="537"/>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36CB7" w:rsidRPr="00236B2E" w:rsidRDefault="00736CB7" w:rsidP="00655157">
            <w:pPr>
              <w:rPr>
                <w:rFonts w:ascii="Calibri" w:hAnsi="Calibri" w:cs="Calibri"/>
                <w:color w:val="000000"/>
              </w:rPr>
            </w:pPr>
            <w:r w:rsidRPr="00236B2E">
              <w:rPr>
                <w:rFonts w:ascii="Calibri" w:hAnsi="Calibri" w:cs="Calibri"/>
                <w:color w:val="000000"/>
              </w:rPr>
              <w:t> </w:t>
            </w:r>
          </w:p>
        </w:tc>
        <w:tc>
          <w:tcPr>
            <w:tcW w:w="982"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rsidR="00736CB7" w:rsidRPr="00C80EBC" w:rsidRDefault="00736CB7" w:rsidP="00655157">
            <w:pPr>
              <w:rPr>
                <w:rFonts w:ascii="Calibri" w:hAnsi="Calibri" w:cs="Calibri"/>
                <w:b/>
                <w:color w:val="FFFFFF" w:themeColor="background1"/>
                <w:sz w:val="22"/>
                <w:szCs w:val="22"/>
              </w:rPr>
            </w:pPr>
            <w:r w:rsidRPr="00C80EBC">
              <w:rPr>
                <w:rFonts w:ascii="Calibri" w:hAnsi="Calibri" w:cs="Calibri"/>
                <w:b/>
                <w:color w:val="FFFFFF" w:themeColor="background1"/>
                <w:sz w:val="22"/>
                <w:szCs w:val="22"/>
              </w:rPr>
              <w:t>Number</w:t>
            </w:r>
          </w:p>
        </w:tc>
        <w:tc>
          <w:tcPr>
            <w:tcW w:w="1320"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rsidR="00736CB7" w:rsidRPr="00C80EBC" w:rsidRDefault="00736CB7" w:rsidP="00C80EBC">
            <w:pPr>
              <w:jc w:val="right"/>
              <w:rPr>
                <w:rFonts w:ascii="Calibri" w:hAnsi="Calibri" w:cs="Calibri"/>
                <w:b/>
                <w:color w:val="FFFFFF" w:themeColor="background1"/>
                <w:sz w:val="22"/>
                <w:szCs w:val="22"/>
              </w:rPr>
            </w:pPr>
            <w:r w:rsidRPr="00C80EBC">
              <w:rPr>
                <w:rFonts w:ascii="Calibri" w:hAnsi="Calibri" w:cs="Calibri"/>
                <w:b/>
                <w:color w:val="FFFFFF" w:themeColor="background1"/>
                <w:sz w:val="22"/>
                <w:szCs w:val="22"/>
              </w:rPr>
              <w:t>Value (£)</w:t>
            </w:r>
          </w:p>
        </w:tc>
      </w:tr>
      <w:tr w:rsidR="00707D4B"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707D4B" w:rsidRDefault="00707D4B" w:rsidP="00707D4B">
            <w:pPr>
              <w:rPr>
                <w:rFonts w:ascii="Calibri" w:hAnsi="Calibri" w:cs="Calibri"/>
                <w:b/>
                <w:bCs/>
                <w:color w:val="000000"/>
                <w:sz w:val="22"/>
                <w:szCs w:val="22"/>
              </w:rPr>
            </w:pPr>
            <w:r>
              <w:rPr>
                <w:rFonts w:ascii="Calibri" w:hAnsi="Calibri" w:cs="Calibri"/>
                <w:b/>
                <w:bCs/>
                <w:color w:val="000000"/>
                <w:sz w:val="22"/>
                <w:szCs w:val="22"/>
              </w:rPr>
              <w:t>Benchmark</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707D4B" w:rsidRPr="00C80EBC" w:rsidRDefault="00707D4B" w:rsidP="006E30B3">
            <w:pPr>
              <w:jc w:val="right"/>
              <w:rPr>
                <w:rFonts w:ascii="Calibri" w:hAnsi="Calibri" w:cs="Calibri"/>
                <w:b/>
                <w:sz w:val="22"/>
                <w:szCs w:val="22"/>
              </w:rPr>
            </w:pPr>
            <w:r w:rsidRPr="00C80EBC">
              <w:rPr>
                <w:rFonts w:ascii="Calibri" w:hAnsi="Calibri" w:cs="Calibri"/>
                <w:b/>
                <w:sz w:val="22"/>
                <w:szCs w:val="22"/>
              </w:rPr>
              <w:t>95%</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707D4B" w:rsidRPr="00C80EBC" w:rsidRDefault="00707D4B" w:rsidP="006E30B3">
            <w:pPr>
              <w:jc w:val="right"/>
              <w:rPr>
                <w:rFonts w:ascii="Calibri" w:hAnsi="Calibri" w:cs="Calibri"/>
                <w:b/>
                <w:sz w:val="22"/>
                <w:szCs w:val="22"/>
              </w:rPr>
            </w:pPr>
            <w:r w:rsidRPr="00C80EBC">
              <w:rPr>
                <w:rFonts w:ascii="Calibri" w:hAnsi="Calibri" w:cs="Calibri"/>
                <w:b/>
                <w:sz w:val="22"/>
                <w:szCs w:val="22"/>
              </w:rPr>
              <w:t>95%</w:t>
            </w:r>
          </w:p>
        </w:tc>
      </w:tr>
      <w:tr w:rsidR="004A71FD"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71FD" w:rsidRDefault="004A71FD" w:rsidP="00707D4B">
            <w:pPr>
              <w:rPr>
                <w:rFonts w:ascii="Calibri" w:hAnsi="Calibri" w:cs="Calibri"/>
                <w:b/>
                <w:bCs/>
                <w:color w:val="000000"/>
                <w:sz w:val="22"/>
                <w:szCs w:val="22"/>
              </w:rPr>
            </w:pPr>
            <w:r>
              <w:rPr>
                <w:rFonts w:ascii="Calibri" w:hAnsi="Calibri" w:cs="Calibri"/>
                <w:b/>
                <w:bCs/>
                <w:color w:val="000000"/>
                <w:sz w:val="22"/>
                <w:szCs w:val="22"/>
              </w:rPr>
              <w:t>2017/18</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4A71FD" w:rsidRPr="00C80EBC" w:rsidRDefault="005863FA" w:rsidP="006E30B3">
            <w:pPr>
              <w:jc w:val="right"/>
              <w:rPr>
                <w:rFonts w:ascii="Calibri" w:hAnsi="Calibri" w:cs="Calibri"/>
                <w:b/>
                <w:sz w:val="22"/>
                <w:szCs w:val="22"/>
              </w:rPr>
            </w:pPr>
            <w:r>
              <w:rPr>
                <w:rFonts w:ascii="Calibri" w:hAnsi="Calibri" w:cs="Calibri"/>
                <w:b/>
                <w:sz w:val="22"/>
                <w:szCs w:val="22"/>
              </w:rPr>
              <w:t>98%</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4A71FD" w:rsidRPr="00C80EBC" w:rsidRDefault="005863FA" w:rsidP="002451D5">
            <w:pPr>
              <w:jc w:val="right"/>
              <w:rPr>
                <w:rFonts w:ascii="Calibri" w:hAnsi="Calibri" w:cs="Calibri"/>
                <w:b/>
                <w:sz w:val="22"/>
                <w:szCs w:val="22"/>
              </w:rPr>
            </w:pPr>
            <w:r>
              <w:rPr>
                <w:rFonts w:ascii="Calibri" w:hAnsi="Calibri" w:cs="Calibri"/>
                <w:b/>
                <w:sz w:val="22"/>
                <w:szCs w:val="22"/>
              </w:rPr>
              <w:t>99%</w:t>
            </w:r>
          </w:p>
        </w:tc>
      </w:tr>
      <w:tr w:rsidR="00736CB7"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36CB7" w:rsidRPr="00236B2E" w:rsidRDefault="00707D4B" w:rsidP="00707D4B">
            <w:pPr>
              <w:rPr>
                <w:rFonts w:ascii="Calibri" w:hAnsi="Calibri" w:cs="Calibri"/>
                <w:b/>
                <w:bCs/>
                <w:color w:val="000000"/>
                <w:sz w:val="22"/>
                <w:szCs w:val="22"/>
              </w:rPr>
            </w:pPr>
            <w:r>
              <w:rPr>
                <w:rFonts w:ascii="Calibri" w:hAnsi="Calibri" w:cs="Calibri"/>
                <w:b/>
                <w:bCs/>
                <w:color w:val="000000"/>
                <w:sz w:val="22"/>
                <w:szCs w:val="22"/>
              </w:rPr>
              <w:t>2016/17</w:t>
            </w:r>
            <w:r w:rsidR="00736CB7" w:rsidRPr="00236B2E">
              <w:rPr>
                <w:rFonts w:ascii="Calibri" w:hAnsi="Calibri" w:cs="Calibri"/>
                <w:b/>
                <w:bCs/>
                <w:color w:val="000000"/>
                <w:sz w:val="22"/>
                <w:szCs w:val="22"/>
              </w:rPr>
              <w:t xml:space="preserve"> </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736CB7" w:rsidRPr="00C80EBC" w:rsidRDefault="00482FAD" w:rsidP="006E30B3">
            <w:pPr>
              <w:jc w:val="right"/>
              <w:rPr>
                <w:rFonts w:ascii="Calibri" w:hAnsi="Calibri" w:cs="Calibri"/>
                <w:b/>
                <w:sz w:val="22"/>
                <w:szCs w:val="22"/>
              </w:rPr>
            </w:pPr>
            <w:r w:rsidRPr="00C80EBC">
              <w:rPr>
                <w:rFonts w:ascii="Calibri" w:hAnsi="Calibri" w:cs="Calibri"/>
                <w:b/>
                <w:sz w:val="22"/>
                <w:szCs w:val="22"/>
              </w:rPr>
              <w:t>98%</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736CB7" w:rsidRPr="00C80EBC" w:rsidRDefault="00482FAD" w:rsidP="006E30B3">
            <w:pPr>
              <w:jc w:val="right"/>
              <w:rPr>
                <w:rFonts w:ascii="Calibri" w:hAnsi="Calibri" w:cs="Calibri"/>
                <w:b/>
                <w:sz w:val="22"/>
                <w:szCs w:val="22"/>
              </w:rPr>
            </w:pPr>
            <w:r w:rsidRPr="00C80EBC">
              <w:rPr>
                <w:rFonts w:ascii="Calibri" w:hAnsi="Calibri" w:cs="Calibri"/>
                <w:b/>
                <w:sz w:val="22"/>
                <w:szCs w:val="22"/>
              </w:rPr>
              <w:t>98%</w:t>
            </w:r>
          </w:p>
        </w:tc>
      </w:tr>
      <w:tr w:rsidR="00736CB7"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36CB7" w:rsidRPr="00236B2E" w:rsidRDefault="00736CB7" w:rsidP="00707D4B">
            <w:pPr>
              <w:rPr>
                <w:rFonts w:ascii="Calibri" w:hAnsi="Calibri" w:cs="Calibri"/>
                <w:b/>
                <w:bCs/>
                <w:color w:val="000000"/>
                <w:sz w:val="22"/>
                <w:szCs w:val="22"/>
              </w:rPr>
            </w:pPr>
            <w:r w:rsidRPr="00236B2E">
              <w:rPr>
                <w:rFonts w:ascii="Calibri" w:hAnsi="Calibri" w:cs="Calibri"/>
                <w:b/>
                <w:bCs/>
                <w:color w:val="000000"/>
                <w:sz w:val="22"/>
                <w:szCs w:val="22"/>
              </w:rPr>
              <w:t xml:space="preserve">2015/16 </w:t>
            </w:r>
          </w:p>
        </w:tc>
        <w:tc>
          <w:tcPr>
            <w:tcW w:w="982" w:type="dxa"/>
            <w:tcBorders>
              <w:top w:val="single" w:sz="8" w:space="0" w:color="auto"/>
              <w:left w:val="nil"/>
              <w:bottom w:val="single" w:sz="8" w:space="0" w:color="auto"/>
              <w:right w:val="single" w:sz="8" w:space="0" w:color="auto"/>
            </w:tcBorders>
            <w:shd w:val="clear" w:color="auto" w:fill="auto"/>
            <w:noWrap/>
            <w:vAlign w:val="center"/>
            <w:hideMark/>
          </w:tcPr>
          <w:p w:rsidR="00736CB7" w:rsidRPr="00C80EBC" w:rsidRDefault="00736CB7" w:rsidP="00655157">
            <w:pPr>
              <w:jc w:val="right"/>
              <w:rPr>
                <w:rFonts w:ascii="Calibri" w:hAnsi="Calibri" w:cs="Calibri"/>
                <w:b/>
                <w:sz w:val="22"/>
                <w:szCs w:val="22"/>
              </w:rPr>
            </w:pPr>
            <w:r w:rsidRPr="00C80EBC">
              <w:rPr>
                <w:rFonts w:ascii="Calibri" w:hAnsi="Calibri" w:cs="Calibri"/>
                <w:b/>
                <w:sz w:val="22"/>
                <w:szCs w:val="22"/>
              </w:rPr>
              <w:t>98%</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736CB7" w:rsidRPr="00C80EBC" w:rsidRDefault="00736CB7" w:rsidP="00655157">
            <w:pPr>
              <w:jc w:val="right"/>
              <w:rPr>
                <w:rFonts w:ascii="Calibri" w:hAnsi="Calibri" w:cs="Calibri"/>
                <w:b/>
                <w:sz w:val="22"/>
                <w:szCs w:val="22"/>
              </w:rPr>
            </w:pPr>
            <w:r w:rsidRPr="00C80EBC">
              <w:rPr>
                <w:rFonts w:ascii="Calibri" w:hAnsi="Calibri" w:cs="Calibri"/>
                <w:b/>
                <w:sz w:val="22"/>
                <w:szCs w:val="22"/>
              </w:rPr>
              <w:t>97%</w:t>
            </w:r>
          </w:p>
        </w:tc>
      </w:tr>
    </w:tbl>
    <w:p w:rsidR="004D4BF4" w:rsidRDefault="004D4BF4" w:rsidP="00DD6897">
      <w:pPr>
        <w:rPr>
          <w:rFonts w:ascii="Arial" w:hAnsi="Arial" w:cs="Arial"/>
          <w:sz w:val="22"/>
          <w:szCs w:val="22"/>
        </w:rPr>
      </w:pPr>
    </w:p>
    <w:p w:rsidR="00535185" w:rsidRDefault="00535185" w:rsidP="0028079F">
      <w:pPr>
        <w:jc w:val="both"/>
        <w:rPr>
          <w:rFonts w:ascii="Arial" w:hAnsi="Arial" w:cs="Arial"/>
          <w:sz w:val="22"/>
          <w:szCs w:val="22"/>
        </w:rPr>
      </w:pPr>
    </w:p>
    <w:p w:rsidR="0028079F" w:rsidRPr="00106232" w:rsidRDefault="0028079F" w:rsidP="0028079F">
      <w:pPr>
        <w:jc w:val="both"/>
        <w:rPr>
          <w:rFonts w:ascii="Arial" w:hAnsi="Arial" w:cs="Arial"/>
          <w:b/>
          <w:sz w:val="22"/>
          <w:szCs w:val="22"/>
        </w:rPr>
      </w:pPr>
      <w:r w:rsidRPr="00106232">
        <w:rPr>
          <w:rFonts w:ascii="Arial" w:hAnsi="Arial" w:cs="Arial"/>
          <w:b/>
          <w:sz w:val="22"/>
          <w:szCs w:val="22"/>
        </w:rPr>
        <w:t>Recommendations</w:t>
      </w:r>
    </w:p>
    <w:p w:rsidR="0028079F" w:rsidRPr="00106232" w:rsidRDefault="0028079F" w:rsidP="00B40EA9">
      <w:pPr>
        <w:jc w:val="both"/>
        <w:rPr>
          <w:rFonts w:ascii="Arial" w:hAnsi="Arial" w:cs="Arial"/>
          <w:b/>
          <w:sz w:val="22"/>
          <w:szCs w:val="22"/>
        </w:rPr>
      </w:pPr>
    </w:p>
    <w:p w:rsidR="00192D07" w:rsidRDefault="00B26329" w:rsidP="00192D07">
      <w:p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The Board </w:t>
      </w:r>
      <w:r w:rsidR="00DF39E7" w:rsidRPr="00106232">
        <w:rPr>
          <w:rFonts w:ascii="Arial" w:hAnsi="Arial" w:cs="Arial"/>
          <w:sz w:val="22"/>
          <w:szCs w:val="22"/>
        </w:rPr>
        <w:t xml:space="preserve">is asked to </w:t>
      </w:r>
      <w:r w:rsidR="004A32AC">
        <w:rPr>
          <w:rFonts w:ascii="Arial" w:hAnsi="Arial" w:cs="Arial"/>
          <w:sz w:val="22"/>
          <w:szCs w:val="22"/>
        </w:rPr>
        <w:t>review and approve</w:t>
      </w:r>
      <w:r w:rsidR="001C4432" w:rsidRPr="00106232">
        <w:rPr>
          <w:rFonts w:ascii="Arial" w:hAnsi="Arial" w:cs="Arial"/>
          <w:sz w:val="22"/>
          <w:szCs w:val="22"/>
        </w:rPr>
        <w:t xml:space="preserve"> </w:t>
      </w:r>
      <w:r w:rsidR="00B40EA9" w:rsidRPr="00106232">
        <w:rPr>
          <w:rFonts w:ascii="Arial" w:hAnsi="Arial" w:cs="Arial"/>
          <w:sz w:val="22"/>
          <w:szCs w:val="22"/>
        </w:rPr>
        <w:t xml:space="preserve">the </w:t>
      </w:r>
      <w:r w:rsidR="004A71FD">
        <w:rPr>
          <w:rFonts w:ascii="Arial" w:hAnsi="Arial" w:cs="Arial"/>
          <w:sz w:val="22"/>
          <w:szCs w:val="22"/>
        </w:rPr>
        <w:t xml:space="preserve">finance report for the </w:t>
      </w:r>
      <w:r w:rsidR="00714134">
        <w:rPr>
          <w:rFonts w:ascii="Arial" w:hAnsi="Arial" w:cs="Arial"/>
          <w:sz w:val="22"/>
          <w:szCs w:val="22"/>
        </w:rPr>
        <w:t>6</w:t>
      </w:r>
      <w:r w:rsidR="004A71FD">
        <w:rPr>
          <w:rFonts w:ascii="Arial" w:hAnsi="Arial" w:cs="Arial"/>
          <w:sz w:val="22"/>
          <w:szCs w:val="22"/>
        </w:rPr>
        <w:t xml:space="preserve"> months </w:t>
      </w:r>
      <w:r w:rsidR="00FD5EB4">
        <w:rPr>
          <w:rFonts w:ascii="Arial" w:hAnsi="Arial" w:cs="Arial"/>
          <w:sz w:val="22"/>
          <w:szCs w:val="22"/>
        </w:rPr>
        <w:t>to</w:t>
      </w:r>
      <w:r w:rsidR="004A71FD">
        <w:rPr>
          <w:rFonts w:ascii="Arial" w:hAnsi="Arial" w:cs="Arial"/>
          <w:sz w:val="22"/>
          <w:szCs w:val="22"/>
        </w:rPr>
        <w:t xml:space="preserve"> 3</w:t>
      </w:r>
      <w:r w:rsidR="00714134">
        <w:rPr>
          <w:rFonts w:ascii="Arial" w:hAnsi="Arial" w:cs="Arial"/>
          <w:sz w:val="22"/>
          <w:szCs w:val="22"/>
        </w:rPr>
        <w:t>0</w:t>
      </w:r>
      <w:r w:rsidR="00062CA4">
        <w:rPr>
          <w:rFonts w:ascii="Arial" w:hAnsi="Arial" w:cs="Arial"/>
          <w:sz w:val="22"/>
          <w:szCs w:val="22"/>
        </w:rPr>
        <w:t xml:space="preserve"> </w:t>
      </w:r>
      <w:r w:rsidR="00714134">
        <w:rPr>
          <w:rFonts w:ascii="Arial" w:hAnsi="Arial" w:cs="Arial"/>
          <w:sz w:val="22"/>
          <w:szCs w:val="22"/>
        </w:rPr>
        <w:t>September</w:t>
      </w:r>
      <w:r w:rsidR="00062CA4">
        <w:rPr>
          <w:rFonts w:ascii="Arial" w:hAnsi="Arial" w:cs="Arial"/>
          <w:sz w:val="22"/>
          <w:szCs w:val="22"/>
        </w:rPr>
        <w:t xml:space="preserve"> </w:t>
      </w:r>
      <w:r w:rsidR="004A71FD">
        <w:rPr>
          <w:rFonts w:ascii="Arial" w:hAnsi="Arial" w:cs="Arial"/>
          <w:sz w:val="22"/>
          <w:szCs w:val="22"/>
        </w:rPr>
        <w:t>2017</w:t>
      </w:r>
      <w:r w:rsidR="008D0C4A">
        <w:rPr>
          <w:rFonts w:ascii="Arial" w:hAnsi="Arial" w:cs="Arial"/>
          <w:sz w:val="22"/>
          <w:szCs w:val="22"/>
        </w:rPr>
        <w:t>.</w:t>
      </w:r>
      <w:r w:rsidR="00FD5EB4">
        <w:rPr>
          <w:rFonts w:ascii="Arial" w:hAnsi="Arial" w:cs="Arial"/>
          <w:sz w:val="22"/>
          <w:szCs w:val="22"/>
        </w:rPr>
        <w:t xml:space="preserve"> </w:t>
      </w:r>
    </w:p>
    <w:p w:rsidR="00CC740F" w:rsidRDefault="00CC740F" w:rsidP="00B40EA9">
      <w:pPr>
        <w:spacing w:line="276" w:lineRule="auto"/>
        <w:rPr>
          <w:rFonts w:ascii="Arial" w:hAnsi="Arial" w:cs="Arial"/>
          <w:b/>
          <w:sz w:val="22"/>
          <w:szCs w:val="22"/>
        </w:rPr>
      </w:pPr>
    </w:p>
    <w:p w:rsidR="006D1A57" w:rsidRDefault="006D1A57" w:rsidP="00B40EA9">
      <w:pPr>
        <w:spacing w:line="276" w:lineRule="auto"/>
        <w:rPr>
          <w:rFonts w:ascii="Arial" w:hAnsi="Arial" w:cs="Arial"/>
          <w:b/>
          <w:sz w:val="22"/>
          <w:szCs w:val="22"/>
        </w:rPr>
      </w:pPr>
    </w:p>
    <w:p w:rsidR="006D1A57" w:rsidRDefault="006D1A57" w:rsidP="00B40EA9">
      <w:pPr>
        <w:spacing w:line="276" w:lineRule="auto"/>
        <w:rPr>
          <w:rFonts w:ascii="Arial" w:hAnsi="Arial" w:cs="Arial"/>
          <w:b/>
          <w:sz w:val="22"/>
          <w:szCs w:val="22"/>
        </w:rPr>
      </w:pPr>
    </w:p>
    <w:p w:rsidR="00B40EA9" w:rsidRPr="00B40EA9" w:rsidRDefault="00192D07" w:rsidP="00B40EA9">
      <w:pPr>
        <w:spacing w:line="276" w:lineRule="auto"/>
        <w:rPr>
          <w:rFonts w:ascii="Arial" w:hAnsi="Arial" w:cs="Arial"/>
          <w:b/>
          <w:sz w:val="22"/>
          <w:szCs w:val="22"/>
        </w:rPr>
      </w:pPr>
      <w:r>
        <w:rPr>
          <w:rFonts w:ascii="Arial" w:hAnsi="Arial" w:cs="Arial"/>
          <w:b/>
          <w:sz w:val="22"/>
          <w:szCs w:val="22"/>
        </w:rPr>
        <w:t>Karen Williams</w:t>
      </w:r>
    </w:p>
    <w:p w:rsidR="00296174" w:rsidRDefault="0004137A" w:rsidP="00B34A94">
      <w:pPr>
        <w:spacing w:line="276" w:lineRule="auto"/>
        <w:rPr>
          <w:rFonts w:ascii="Arial" w:hAnsi="Arial" w:cs="Arial"/>
          <w:b/>
          <w:sz w:val="22"/>
          <w:szCs w:val="22"/>
        </w:rPr>
      </w:pPr>
      <w:r>
        <w:rPr>
          <w:rFonts w:ascii="Arial" w:hAnsi="Arial" w:cs="Arial"/>
          <w:b/>
          <w:sz w:val="22"/>
          <w:szCs w:val="22"/>
        </w:rPr>
        <w:t xml:space="preserve">Director of </w:t>
      </w:r>
      <w:r w:rsidR="00B40EA9" w:rsidRPr="00B40EA9">
        <w:rPr>
          <w:rFonts w:ascii="Arial" w:hAnsi="Arial" w:cs="Arial"/>
          <w:b/>
          <w:sz w:val="22"/>
          <w:szCs w:val="22"/>
        </w:rPr>
        <w:t>Finance</w:t>
      </w:r>
    </w:p>
    <w:p w:rsidR="004D48AE" w:rsidRDefault="00FF17E1" w:rsidP="00B34A94">
      <w:pPr>
        <w:spacing w:line="276" w:lineRule="auto"/>
        <w:rPr>
          <w:rFonts w:ascii="Arial" w:hAnsi="Arial" w:cs="Arial"/>
          <w:b/>
          <w:sz w:val="22"/>
          <w:szCs w:val="22"/>
        </w:rPr>
        <w:sectPr w:rsidR="004D48AE" w:rsidSect="006A228D">
          <w:headerReference w:type="default" r:id="rId10"/>
          <w:footerReference w:type="default" r:id="rId11"/>
          <w:pgSz w:w="11906" w:h="16838"/>
          <w:pgMar w:top="706" w:right="990" w:bottom="720" w:left="900" w:header="706" w:footer="706" w:gutter="0"/>
          <w:cols w:space="708"/>
          <w:docGrid w:linePitch="360"/>
        </w:sectPr>
      </w:pPr>
      <w:r>
        <w:rPr>
          <w:rFonts w:ascii="Arial" w:hAnsi="Arial" w:cs="Arial"/>
          <w:b/>
          <w:sz w:val="22"/>
          <w:szCs w:val="22"/>
        </w:rPr>
        <w:t>1</w:t>
      </w:r>
      <w:r w:rsidR="001D4C61">
        <w:rPr>
          <w:rFonts w:ascii="Arial" w:hAnsi="Arial" w:cs="Arial"/>
          <w:b/>
          <w:sz w:val="22"/>
          <w:szCs w:val="22"/>
        </w:rPr>
        <w:t>8</w:t>
      </w:r>
      <w:bookmarkStart w:id="0" w:name="_GoBack"/>
      <w:bookmarkEnd w:id="0"/>
      <w:r w:rsidR="005D0B92">
        <w:rPr>
          <w:rFonts w:ascii="Arial" w:hAnsi="Arial" w:cs="Arial"/>
          <w:b/>
          <w:sz w:val="22"/>
          <w:szCs w:val="22"/>
        </w:rPr>
        <w:t xml:space="preserve"> </w:t>
      </w:r>
      <w:r w:rsidR="00714134">
        <w:rPr>
          <w:rFonts w:ascii="Arial" w:hAnsi="Arial" w:cs="Arial"/>
          <w:b/>
          <w:sz w:val="22"/>
          <w:szCs w:val="22"/>
        </w:rPr>
        <w:t>Octo</w:t>
      </w:r>
      <w:r w:rsidR="00296174">
        <w:rPr>
          <w:rFonts w:ascii="Arial" w:hAnsi="Arial" w:cs="Arial"/>
          <w:b/>
          <w:sz w:val="22"/>
          <w:szCs w:val="22"/>
        </w:rPr>
        <w:t>ber</w:t>
      </w:r>
      <w:r w:rsidR="00791F63">
        <w:rPr>
          <w:rFonts w:ascii="Arial" w:hAnsi="Arial" w:cs="Arial"/>
          <w:b/>
          <w:sz w:val="22"/>
          <w:szCs w:val="22"/>
        </w:rPr>
        <w:t xml:space="preserve"> 2017</w:t>
      </w:r>
    </w:p>
    <w:p w:rsidR="006D1A57" w:rsidRDefault="005863FA" w:rsidP="005863FA">
      <w:pPr>
        <w:spacing w:line="276" w:lineRule="auto"/>
        <w:rPr>
          <w:rFonts w:ascii="Arial" w:hAnsi="Arial" w:cs="Arial"/>
          <w:b/>
          <w:sz w:val="22"/>
          <w:szCs w:val="22"/>
        </w:rPr>
      </w:pPr>
      <w:r>
        <w:rPr>
          <w:rFonts w:ascii="Arial" w:hAnsi="Arial" w:cs="Arial"/>
          <w:b/>
          <w:sz w:val="22"/>
          <w:szCs w:val="22"/>
        </w:rPr>
        <w:lastRenderedPageBreak/>
        <w:t>Balance Sheet as at 30 September 2017</w:t>
      </w:r>
    </w:p>
    <w:p w:rsidR="005863FA" w:rsidRDefault="005863FA" w:rsidP="005863FA">
      <w:pPr>
        <w:spacing w:line="276" w:lineRule="auto"/>
        <w:rPr>
          <w:rFonts w:ascii="Arial" w:hAnsi="Arial" w:cs="Arial"/>
          <w:b/>
          <w:sz w:val="22"/>
          <w:szCs w:val="22"/>
        </w:rPr>
      </w:pPr>
    </w:p>
    <w:tbl>
      <w:tblPr>
        <w:tblW w:w="6160" w:type="dxa"/>
        <w:tblInd w:w="93" w:type="dxa"/>
        <w:tblLook w:val="04A0" w:firstRow="1" w:lastRow="0" w:firstColumn="1" w:lastColumn="0" w:noHBand="0" w:noVBand="1"/>
      </w:tblPr>
      <w:tblGrid>
        <w:gridCol w:w="2640"/>
        <w:gridCol w:w="3520"/>
      </w:tblGrid>
      <w:tr w:rsidR="005863FA" w:rsidRPr="005863FA" w:rsidTr="005863FA">
        <w:trPr>
          <w:trHeight w:val="300"/>
        </w:trPr>
        <w:tc>
          <w:tcPr>
            <w:tcW w:w="2640" w:type="dxa"/>
            <w:tcBorders>
              <w:top w:val="single" w:sz="4" w:space="0" w:color="959595"/>
              <w:left w:val="single" w:sz="4" w:space="0" w:color="959595"/>
              <w:bottom w:val="nil"/>
              <w:right w:val="nil"/>
            </w:tcBorders>
            <w:shd w:val="clear" w:color="000000" w:fill="D5D9E2"/>
            <w:hideMark/>
          </w:tcPr>
          <w:p w:rsidR="005863FA" w:rsidRPr="005863FA" w:rsidRDefault="005863FA" w:rsidP="005863FA">
            <w:pPr>
              <w:rPr>
                <w:rFonts w:ascii="Calibri" w:hAnsi="Calibri"/>
                <w:color w:val="000000"/>
                <w:sz w:val="22"/>
                <w:szCs w:val="22"/>
              </w:rPr>
            </w:pPr>
            <w:r w:rsidRPr="005863FA">
              <w:rPr>
                <w:rFonts w:ascii="Calibri" w:hAnsi="Calibri"/>
                <w:color w:val="000000"/>
                <w:sz w:val="22"/>
                <w:szCs w:val="22"/>
              </w:rPr>
              <w:t> </w:t>
            </w:r>
          </w:p>
        </w:tc>
        <w:tc>
          <w:tcPr>
            <w:tcW w:w="3520" w:type="dxa"/>
            <w:tcBorders>
              <w:top w:val="single" w:sz="4" w:space="0" w:color="959595"/>
              <w:left w:val="single" w:sz="4" w:space="0" w:color="959595"/>
              <w:bottom w:val="nil"/>
              <w:right w:val="single" w:sz="4" w:space="0" w:color="959595"/>
            </w:tcBorders>
            <w:shd w:val="clear" w:color="000000" w:fill="E7E7F7"/>
            <w:hideMark/>
          </w:tcPr>
          <w:p w:rsidR="005863FA" w:rsidRPr="005863FA" w:rsidRDefault="005863FA" w:rsidP="005863FA">
            <w:pPr>
              <w:jc w:val="center"/>
              <w:rPr>
                <w:rFonts w:ascii="Calibri" w:hAnsi="Calibri"/>
                <w:color w:val="000000"/>
                <w:sz w:val="16"/>
                <w:szCs w:val="16"/>
              </w:rPr>
            </w:pPr>
            <w:r w:rsidRPr="005863FA">
              <w:rPr>
                <w:rFonts w:ascii="Calibri" w:hAnsi="Calibri"/>
                <w:color w:val="000000"/>
                <w:sz w:val="16"/>
                <w:szCs w:val="16"/>
              </w:rPr>
              <w:t>SEP-17</w:t>
            </w:r>
          </w:p>
        </w:tc>
      </w:tr>
      <w:tr w:rsidR="005863FA" w:rsidRPr="005863FA" w:rsidTr="005863FA">
        <w:trPr>
          <w:trHeight w:val="300"/>
        </w:trPr>
        <w:tc>
          <w:tcPr>
            <w:tcW w:w="2640" w:type="dxa"/>
            <w:tcBorders>
              <w:top w:val="single" w:sz="4" w:space="0" w:color="959595"/>
              <w:left w:val="single" w:sz="4" w:space="0" w:color="959595"/>
              <w:bottom w:val="nil"/>
              <w:right w:val="nil"/>
            </w:tcBorders>
            <w:shd w:val="clear" w:color="000000" w:fill="F9F9F9"/>
            <w:hideMark/>
          </w:tcPr>
          <w:p w:rsidR="005863FA" w:rsidRPr="005863FA" w:rsidRDefault="005863FA" w:rsidP="005863FA">
            <w:pPr>
              <w:rPr>
                <w:rFonts w:ascii="Calibri" w:hAnsi="Calibri"/>
                <w:color w:val="000000"/>
                <w:sz w:val="16"/>
                <w:szCs w:val="16"/>
              </w:rPr>
            </w:pPr>
            <w:r w:rsidRPr="005863FA">
              <w:rPr>
                <w:rFonts w:ascii="Calibri" w:hAnsi="Calibri"/>
                <w:color w:val="000000"/>
                <w:sz w:val="16"/>
                <w:szCs w:val="16"/>
              </w:rPr>
              <w:t>PPE</w:t>
            </w:r>
          </w:p>
        </w:tc>
        <w:tc>
          <w:tcPr>
            <w:tcW w:w="3520" w:type="dxa"/>
            <w:tcBorders>
              <w:top w:val="single" w:sz="4" w:space="0" w:color="959595"/>
              <w:left w:val="single" w:sz="4" w:space="0" w:color="959595"/>
              <w:bottom w:val="nil"/>
              <w:right w:val="single" w:sz="4" w:space="0" w:color="959595"/>
            </w:tcBorders>
            <w:shd w:val="clear" w:color="auto" w:fill="auto"/>
            <w:hideMark/>
          </w:tcPr>
          <w:p w:rsidR="005863FA" w:rsidRPr="005863FA" w:rsidRDefault="005863FA" w:rsidP="005863FA">
            <w:pPr>
              <w:jc w:val="right"/>
              <w:rPr>
                <w:rFonts w:ascii="Calibri" w:hAnsi="Calibri"/>
                <w:color w:val="000000"/>
                <w:sz w:val="16"/>
                <w:szCs w:val="16"/>
              </w:rPr>
            </w:pPr>
            <w:r w:rsidRPr="005863FA">
              <w:rPr>
                <w:rFonts w:ascii="Calibri" w:hAnsi="Calibri"/>
                <w:color w:val="000000"/>
                <w:sz w:val="16"/>
                <w:szCs w:val="16"/>
              </w:rPr>
              <w:t xml:space="preserve">257,045 </w:t>
            </w:r>
          </w:p>
        </w:tc>
      </w:tr>
      <w:tr w:rsidR="005863FA" w:rsidRPr="005863FA" w:rsidTr="005863FA">
        <w:trPr>
          <w:trHeight w:val="300"/>
        </w:trPr>
        <w:tc>
          <w:tcPr>
            <w:tcW w:w="2640" w:type="dxa"/>
            <w:tcBorders>
              <w:top w:val="single" w:sz="4" w:space="0" w:color="959595"/>
              <w:left w:val="single" w:sz="4" w:space="0" w:color="959595"/>
              <w:bottom w:val="nil"/>
              <w:right w:val="nil"/>
            </w:tcBorders>
            <w:shd w:val="clear" w:color="000000" w:fill="F9F9F9"/>
            <w:hideMark/>
          </w:tcPr>
          <w:p w:rsidR="005863FA" w:rsidRPr="005863FA" w:rsidRDefault="005863FA" w:rsidP="005863FA">
            <w:pPr>
              <w:rPr>
                <w:rFonts w:ascii="Calibri" w:hAnsi="Calibri"/>
                <w:color w:val="000000"/>
                <w:sz w:val="16"/>
                <w:szCs w:val="16"/>
              </w:rPr>
            </w:pPr>
            <w:r w:rsidRPr="005863FA">
              <w:rPr>
                <w:rFonts w:ascii="Calibri" w:hAnsi="Calibri"/>
                <w:color w:val="000000"/>
                <w:sz w:val="16"/>
                <w:szCs w:val="16"/>
              </w:rPr>
              <w:t>Accumulated Depreciation</w:t>
            </w:r>
          </w:p>
        </w:tc>
        <w:tc>
          <w:tcPr>
            <w:tcW w:w="3520" w:type="dxa"/>
            <w:tcBorders>
              <w:top w:val="single" w:sz="4" w:space="0" w:color="959595"/>
              <w:left w:val="single" w:sz="4" w:space="0" w:color="959595"/>
              <w:bottom w:val="nil"/>
              <w:right w:val="single" w:sz="4" w:space="0" w:color="959595"/>
            </w:tcBorders>
            <w:shd w:val="clear" w:color="auto" w:fill="auto"/>
            <w:hideMark/>
          </w:tcPr>
          <w:p w:rsidR="005863FA" w:rsidRPr="005863FA" w:rsidRDefault="005863FA" w:rsidP="005863FA">
            <w:pPr>
              <w:jc w:val="right"/>
              <w:rPr>
                <w:rFonts w:ascii="Calibri" w:hAnsi="Calibri"/>
                <w:color w:val="000000"/>
                <w:sz w:val="16"/>
                <w:szCs w:val="16"/>
              </w:rPr>
            </w:pPr>
            <w:r w:rsidRPr="005863FA">
              <w:rPr>
                <w:rFonts w:ascii="Calibri" w:hAnsi="Calibri"/>
                <w:color w:val="000000"/>
                <w:sz w:val="16"/>
                <w:szCs w:val="16"/>
              </w:rPr>
              <w:t xml:space="preserve">52,531 </w:t>
            </w:r>
          </w:p>
        </w:tc>
      </w:tr>
      <w:tr w:rsidR="005863FA" w:rsidRPr="005863FA" w:rsidTr="005863FA">
        <w:trPr>
          <w:trHeight w:val="300"/>
        </w:trPr>
        <w:tc>
          <w:tcPr>
            <w:tcW w:w="2640" w:type="dxa"/>
            <w:tcBorders>
              <w:top w:val="single" w:sz="4" w:space="0" w:color="959595"/>
              <w:left w:val="single" w:sz="4" w:space="0" w:color="959595"/>
              <w:bottom w:val="nil"/>
              <w:right w:val="nil"/>
            </w:tcBorders>
            <w:shd w:val="clear" w:color="000000" w:fill="DDEEFF"/>
            <w:hideMark/>
          </w:tcPr>
          <w:p w:rsidR="005863FA" w:rsidRPr="005863FA" w:rsidRDefault="005863FA" w:rsidP="005863FA">
            <w:pPr>
              <w:rPr>
                <w:rFonts w:ascii="Calibri" w:hAnsi="Calibri"/>
                <w:b/>
                <w:bCs/>
                <w:color w:val="000000"/>
                <w:sz w:val="16"/>
                <w:szCs w:val="16"/>
              </w:rPr>
            </w:pPr>
            <w:r w:rsidRPr="005863FA">
              <w:rPr>
                <w:rFonts w:ascii="Calibri" w:hAnsi="Calibri"/>
                <w:b/>
                <w:bCs/>
                <w:color w:val="000000"/>
                <w:sz w:val="16"/>
                <w:szCs w:val="16"/>
              </w:rPr>
              <w:t>Net PPE</w:t>
            </w:r>
          </w:p>
        </w:tc>
        <w:tc>
          <w:tcPr>
            <w:tcW w:w="3520" w:type="dxa"/>
            <w:tcBorders>
              <w:top w:val="single" w:sz="4" w:space="0" w:color="959595"/>
              <w:left w:val="single" w:sz="4" w:space="0" w:color="959595"/>
              <w:bottom w:val="nil"/>
              <w:right w:val="single" w:sz="4" w:space="0" w:color="959595"/>
            </w:tcBorders>
            <w:shd w:val="clear" w:color="000000" w:fill="DDEEFF"/>
            <w:hideMark/>
          </w:tcPr>
          <w:p w:rsidR="005863FA" w:rsidRPr="005863FA" w:rsidRDefault="005863FA" w:rsidP="005863FA">
            <w:pPr>
              <w:jc w:val="right"/>
              <w:rPr>
                <w:rFonts w:ascii="Calibri" w:hAnsi="Calibri"/>
                <w:b/>
                <w:bCs/>
                <w:color w:val="000000"/>
                <w:sz w:val="16"/>
                <w:szCs w:val="16"/>
              </w:rPr>
            </w:pPr>
            <w:r w:rsidRPr="005863FA">
              <w:rPr>
                <w:rFonts w:ascii="Calibri" w:hAnsi="Calibri"/>
                <w:b/>
                <w:bCs/>
                <w:color w:val="000000"/>
                <w:sz w:val="16"/>
                <w:szCs w:val="16"/>
              </w:rPr>
              <w:t xml:space="preserve">204,514 </w:t>
            </w:r>
          </w:p>
        </w:tc>
      </w:tr>
      <w:tr w:rsidR="005863FA" w:rsidRPr="005863FA" w:rsidTr="005863FA">
        <w:trPr>
          <w:trHeight w:val="300"/>
        </w:trPr>
        <w:tc>
          <w:tcPr>
            <w:tcW w:w="2640" w:type="dxa"/>
            <w:tcBorders>
              <w:top w:val="single" w:sz="4" w:space="0" w:color="959595"/>
              <w:left w:val="single" w:sz="4" w:space="0" w:color="959595"/>
              <w:bottom w:val="nil"/>
              <w:right w:val="nil"/>
            </w:tcBorders>
            <w:shd w:val="clear" w:color="000000" w:fill="F9F9F9"/>
            <w:hideMark/>
          </w:tcPr>
          <w:p w:rsidR="005863FA" w:rsidRPr="005863FA" w:rsidRDefault="005863FA" w:rsidP="005863FA">
            <w:pPr>
              <w:rPr>
                <w:rFonts w:ascii="Calibri" w:hAnsi="Calibri"/>
                <w:color w:val="000000"/>
                <w:sz w:val="16"/>
                <w:szCs w:val="16"/>
              </w:rPr>
            </w:pPr>
            <w:r w:rsidRPr="005863FA">
              <w:rPr>
                <w:rFonts w:ascii="Calibri" w:hAnsi="Calibri"/>
                <w:color w:val="000000"/>
                <w:sz w:val="16"/>
                <w:szCs w:val="16"/>
              </w:rPr>
              <w:t>Intangible Assets</w:t>
            </w:r>
          </w:p>
        </w:tc>
        <w:tc>
          <w:tcPr>
            <w:tcW w:w="3520" w:type="dxa"/>
            <w:tcBorders>
              <w:top w:val="single" w:sz="4" w:space="0" w:color="959595"/>
              <w:left w:val="single" w:sz="4" w:space="0" w:color="959595"/>
              <w:bottom w:val="nil"/>
              <w:right w:val="single" w:sz="4" w:space="0" w:color="959595"/>
            </w:tcBorders>
            <w:shd w:val="clear" w:color="auto" w:fill="auto"/>
            <w:hideMark/>
          </w:tcPr>
          <w:p w:rsidR="005863FA" w:rsidRPr="005863FA" w:rsidRDefault="005863FA" w:rsidP="005863FA">
            <w:pPr>
              <w:jc w:val="right"/>
              <w:rPr>
                <w:rFonts w:ascii="Calibri" w:hAnsi="Calibri"/>
                <w:color w:val="000000"/>
                <w:sz w:val="16"/>
                <w:szCs w:val="16"/>
              </w:rPr>
            </w:pPr>
            <w:r w:rsidRPr="005863FA">
              <w:rPr>
                <w:rFonts w:ascii="Calibri" w:hAnsi="Calibri"/>
                <w:color w:val="000000"/>
                <w:sz w:val="16"/>
                <w:szCs w:val="16"/>
              </w:rPr>
              <w:t xml:space="preserve">3,794,242 </w:t>
            </w:r>
          </w:p>
        </w:tc>
      </w:tr>
      <w:tr w:rsidR="005863FA" w:rsidRPr="005863FA" w:rsidTr="005863FA">
        <w:trPr>
          <w:trHeight w:val="300"/>
        </w:trPr>
        <w:tc>
          <w:tcPr>
            <w:tcW w:w="2640" w:type="dxa"/>
            <w:tcBorders>
              <w:top w:val="single" w:sz="4" w:space="0" w:color="959595"/>
              <w:left w:val="single" w:sz="4" w:space="0" w:color="959595"/>
              <w:bottom w:val="nil"/>
              <w:right w:val="nil"/>
            </w:tcBorders>
            <w:shd w:val="clear" w:color="000000" w:fill="F9F9F9"/>
            <w:hideMark/>
          </w:tcPr>
          <w:p w:rsidR="005863FA" w:rsidRPr="005863FA" w:rsidRDefault="005863FA" w:rsidP="005863FA">
            <w:pPr>
              <w:rPr>
                <w:rFonts w:ascii="Calibri" w:hAnsi="Calibri"/>
                <w:color w:val="000000"/>
                <w:sz w:val="16"/>
                <w:szCs w:val="16"/>
              </w:rPr>
            </w:pPr>
            <w:r w:rsidRPr="005863FA">
              <w:rPr>
                <w:rFonts w:ascii="Calibri" w:hAnsi="Calibri"/>
                <w:color w:val="000000"/>
                <w:sz w:val="16"/>
                <w:szCs w:val="16"/>
              </w:rPr>
              <w:t>Intangible Assets Depreciation</w:t>
            </w:r>
          </w:p>
        </w:tc>
        <w:tc>
          <w:tcPr>
            <w:tcW w:w="3520" w:type="dxa"/>
            <w:tcBorders>
              <w:top w:val="single" w:sz="4" w:space="0" w:color="959595"/>
              <w:left w:val="single" w:sz="4" w:space="0" w:color="959595"/>
              <w:bottom w:val="nil"/>
              <w:right w:val="single" w:sz="4" w:space="0" w:color="959595"/>
            </w:tcBorders>
            <w:shd w:val="clear" w:color="auto" w:fill="auto"/>
            <w:hideMark/>
          </w:tcPr>
          <w:p w:rsidR="005863FA" w:rsidRPr="005863FA" w:rsidRDefault="005863FA" w:rsidP="005863FA">
            <w:pPr>
              <w:jc w:val="right"/>
              <w:rPr>
                <w:rFonts w:ascii="Calibri" w:hAnsi="Calibri"/>
                <w:color w:val="000000"/>
                <w:sz w:val="16"/>
                <w:szCs w:val="16"/>
              </w:rPr>
            </w:pPr>
            <w:r w:rsidRPr="005863FA">
              <w:rPr>
                <w:rFonts w:ascii="Calibri" w:hAnsi="Calibri"/>
                <w:color w:val="000000"/>
                <w:sz w:val="16"/>
                <w:szCs w:val="16"/>
              </w:rPr>
              <w:t xml:space="preserve">1,995,940 </w:t>
            </w:r>
          </w:p>
        </w:tc>
      </w:tr>
      <w:tr w:rsidR="005863FA" w:rsidRPr="005863FA" w:rsidTr="005863FA">
        <w:trPr>
          <w:trHeight w:val="300"/>
        </w:trPr>
        <w:tc>
          <w:tcPr>
            <w:tcW w:w="2640" w:type="dxa"/>
            <w:tcBorders>
              <w:top w:val="single" w:sz="4" w:space="0" w:color="959595"/>
              <w:left w:val="single" w:sz="4" w:space="0" w:color="959595"/>
              <w:bottom w:val="nil"/>
              <w:right w:val="nil"/>
            </w:tcBorders>
            <w:shd w:val="clear" w:color="000000" w:fill="DDEEFF"/>
            <w:hideMark/>
          </w:tcPr>
          <w:p w:rsidR="005863FA" w:rsidRPr="005863FA" w:rsidRDefault="005863FA" w:rsidP="005863FA">
            <w:pPr>
              <w:rPr>
                <w:rFonts w:ascii="Calibri" w:hAnsi="Calibri"/>
                <w:b/>
                <w:bCs/>
                <w:color w:val="000000"/>
                <w:sz w:val="16"/>
                <w:szCs w:val="16"/>
              </w:rPr>
            </w:pPr>
            <w:r w:rsidRPr="005863FA">
              <w:rPr>
                <w:rFonts w:ascii="Calibri" w:hAnsi="Calibri"/>
                <w:b/>
                <w:bCs/>
                <w:color w:val="000000"/>
                <w:sz w:val="16"/>
                <w:szCs w:val="16"/>
              </w:rPr>
              <w:t>Net Intangible Assets</w:t>
            </w:r>
          </w:p>
        </w:tc>
        <w:tc>
          <w:tcPr>
            <w:tcW w:w="3520" w:type="dxa"/>
            <w:tcBorders>
              <w:top w:val="single" w:sz="4" w:space="0" w:color="959595"/>
              <w:left w:val="single" w:sz="4" w:space="0" w:color="959595"/>
              <w:bottom w:val="nil"/>
              <w:right w:val="single" w:sz="4" w:space="0" w:color="959595"/>
            </w:tcBorders>
            <w:shd w:val="clear" w:color="000000" w:fill="DDEEFF"/>
            <w:hideMark/>
          </w:tcPr>
          <w:p w:rsidR="005863FA" w:rsidRPr="005863FA" w:rsidRDefault="005863FA" w:rsidP="005863FA">
            <w:pPr>
              <w:jc w:val="right"/>
              <w:rPr>
                <w:rFonts w:ascii="Calibri" w:hAnsi="Calibri"/>
                <w:b/>
                <w:bCs/>
                <w:color w:val="000000"/>
                <w:sz w:val="16"/>
                <w:szCs w:val="16"/>
              </w:rPr>
            </w:pPr>
            <w:r w:rsidRPr="005863FA">
              <w:rPr>
                <w:rFonts w:ascii="Calibri" w:hAnsi="Calibri"/>
                <w:b/>
                <w:bCs/>
                <w:color w:val="000000"/>
                <w:sz w:val="16"/>
                <w:szCs w:val="16"/>
              </w:rPr>
              <w:t xml:space="preserve">1,798,302 </w:t>
            </w:r>
          </w:p>
        </w:tc>
      </w:tr>
      <w:tr w:rsidR="005863FA" w:rsidRPr="005863FA" w:rsidTr="005863FA">
        <w:trPr>
          <w:trHeight w:val="300"/>
        </w:trPr>
        <w:tc>
          <w:tcPr>
            <w:tcW w:w="2640" w:type="dxa"/>
            <w:tcBorders>
              <w:top w:val="single" w:sz="4" w:space="0" w:color="959595"/>
              <w:left w:val="single" w:sz="4" w:space="0" w:color="959595"/>
              <w:bottom w:val="nil"/>
              <w:right w:val="nil"/>
            </w:tcBorders>
            <w:shd w:val="clear" w:color="000000" w:fill="F9F9F9"/>
            <w:hideMark/>
          </w:tcPr>
          <w:p w:rsidR="005863FA" w:rsidRPr="005863FA" w:rsidRDefault="005863FA" w:rsidP="005863FA">
            <w:pPr>
              <w:rPr>
                <w:rFonts w:ascii="Calibri" w:hAnsi="Calibri"/>
                <w:color w:val="000000"/>
                <w:sz w:val="16"/>
                <w:szCs w:val="16"/>
              </w:rPr>
            </w:pPr>
            <w:r w:rsidRPr="005863FA">
              <w:rPr>
                <w:rFonts w:ascii="Calibri" w:hAnsi="Calibri"/>
                <w:color w:val="000000"/>
                <w:sz w:val="16"/>
                <w:szCs w:val="16"/>
              </w:rPr>
              <w:t>Investment Property</w:t>
            </w:r>
          </w:p>
        </w:tc>
        <w:tc>
          <w:tcPr>
            <w:tcW w:w="3520" w:type="dxa"/>
            <w:tcBorders>
              <w:top w:val="single" w:sz="4" w:space="0" w:color="959595"/>
              <w:left w:val="single" w:sz="4" w:space="0" w:color="959595"/>
              <w:bottom w:val="nil"/>
              <w:right w:val="single" w:sz="4" w:space="0" w:color="959595"/>
            </w:tcBorders>
            <w:shd w:val="clear" w:color="auto" w:fill="auto"/>
            <w:hideMark/>
          </w:tcPr>
          <w:p w:rsidR="005863FA" w:rsidRPr="005863FA" w:rsidRDefault="005863FA" w:rsidP="005863FA">
            <w:pPr>
              <w:jc w:val="right"/>
              <w:rPr>
                <w:rFonts w:ascii="Calibri" w:hAnsi="Calibri"/>
                <w:color w:val="000000"/>
                <w:sz w:val="16"/>
                <w:szCs w:val="16"/>
              </w:rPr>
            </w:pPr>
            <w:r w:rsidRPr="005863FA">
              <w:rPr>
                <w:rFonts w:ascii="Calibri" w:hAnsi="Calibri"/>
                <w:color w:val="000000"/>
                <w:sz w:val="16"/>
                <w:szCs w:val="16"/>
              </w:rPr>
              <w:t xml:space="preserve">0 </w:t>
            </w:r>
          </w:p>
        </w:tc>
      </w:tr>
      <w:tr w:rsidR="005863FA" w:rsidRPr="005863FA" w:rsidTr="005863FA">
        <w:trPr>
          <w:trHeight w:val="300"/>
        </w:trPr>
        <w:tc>
          <w:tcPr>
            <w:tcW w:w="2640" w:type="dxa"/>
            <w:tcBorders>
              <w:top w:val="single" w:sz="4" w:space="0" w:color="959595"/>
              <w:left w:val="single" w:sz="4" w:space="0" w:color="959595"/>
              <w:bottom w:val="nil"/>
              <w:right w:val="nil"/>
            </w:tcBorders>
            <w:shd w:val="clear" w:color="000000" w:fill="F9F9F9"/>
            <w:hideMark/>
          </w:tcPr>
          <w:p w:rsidR="005863FA" w:rsidRPr="005863FA" w:rsidRDefault="005863FA" w:rsidP="005863FA">
            <w:pPr>
              <w:rPr>
                <w:rFonts w:ascii="Calibri" w:hAnsi="Calibri"/>
                <w:color w:val="000000"/>
                <w:sz w:val="16"/>
                <w:szCs w:val="16"/>
              </w:rPr>
            </w:pPr>
            <w:r w:rsidRPr="005863FA">
              <w:rPr>
                <w:rFonts w:ascii="Calibri" w:hAnsi="Calibri"/>
                <w:color w:val="000000"/>
                <w:sz w:val="16"/>
                <w:szCs w:val="16"/>
              </w:rPr>
              <w:t>Non-Current Financial Assets</w:t>
            </w:r>
          </w:p>
        </w:tc>
        <w:tc>
          <w:tcPr>
            <w:tcW w:w="3520" w:type="dxa"/>
            <w:tcBorders>
              <w:top w:val="single" w:sz="4" w:space="0" w:color="959595"/>
              <w:left w:val="single" w:sz="4" w:space="0" w:color="959595"/>
              <w:bottom w:val="nil"/>
              <w:right w:val="single" w:sz="4" w:space="0" w:color="959595"/>
            </w:tcBorders>
            <w:shd w:val="clear" w:color="auto" w:fill="auto"/>
            <w:hideMark/>
          </w:tcPr>
          <w:p w:rsidR="005863FA" w:rsidRPr="005863FA" w:rsidRDefault="005863FA" w:rsidP="005863FA">
            <w:pPr>
              <w:jc w:val="right"/>
              <w:rPr>
                <w:rFonts w:ascii="Calibri" w:hAnsi="Calibri"/>
                <w:color w:val="000000"/>
                <w:sz w:val="16"/>
                <w:szCs w:val="16"/>
              </w:rPr>
            </w:pPr>
            <w:r w:rsidRPr="005863FA">
              <w:rPr>
                <w:rFonts w:ascii="Calibri" w:hAnsi="Calibri"/>
                <w:color w:val="000000"/>
                <w:sz w:val="16"/>
                <w:szCs w:val="16"/>
              </w:rPr>
              <w:t xml:space="preserve">0 </w:t>
            </w:r>
          </w:p>
        </w:tc>
      </w:tr>
      <w:tr w:rsidR="005863FA" w:rsidRPr="005863FA" w:rsidTr="005863FA">
        <w:trPr>
          <w:trHeight w:val="300"/>
        </w:trPr>
        <w:tc>
          <w:tcPr>
            <w:tcW w:w="2640" w:type="dxa"/>
            <w:tcBorders>
              <w:top w:val="single" w:sz="4" w:space="0" w:color="959595"/>
              <w:left w:val="single" w:sz="4" w:space="0" w:color="959595"/>
              <w:bottom w:val="nil"/>
              <w:right w:val="nil"/>
            </w:tcBorders>
            <w:shd w:val="clear" w:color="000000" w:fill="F9F9F9"/>
            <w:hideMark/>
          </w:tcPr>
          <w:p w:rsidR="005863FA" w:rsidRPr="005863FA" w:rsidRDefault="005863FA" w:rsidP="005863FA">
            <w:pPr>
              <w:rPr>
                <w:rFonts w:ascii="Calibri" w:hAnsi="Calibri"/>
                <w:color w:val="000000"/>
                <w:sz w:val="16"/>
                <w:szCs w:val="16"/>
              </w:rPr>
            </w:pPr>
            <w:r w:rsidRPr="005863FA">
              <w:rPr>
                <w:rFonts w:ascii="Calibri" w:hAnsi="Calibri"/>
                <w:color w:val="000000"/>
                <w:sz w:val="16"/>
                <w:szCs w:val="16"/>
              </w:rPr>
              <w:t>Other Receivables Non-Current</w:t>
            </w:r>
          </w:p>
        </w:tc>
        <w:tc>
          <w:tcPr>
            <w:tcW w:w="3520" w:type="dxa"/>
            <w:tcBorders>
              <w:top w:val="single" w:sz="4" w:space="0" w:color="959595"/>
              <w:left w:val="single" w:sz="4" w:space="0" w:color="959595"/>
              <w:bottom w:val="nil"/>
              <w:right w:val="single" w:sz="4" w:space="0" w:color="959595"/>
            </w:tcBorders>
            <w:shd w:val="clear" w:color="auto" w:fill="auto"/>
            <w:hideMark/>
          </w:tcPr>
          <w:p w:rsidR="005863FA" w:rsidRPr="005863FA" w:rsidRDefault="005863FA" w:rsidP="005863FA">
            <w:pPr>
              <w:jc w:val="right"/>
              <w:rPr>
                <w:rFonts w:ascii="Calibri" w:hAnsi="Calibri"/>
                <w:color w:val="000000"/>
                <w:sz w:val="16"/>
                <w:szCs w:val="16"/>
              </w:rPr>
            </w:pPr>
            <w:r w:rsidRPr="005863FA">
              <w:rPr>
                <w:rFonts w:ascii="Calibri" w:hAnsi="Calibri"/>
                <w:color w:val="000000"/>
                <w:sz w:val="16"/>
                <w:szCs w:val="16"/>
              </w:rPr>
              <w:t xml:space="preserve">0 </w:t>
            </w:r>
          </w:p>
        </w:tc>
      </w:tr>
      <w:tr w:rsidR="005863FA" w:rsidRPr="005863FA" w:rsidTr="005863FA">
        <w:trPr>
          <w:trHeight w:val="300"/>
        </w:trPr>
        <w:tc>
          <w:tcPr>
            <w:tcW w:w="2640" w:type="dxa"/>
            <w:tcBorders>
              <w:top w:val="single" w:sz="4" w:space="0" w:color="959595"/>
              <w:left w:val="single" w:sz="4" w:space="0" w:color="959595"/>
              <w:bottom w:val="nil"/>
              <w:right w:val="nil"/>
            </w:tcBorders>
            <w:shd w:val="clear" w:color="000000" w:fill="DDEEFF"/>
            <w:hideMark/>
          </w:tcPr>
          <w:p w:rsidR="005863FA" w:rsidRPr="005863FA" w:rsidRDefault="005863FA" w:rsidP="005863FA">
            <w:pPr>
              <w:rPr>
                <w:rFonts w:ascii="Calibri" w:hAnsi="Calibri"/>
                <w:b/>
                <w:bCs/>
                <w:color w:val="000000"/>
                <w:sz w:val="16"/>
                <w:szCs w:val="16"/>
              </w:rPr>
            </w:pPr>
            <w:r w:rsidRPr="005863FA">
              <w:rPr>
                <w:rFonts w:ascii="Calibri" w:hAnsi="Calibri"/>
                <w:b/>
                <w:bCs/>
                <w:color w:val="000000"/>
                <w:sz w:val="16"/>
                <w:szCs w:val="16"/>
              </w:rPr>
              <w:t>Total Other Non-Current Assets</w:t>
            </w:r>
          </w:p>
        </w:tc>
        <w:tc>
          <w:tcPr>
            <w:tcW w:w="3520" w:type="dxa"/>
            <w:tcBorders>
              <w:top w:val="single" w:sz="4" w:space="0" w:color="959595"/>
              <w:left w:val="single" w:sz="4" w:space="0" w:color="959595"/>
              <w:bottom w:val="nil"/>
              <w:right w:val="single" w:sz="4" w:space="0" w:color="959595"/>
            </w:tcBorders>
            <w:shd w:val="clear" w:color="000000" w:fill="DDEEFF"/>
            <w:hideMark/>
          </w:tcPr>
          <w:p w:rsidR="005863FA" w:rsidRPr="005863FA" w:rsidRDefault="005863FA" w:rsidP="005863FA">
            <w:pPr>
              <w:jc w:val="right"/>
              <w:rPr>
                <w:rFonts w:ascii="Calibri" w:hAnsi="Calibri"/>
                <w:b/>
                <w:bCs/>
                <w:color w:val="000000"/>
                <w:sz w:val="16"/>
                <w:szCs w:val="16"/>
              </w:rPr>
            </w:pPr>
            <w:r w:rsidRPr="005863FA">
              <w:rPr>
                <w:rFonts w:ascii="Calibri" w:hAnsi="Calibri"/>
                <w:b/>
                <w:bCs/>
                <w:color w:val="000000"/>
                <w:sz w:val="16"/>
                <w:szCs w:val="16"/>
              </w:rPr>
              <w:t xml:space="preserve">0 </w:t>
            </w:r>
          </w:p>
        </w:tc>
      </w:tr>
      <w:tr w:rsidR="005863FA" w:rsidRPr="005863FA" w:rsidTr="005863FA">
        <w:trPr>
          <w:trHeight w:val="300"/>
        </w:trPr>
        <w:tc>
          <w:tcPr>
            <w:tcW w:w="2640" w:type="dxa"/>
            <w:tcBorders>
              <w:top w:val="single" w:sz="4" w:space="0" w:color="000000"/>
              <w:left w:val="nil"/>
              <w:bottom w:val="single" w:sz="4" w:space="0" w:color="000000"/>
              <w:right w:val="nil"/>
            </w:tcBorders>
            <w:shd w:val="clear" w:color="000000" w:fill="99CCFF"/>
            <w:hideMark/>
          </w:tcPr>
          <w:p w:rsidR="005863FA" w:rsidRPr="005863FA" w:rsidRDefault="005863FA" w:rsidP="005863FA">
            <w:pPr>
              <w:rPr>
                <w:rFonts w:ascii="Calibri" w:hAnsi="Calibri"/>
                <w:b/>
                <w:bCs/>
                <w:color w:val="000000"/>
                <w:sz w:val="16"/>
                <w:szCs w:val="16"/>
              </w:rPr>
            </w:pPr>
            <w:r w:rsidRPr="005863FA">
              <w:rPr>
                <w:rFonts w:ascii="Calibri" w:hAnsi="Calibri"/>
                <w:b/>
                <w:bCs/>
                <w:color w:val="000000"/>
                <w:sz w:val="16"/>
                <w:szCs w:val="16"/>
              </w:rPr>
              <w:t>Total Non-Current Assets</w:t>
            </w:r>
          </w:p>
        </w:tc>
        <w:tc>
          <w:tcPr>
            <w:tcW w:w="3520" w:type="dxa"/>
            <w:tcBorders>
              <w:top w:val="single" w:sz="4" w:space="0" w:color="000000"/>
              <w:left w:val="nil"/>
              <w:bottom w:val="single" w:sz="4" w:space="0" w:color="000000"/>
              <w:right w:val="nil"/>
            </w:tcBorders>
            <w:shd w:val="clear" w:color="000000" w:fill="99CCFF"/>
            <w:hideMark/>
          </w:tcPr>
          <w:p w:rsidR="005863FA" w:rsidRPr="005863FA" w:rsidRDefault="005863FA" w:rsidP="005863FA">
            <w:pPr>
              <w:jc w:val="right"/>
              <w:rPr>
                <w:rFonts w:ascii="Calibri" w:hAnsi="Calibri"/>
                <w:b/>
                <w:bCs/>
                <w:color w:val="000000"/>
                <w:sz w:val="16"/>
                <w:szCs w:val="16"/>
              </w:rPr>
            </w:pPr>
            <w:r w:rsidRPr="005863FA">
              <w:rPr>
                <w:rFonts w:ascii="Calibri" w:hAnsi="Calibri"/>
                <w:b/>
                <w:bCs/>
                <w:color w:val="000000"/>
                <w:sz w:val="16"/>
                <w:szCs w:val="16"/>
              </w:rPr>
              <w:t xml:space="preserve">2,002,816 </w:t>
            </w:r>
          </w:p>
        </w:tc>
      </w:tr>
      <w:tr w:rsidR="005863FA" w:rsidRPr="005863FA" w:rsidTr="005863FA">
        <w:trPr>
          <w:trHeight w:val="300"/>
        </w:trPr>
        <w:tc>
          <w:tcPr>
            <w:tcW w:w="2640" w:type="dxa"/>
            <w:tcBorders>
              <w:top w:val="single" w:sz="4" w:space="0" w:color="959595"/>
              <w:left w:val="single" w:sz="4" w:space="0" w:color="959595"/>
              <w:bottom w:val="nil"/>
              <w:right w:val="nil"/>
            </w:tcBorders>
            <w:shd w:val="clear" w:color="000000" w:fill="F9F9F9"/>
            <w:hideMark/>
          </w:tcPr>
          <w:p w:rsidR="005863FA" w:rsidRPr="005863FA" w:rsidRDefault="005863FA" w:rsidP="005863FA">
            <w:pPr>
              <w:rPr>
                <w:rFonts w:ascii="Calibri" w:hAnsi="Calibri"/>
                <w:color w:val="000000"/>
                <w:sz w:val="16"/>
                <w:szCs w:val="16"/>
              </w:rPr>
            </w:pPr>
            <w:r w:rsidRPr="005863FA">
              <w:rPr>
                <w:rFonts w:ascii="Calibri" w:hAnsi="Calibri"/>
                <w:color w:val="000000"/>
                <w:sz w:val="16"/>
                <w:szCs w:val="16"/>
              </w:rPr>
              <w:t>Cash</w:t>
            </w:r>
          </w:p>
        </w:tc>
        <w:tc>
          <w:tcPr>
            <w:tcW w:w="3520" w:type="dxa"/>
            <w:tcBorders>
              <w:top w:val="single" w:sz="4" w:space="0" w:color="959595"/>
              <w:left w:val="single" w:sz="4" w:space="0" w:color="959595"/>
              <w:bottom w:val="nil"/>
              <w:right w:val="single" w:sz="4" w:space="0" w:color="959595"/>
            </w:tcBorders>
            <w:shd w:val="clear" w:color="auto" w:fill="auto"/>
            <w:hideMark/>
          </w:tcPr>
          <w:p w:rsidR="005863FA" w:rsidRPr="005863FA" w:rsidRDefault="005863FA" w:rsidP="005863FA">
            <w:pPr>
              <w:jc w:val="right"/>
              <w:rPr>
                <w:rFonts w:ascii="Calibri" w:hAnsi="Calibri"/>
                <w:color w:val="000000"/>
                <w:sz w:val="16"/>
                <w:szCs w:val="16"/>
              </w:rPr>
            </w:pPr>
            <w:r w:rsidRPr="005863FA">
              <w:rPr>
                <w:rFonts w:ascii="Calibri" w:hAnsi="Calibri"/>
                <w:color w:val="000000"/>
                <w:sz w:val="16"/>
                <w:szCs w:val="16"/>
              </w:rPr>
              <w:t xml:space="preserve">2,286,060 </w:t>
            </w:r>
          </w:p>
        </w:tc>
      </w:tr>
      <w:tr w:rsidR="005863FA" w:rsidRPr="005863FA" w:rsidTr="005863FA">
        <w:trPr>
          <w:trHeight w:val="300"/>
        </w:trPr>
        <w:tc>
          <w:tcPr>
            <w:tcW w:w="2640" w:type="dxa"/>
            <w:tcBorders>
              <w:top w:val="single" w:sz="4" w:space="0" w:color="959595"/>
              <w:left w:val="single" w:sz="4" w:space="0" w:color="959595"/>
              <w:bottom w:val="nil"/>
              <w:right w:val="nil"/>
            </w:tcBorders>
            <w:shd w:val="clear" w:color="000000" w:fill="F9F9F9"/>
            <w:hideMark/>
          </w:tcPr>
          <w:p w:rsidR="005863FA" w:rsidRPr="005863FA" w:rsidRDefault="005863FA" w:rsidP="005863FA">
            <w:pPr>
              <w:rPr>
                <w:rFonts w:ascii="Calibri" w:hAnsi="Calibri"/>
                <w:color w:val="000000"/>
                <w:sz w:val="16"/>
                <w:szCs w:val="16"/>
              </w:rPr>
            </w:pPr>
            <w:r w:rsidRPr="005863FA">
              <w:rPr>
                <w:rFonts w:ascii="Calibri" w:hAnsi="Calibri"/>
                <w:color w:val="000000"/>
                <w:sz w:val="16"/>
                <w:szCs w:val="16"/>
              </w:rPr>
              <w:t>Accounts Receivable</w:t>
            </w:r>
          </w:p>
        </w:tc>
        <w:tc>
          <w:tcPr>
            <w:tcW w:w="3520" w:type="dxa"/>
            <w:tcBorders>
              <w:top w:val="single" w:sz="4" w:space="0" w:color="959595"/>
              <w:left w:val="single" w:sz="4" w:space="0" w:color="959595"/>
              <w:bottom w:val="nil"/>
              <w:right w:val="single" w:sz="4" w:space="0" w:color="959595"/>
            </w:tcBorders>
            <w:shd w:val="clear" w:color="auto" w:fill="auto"/>
            <w:hideMark/>
          </w:tcPr>
          <w:p w:rsidR="005863FA" w:rsidRPr="005863FA" w:rsidRDefault="005863FA" w:rsidP="005863FA">
            <w:pPr>
              <w:jc w:val="right"/>
              <w:rPr>
                <w:rFonts w:ascii="Calibri" w:hAnsi="Calibri"/>
                <w:color w:val="000000"/>
                <w:sz w:val="16"/>
                <w:szCs w:val="16"/>
              </w:rPr>
            </w:pPr>
            <w:r w:rsidRPr="005863FA">
              <w:rPr>
                <w:rFonts w:ascii="Calibri" w:hAnsi="Calibri"/>
                <w:color w:val="000000"/>
                <w:sz w:val="16"/>
                <w:szCs w:val="16"/>
              </w:rPr>
              <w:t xml:space="preserve">137,866 </w:t>
            </w:r>
          </w:p>
        </w:tc>
      </w:tr>
      <w:tr w:rsidR="005863FA" w:rsidRPr="005863FA" w:rsidTr="005863FA">
        <w:trPr>
          <w:trHeight w:val="300"/>
        </w:trPr>
        <w:tc>
          <w:tcPr>
            <w:tcW w:w="2640" w:type="dxa"/>
            <w:tcBorders>
              <w:top w:val="single" w:sz="4" w:space="0" w:color="959595"/>
              <w:left w:val="single" w:sz="4" w:space="0" w:color="959595"/>
              <w:bottom w:val="nil"/>
              <w:right w:val="nil"/>
            </w:tcBorders>
            <w:shd w:val="clear" w:color="000000" w:fill="F9F9F9"/>
            <w:hideMark/>
          </w:tcPr>
          <w:p w:rsidR="005863FA" w:rsidRPr="005863FA" w:rsidRDefault="005863FA" w:rsidP="005863FA">
            <w:pPr>
              <w:rPr>
                <w:rFonts w:ascii="Calibri" w:hAnsi="Calibri"/>
                <w:color w:val="000000"/>
                <w:sz w:val="16"/>
                <w:szCs w:val="16"/>
              </w:rPr>
            </w:pPr>
            <w:r w:rsidRPr="005863FA">
              <w:rPr>
                <w:rFonts w:ascii="Calibri" w:hAnsi="Calibri"/>
                <w:color w:val="000000"/>
                <w:sz w:val="16"/>
                <w:szCs w:val="16"/>
              </w:rPr>
              <w:t>Inventory</w:t>
            </w:r>
          </w:p>
        </w:tc>
        <w:tc>
          <w:tcPr>
            <w:tcW w:w="3520" w:type="dxa"/>
            <w:tcBorders>
              <w:top w:val="single" w:sz="4" w:space="0" w:color="959595"/>
              <w:left w:val="single" w:sz="4" w:space="0" w:color="959595"/>
              <w:bottom w:val="nil"/>
              <w:right w:val="single" w:sz="4" w:space="0" w:color="959595"/>
            </w:tcBorders>
            <w:shd w:val="clear" w:color="auto" w:fill="auto"/>
            <w:hideMark/>
          </w:tcPr>
          <w:p w:rsidR="005863FA" w:rsidRPr="005863FA" w:rsidRDefault="005863FA" w:rsidP="005863FA">
            <w:pPr>
              <w:jc w:val="right"/>
              <w:rPr>
                <w:rFonts w:ascii="Calibri" w:hAnsi="Calibri"/>
                <w:color w:val="000000"/>
                <w:sz w:val="16"/>
                <w:szCs w:val="16"/>
              </w:rPr>
            </w:pPr>
            <w:r w:rsidRPr="005863FA">
              <w:rPr>
                <w:rFonts w:ascii="Calibri" w:hAnsi="Calibri"/>
                <w:color w:val="000000"/>
                <w:sz w:val="16"/>
                <w:szCs w:val="16"/>
              </w:rPr>
              <w:t xml:space="preserve">0 </w:t>
            </w:r>
          </w:p>
        </w:tc>
      </w:tr>
      <w:tr w:rsidR="005863FA" w:rsidRPr="005863FA" w:rsidTr="005863FA">
        <w:trPr>
          <w:trHeight w:val="300"/>
        </w:trPr>
        <w:tc>
          <w:tcPr>
            <w:tcW w:w="2640" w:type="dxa"/>
            <w:tcBorders>
              <w:top w:val="single" w:sz="4" w:space="0" w:color="959595"/>
              <w:left w:val="single" w:sz="4" w:space="0" w:color="959595"/>
              <w:bottom w:val="nil"/>
              <w:right w:val="nil"/>
            </w:tcBorders>
            <w:shd w:val="clear" w:color="000000" w:fill="F9F9F9"/>
            <w:hideMark/>
          </w:tcPr>
          <w:p w:rsidR="005863FA" w:rsidRPr="005863FA" w:rsidRDefault="005863FA" w:rsidP="005863FA">
            <w:pPr>
              <w:rPr>
                <w:rFonts w:ascii="Calibri" w:hAnsi="Calibri"/>
                <w:color w:val="000000"/>
                <w:sz w:val="16"/>
                <w:szCs w:val="16"/>
              </w:rPr>
            </w:pPr>
            <w:r w:rsidRPr="005863FA">
              <w:rPr>
                <w:rFonts w:ascii="Calibri" w:hAnsi="Calibri"/>
                <w:color w:val="000000"/>
                <w:sz w:val="16"/>
                <w:szCs w:val="16"/>
              </w:rPr>
              <w:t>Investments</w:t>
            </w:r>
          </w:p>
        </w:tc>
        <w:tc>
          <w:tcPr>
            <w:tcW w:w="3520" w:type="dxa"/>
            <w:tcBorders>
              <w:top w:val="single" w:sz="4" w:space="0" w:color="959595"/>
              <w:left w:val="single" w:sz="4" w:space="0" w:color="959595"/>
              <w:bottom w:val="nil"/>
              <w:right w:val="single" w:sz="4" w:space="0" w:color="959595"/>
            </w:tcBorders>
            <w:shd w:val="clear" w:color="auto" w:fill="auto"/>
            <w:hideMark/>
          </w:tcPr>
          <w:p w:rsidR="005863FA" w:rsidRPr="005863FA" w:rsidRDefault="005863FA" w:rsidP="005863FA">
            <w:pPr>
              <w:jc w:val="right"/>
              <w:rPr>
                <w:rFonts w:ascii="Calibri" w:hAnsi="Calibri"/>
                <w:color w:val="000000"/>
                <w:sz w:val="16"/>
                <w:szCs w:val="16"/>
              </w:rPr>
            </w:pPr>
            <w:r w:rsidRPr="005863FA">
              <w:rPr>
                <w:rFonts w:ascii="Calibri" w:hAnsi="Calibri"/>
                <w:color w:val="000000"/>
                <w:sz w:val="16"/>
                <w:szCs w:val="16"/>
              </w:rPr>
              <w:t xml:space="preserve">0 </w:t>
            </w:r>
          </w:p>
        </w:tc>
      </w:tr>
      <w:tr w:rsidR="005863FA" w:rsidRPr="005863FA" w:rsidTr="005863FA">
        <w:trPr>
          <w:trHeight w:val="300"/>
        </w:trPr>
        <w:tc>
          <w:tcPr>
            <w:tcW w:w="2640" w:type="dxa"/>
            <w:tcBorders>
              <w:top w:val="single" w:sz="4" w:space="0" w:color="959595"/>
              <w:left w:val="single" w:sz="4" w:space="0" w:color="959595"/>
              <w:bottom w:val="nil"/>
              <w:right w:val="nil"/>
            </w:tcBorders>
            <w:shd w:val="clear" w:color="000000" w:fill="F9F9F9"/>
            <w:hideMark/>
          </w:tcPr>
          <w:p w:rsidR="005863FA" w:rsidRPr="005863FA" w:rsidRDefault="005863FA" w:rsidP="005863FA">
            <w:pPr>
              <w:rPr>
                <w:rFonts w:ascii="Calibri" w:hAnsi="Calibri"/>
                <w:color w:val="000000"/>
                <w:sz w:val="16"/>
                <w:szCs w:val="16"/>
              </w:rPr>
            </w:pPr>
            <w:r w:rsidRPr="005863FA">
              <w:rPr>
                <w:rFonts w:ascii="Calibri" w:hAnsi="Calibri"/>
                <w:color w:val="000000"/>
                <w:sz w:val="16"/>
                <w:szCs w:val="16"/>
              </w:rPr>
              <w:t>Non-Current Assets Held for Sale</w:t>
            </w:r>
          </w:p>
        </w:tc>
        <w:tc>
          <w:tcPr>
            <w:tcW w:w="3520" w:type="dxa"/>
            <w:tcBorders>
              <w:top w:val="single" w:sz="4" w:space="0" w:color="959595"/>
              <w:left w:val="single" w:sz="4" w:space="0" w:color="959595"/>
              <w:bottom w:val="nil"/>
              <w:right w:val="single" w:sz="4" w:space="0" w:color="959595"/>
            </w:tcBorders>
            <w:shd w:val="clear" w:color="auto" w:fill="auto"/>
            <w:hideMark/>
          </w:tcPr>
          <w:p w:rsidR="005863FA" w:rsidRPr="005863FA" w:rsidRDefault="005863FA" w:rsidP="005863FA">
            <w:pPr>
              <w:jc w:val="right"/>
              <w:rPr>
                <w:rFonts w:ascii="Calibri" w:hAnsi="Calibri"/>
                <w:color w:val="000000"/>
                <w:sz w:val="16"/>
                <w:szCs w:val="16"/>
              </w:rPr>
            </w:pPr>
            <w:r w:rsidRPr="005863FA">
              <w:rPr>
                <w:rFonts w:ascii="Calibri" w:hAnsi="Calibri"/>
                <w:color w:val="000000"/>
                <w:sz w:val="16"/>
                <w:szCs w:val="16"/>
              </w:rPr>
              <w:t xml:space="preserve">0 </w:t>
            </w:r>
          </w:p>
        </w:tc>
      </w:tr>
      <w:tr w:rsidR="005863FA" w:rsidRPr="005863FA" w:rsidTr="005863FA">
        <w:trPr>
          <w:trHeight w:val="300"/>
        </w:trPr>
        <w:tc>
          <w:tcPr>
            <w:tcW w:w="2640" w:type="dxa"/>
            <w:tcBorders>
              <w:top w:val="single" w:sz="4" w:space="0" w:color="959595"/>
              <w:left w:val="single" w:sz="4" w:space="0" w:color="959595"/>
              <w:bottom w:val="nil"/>
              <w:right w:val="nil"/>
            </w:tcBorders>
            <w:shd w:val="clear" w:color="000000" w:fill="F9F9F9"/>
            <w:hideMark/>
          </w:tcPr>
          <w:p w:rsidR="005863FA" w:rsidRPr="005863FA" w:rsidRDefault="005863FA" w:rsidP="005863FA">
            <w:pPr>
              <w:rPr>
                <w:rFonts w:ascii="Calibri" w:hAnsi="Calibri"/>
                <w:color w:val="000000"/>
                <w:sz w:val="16"/>
                <w:szCs w:val="16"/>
              </w:rPr>
            </w:pPr>
            <w:r w:rsidRPr="005863FA">
              <w:rPr>
                <w:rFonts w:ascii="Calibri" w:hAnsi="Calibri"/>
                <w:color w:val="000000"/>
                <w:sz w:val="16"/>
                <w:szCs w:val="16"/>
              </w:rPr>
              <w:t>Other Current Assets</w:t>
            </w:r>
          </w:p>
        </w:tc>
        <w:tc>
          <w:tcPr>
            <w:tcW w:w="3520" w:type="dxa"/>
            <w:tcBorders>
              <w:top w:val="single" w:sz="4" w:space="0" w:color="959595"/>
              <w:left w:val="single" w:sz="4" w:space="0" w:color="959595"/>
              <w:bottom w:val="nil"/>
              <w:right w:val="single" w:sz="4" w:space="0" w:color="959595"/>
            </w:tcBorders>
            <w:shd w:val="clear" w:color="auto" w:fill="auto"/>
            <w:hideMark/>
          </w:tcPr>
          <w:p w:rsidR="005863FA" w:rsidRPr="005863FA" w:rsidRDefault="005863FA" w:rsidP="005863FA">
            <w:pPr>
              <w:jc w:val="right"/>
              <w:rPr>
                <w:rFonts w:ascii="Calibri" w:hAnsi="Calibri"/>
                <w:color w:val="000000"/>
                <w:sz w:val="16"/>
                <w:szCs w:val="16"/>
              </w:rPr>
            </w:pPr>
            <w:r w:rsidRPr="005863FA">
              <w:rPr>
                <w:rFonts w:ascii="Calibri" w:hAnsi="Calibri"/>
                <w:color w:val="000000"/>
                <w:sz w:val="16"/>
                <w:szCs w:val="16"/>
              </w:rPr>
              <w:t xml:space="preserve">0 </w:t>
            </w:r>
          </w:p>
        </w:tc>
      </w:tr>
      <w:tr w:rsidR="005863FA" w:rsidRPr="005863FA" w:rsidTr="005863FA">
        <w:trPr>
          <w:trHeight w:val="300"/>
        </w:trPr>
        <w:tc>
          <w:tcPr>
            <w:tcW w:w="2640" w:type="dxa"/>
            <w:tcBorders>
              <w:top w:val="single" w:sz="4" w:space="0" w:color="000000"/>
              <w:left w:val="nil"/>
              <w:bottom w:val="single" w:sz="4" w:space="0" w:color="000000"/>
              <w:right w:val="nil"/>
            </w:tcBorders>
            <w:shd w:val="clear" w:color="000000" w:fill="99CCFF"/>
            <w:hideMark/>
          </w:tcPr>
          <w:p w:rsidR="005863FA" w:rsidRPr="005863FA" w:rsidRDefault="005863FA" w:rsidP="005863FA">
            <w:pPr>
              <w:rPr>
                <w:rFonts w:ascii="Calibri" w:hAnsi="Calibri"/>
                <w:b/>
                <w:bCs/>
                <w:color w:val="000000"/>
                <w:sz w:val="16"/>
                <w:szCs w:val="16"/>
              </w:rPr>
            </w:pPr>
            <w:r w:rsidRPr="005863FA">
              <w:rPr>
                <w:rFonts w:ascii="Calibri" w:hAnsi="Calibri"/>
                <w:b/>
                <w:bCs/>
                <w:color w:val="000000"/>
                <w:sz w:val="16"/>
                <w:szCs w:val="16"/>
              </w:rPr>
              <w:t>Current Assets</w:t>
            </w:r>
          </w:p>
        </w:tc>
        <w:tc>
          <w:tcPr>
            <w:tcW w:w="3520" w:type="dxa"/>
            <w:tcBorders>
              <w:top w:val="single" w:sz="4" w:space="0" w:color="000000"/>
              <w:left w:val="nil"/>
              <w:bottom w:val="single" w:sz="4" w:space="0" w:color="000000"/>
              <w:right w:val="nil"/>
            </w:tcBorders>
            <w:shd w:val="clear" w:color="000000" w:fill="99CCFF"/>
            <w:hideMark/>
          </w:tcPr>
          <w:p w:rsidR="005863FA" w:rsidRPr="005863FA" w:rsidRDefault="005863FA" w:rsidP="005863FA">
            <w:pPr>
              <w:jc w:val="right"/>
              <w:rPr>
                <w:rFonts w:ascii="Calibri" w:hAnsi="Calibri"/>
                <w:b/>
                <w:bCs/>
                <w:color w:val="000000"/>
                <w:sz w:val="16"/>
                <w:szCs w:val="16"/>
              </w:rPr>
            </w:pPr>
            <w:r w:rsidRPr="005863FA">
              <w:rPr>
                <w:rFonts w:ascii="Calibri" w:hAnsi="Calibri"/>
                <w:b/>
                <w:bCs/>
                <w:color w:val="000000"/>
                <w:sz w:val="16"/>
                <w:szCs w:val="16"/>
              </w:rPr>
              <w:t xml:space="preserve">2,423,927 </w:t>
            </w:r>
          </w:p>
        </w:tc>
      </w:tr>
      <w:tr w:rsidR="005863FA" w:rsidRPr="005863FA" w:rsidTr="005863FA">
        <w:trPr>
          <w:trHeight w:val="300"/>
        </w:trPr>
        <w:tc>
          <w:tcPr>
            <w:tcW w:w="2640" w:type="dxa"/>
            <w:tcBorders>
              <w:top w:val="single" w:sz="4" w:space="0" w:color="000080"/>
              <w:left w:val="nil"/>
              <w:bottom w:val="single" w:sz="4" w:space="0" w:color="000080"/>
              <w:right w:val="nil"/>
            </w:tcBorders>
            <w:shd w:val="clear" w:color="000000" w:fill="E7E7B7"/>
            <w:hideMark/>
          </w:tcPr>
          <w:p w:rsidR="005863FA" w:rsidRPr="005863FA" w:rsidRDefault="005863FA" w:rsidP="005863FA">
            <w:pPr>
              <w:rPr>
                <w:rFonts w:ascii="Calibri" w:hAnsi="Calibri"/>
                <w:b/>
                <w:bCs/>
                <w:color w:val="000080"/>
                <w:sz w:val="16"/>
                <w:szCs w:val="16"/>
              </w:rPr>
            </w:pPr>
            <w:r w:rsidRPr="005863FA">
              <w:rPr>
                <w:rFonts w:ascii="Calibri" w:hAnsi="Calibri"/>
                <w:b/>
                <w:bCs/>
                <w:color w:val="000080"/>
                <w:sz w:val="16"/>
                <w:szCs w:val="16"/>
              </w:rPr>
              <w:t>Total Assets</w:t>
            </w:r>
          </w:p>
        </w:tc>
        <w:tc>
          <w:tcPr>
            <w:tcW w:w="3520" w:type="dxa"/>
            <w:tcBorders>
              <w:top w:val="single" w:sz="4" w:space="0" w:color="000080"/>
              <w:left w:val="nil"/>
              <w:bottom w:val="single" w:sz="4" w:space="0" w:color="000080"/>
              <w:right w:val="nil"/>
            </w:tcBorders>
            <w:shd w:val="clear" w:color="000000" w:fill="E7E7B7"/>
            <w:hideMark/>
          </w:tcPr>
          <w:p w:rsidR="005863FA" w:rsidRPr="005863FA" w:rsidRDefault="005863FA" w:rsidP="005863FA">
            <w:pPr>
              <w:jc w:val="right"/>
              <w:rPr>
                <w:rFonts w:ascii="Calibri" w:hAnsi="Calibri"/>
                <w:b/>
                <w:bCs/>
                <w:color w:val="000080"/>
                <w:sz w:val="16"/>
                <w:szCs w:val="16"/>
              </w:rPr>
            </w:pPr>
            <w:r w:rsidRPr="005863FA">
              <w:rPr>
                <w:rFonts w:ascii="Calibri" w:hAnsi="Calibri"/>
                <w:b/>
                <w:bCs/>
                <w:color w:val="000080"/>
                <w:sz w:val="16"/>
                <w:szCs w:val="16"/>
              </w:rPr>
              <w:t xml:space="preserve">4,426,742 </w:t>
            </w:r>
          </w:p>
        </w:tc>
      </w:tr>
      <w:tr w:rsidR="005863FA" w:rsidRPr="005863FA" w:rsidTr="005863FA">
        <w:trPr>
          <w:trHeight w:val="300"/>
        </w:trPr>
        <w:tc>
          <w:tcPr>
            <w:tcW w:w="2640" w:type="dxa"/>
            <w:tcBorders>
              <w:top w:val="single" w:sz="4" w:space="0" w:color="959595"/>
              <w:left w:val="single" w:sz="4" w:space="0" w:color="959595"/>
              <w:bottom w:val="nil"/>
              <w:right w:val="nil"/>
            </w:tcBorders>
            <w:shd w:val="clear" w:color="000000" w:fill="F9F9F9"/>
            <w:hideMark/>
          </w:tcPr>
          <w:p w:rsidR="005863FA" w:rsidRPr="005863FA" w:rsidRDefault="005863FA" w:rsidP="005863FA">
            <w:pPr>
              <w:rPr>
                <w:rFonts w:ascii="Calibri" w:hAnsi="Calibri"/>
                <w:color w:val="000000"/>
                <w:sz w:val="16"/>
                <w:szCs w:val="16"/>
              </w:rPr>
            </w:pPr>
            <w:r w:rsidRPr="005863FA">
              <w:rPr>
                <w:rFonts w:ascii="Calibri" w:hAnsi="Calibri"/>
                <w:color w:val="000000"/>
                <w:sz w:val="16"/>
                <w:szCs w:val="16"/>
              </w:rPr>
              <w:t>Accounts Payable</w:t>
            </w:r>
          </w:p>
        </w:tc>
        <w:tc>
          <w:tcPr>
            <w:tcW w:w="3520" w:type="dxa"/>
            <w:tcBorders>
              <w:top w:val="single" w:sz="4" w:space="0" w:color="959595"/>
              <w:left w:val="single" w:sz="4" w:space="0" w:color="959595"/>
              <w:bottom w:val="nil"/>
              <w:right w:val="single" w:sz="4" w:space="0" w:color="959595"/>
            </w:tcBorders>
            <w:shd w:val="clear" w:color="auto" w:fill="auto"/>
            <w:hideMark/>
          </w:tcPr>
          <w:p w:rsidR="005863FA" w:rsidRPr="005863FA" w:rsidRDefault="005863FA" w:rsidP="005863FA">
            <w:pPr>
              <w:jc w:val="right"/>
              <w:rPr>
                <w:rFonts w:ascii="Calibri" w:hAnsi="Calibri"/>
                <w:color w:val="000000"/>
                <w:sz w:val="16"/>
                <w:szCs w:val="16"/>
              </w:rPr>
            </w:pPr>
            <w:r w:rsidRPr="005863FA">
              <w:rPr>
                <w:rFonts w:ascii="Calibri" w:hAnsi="Calibri"/>
                <w:color w:val="000000"/>
                <w:sz w:val="16"/>
                <w:szCs w:val="16"/>
              </w:rPr>
              <w:t xml:space="preserve">1,153,232 </w:t>
            </w:r>
          </w:p>
        </w:tc>
      </w:tr>
      <w:tr w:rsidR="005863FA" w:rsidRPr="005863FA" w:rsidTr="005863FA">
        <w:trPr>
          <w:trHeight w:val="300"/>
        </w:trPr>
        <w:tc>
          <w:tcPr>
            <w:tcW w:w="2640" w:type="dxa"/>
            <w:tcBorders>
              <w:top w:val="single" w:sz="4" w:space="0" w:color="959595"/>
              <w:left w:val="single" w:sz="4" w:space="0" w:color="959595"/>
              <w:bottom w:val="nil"/>
              <w:right w:val="nil"/>
            </w:tcBorders>
            <w:shd w:val="clear" w:color="000000" w:fill="F9F9F9"/>
            <w:hideMark/>
          </w:tcPr>
          <w:p w:rsidR="005863FA" w:rsidRPr="005863FA" w:rsidRDefault="005863FA" w:rsidP="005863FA">
            <w:pPr>
              <w:rPr>
                <w:rFonts w:ascii="Calibri" w:hAnsi="Calibri"/>
                <w:color w:val="000000"/>
                <w:sz w:val="16"/>
                <w:szCs w:val="16"/>
              </w:rPr>
            </w:pPr>
            <w:r w:rsidRPr="005863FA">
              <w:rPr>
                <w:rFonts w:ascii="Calibri" w:hAnsi="Calibri"/>
                <w:color w:val="000000"/>
                <w:sz w:val="16"/>
                <w:szCs w:val="16"/>
              </w:rPr>
              <w:t>Accrued Liabilities</w:t>
            </w:r>
          </w:p>
        </w:tc>
        <w:tc>
          <w:tcPr>
            <w:tcW w:w="3520" w:type="dxa"/>
            <w:tcBorders>
              <w:top w:val="single" w:sz="4" w:space="0" w:color="959595"/>
              <w:left w:val="single" w:sz="4" w:space="0" w:color="959595"/>
              <w:bottom w:val="nil"/>
              <w:right w:val="single" w:sz="4" w:space="0" w:color="959595"/>
            </w:tcBorders>
            <w:shd w:val="clear" w:color="auto" w:fill="auto"/>
            <w:hideMark/>
          </w:tcPr>
          <w:p w:rsidR="005863FA" w:rsidRPr="005863FA" w:rsidRDefault="005863FA" w:rsidP="005863FA">
            <w:pPr>
              <w:jc w:val="right"/>
              <w:rPr>
                <w:rFonts w:ascii="Calibri" w:hAnsi="Calibri"/>
                <w:color w:val="000000"/>
                <w:sz w:val="16"/>
                <w:szCs w:val="16"/>
              </w:rPr>
            </w:pPr>
            <w:r w:rsidRPr="005863FA">
              <w:rPr>
                <w:rFonts w:ascii="Calibri" w:hAnsi="Calibri"/>
                <w:color w:val="000000"/>
                <w:sz w:val="16"/>
                <w:szCs w:val="16"/>
              </w:rPr>
              <w:t xml:space="preserve">0 </w:t>
            </w:r>
          </w:p>
        </w:tc>
      </w:tr>
      <w:tr w:rsidR="005863FA" w:rsidRPr="005863FA" w:rsidTr="005863FA">
        <w:trPr>
          <w:trHeight w:val="300"/>
        </w:trPr>
        <w:tc>
          <w:tcPr>
            <w:tcW w:w="2640" w:type="dxa"/>
            <w:tcBorders>
              <w:top w:val="single" w:sz="4" w:space="0" w:color="959595"/>
              <w:left w:val="single" w:sz="4" w:space="0" w:color="959595"/>
              <w:bottom w:val="nil"/>
              <w:right w:val="nil"/>
            </w:tcBorders>
            <w:shd w:val="clear" w:color="000000" w:fill="F9F9F9"/>
            <w:hideMark/>
          </w:tcPr>
          <w:p w:rsidR="005863FA" w:rsidRPr="005863FA" w:rsidRDefault="005863FA" w:rsidP="005863FA">
            <w:pPr>
              <w:rPr>
                <w:rFonts w:ascii="Calibri" w:hAnsi="Calibri"/>
                <w:color w:val="000000"/>
                <w:sz w:val="16"/>
                <w:szCs w:val="16"/>
              </w:rPr>
            </w:pPr>
            <w:r w:rsidRPr="005863FA">
              <w:rPr>
                <w:rFonts w:ascii="Calibri" w:hAnsi="Calibri"/>
                <w:color w:val="000000"/>
                <w:sz w:val="16"/>
                <w:szCs w:val="16"/>
              </w:rPr>
              <w:t>Short Term Borrowing</w:t>
            </w:r>
          </w:p>
        </w:tc>
        <w:tc>
          <w:tcPr>
            <w:tcW w:w="3520" w:type="dxa"/>
            <w:tcBorders>
              <w:top w:val="single" w:sz="4" w:space="0" w:color="959595"/>
              <w:left w:val="single" w:sz="4" w:space="0" w:color="959595"/>
              <w:bottom w:val="nil"/>
              <w:right w:val="single" w:sz="4" w:space="0" w:color="959595"/>
            </w:tcBorders>
            <w:shd w:val="clear" w:color="auto" w:fill="auto"/>
            <w:hideMark/>
          </w:tcPr>
          <w:p w:rsidR="005863FA" w:rsidRPr="005863FA" w:rsidRDefault="005863FA" w:rsidP="005863FA">
            <w:pPr>
              <w:jc w:val="right"/>
              <w:rPr>
                <w:rFonts w:ascii="Calibri" w:hAnsi="Calibri"/>
                <w:color w:val="000000"/>
                <w:sz w:val="16"/>
                <w:szCs w:val="16"/>
              </w:rPr>
            </w:pPr>
            <w:r w:rsidRPr="005863FA">
              <w:rPr>
                <w:rFonts w:ascii="Calibri" w:hAnsi="Calibri"/>
                <w:color w:val="000000"/>
                <w:sz w:val="16"/>
                <w:szCs w:val="16"/>
              </w:rPr>
              <w:t xml:space="preserve">0 </w:t>
            </w:r>
          </w:p>
        </w:tc>
      </w:tr>
      <w:tr w:rsidR="005863FA" w:rsidRPr="005863FA" w:rsidTr="005863FA">
        <w:trPr>
          <w:trHeight w:val="300"/>
        </w:trPr>
        <w:tc>
          <w:tcPr>
            <w:tcW w:w="2640" w:type="dxa"/>
            <w:tcBorders>
              <w:top w:val="single" w:sz="4" w:space="0" w:color="000000"/>
              <w:left w:val="nil"/>
              <w:bottom w:val="single" w:sz="4" w:space="0" w:color="000000"/>
              <w:right w:val="nil"/>
            </w:tcBorders>
            <w:shd w:val="clear" w:color="000000" w:fill="99CCFF"/>
            <w:hideMark/>
          </w:tcPr>
          <w:p w:rsidR="005863FA" w:rsidRPr="005863FA" w:rsidRDefault="005863FA" w:rsidP="005863FA">
            <w:pPr>
              <w:rPr>
                <w:rFonts w:ascii="Calibri" w:hAnsi="Calibri"/>
                <w:b/>
                <w:bCs/>
                <w:color w:val="000000"/>
                <w:sz w:val="16"/>
                <w:szCs w:val="16"/>
              </w:rPr>
            </w:pPr>
            <w:r w:rsidRPr="005863FA">
              <w:rPr>
                <w:rFonts w:ascii="Calibri" w:hAnsi="Calibri"/>
                <w:b/>
                <w:bCs/>
                <w:color w:val="000000"/>
                <w:sz w:val="16"/>
                <w:szCs w:val="16"/>
              </w:rPr>
              <w:t>Current Liabilities</w:t>
            </w:r>
          </w:p>
        </w:tc>
        <w:tc>
          <w:tcPr>
            <w:tcW w:w="3520" w:type="dxa"/>
            <w:tcBorders>
              <w:top w:val="single" w:sz="4" w:space="0" w:color="000000"/>
              <w:left w:val="nil"/>
              <w:bottom w:val="single" w:sz="4" w:space="0" w:color="000000"/>
              <w:right w:val="nil"/>
            </w:tcBorders>
            <w:shd w:val="clear" w:color="000000" w:fill="99CCFF"/>
            <w:hideMark/>
          </w:tcPr>
          <w:p w:rsidR="005863FA" w:rsidRPr="005863FA" w:rsidRDefault="005863FA" w:rsidP="005863FA">
            <w:pPr>
              <w:jc w:val="right"/>
              <w:rPr>
                <w:rFonts w:ascii="Calibri" w:hAnsi="Calibri"/>
                <w:b/>
                <w:bCs/>
                <w:color w:val="000000"/>
                <w:sz w:val="16"/>
                <w:szCs w:val="16"/>
              </w:rPr>
            </w:pPr>
            <w:r w:rsidRPr="005863FA">
              <w:rPr>
                <w:rFonts w:ascii="Calibri" w:hAnsi="Calibri"/>
                <w:b/>
                <w:bCs/>
                <w:color w:val="000000"/>
                <w:sz w:val="16"/>
                <w:szCs w:val="16"/>
              </w:rPr>
              <w:t xml:space="preserve">1,153,232 </w:t>
            </w:r>
          </w:p>
        </w:tc>
      </w:tr>
      <w:tr w:rsidR="005863FA" w:rsidRPr="005863FA" w:rsidTr="005863FA">
        <w:trPr>
          <w:trHeight w:val="300"/>
        </w:trPr>
        <w:tc>
          <w:tcPr>
            <w:tcW w:w="2640" w:type="dxa"/>
            <w:tcBorders>
              <w:top w:val="single" w:sz="4" w:space="0" w:color="959595"/>
              <w:left w:val="single" w:sz="4" w:space="0" w:color="959595"/>
              <w:bottom w:val="nil"/>
              <w:right w:val="nil"/>
            </w:tcBorders>
            <w:shd w:val="clear" w:color="000000" w:fill="F9F9F9"/>
            <w:hideMark/>
          </w:tcPr>
          <w:p w:rsidR="005863FA" w:rsidRPr="005863FA" w:rsidRDefault="005863FA" w:rsidP="005863FA">
            <w:pPr>
              <w:rPr>
                <w:rFonts w:ascii="Calibri" w:hAnsi="Calibri"/>
                <w:color w:val="000000"/>
                <w:sz w:val="16"/>
                <w:szCs w:val="16"/>
              </w:rPr>
            </w:pPr>
            <w:r w:rsidRPr="005863FA">
              <w:rPr>
                <w:rFonts w:ascii="Calibri" w:hAnsi="Calibri"/>
                <w:color w:val="000000"/>
                <w:sz w:val="16"/>
                <w:szCs w:val="16"/>
              </w:rPr>
              <w:t>Non-Current Payables</w:t>
            </w:r>
          </w:p>
        </w:tc>
        <w:tc>
          <w:tcPr>
            <w:tcW w:w="3520" w:type="dxa"/>
            <w:tcBorders>
              <w:top w:val="single" w:sz="4" w:space="0" w:color="959595"/>
              <w:left w:val="single" w:sz="4" w:space="0" w:color="959595"/>
              <w:bottom w:val="nil"/>
              <w:right w:val="single" w:sz="4" w:space="0" w:color="959595"/>
            </w:tcBorders>
            <w:shd w:val="clear" w:color="auto" w:fill="auto"/>
            <w:hideMark/>
          </w:tcPr>
          <w:p w:rsidR="005863FA" w:rsidRPr="005863FA" w:rsidRDefault="005863FA" w:rsidP="005863FA">
            <w:pPr>
              <w:jc w:val="right"/>
              <w:rPr>
                <w:rFonts w:ascii="Calibri" w:hAnsi="Calibri"/>
                <w:color w:val="000000"/>
                <w:sz w:val="16"/>
                <w:szCs w:val="16"/>
              </w:rPr>
            </w:pPr>
            <w:r w:rsidRPr="005863FA">
              <w:rPr>
                <w:rFonts w:ascii="Calibri" w:hAnsi="Calibri"/>
                <w:color w:val="000000"/>
                <w:sz w:val="16"/>
                <w:szCs w:val="16"/>
              </w:rPr>
              <w:t xml:space="preserve">0 </w:t>
            </w:r>
          </w:p>
        </w:tc>
      </w:tr>
      <w:tr w:rsidR="005863FA" w:rsidRPr="005863FA" w:rsidTr="005863FA">
        <w:trPr>
          <w:trHeight w:val="300"/>
        </w:trPr>
        <w:tc>
          <w:tcPr>
            <w:tcW w:w="2640" w:type="dxa"/>
            <w:tcBorders>
              <w:top w:val="single" w:sz="4" w:space="0" w:color="959595"/>
              <w:left w:val="single" w:sz="4" w:space="0" w:color="959595"/>
              <w:bottom w:val="nil"/>
              <w:right w:val="nil"/>
            </w:tcBorders>
            <w:shd w:val="clear" w:color="000000" w:fill="F9F9F9"/>
            <w:hideMark/>
          </w:tcPr>
          <w:p w:rsidR="005863FA" w:rsidRPr="005863FA" w:rsidRDefault="005863FA" w:rsidP="005863FA">
            <w:pPr>
              <w:rPr>
                <w:rFonts w:ascii="Calibri" w:hAnsi="Calibri"/>
                <w:color w:val="000000"/>
                <w:sz w:val="16"/>
                <w:szCs w:val="16"/>
              </w:rPr>
            </w:pPr>
            <w:r w:rsidRPr="005863FA">
              <w:rPr>
                <w:rFonts w:ascii="Calibri" w:hAnsi="Calibri"/>
                <w:color w:val="000000"/>
                <w:sz w:val="16"/>
                <w:szCs w:val="16"/>
              </w:rPr>
              <w:t>Non-Current Borrowing</w:t>
            </w:r>
          </w:p>
        </w:tc>
        <w:tc>
          <w:tcPr>
            <w:tcW w:w="3520" w:type="dxa"/>
            <w:tcBorders>
              <w:top w:val="single" w:sz="4" w:space="0" w:color="959595"/>
              <w:left w:val="single" w:sz="4" w:space="0" w:color="959595"/>
              <w:bottom w:val="nil"/>
              <w:right w:val="single" w:sz="4" w:space="0" w:color="959595"/>
            </w:tcBorders>
            <w:shd w:val="clear" w:color="auto" w:fill="auto"/>
            <w:hideMark/>
          </w:tcPr>
          <w:p w:rsidR="005863FA" w:rsidRPr="005863FA" w:rsidRDefault="005863FA" w:rsidP="005863FA">
            <w:pPr>
              <w:jc w:val="right"/>
              <w:rPr>
                <w:rFonts w:ascii="Calibri" w:hAnsi="Calibri"/>
                <w:color w:val="000000"/>
                <w:sz w:val="16"/>
                <w:szCs w:val="16"/>
              </w:rPr>
            </w:pPr>
            <w:r w:rsidRPr="005863FA">
              <w:rPr>
                <w:rFonts w:ascii="Calibri" w:hAnsi="Calibri"/>
                <w:color w:val="000000"/>
                <w:sz w:val="16"/>
                <w:szCs w:val="16"/>
              </w:rPr>
              <w:t xml:space="preserve">0 </w:t>
            </w:r>
          </w:p>
        </w:tc>
      </w:tr>
      <w:tr w:rsidR="005863FA" w:rsidRPr="005863FA" w:rsidTr="005863FA">
        <w:trPr>
          <w:trHeight w:val="300"/>
        </w:trPr>
        <w:tc>
          <w:tcPr>
            <w:tcW w:w="2640" w:type="dxa"/>
            <w:tcBorders>
              <w:top w:val="single" w:sz="4" w:space="0" w:color="959595"/>
              <w:left w:val="single" w:sz="4" w:space="0" w:color="959595"/>
              <w:bottom w:val="nil"/>
              <w:right w:val="nil"/>
            </w:tcBorders>
            <w:shd w:val="clear" w:color="000000" w:fill="F9F9F9"/>
            <w:hideMark/>
          </w:tcPr>
          <w:p w:rsidR="005863FA" w:rsidRPr="005863FA" w:rsidRDefault="005863FA" w:rsidP="005863FA">
            <w:pPr>
              <w:rPr>
                <w:rFonts w:ascii="Calibri" w:hAnsi="Calibri"/>
                <w:color w:val="000000"/>
                <w:sz w:val="16"/>
                <w:szCs w:val="16"/>
              </w:rPr>
            </w:pPr>
            <w:r w:rsidRPr="005863FA">
              <w:rPr>
                <w:rFonts w:ascii="Calibri" w:hAnsi="Calibri"/>
                <w:color w:val="000000"/>
                <w:sz w:val="16"/>
                <w:szCs w:val="16"/>
              </w:rPr>
              <w:t>Other Liabilities</w:t>
            </w:r>
          </w:p>
        </w:tc>
        <w:tc>
          <w:tcPr>
            <w:tcW w:w="3520" w:type="dxa"/>
            <w:tcBorders>
              <w:top w:val="single" w:sz="4" w:space="0" w:color="959595"/>
              <w:left w:val="single" w:sz="4" w:space="0" w:color="959595"/>
              <w:bottom w:val="nil"/>
              <w:right w:val="single" w:sz="4" w:space="0" w:color="959595"/>
            </w:tcBorders>
            <w:shd w:val="clear" w:color="auto" w:fill="auto"/>
            <w:hideMark/>
          </w:tcPr>
          <w:p w:rsidR="005863FA" w:rsidRPr="005863FA" w:rsidRDefault="005863FA" w:rsidP="005863FA">
            <w:pPr>
              <w:jc w:val="right"/>
              <w:rPr>
                <w:rFonts w:ascii="Calibri" w:hAnsi="Calibri"/>
                <w:color w:val="000000"/>
                <w:sz w:val="16"/>
                <w:szCs w:val="16"/>
              </w:rPr>
            </w:pPr>
            <w:r w:rsidRPr="005863FA">
              <w:rPr>
                <w:rFonts w:ascii="Calibri" w:hAnsi="Calibri"/>
                <w:color w:val="000000"/>
                <w:sz w:val="16"/>
                <w:szCs w:val="16"/>
              </w:rPr>
              <w:t xml:space="preserve">0 </w:t>
            </w:r>
          </w:p>
        </w:tc>
      </w:tr>
      <w:tr w:rsidR="005863FA" w:rsidRPr="005863FA" w:rsidTr="005863FA">
        <w:trPr>
          <w:trHeight w:val="300"/>
        </w:trPr>
        <w:tc>
          <w:tcPr>
            <w:tcW w:w="2640" w:type="dxa"/>
            <w:tcBorders>
              <w:top w:val="single" w:sz="4" w:space="0" w:color="000000"/>
              <w:left w:val="nil"/>
              <w:bottom w:val="single" w:sz="4" w:space="0" w:color="000000"/>
              <w:right w:val="nil"/>
            </w:tcBorders>
            <w:shd w:val="clear" w:color="000000" w:fill="99CCFF"/>
            <w:hideMark/>
          </w:tcPr>
          <w:p w:rsidR="005863FA" w:rsidRPr="005863FA" w:rsidRDefault="005863FA" w:rsidP="005863FA">
            <w:pPr>
              <w:rPr>
                <w:rFonts w:ascii="Calibri" w:hAnsi="Calibri"/>
                <w:b/>
                <w:bCs/>
                <w:color w:val="000000"/>
                <w:sz w:val="16"/>
                <w:szCs w:val="16"/>
              </w:rPr>
            </w:pPr>
            <w:r w:rsidRPr="005863FA">
              <w:rPr>
                <w:rFonts w:ascii="Calibri" w:hAnsi="Calibri"/>
                <w:b/>
                <w:bCs/>
                <w:color w:val="000000"/>
                <w:sz w:val="16"/>
                <w:szCs w:val="16"/>
              </w:rPr>
              <w:t>Long Term Liabilities</w:t>
            </w:r>
          </w:p>
        </w:tc>
        <w:tc>
          <w:tcPr>
            <w:tcW w:w="3520" w:type="dxa"/>
            <w:tcBorders>
              <w:top w:val="single" w:sz="4" w:space="0" w:color="000000"/>
              <w:left w:val="nil"/>
              <w:bottom w:val="single" w:sz="4" w:space="0" w:color="000000"/>
              <w:right w:val="nil"/>
            </w:tcBorders>
            <w:shd w:val="clear" w:color="000000" w:fill="99CCFF"/>
            <w:hideMark/>
          </w:tcPr>
          <w:p w:rsidR="005863FA" w:rsidRPr="005863FA" w:rsidRDefault="005863FA" w:rsidP="005863FA">
            <w:pPr>
              <w:jc w:val="right"/>
              <w:rPr>
                <w:rFonts w:ascii="Calibri" w:hAnsi="Calibri"/>
                <w:b/>
                <w:bCs/>
                <w:color w:val="000000"/>
                <w:sz w:val="16"/>
                <w:szCs w:val="16"/>
              </w:rPr>
            </w:pPr>
            <w:r w:rsidRPr="005863FA">
              <w:rPr>
                <w:rFonts w:ascii="Calibri" w:hAnsi="Calibri"/>
                <w:b/>
                <w:bCs/>
                <w:color w:val="000000"/>
                <w:sz w:val="16"/>
                <w:szCs w:val="16"/>
              </w:rPr>
              <w:t xml:space="preserve">0 </w:t>
            </w:r>
          </w:p>
        </w:tc>
      </w:tr>
      <w:tr w:rsidR="005863FA" w:rsidRPr="005863FA" w:rsidTr="005863FA">
        <w:trPr>
          <w:trHeight w:val="300"/>
        </w:trPr>
        <w:tc>
          <w:tcPr>
            <w:tcW w:w="2640" w:type="dxa"/>
            <w:tcBorders>
              <w:top w:val="single" w:sz="4" w:space="0" w:color="959595"/>
              <w:left w:val="single" w:sz="4" w:space="0" w:color="959595"/>
              <w:bottom w:val="nil"/>
              <w:right w:val="nil"/>
            </w:tcBorders>
            <w:shd w:val="clear" w:color="000000" w:fill="F9F9F9"/>
            <w:hideMark/>
          </w:tcPr>
          <w:p w:rsidR="005863FA" w:rsidRPr="005863FA" w:rsidRDefault="005863FA" w:rsidP="005863FA">
            <w:pPr>
              <w:rPr>
                <w:rFonts w:ascii="Calibri" w:hAnsi="Calibri"/>
                <w:color w:val="000000"/>
                <w:sz w:val="16"/>
                <w:szCs w:val="16"/>
              </w:rPr>
            </w:pPr>
            <w:r w:rsidRPr="005863FA">
              <w:rPr>
                <w:rFonts w:ascii="Calibri" w:hAnsi="Calibri"/>
                <w:color w:val="000000"/>
                <w:sz w:val="16"/>
                <w:szCs w:val="16"/>
              </w:rPr>
              <w:t>General Fund</w:t>
            </w:r>
          </w:p>
        </w:tc>
        <w:tc>
          <w:tcPr>
            <w:tcW w:w="3520" w:type="dxa"/>
            <w:tcBorders>
              <w:top w:val="single" w:sz="4" w:space="0" w:color="959595"/>
              <w:left w:val="single" w:sz="4" w:space="0" w:color="959595"/>
              <w:bottom w:val="nil"/>
              <w:right w:val="single" w:sz="4" w:space="0" w:color="959595"/>
            </w:tcBorders>
            <w:shd w:val="clear" w:color="auto" w:fill="auto"/>
            <w:hideMark/>
          </w:tcPr>
          <w:p w:rsidR="005863FA" w:rsidRPr="005863FA" w:rsidRDefault="005863FA" w:rsidP="005863FA">
            <w:pPr>
              <w:jc w:val="right"/>
              <w:rPr>
                <w:rFonts w:ascii="Calibri" w:hAnsi="Calibri"/>
                <w:color w:val="000000"/>
                <w:sz w:val="16"/>
                <w:szCs w:val="16"/>
              </w:rPr>
            </w:pPr>
            <w:r w:rsidRPr="005863FA">
              <w:rPr>
                <w:rFonts w:ascii="Calibri" w:hAnsi="Calibri"/>
                <w:color w:val="000000"/>
                <w:sz w:val="16"/>
                <w:szCs w:val="16"/>
              </w:rPr>
              <w:t xml:space="preserve">9,401,859 </w:t>
            </w:r>
          </w:p>
        </w:tc>
      </w:tr>
      <w:tr w:rsidR="005863FA" w:rsidRPr="005863FA" w:rsidTr="005863FA">
        <w:trPr>
          <w:trHeight w:val="300"/>
        </w:trPr>
        <w:tc>
          <w:tcPr>
            <w:tcW w:w="2640" w:type="dxa"/>
            <w:tcBorders>
              <w:top w:val="single" w:sz="4" w:space="0" w:color="959595"/>
              <w:left w:val="single" w:sz="4" w:space="0" w:color="959595"/>
              <w:bottom w:val="nil"/>
              <w:right w:val="nil"/>
            </w:tcBorders>
            <w:shd w:val="clear" w:color="000000" w:fill="F9F9F9"/>
            <w:hideMark/>
          </w:tcPr>
          <w:p w:rsidR="005863FA" w:rsidRPr="005863FA" w:rsidRDefault="005863FA" w:rsidP="005863FA">
            <w:pPr>
              <w:rPr>
                <w:rFonts w:ascii="Calibri" w:hAnsi="Calibri"/>
                <w:color w:val="000000"/>
                <w:sz w:val="16"/>
                <w:szCs w:val="16"/>
              </w:rPr>
            </w:pPr>
            <w:r w:rsidRPr="005863FA">
              <w:rPr>
                <w:rFonts w:ascii="Calibri" w:hAnsi="Calibri"/>
                <w:color w:val="000000"/>
                <w:sz w:val="16"/>
                <w:szCs w:val="16"/>
              </w:rPr>
              <w:t>Share Capital</w:t>
            </w:r>
          </w:p>
        </w:tc>
        <w:tc>
          <w:tcPr>
            <w:tcW w:w="3520" w:type="dxa"/>
            <w:tcBorders>
              <w:top w:val="single" w:sz="4" w:space="0" w:color="959595"/>
              <w:left w:val="single" w:sz="4" w:space="0" w:color="959595"/>
              <w:bottom w:val="nil"/>
              <w:right w:val="single" w:sz="4" w:space="0" w:color="959595"/>
            </w:tcBorders>
            <w:shd w:val="clear" w:color="auto" w:fill="auto"/>
            <w:hideMark/>
          </w:tcPr>
          <w:p w:rsidR="005863FA" w:rsidRPr="005863FA" w:rsidRDefault="005863FA" w:rsidP="005863FA">
            <w:pPr>
              <w:jc w:val="right"/>
              <w:rPr>
                <w:rFonts w:ascii="Calibri" w:hAnsi="Calibri"/>
                <w:color w:val="000000"/>
                <w:sz w:val="16"/>
                <w:szCs w:val="16"/>
              </w:rPr>
            </w:pPr>
            <w:r w:rsidRPr="005863FA">
              <w:rPr>
                <w:rFonts w:ascii="Calibri" w:hAnsi="Calibri"/>
                <w:color w:val="000000"/>
                <w:sz w:val="16"/>
                <w:szCs w:val="16"/>
              </w:rPr>
              <w:t xml:space="preserve">0 </w:t>
            </w:r>
          </w:p>
        </w:tc>
      </w:tr>
      <w:tr w:rsidR="005863FA" w:rsidRPr="005863FA" w:rsidTr="005863FA">
        <w:trPr>
          <w:trHeight w:val="300"/>
        </w:trPr>
        <w:tc>
          <w:tcPr>
            <w:tcW w:w="2640" w:type="dxa"/>
            <w:tcBorders>
              <w:top w:val="single" w:sz="4" w:space="0" w:color="959595"/>
              <w:left w:val="single" w:sz="4" w:space="0" w:color="959595"/>
              <w:bottom w:val="nil"/>
              <w:right w:val="nil"/>
            </w:tcBorders>
            <w:shd w:val="clear" w:color="000000" w:fill="F9F9F9"/>
            <w:hideMark/>
          </w:tcPr>
          <w:p w:rsidR="005863FA" w:rsidRPr="005863FA" w:rsidRDefault="005863FA" w:rsidP="005863FA">
            <w:pPr>
              <w:rPr>
                <w:rFonts w:ascii="Calibri" w:hAnsi="Calibri"/>
                <w:color w:val="000000"/>
                <w:sz w:val="16"/>
                <w:szCs w:val="16"/>
              </w:rPr>
            </w:pPr>
            <w:r w:rsidRPr="005863FA">
              <w:rPr>
                <w:rFonts w:ascii="Calibri" w:hAnsi="Calibri"/>
                <w:color w:val="000000"/>
                <w:sz w:val="16"/>
                <w:szCs w:val="16"/>
              </w:rPr>
              <w:t>Revaluation Reserve</w:t>
            </w:r>
          </w:p>
        </w:tc>
        <w:tc>
          <w:tcPr>
            <w:tcW w:w="3520" w:type="dxa"/>
            <w:tcBorders>
              <w:top w:val="single" w:sz="4" w:space="0" w:color="959595"/>
              <w:left w:val="single" w:sz="4" w:space="0" w:color="959595"/>
              <w:bottom w:val="nil"/>
              <w:right w:val="single" w:sz="4" w:space="0" w:color="959595"/>
            </w:tcBorders>
            <w:shd w:val="clear" w:color="auto" w:fill="auto"/>
            <w:hideMark/>
          </w:tcPr>
          <w:p w:rsidR="005863FA" w:rsidRPr="005863FA" w:rsidRDefault="005863FA" w:rsidP="005863FA">
            <w:pPr>
              <w:jc w:val="right"/>
              <w:rPr>
                <w:rFonts w:ascii="Calibri" w:hAnsi="Calibri"/>
                <w:color w:val="000000"/>
                <w:sz w:val="16"/>
                <w:szCs w:val="16"/>
              </w:rPr>
            </w:pPr>
            <w:r w:rsidRPr="005863FA">
              <w:rPr>
                <w:rFonts w:ascii="Calibri" w:hAnsi="Calibri"/>
                <w:color w:val="000000"/>
                <w:sz w:val="16"/>
                <w:szCs w:val="16"/>
              </w:rPr>
              <w:t xml:space="preserve">0 </w:t>
            </w:r>
          </w:p>
        </w:tc>
      </w:tr>
      <w:tr w:rsidR="005863FA" w:rsidRPr="005863FA" w:rsidTr="005863FA">
        <w:trPr>
          <w:trHeight w:val="300"/>
        </w:trPr>
        <w:tc>
          <w:tcPr>
            <w:tcW w:w="2640" w:type="dxa"/>
            <w:tcBorders>
              <w:top w:val="single" w:sz="4" w:space="0" w:color="959595"/>
              <w:left w:val="single" w:sz="4" w:space="0" w:color="959595"/>
              <w:bottom w:val="nil"/>
              <w:right w:val="nil"/>
            </w:tcBorders>
            <w:shd w:val="clear" w:color="000000" w:fill="F9F9F9"/>
            <w:hideMark/>
          </w:tcPr>
          <w:p w:rsidR="005863FA" w:rsidRPr="005863FA" w:rsidRDefault="005863FA" w:rsidP="005863FA">
            <w:pPr>
              <w:rPr>
                <w:rFonts w:ascii="Calibri" w:hAnsi="Calibri"/>
                <w:color w:val="000000"/>
                <w:sz w:val="16"/>
                <w:szCs w:val="16"/>
              </w:rPr>
            </w:pPr>
            <w:r w:rsidRPr="005863FA">
              <w:rPr>
                <w:rFonts w:ascii="Calibri" w:hAnsi="Calibri"/>
                <w:color w:val="000000"/>
                <w:sz w:val="16"/>
                <w:szCs w:val="16"/>
              </w:rPr>
              <w:t>Donated Assets Reserve</w:t>
            </w:r>
          </w:p>
        </w:tc>
        <w:tc>
          <w:tcPr>
            <w:tcW w:w="3520" w:type="dxa"/>
            <w:tcBorders>
              <w:top w:val="single" w:sz="4" w:space="0" w:color="959595"/>
              <w:left w:val="single" w:sz="4" w:space="0" w:color="959595"/>
              <w:bottom w:val="nil"/>
              <w:right w:val="single" w:sz="4" w:space="0" w:color="959595"/>
            </w:tcBorders>
            <w:shd w:val="clear" w:color="auto" w:fill="auto"/>
            <w:hideMark/>
          </w:tcPr>
          <w:p w:rsidR="005863FA" w:rsidRPr="005863FA" w:rsidRDefault="005863FA" w:rsidP="005863FA">
            <w:pPr>
              <w:jc w:val="right"/>
              <w:rPr>
                <w:rFonts w:ascii="Calibri" w:hAnsi="Calibri"/>
                <w:color w:val="000000"/>
                <w:sz w:val="16"/>
                <w:szCs w:val="16"/>
              </w:rPr>
            </w:pPr>
            <w:r w:rsidRPr="005863FA">
              <w:rPr>
                <w:rFonts w:ascii="Calibri" w:hAnsi="Calibri"/>
                <w:color w:val="000000"/>
                <w:sz w:val="16"/>
                <w:szCs w:val="16"/>
              </w:rPr>
              <w:t xml:space="preserve">0 </w:t>
            </w:r>
          </w:p>
        </w:tc>
      </w:tr>
      <w:tr w:rsidR="005863FA" w:rsidRPr="005863FA" w:rsidTr="005863FA">
        <w:trPr>
          <w:trHeight w:val="300"/>
        </w:trPr>
        <w:tc>
          <w:tcPr>
            <w:tcW w:w="2640" w:type="dxa"/>
            <w:tcBorders>
              <w:top w:val="single" w:sz="4" w:space="0" w:color="959595"/>
              <w:left w:val="single" w:sz="4" w:space="0" w:color="959595"/>
              <w:bottom w:val="nil"/>
              <w:right w:val="nil"/>
            </w:tcBorders>
            <w:shd w:val="clear" w:color="000000" w:fill="F9F9F9"/>
            <w:hideMark/>
          </w:tcPr>
          <w:p w:rsidR="005863FA" w:rsidRPr="005863FA" w:rsidRDefault="005863FA" w:rsidP="005863FA">
            <w:pPr>
              <w:rPr>
                <w:rFonts w:ascii="Calibri" w:hAnsi="Calibri"/>
                <w:color w:val="000000"/>
                <w:sz w:val="16"/>
                <w:szCs w:val="16"/>
              </w:rPr>
            </w:pPr>
            <w:r w:rsidRPr="005863FA">
              <w:rPr>
                <w:rFonts w:ascii="Calibri" w:hAnsi="Calibri"/>
                <w:color w:val="000000"/>
                <w:sz w:val="16"/>
                <w:szCs w:val="16"/>
              </w:rPr>
              <w:t>Government Grants Reserve</w:t>
            </w:r>
          </w:p>
        </w:tc>
        <w:tc>
          <w:tcPr>
            <w:tcW w:w="3520" w:type="dxa"/>
            <w:tcBorders>
              <w:top w:val="single" w:sz="4" w:space="0" w:color="959595"/>
              <w:left w:val="single" w:sz="4" w:space="0" w:color="959595"/>
              <w:bottom w:val="nil"/>
              <w:right w:val="single" w:sz="4" w:space="0" w:color="959595"/>
            </w:tcBorders>
            <w:shd w:val="clear" w:color="auto" w:fill="auto"/>
            <w:hideMark/>
          </w:tcPr>
          <w:p w:rsidR="005863FA" w:rsidRPr="005863FA" w:rsidRDefault="005863FA" w:rsidP="005863FA">
            <w:pPr>
              <w:jc w:val="right"/>
              <w:rPr>
                <w:rFonts w:ascii="Calibri" w:hAnsi="Calibri"/>
                <w:color w:val="000000"/>
                <w:sz w:val="16"/>
                <w:szCs w:val="16"/>
              </w:rPr>
            </w:pPr>
            <w:r w:rsidRPr="005863FA">
              <w:rPr>
                <w:rFonts w:ascii="Calibri" w:hAnsi="Calibri"/>
                <w:color w:val="000000"/>
                <w:sz w:val="16"/>
                <w:szCs w:val="16"/>
              </w:rPr>
              <w:t xml:space="preserve">0 </w:t>
            </w:r>
          </w:p>
        </w:tc>
      </w:tr>
      <w:tr w:rsidR="005863FA" w:rsidRPr="005863FA" w:rsidTr="005863FA">
        <w:trPr>
          <w:trHeight w:val="300"/>
        </w:trPr>
        <w:tc>
          <w:tcPr>
            <w:tcW w:w="2640" w:type="dxa"/>
            <w:tcBorders>
              <w:top w:val="single" w:sz="4" w:space="0" w:color="959595"/>
              <w:left w:val="single" w:sz="4" w:space="0" w:color="959595"/>
              <w:bottom w:val="nil"/>
              <w:right w:val="nil"/>
            </w:tcBorders>
            <w:shd w:val="clear" w:color="000000" w:fill="F9F9F9"/>
            <w:hideMark/>
          </w:tcPr>
          <w:p w:rsidR="005863FA" w:rsidRPr="005863FA" w:rsidRDefault="005863FA" w:rsidP="005863FA">
            <w:pPr>
              <w:rPr>
                <w:rFonts w:ascii="Calibri" w:hAnsi="Calibri"/>
                <w:color w:val="000000"/>
                <w:sz w:val="16"/>
                <w:szCs w:val="16"/>
              </w:rPr>
            </w:pPr>
            <w:r w:rsidRPr="005863FA">
              <w:rPr>
                <w:rFonts w:ascii="Calibri" w:hAnsi="Calibri"/>
                <w:color w:val="000000"/>
                <w:sz w:val="16"/>
                <w:szCs w:val="16"/>
              </w:rPr>
              <w:t>Other Reserves</w:t>
            </w:r>
          </w:p>
        </w:tc>
        <w:tc>
          <w:tcPr>
            <w:tcW w:w="3520" w:type="dxa"/>
            <w:tcBorders>
              <w:top w:val="single" w:sz="4" w:space="0" w:color="959595"/>
              <w:left w:val="single" w:sz="4" w:space="0" w:color="959595"/>
              <w:bottom w:val="nil"/>
              <w:right w:val="single" w:sz="4" w:space="0" w:color="959595"/>
            </w:tcBorders>
            <w:shd w:val="clear" w:color="auto" w:fill="auto"/>
            <w:hideMark/>
          </w:tcPr>
          <w:p w:rsidR="005863FA" w:rsidRPr="005863FA" w:rsidRDefault="005863FA" w:rsidP="005863FA">
            <w:pPr>
              <w:jc w:val="right"/>
              <w:rPr>
                <w:rFonts w:ascii="Calibri" w:hAnsi="Calibri"/>
                <w:color w:val="000000"/>
                <w:sz w:val="16"/>
                <w:szCs w:val="16"/>
              </w:rPr>
            </w:pPr>
            <w:r w:rsidRPr="005863FA">
              <w:rPr>
                <w:rFonts w:ascii="Calibri" w:hAnsi="Calibri"/>
                <w:color w:val="000000"/>
                <w:sz w:val="16"/>
                <w:szCs w:val="16"/>
              </w:rPr>
              <w:t xml:space="preserve">0 </w:t>
            </w:r>
          </w:p>
        </w:tc>
      </w:tr>
      <w:tr w:rsidR="005863FA" w:rsidRPr="005863FA" w:rsidTr="005863FA">
        <w:trPr>
          <w:trHeight w:val="300"/>
        </w:trPr>
        <w:tc>
          <w:tcPr>
            <w:tcW w:w="2640" w:type="dxa"/>
            <w:tcBorders>
              <w:top w:val="single" w:sz="4" w:space="0" w:color="959595"/>
              <w:left w:val="single" w:sz="4" w:space="0" w:color="959595"/>
              <w:bottom w:val="nil"/>
              <w:right w:val="nil"/>
            </w:tcBorders>
            <w:shd w:val="clear" w:color="000000" w:fill="F9F9F9"/>
            <w:hideMark/>
          </w:tcPr>
          <w:p w:rsidR="005863FA" w:rsidRPr="005863FA" w:rsidRDefault="005863FA" w:rsidP="005863FA">
            <w:pPr>
              <w:rPr>
                <w:rFonts w:ascii="Calibri" w:hAnsi="Calibri"/>
                <w:color w:val="000000"/>
                <w:sz w:val="16"/>
                <w:szCs w:val="16"/>
              </w:rPr>
            </w:pPr>
            <w:r w:rsidRPr="005863FA">
              <w:rPr>
                <w:rFonts w:ascii="Calibri" w:hAnsi="Calibri"/>
                <w:color w:val="000000"/>
                <w:sz w:val="16"/>
                <w:szCs w:val="16"/>
              </w:rPr>
              <w:t>Retained Earnings incl. In Year</w:t>
            </w:r>
          </w:p>
        </w:tc>
        <w:tc>
          <w:tcPr>
            <w:tcW w:w="3520" w:type="dxa"/>
            <w:tcBorders>
              <w:top w:val="single" w:sz="4" w:space="0" w:color="959595"/>
              <w:left w:val="single" w:sz="4" w:space="0" w:color="959595"/>
              <w:bottom w:val="nil"/>
              <w:right w:val="single" w:sz="4" w:space="0" w:color="959595"/>
            </w:tcBorders>
            <w:shd w:val="clear" w:color="auto" w:fill="auto"/>
            <w:hideMark/>
          </w:tcPr>
          <w:p w:rsidR="005863FA" w:rsidRPr="005863FA" w:rsidRDefault="005863FA" w:rsidP="005863FA">
            <w:pPr>
              <w:jc w:val="right"/>
              <w:rPr>
                <w:rFonts w:ascii="Calibri" w:hAnsi="Calibri"/>
                <w:color w:val="000000"/>
                <w:sz w:val="16"/>
                <w:szCs w:val="16"/>
              </w:rPr>
            </w:pPr>
            <w:r w:rsidRPr="005863FA">
              <w:rPr>
                <w:rFonts w:ascii="Calibri" w:hAnsi="Calibri"/>
                <w:color w:val="000000"/>
                <w:sz w:val="16"/>
                <w:szCs w:val="16"/>
              </w:rPr>
              <w:t>(6,128,349)</w:t>
            </w:r>
          </w:p>
        </w:tc>
      </w:tr>
      <w:tr w:rsidR="005863FA" w:rsidRPr="005863FA" w:rsidTr="005863FA">
        <w:trPr>
          <w:trHeight w:val="300"/>
        </w:trPr>
        <w:tc>
          <w:tcPr>
            <w:tcW w:w="2640" w:type="dxa"/>
            <w:tcBorders>
              <w:top w:val="single" w:sz="4" w:space="0" w:color="000000"/>
              <w:left w:val="nil"/>
              <w:bottom w:val="single" w:sz="4" w:space="0" w:color="000000"/>
              <w:right w:val="nil"/>
            </w:tcBorders>
            <w:shd w:val="clear" w:color="000000" w:fill="99CCFF"/>
            <w:hideMark/>
          </w:tcPr>
          <w:p w:rsidR="005863FA" w:rsidRPr="005863FA" w:rsidRDefault="005863FA" w:rsidP="005863FA">
            <w:pPr>
              <w:rPr>
                <w:rFonts w:ascii="Calibri" w:hAnsi="Calibri"/>
                <w:b/>
                <w:bCs/>
                <w:color w:val="000000"/>
                <w:sz w:val="16"/>
                <w:szCs w:val="16"/>
              </w:rPr>
            </w:pPr>
            <w:r w:rsidRPr="005863FA">
              <w:rPr>
                <w:rFonts w:ascii="Calibri" w:hAnsi="Calibri"/>
                <w:b/>
                <w:bCs/>
                <w:color w:val="000000"/>
                <w:sz w:val="16"/>
                <w:szCs w:val="16"/>
              </w:rPr>
              <w:t>Total Taxpayers Equity</w:t>
            </w:r>
          </w:p>
        </w:tc>
        <w:tc>
          <w:tcPr>
            <w:tcW w:w="3520" w:type="dxa"/>
            <w:tcBorders>
              <w:top w:val="single" w:sz="4" w:space="0" w:color="000000"/>
              <w:left w:val="nil"/>
              <w:bottom w:val="single" w:sz="4" w:space="0" w:color="000000"/>
              <w:right w:val="nil"/>
            </w:tcBorders>
            <w:shd w:val="clear" w:color="000000" w:fill="99CCFF"/>
            <w:hideMark/>
          </w:tcPr>
          <w:p w:rsidR="005863FA" w:rsidRPr="005863FA" w:rsidRDefault="005863FA" w:rsidP="005863FA">
            <w:pPr>
              <w:jc w:val="right"/>
              <w:rPr>
                <w:rFonts w:ascii="Calibri" w:hAnsi="Calibri"/>
                <w:b/>
                <w:bCs/>
                <w:color w:val="000000"/>
                <w:sz w:val="16"/>
                <w:szCs w:val="16"/>
              </w:rPr>
            </w:pPr>
            <w:r w:rsidRPr="005863FA">
              <w:rPr>
                <w:rFonts w:ascii="Calibri" w:hAnsi="Calibri"/>
                <w:b/>
                <w:bCs/>
                <w:color w:val="000000"/>
                <w:sz w:val="16"/>
                <w:szCs w:val="16"/>
              </w:rPr>
              <w:t xml:space="preserve">3,273,510 </w:t>
            </w:r>
          </w:p>
        </w:tc>
      </w:tr>
      <w:tr w:rsidR="005863FA" w:rsidRPr="005863FA" w:rsidTr="005863FA">
        <w:trPr>
          <w:trHeight w:val="300"/>
        </w:trPr>
        <w:tc>
          <w:tcPr>
            <w:tcW w:w="2640" w:type="dxa"/>
            <w:tcBorders>
              <w:top w:val="single" w:sz="4" w:space="0" w:color="000080"/>
              <w:left w:val="nil"/>
              <w:bottom w:val="single" w:sz="4" w:space="0" w:color="000080"/>
              <w:right w:val="nil"/>
            </w:tcBorders>
            <w:shd w:val="clear" w:color="000000" w:fill="E7E7B7"/>
            <w:hideMark/>
          </w:tcPr>
          <w:p w:rsidR="005863FA" w:rsidRPr="005863FA" w:rsidRDefault="005863FA" w:rsidP="005863FA">
            <w:pPr>
              <w:rPr>
                <w:rFonts w:ascii="Calibri" w:hAnsi="Calibri"/>
                <w:b/>
                <w:bCs/>
                <w:color w:val="000080"/>
                <w:sz w:val="16"/>
                <w:szCs w:val="16"/>
              </w:rPr>
            </w:pPr>
            <w:r w:rsidRPr="005863FA">
              <w:rPr>
                <w:rFonts w:ascii="Calibri" w:hAnsi="Calibri"/>
                <w:b/>
                <w:bCs/>
                <w:color w:val="000080"/>
                <w:sz w:val="16"/>
                <w:szCs w:val="16"/>
              </w:rPr>
              <w:t>Total Liabilities</w:t>
            </w:r>
          </w:p>
        </w:tc>
        <w:tc>
          <w:tcPr>
            <w:tcW w:w="3520" w:type="dxa"/>
            <w:tcBorders>
              <w:top w:val="single" w:sz="4" w:space="0" w:color="333366"/>
              <w:left w:val="nil"/>
              <w:bottom w:val="single" w:sz="4" w:space="0" w:color="333366"/>
              <w:right w:val="nil"/>
            </w:tcBorders>
            <w:shd w:val="clear" w:color="000000" w:fill="E7E7B7"/>
            <w:hideMark/>
          </w:tcPr>
          <w:p w:rsidR="005863FA" w:rsidRPr="005863FA" w:rsidRDefault="005863FA" w:rsidP="005863FA">
            <w:pPr>
              <w:jc w:val="right"/>
              <w:rPr>
                <w:rFonts w:ascii="Calibri" w:hAnsi="Calibri"/>
                <w:b/>
                <w:bCs/>
                <w:color w:val="000080"/>
                <w:sz w:val="16"/>
                <w:szCs w:val="16"/>
              </w:rPr>
            </w:pPr>
            <w:r w:rsidRPr="005863FA">
              <w:rPr>
                <w:rFonts w:ascii="Calibri" w:hAnsi="Calibri"/>
                <w:b/>
                <w:bCs/>
                <w:color w:val="000080"/>
                <w:sz w:val="16"/>
                <w:szCs w:val="16"/>
              </w:rPr>
              <w:t xml:space="preserve">4,426,742 </w:t>
            </w:r>
          </w:p>
        </w:tc>
      </w:tr>
    </w:tbl>
    <w:p w:rsidR="005863FA" w:rsidRDefault="005863FA" w:rsidP="005863FA">
      <w:pPr>
        <w:spacing w:line="276" w:lineRule="auto"/>
        <w:rPr>
          <w:rFonts w:ascii="Arial" w:hAnsi="Arial" w:cs="Arial"/>
          <w:b/>
          <w:sz w:val="22"/>
          <w:szCs w:val="22"/>
        </w:rPr>
      </w:pPr>
    </w:p>
    <w:sectPr w:rsidR="005863FA" w:rsidSect="006D1A57">
      <w:pgSz w:w="11906" w:h="16838"/>
      <w:pgMar w:top="709" w:right="992" w:bottom="720"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7AD" w:rsidRDefault="007B77AD" w:rsidP="00412C00">
      <w:r>
        <w:separator/>
      </w:r>
    </w:p>
  </w:endnote>
  <w:endnote w:type="continuationSeparator" w:id="0">
    <w:p w:rsidR="007B77AD" w:rsidRDefault="007B77AD"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866406"/>
      <w:docPartObj>
        <w:docPartGallery w:val="Page Numbers (Bottom of Page)"/>
        <w:docPartUnique/>
      </w:docPartObj>
    </w:sdtPr>
    <w:sdtEndPr>
      <w:rPr>
        <w:rFonts w:ascii="Arial" w:hAnsi="Arial"/>
        <w:noProof/>
        <w:sz w:val="16"/>
      </w:rPr>
    </w:sdtEndPr>
    <w:sdtContent>
      <w:p w:rsidR="007B77AD" w:rsidRPr="00195D4C" w:rsidRDefault="007B77AD">
        <w:pPr>
          <w:pStyle w:val="Footer"/>
          <w:jc w:val="center"/>
          <w:rPr>
            <w:rFonts w:ascii="Arial" w:hAnsi="Arial"/>
            <w:sz w:val="16"/>
          </w:rPr>
        </w:pPr>
        <w:r w:rsidRPr="00195D4C">
          <w:rPr>
            <w:rFonts w:ascii="Arial" w:hAnsi="Arial"/>
            <w:sz w:val="16"/>
          </w:rPr>
          <w:fldChar w:fldCharType="begin"/>
        </w:r>
        <w:r w:rsidRPr="00195D4C">
          <w:rPr>
            <w:rFonts w:ascii="Arial" w:hAnsi="Arial"/>
            <w:sz w:val="16"/>
          </w:rPr>
          <w:instrText xml:space="preserve"> PAGE   \* MERGEFORMAT </w:instrText>
        </w:r>
        <w:r w:rsidRPr="00195D4C">
          <w:rPr>
            <w:rFonts w:ascii="Arial" w:hAnsi="Arial"/>
            <w:sz w:val="16"/>
          </w:rPr>
          <w:fldChar w:fldCharType="separate"/>
        </w:r>
        <w:r w:rsidR="001D4C61">
          <w:rPr>
            <w:rFonts w:ascii="Arial" w:hAnsi="Arial"/>
            <w:noProof/>
            <w:sz w:val="16"/>
          </w:rPr>
          <w:t>5</w:t>
        </w:r>
        <w:r w:rsidRPr="00195D4C">
          <w:rPr>
            <w:rFonts w:ascii="Arial" w:hAnsi="Arial"/>
            <w:noProof/>
            <w:sz w:val="16"/>
          </w:rPr>
          <w:fldChar w:fldCharType="end"/>
        </w:r>
      </w:p>
    </w:sdtContent>
  </w:sdt>
  <w:p w:rsidR="007B77AD" w:rsidRDefault="007B7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7AD" w:rsidRDefault="007B77AD" w:rsidP="00412C00">
      <w:r>
        <w:separator/>
      </w:r>
    </w:p>
  </w:footnote>
  <w:footnote w:type="continuationSeparator" w:id="0">
    <w:p w:rsidR="007B77AD" w:rsidRDefault="007B77AD"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991350"/>
      <w:docPartObj>
        <w:docPartGallery w:val="Watermarks"/>
        <w:docPartUnique/>
      </w:docPartObj>
    </w:sdtPr>
    <w:sdtEndPr/>
    <w:sdtContent>
      <w:p w:rsidR="007B77AD" w:rsidRDefault="001D4C6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1">
    <w:nsid w:val="0AD70165"/>
    <w:multiLevelType w:val="hybridMultilevel"/>
    <w:tmpl w:val="A2703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291220"/>
    <w:multiLevelType w:val="hybridMultilevel"/>
    <w:tmpl w:val="41A0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nsid w:val="264D2251"/>
    <w:multiLevelType w:val="hybridMultilevel"/>
    <w:tmpl w:val="B5620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1567E2"/>
    <w:multiLevelType w:val="hybridMultilevel"/>
    <w:tmpl w:val="30D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3C6BD8"/>
    <w:multiLevelType w:val="hybridMultilevel"/>
    <w:tmpl w:val="FFE826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340A123E"/>
    <w:multiLevelType w:val="hybridMultilevel"/>
    <w:tmpl w:val="B3520682"/>
    <w:lvl w:ilvl="0" w:tplc="7FDA3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13">
    <w:nsid w:val="38956919"/>
    <w:multiLevelType w:val="hybridMultilevel"/>
    <w:tmpl w:val="4F9E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CF31E4"/>
    <w:multiLevelType w:val="hybridMultilevel"/>
    <w:tmpl w:val="826CD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AA5566"/>
    <w:multiLevelType w:val="hybridMultilevel"/>
    <w:tmpl w:val="E54E8C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42365D63"/>
    <w:multiLevelType w:val="hybridMultilevel"/>
    <w:tmpl w:val="95D4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9">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402ABC"/>
    <w:multiLevelType w:val="hybridMultilevel"/>
    <w:tmpl w:val="B00C5BE0"/>
    <w:lvl w:ilvl="0" w:tplc="4504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514036"/>
    <w:multiLevelType w:val="hybridMultilevel"/>
    <w:tmpl w:val="17E0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9449AB"/>
    <w:multiLevelType w:val="hybridMultilevel"/>
    <w:tmpl w:val="B6C8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2E095C"/>
    <w:multiLevelType w:val="hybridMultilevel"/>
    <w:tmpl w:val="573E4722"/>
    <w:lvl w:ilvl="0" w:tplc="5240BF0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CB5A7B"/>
    <w:multiLevelType w:val="hybridMultilevel"/>
    <w:tmpl w:val="CEC2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5938FD"/>
    <w:multiLevelType w:val="hybridMultilevel"/>
    <w:tmpl w:val="F37A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074674"/>
    <w:multiLevelType w:val="hybridMultilevel"/>
    <w:tmpl w:val="1804CAD8"/>
    <w:lvl w:ilvl="0" w:tplc="926A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8D2685"/>
    <w:multiLevelType w:val="hybridMultilevel"/>
    <w:tmpl w:val="7AD6D538"/>
    <w:lvl w:ilvl="0" w:tplc="0CFA2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4476AF"/>
    <w:multiLevelType w:val="hybridMultilevel"/>
    <w:tmpl w:val="F9469464"/>
    <w:lvl w:ilvl="0" w:tplc="52DA0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462F38"/>
    <w:multiLevelType w:val="hybridMultilevel"/>
    <w:tmpl w:val="6E24EA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8147F9"/>
    <w:multiLevelType w:val="hybridMultilevel"/>
    <w:tmpl w:val="6330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760BED"/>
    <w:multiLevelType w:val="hybridMultilevel"/>
    <w:tmpl w:val="47B2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AD4B64"/>
    <w:multiLevelType w:val="hybridMultilevel"/>
    <w:tmpl w:val="D5E68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7D6FD7"/>
    <w:multiLevelType w:val="hybridMultilevel"/>
    <w:tmpl w:val="3D94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112D61"/>
    <w:multiLevelType w:val="hybridMultilevel"/>
    <w:tmpl w:val="9DA8E69E"/>
    <w:lvl w:ilvl="0" w:tplc="BE7C1C0E">
      <w:start w:val="1"/>
      <w:numFmt w:val="lowerLetter"/>
      <w:lvlText w:val="%1."/>
      <w:lvlJc w:val="left"/>
      <w:pPr>
        <w:ind w:left="1080" w:hanging="720"/>
      </w:pPr>
      <w:rPr>
        <w:rFonts w:ascii="Arial" w:eastAsia="Times New Roman" w:hAnsi="Arial" w:cs="Arial"/>
        <w:b w:val="0"/>
      </w:rPr>
    </w:lvl>
    <w:lvl w:ilvl="1" w:tplc="F4A61D06">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1D23C2"/>
    <w:multiLevelType w:val="hybridMultilevel"/>
    <w:tmpl w:val="573AB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FF064A"/>
    <w:multiLevelType w:val="hybridMultilevel"/>
    <w:tmpl w:val="A49205EC"/>
    <w:lvl w:ilvl="0" w:tplc="19BE03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2"/>
  </w:num>
  <w:num w:numId="3">
    <w:abstractNumId w:val="12"/>
  </w:num>
  <w:num w:numId="4">
    <w:abstractNumId w:val="41"/>
  </w:num>
  <w:num w:numId="5">
    <w:abstractNumId w:val="26"/>
  </w:num>
  <w:num w:numId="6">
    <w:abstractNumId w:val="4"/>
  </w:num>
  <w:num w:numId="7">
    <w:abstractNumId w:val="5"/>
  </w:num>
  <w:num w:numId="8">
    <w:abstractNumId w:val="32"/>
  </w:num>
  <w:num w:numId="9">
    <w:abstractNumId w:val="19"/>
  </w:num>
  <w:num w:numId="10">
    <w:abstractNumId w:val="14"/>
  </w:num>
  <w:num w:numId="11">
    <w:abstractNumId w:val="11"/>
  </w:num>
  <w:num w:numId="12">
    <w:abstractNumId w:val="0"/>
  </w:num>
  <w:num w:numId="13">
    <w:abstractNumId w:val="6"/>
  </w:num>
  <w:num w:numId="14">
    <w:abstractNumId w:val="18"/>
  </w:num>
  <w:num w:numId="15">
    <w:abstractNumId w:val="3"/>
  </w:num>
  <w:num w:numId="16">
    <w:abstractNumId w:val="33"/>
  </w:num>
  <w:num w:numId="17">
    <w:abstractNumId w:val="39"/>
  </w:num>
  <w:num w:numId="18">
    <w:abstractNumId w:val="28"/>
  </w:num>
  <w:num w:numId="19">
    <w:abstractNumId w:val="20"/>
  </w:num>
  <w:num w:numId="20">
    <w:abstractNumId w:val="30"/>
  </w:num>
  <w:num w:numId="21">
    <w:abstractNumId w:val="29"/>
  </w:num>
  <w:num w:numId="22">
    <w:abstractNumId w:val="10"/>
  </w:num>
  <w:num w:numId="23">
    <w:abstractNumId w:val="24"/>
  </w:num>
  <w:num w:numId="24">
    <w:abstractNumId w:val="38"/>
  </w:num>
  <w:num w:numId="25">
    <w:abstractNumId w:val="35"/>
  </w:num>
  <w:num w:numId="26">
    <w:abstractNumId w:val="15"/>
  </w:num>
  <w:num w:numId="27">
    <w:abstractNumId w:val="27"/>
  </w:num>
  <w:num w:numId="28">
    <w:abstractNumId w:val="42"/>
  </w:num>
  <w:num w:numId="29">
    <w:abstractNumId w:val="23"/>
  </w:num>
  <w:num w:numId="30">
    <w:abstractNumId w:val="31"/>
  </w:num>
  <w:num w:numId="31">
    <w:abstractNumId w:val="16"/>
  </w:num>
  <w:num w:numId="32">
    <w:abstractNumId w:val="25"/>
  </w:num>
  <w:num w:numId="33">
    <w:abstractNumId w:val="1"/>
  </w:num>
  <w:num w:numId="34">
    <w:abstractNumId w:val="36"/>
  </w:num>
  <w:num w:numId="35">
    <w:abstractNumId w:val="8"/>
  </w:num>
  <w:num w:numId="36">
    <w:abstractNumId w:val="22"/>
  </w:num>
  <w:num w:numId="37">
    <w:abstractNumId w:val="9"/>
  </w:num>
  <w:num w:numId="38">
    <w:abstractNumId w:val="17"/>
  </w:num>
  <w:num w:numId="39">
    <w:abstractNumId w:val="21"/>
  </w:num>
  <w:num w:numId="40">
    <w:abstractNumId w:val="7"/>
  </w:num>
  <w:num w:numId="41">
    <w:abstractNumId w:val="40"/>
  </w:num>
  <w:num w:numId="42">
    <w:abstractNumId w:val="3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2E5F"/>
    <w:rsid w:val="00004C4F"/>
    <w:rsid w:val="0000631A"/>
    <w:rsid w:val="00006A45"/>
    <w:rsid w:val="00006BA4"/>
    <w:rsid w:val="00007DD1"/>
    <w:rsid w:val="000116C8"/>
    <w:rsid w:val="00011FDF"/>
    <w:rsid w:val="00012A71"/>
    <w:rsid w:val="000140FE"/>
    <w:rsid w:val="00015D1D"/>
    <w:rsid w:val="0001646D"/>
    <w:rsid w:val="00016856"/>
    <w:rsid w:val="00017760"/>
    <w:rsid w:val="000200FA"/>
    <w:rsid w:val="00020483"/>
    <w:rsid w:val="00020E2E"/>
    <w:rsid w:val="000217E9"/>
    <w:rsid w:val="00021ABB"/>
    <w:rsid w:val="00022301"/>
    <w:rsid w:val="000228BD"/>
    <w:rsid w:val="0002376C"/>
    <w:rsid w:val="000239F7"/>
    <w:rsid w:val="0002461E"/>
    <w:rsid w:val="00024BC8"/>
    <w:rsid w:val="000256C9"/>
    <w:rsid w:val="000271F4"/>
    <w:rsid w:val="00030167"/>
    <w:rsid w:val="00032034"/>
    <w:rsid w:val="0003250E"/>
    <w:rsid w:val="00033BC9"/>
    <w:rsid w:val="00033FF1"/>
    <w:rsid w:val="00034A25"/>
    <w:rsid w:val="00034D0F"/>
    <w:rsid w:val="00035367"/>
    <w:rsid w:val="0003758C"/>
    <w:rsid w:val="00037838"/>
    <w:rsid w:val="00040F35"/>
    <w:rsid w:val="0004137A"/>
    <w:rsid w:val="00042A65"/>
    <w:rsid w:val="0004366E"/>
    <w:rsid w:val="0004442F"/>
    <w:rsid w:val="00044467"/>
    <w:rsid w:val="0004446C"/>
    <w:rsid w:val="00044D07"/>
    <w:rsid w:val="00045648"/>
    <w:rsid w:val="00047960"/>
    <w:rsid w:val="00052048"/>
    <w:rsid w:val="0005228C"/>
    <w:rsid w:val="00053090"/>
    <w:rsid w:val="00054430"/>
    <w:rsid w:val="000550DF"/>
    <w:rsid w:val="00055303"/>
    <w:rsid w:val="00055506"/>
    <w:rsid w:val="00055EF8"/>
    <w:rsid w:val="00056576"/>
    <w:rsid w:val="0006158F"/>
    <w:rsid w:val="00062CA4"/>
    <w:rsid w:val="00062DFD"/>
    <w:rsid w:val="0006430C"/>
    <w:rsid w:val="000658EF"/>
    <w:rsid w:val="0006597A"/>
    <w:rsid w:val="00065E53"/>
    <w:rsid w:val="00066196"/>
    <w:rsid w:val="0006732B"/>
    <w:rsid w:val="00070A74"/>
    <w:rsid w:val="000719DD"/>
    <w:rsid w:val="00072739"/>
    <w:rsid w:val="00075A82"/>
    <w:rsid w:val="00076DE4"/>
    <w:rsid w:val="000776EB"/>
    <w:rsid w:val="0008641C"/>
    <w:rsid w:val="0008642A"/>
    <w:rsid w:val="00086661"/>
    <w:rsid w:val="00086665"/>
    <w:rsid w:val="000868B4"/>
    <w:rsid w:val="00087B0A"/>
    <w:rsid w:val="00090AC3"/>
    <w:rsid w:val="00091B76"/>
    <w:rsid w:val="00091F54"/>
    <w:rsid w:val="00092A9E"/>
    <w:rsid w:val="000949D1"/>
    <w:rsid w:val="000958EB"/>
    <w:rsid w:val="0009591A"/>
    <w:rsid w:val="00096422"/>
    <w:rsid w:val="0009793E"/>
    <w:rsid w:val="000A0F37"/>
    <w:rsid w:val="000A469D"/>
    <w:rsid w:val="000A5374"/>
    <w:rsid w:val="000B1B00"/>
    <w:rsid w:val="000B2EF8"/>
    <w:rsid w:val="000B483A"/>
    <w:rsid w:val="000B729D"/>
    <w:rsid w:val="000B79E8"/>
    <w:rsid w:val="000C0ACC"/>
    <w:rsid w:val="000C1D47"/>
    <w:rsid w:val="000C1DF1"/>
    <w:rsid w:val="000C29D5"/>
    <w:rsid w:val="000C43BE"/>
    <w:rsid w:val="000C5914"/>
    <w:rsid w:val="000C6150"/>
    <w:rsid w:val="000C6D92"/>
    <w:rsid w:val="000D0C92"/>
    <w:rsid w:val="000D1E92"/>
    <w:rsid w:val="000D2212"/>
    <w:rsid w:val="000D2990"/>
    <w:rsid w:val="000D2D89"/>
    <w:rsid w:val="000D2F24"/>
    <w:rsid w:val="000D3D3A"/>
    <w:rsid w:val="000D3DBD"/>
    <w:rsid w:val="000D4339"/>
    <w:rsid w:val="000D4449"/>
    <w:rsid w:val="000D471E"/>
    <w:rsid w:val="000D47A6"/>
    <w:rsid w:val="000D5B3D"/>
    <w:rsid w:val="000D6B10"/>
    <w:rsid w:val="000D6E69"/>
    <w:rsid w:val="000D711F"/>
    <w:rsid w:val="000D7316"/>
    <w:rsid w:val="000E02D9"/>
    <w:rsid w:val="000E0B72"/>
    <w:rsid w:val="000E2B98"/>
    <w:rsid w:val="000E66A4"/>
    <w:rsid w:val="000E694D"/>
    <w:rsid w:val="000E771A"/>
    <w:rsid w:val="000E7FD2"/>
    <w:rsid w:val="000F0C7B"/>
    <w:rsid w:val="000F15BA"/>
    <w:rsid w:val="000F27AB"/>
    <w:rsid w:val="000F2E5B"/>
    <w:rsid w:val="000F4DF3"/>
    <w:rsid w:val="000F612E"/>
    <w:rsid w:val="000F669F"/>
    <w:rsid w:val="000F7175"/>
    <w:rsid w:val="000F71C0"/>
    <w:rsid w:val="0010188D"/>
    <w:rsid w:val="00105649"/>
    <w:rsid w:val="00105927"/>
    <w:rsid w:val="001059BA"/>
    <w:rsid w:val="00106106"/>
    <w:rsid w:val="00106232"/>
    <w:rsid w:val="00107767"/>
    <w:rsid w:val="00111951"/>
    <w:rsid w:val="0011341B"/>
    <w:rsid w:val="001138E6"/>
    <w:rsid w:val="0011557E"/>
    <w:rsid w:val="00115E84"/>
    <w:rsid w:val="00116098"/>
    <w:rsid w:val="001166D1"/>
    <w:rsid w:val="001178C9"/>
    <w:rsid w:val="00122DA1"/>
    <w:rsid w:val="00123FF0"/>
    <w:rsid w:val="00124893"/>
    <w:rsid w:val="00124AA3"/>
    <w:rsid w:val="00124E28"/>
    <w:rsid w:val="00126C0D"/>
    <w:rsid w:val="00127B75"/>
    <w:rsid w:val="00127C34"/>
    <w:rsid w:val="00130783"/>
    <w:rsid w:val="00132DB0"/>
    <w:rsid w:val="001339A4"/>
    <w:rsid w:val="00135C17"/>
    <w:rsid w:val="00136DAB"/>
    <w:rsid w:val="0013718B"/>
    <w:rsid w:val="001415A5"/>
    <w:rsid w:val="00143415"/>
    <w:rsid w:val="00143E29"/>
    <w:rsid w:val="00145DEA"/>
    <w:rsid w:val="001504B0"/>
    <w:rsid w:val="00150CE4"/>
    <w:rsid w:val="001516FA"/>
    <w:rsid w:val="001528FE"/>
    <w:rsid w:val="0015351D"/>
    <w:rsid w:val="00153A62"/>
    <w:rsid w:val="00153E82"/>
    <w:rsid w:val="001540D4"/>
    <w:rsid w:val="00154E36"/>
    <w:rsid w:val="0015575A"/>
    <w:rsid w:val="00156315"/>
    <w:rsid w:val="0016044C"/>
    <w:rsid w:val="001609ED"/>
    <w:rsid w:val="00160F9B"/>
    <w:rsid w:val="0016158F"/>
    <w:rsid w:val="00161C29"/>
    <w:rsid w:val="00162CB2"/>
    <w:rsid w:val="00163364"/>
    <w:rsid w:val="00163A5A"/>
    <w:rsid w:val="00165567"/>
    <w:rsid w:val="00165D47"/>
    <w:rsid w:val="00166209"/>
    <w:rsid w:val="001677C5"/>
    <w:rsid w:val="001679C3"/>
    <w:rsid w:val="00167A33"/>
    <w:rsid w:val="00167B08"/>
    <w:rsid w:val="00167EFA"/>
    <w:rsid w:val="00171C23"/>
    <w:rsid w:val="001721FC"/>
    <w:rsid w:val="00172DD0"/>
    <w:rsid w:val="00181165"/>
    <w:rsid w:val="00181BB8"/>
    <w:rsid w:val="00182577"/>
    <w:rsid w:val="00182D5E"/>
    <w:rsid w:val="001839DD"/>
    <w:rsid w:val="00185C18"/>
    <w:rsid w:val="0018609F"/>
    <w:rsid w:val="00186CEF"/>
    <w:rsid w:val="00187F7B"/>
    <w:rsid w:val="0019002F"/>
    <w:rsid w:val="001924BC"/>
    <w:rsid w:val="00192D07"/>
    <w:rsid w:val="001931DA"/>
    <w:rsid w:val="00194497"/>
    <w:rsid w:val="00194AB0"/>
    <w:rsid w:val="00194FFE"/>
    <w:rsid w:val="00195D4C"/>
    <w:rsid w:val="001965A9"/>
    <w:rsid w:val="001A01D0"/>
    <w:rsid w:val="001A1F7B"/>
    <w:rsid w:val="001A2303"/>
    <w:rsid w:val="001A387F"/>
    <w:rsid w:val="001A6027"/>
    <w:rsid w:val="001A7ECD"/>
    <w:rsid w:val="001B0417"/>
    <w:rsid w:val="001B0713"/>
    <w:rsid w:val="001B085C"/>
    <w:rsid w:val="001B0CA4"/>
    <w:rsid w:val="001B12BA"/>
    <w:rsid w:val="001B1E04"/>
    <w:rsid w:val="001B3CD0"/>
    <w:rsid w:val="001B4F9E"/>
    <w:rsid w:val="001B52B4"/>
    <w:rsid w:val="001B669B"/>
    <w:rsid w:val="001B686D"/>
    <w:rsid w:val="001C2AB3"/>
    <w:rsid w:val="001C2FF9"/>
    <w:rsid w:val="001C4432"/>
    <w:rsid w:val="001C63CB"/>
    <w:rsid w:val="001C6861"/>
    <w:rsid w:val="001C6A8A"/>
    <w:rsid w:val="001C6C26"/>
    <w:rsid w:val="001D039E"/>
    <w:rsid w:val="001D083E"/>
    <w:rsid w:val="001D1C69"/>
    <w:rsid w:val="001D4C61"/>
    <w:rsid w:val="001D4F68"/>
    <w:rsid w:val="001D5F0F"/>
    <w:rsid w:val="001D6A8C"/>
    <w:rsid w:val="001D6D12"/>
    <w:rsid w:val="001D76BF"/>
    <w:rsid w:val="001E1F42"/>
    <w:rsid w:val="001E2FDD"/>
    <w:rsid w:val="001E4B23"/>
    <w:rsid w:val="001E4F94"/>
    <w:rsid w:val="001E5CAA"/>
    <w:rsid w:val="001E5DDC"/>
    <w:rsid w:val="001E7EB7"/>
    <w:rsid w:val="001F0FB2"/>
    <w:rsid w:val="001F316E"/>
    <w:rsid w:val="001F321D"/>
    <w:rsid w:val="001F5929"/>
    <w:rsid w:val="001F7421"/>
    <w:rsid w:val="00201909"/>
    <w:rsid w:val="00204E97"/>
    <w:rsid w:val="0020685D"/>
    <w:rsid w:val="002071FA"/>
    <w:rsid w:val="0020721C"/>
    <w:rsid w:val="00210D21"/>
    <w:rsid w:val="00210E3A"/>
    <w:rsid w:val="002132A1"/>
    <w:rsid w:val="002132BF"/>
    <w:rsid w:val="00215482"/>
    <w:rsid w:val="00215D81"/>
    <w:rsid w:val="00217F4F"/>
    <w:rsid w:val="002220C8"/>
    <w:rsid w:val="002228B6"/>
    <w:rsid w:val="00222CFA"/>
    <w:rsid w:val="00222E1A"/>
    <w:rsid w:val="0022372A"/>
    <w:rsid w:val="00225904"/>
    <w:rsid w:val="002260C0"/>
    <w:rsid w:val="00226834"/>
    <w:rsid w:val="002279D6"/>
    <w:rsid w:val="002303C6"/>
    <w:rsid w:val="00232B6B"/>
    <w:rsid w:val="0023394B"/>
    <w:rsid w:val="00234F1A"/>
    <w:rsid w:val="00236B2E"/>
    <w:rsid w:val="00237BF3"/>
    <w:rsid w:val="00237F3F"/>
    <w:rsid w:val="00240999"/>
    <w:rsid w:val="00241A21"/>
    <w:rsid w:val="002436F9"/>
    <w:rsid w:val="00243A93"/>
    <w:rsid w:val="002441AD"/>
    <w:rsid w:val="00244AB6"/>
    <w:rsid w:val="002450FB"/>
    <w:rsid w:val="002451D5"/>
    <w:rsid w:val="0024691C"/>
    <w:rsid w:val="0024697B"/>
    <w:rsid w:val="002472C7"/>
    <w:rsid w:val="0025092F"/>
    <w:rsid w:val="002510CE"/>
    <w:rsid w:val="00252EDF"/>
    <w:rsid w:val="0025337B"/>
    <w:rsid w:val="0025472D"/>
    <w:rsid w:val="00254D93"/>
    <w:rsid w:val="0025538B"/>
    <w:rsid w:val="00255578"/>
    <w:rsid w:val="002559B6"/>
    <w:rsid w:val="002570C1"/>
    <w:rsid w:val="002574E5"/>
    <w:rsid w:val="00257A11"/>
    <w:rsid w:val="00262B57"/>
    <w:rsid w:val="00262D70"/>
    <w:rsid w:val="00264356"/>
    <w:rsid w:val="00265C5D"/>
    <w:rsid w:val="002672C3"/>
    <w:rsid w:val="002675C3"/>
    <w:rsid w:val="00271399"/>
    <w:rsid w:val="0027173D"/>
    <w:rsid w:val="00271847"/>
    <w:rsid w:val="00272143"/>
    <w:rsid w:val="00272AA5"/>
    <w:rsid w:val="00272C4C"/>
    <w:rsid w:val="00273148"/>
    <w:rsid w:val="00273479"/>
    <w:rsid w:val="00273C65"/>
    <w:rsid w:val="00274232"/>
    <w:rsid w:val="00275BC6"/>
    <w:rsid w:val="00277DB0"/>
    <w:rsid w:val="0028079F"/>
    <w:rsid w:val="002823E9"/>
    <w:rsid w:val="00285E21"/>
    <w:rsid w:val="00286591"/>
    <w:rsid w:val="00286A07"/>
    <w:rsid w:val="00286A74"/>
    <w:rsid w:val="00286AF0"/>
    <w:rsid w:val="00286BA4"/>
    <w:rsid w:val="002905D6"/>
    <w:rsid w:val="00290CF7"/>
    <w:rsid w:val="00290FFE"/>
    <w:rsid w:val="002914D3"/>
    <w:rsid w:val="0029266C"/>
    <w:rsid w:val="00292E08"/>
    <w:rsid w:val="0029462A"/>
    <w:rsid w:val="00296174"/>
    <w:rsid w:val="00297100"/>
    <w:rsid w:val="002974DC"/>
    <w:rsid w:val="002A13D0"/>
    <w:rsid w:val="002A6EF8"/>
    <w:rsid w:val="002A77E4"/>
    <w:rsid w:val="002B0554"/>
    <w:rsid w:val="002B1ABB"/>
    <w:rsid w:val="002B2061"/>
    <w:rsid w:val="002B2EAA"/>
    <w:rsid w:val="002B3AF7"/>
    <w:rsid w:val="002B3BD5"/>
    <w:rsid w:val="002B41B5"/>
    <w:rsid w:val="002B41F8"/>
    <w:rsid w:val="002B587B"/>
    <w:rsid w:val="002B67AD"/>
    <w:rsid w:val="002B6BA1"/>
    <w:rsid w:val="002B72F1"/>
    <w:rsid w:val="002B7A58"/>
    <w:rsid w:val="002C0638"/>
    <w:rsid w:val="002C274E"/>
    <w:rsid w:val="002C31D0"/>
    <w:rsid w:val="002C390E"/>
    <w:rsid w:val="002C5578"/>
    <w:rsid w:val="002C75E3"/>
    <w:rsid w:val="002D1079"/>
    <w:rsid w:val="002D19A0"/>
    <w:rsid w:val="002D2375"/>
    <w:rsid w:val="002D25C2"/>
    <w:rsid w:val="002D34F7"/>
    <w:rsid w:val="002D3762"/>
    <w:rsid w:val="002D3FD2"/>
    <w:rsid w:val="002D4299"/>
    <w:rsid w:val="002E0613"/>
    <w:rsid w:val="002E09FA"/>
    <w:rsid w:val="002E0A2A"/>
    <w:rsid w:val="002E2A25"/>
    <w:rsid w:val="002E2D66"/>
    <w:rsid w:val="002E3A3E"/>
    <w:rsid w:val="002E488E"/>
    <w:rsid w:val="002E5EDF"/>
    <w:rsid w:val="002E68D4"/>
    <w:rsid w:val="002E7A27"/>
    <w:rsid w:val="002E7DBF"/>
    <w:rsid w:val="002F0239"/>
    <w:rsid w:val="002F0DFF"/>
    <w:rsid w:val="002F2264"/>
    <w:rsid w:val="002F3A55"/>
    <w:rsid w:val="002F4277"/>
    <w:rsid w:val="002F5E6A"/>
    <w:rsid w:val="002F75F6"/>
    <w:rsid w:val="002F7D0C"/>
    <w:rsid w:val="003001BE"/>
    <w:rsid w:val="003015EB"/>
    <w:rsid w:val="00301714"/>
    <w:rsid w:val="00301D79"/>
    <w:rsid w:val="003047AB"/>
    <w:rsid w:val="00305DE9"/>
    <w:rsid w:val="00306328"/>
    <w:rsid w:val="00306F9F"/>
    <w:rsid w:val="0030786C"/>
    <w:rsid w:val="003078FC"/>
    <w:rsid w:val="00307E54"/>
    <w:rsid w:val="00307FB7"/>
    <w:rsid w:val="00310095"/>
    <w:rsid w:val="00310852"/>
    <w:rsid w:val="00311080"/>
    <w:rsid w:val="00312045"/>
    <w:rsid w:val="00313F03"/>
    <w:rsid w:val="00314BDB"/>
    <w:rsid w:val="0031502B"/>
    <w:rsid w:val="00315375"/>
    <w:rsid w:val="0031644E"/>
    <w:rsid w:val="00316468"/>
    <w:rsid w:val="00316BE4"/>
    <w:rsid w:val="003171A7"/>
    <w:rsid w:val="003179D5"/>
    <w:rsid w:val="00320F7E"/>
    <w:rsid w:val="00322070"/>
    <w:rsid w:val="00323ABE"/>
    <w:rsid w:val="003249BF"/>
    <w:rsid w:val="003310E3"/>
    <w:rsid w:val="00331BF9"/>
    <w:rsid w:val="00333010"/>
    <w:rsid w:val="0033373F"/>
    <w:rsid w:val="003339C3"/>
    <w:rsid w:val="003342CA"/>
    <w:rsid w:val="003373AF"/>
    <w:rsid w:val="003374E1"/>
    <w:rsid w:val="003440AC"/>
    <w:rsid w:val="00344274"/>
    <w:rsid w:val="00344985"/>
    <w:rsid w:val="003449ED"/>
    <w:rsid w:val="003450BD"/>
    <w:rsid w:val="00354EC4"/>
    <w:rsid w:val="00356041"/>
    <w:rsid w:val="003562A2"/>
    <w:rsid w:val="0035681C"/>
    <w:rsid w:val="00357BF3"/>
    <w:rsid w:val="00360238"/>
    <w:rsid w:val="00361367"/>
    <w:rsid w:val="00361479"/>
    <w:rsid w:val="00361853"/>
    <w:rsid w:val="00364482"/>
    <w:rsid w:val="00366C8F"/>
    <w:rsid w:val="00367080"/>
    <w:rsid w:val="00375EE1"/>
    <w:rsid w:val="003764E7"/>
    <w:rsid w:val="003771DA"/>
    <w:rsid w:val="003837D4"/>
    <w:rsid w:val="00386586"/>
    <w:rsid w:val="00386AD1"/>
    <w:rsid w:val="00386ED9"/>
    <w:rsid w:val="0039070C"/>
    <w:rsid w:val="003914C4"/>
    <w:rsid w:val="0039154E"/>
    <w:rsid w:val="00391CF2"/>
    <w:rsid w:val="00392A4F"/>
    <w:rsid w:val="00392D76"/>
    <w:rsid w:val="003930D4"/>
    <w:rsid w:val="00393BEC"/>
    <w:rsid w:val="00395C0A"/>
    <w:rsid w:val="00395FF4"/>
    <w:rsid w:val="0039756E"/>
    <w:rsid w:val="003A1D2D"/>
    <w:rsid w:val="003A2BEF"/>
    <w:rsid w:val="003A3805"/>
    <w:rsid w:val="003A41AE"/>
    <w:rsid w:val="003A42A7"/>
    <w:rsid w:val="003A4D87"/>
    <w:rsid w:val="003A6DA1"/>
    <w:rsid w:val="003B135C"/>
    <w:rsid w:val="003B2F1E"/>
    <w:rsid w:val="003B2F87"/>
    <w:rsid w:val="003B711A"/>
    <w:rsid w:val="003C0EA6"/>
    <w:rsid w:val="003C121B"/>
    <w:rsid w:val="003C1D2F"/>
    <w:rsid w:val="003C2211"/>
    <w:rsid w:val="003C483B"/>
    <w:rsid w:val="003C64BE"/>
    <w:rsid w:val="003C6EBD"/>
    <w:rsid w:val="003D17A0"/>
    <w:rsid w:val="003D18BA"/>
    <w:rsid w:val="003D211B"/>
    <w:rsid w:val="003D2D79"/>
    <w:rsid w:val="003D449D"/>
    <w:rsid w:val="003D4747"/>
    <w:rsid w:val="003D54A5"/>
    <w:rsid w:val="003D5874"/>
    <w:rsid w:val="003D7263"/>
    <w:rsid w:val="003D76E0"/>
    <w:rsid w:val="003E0E56"/>
    <w:rsid w:val="003E1E48"/>
    <w:rsid w:val="003E2D72"/>
    <w:rsid w:val="003E2F76"/>
    <w:rsid w:val="003E3D23"/>
    <w:rsid w:val="003E70FC"/>
    <w:rsid w:val="003E736A"/>
    <w:rsid w:val="003F09C0"/>
    <w:rsid w:val="003F3BB4"/>
    <w:rsid w:val="003F57C1"/>
    <w:rsid w:val="00401265"/>
    <w:rsid w:val="00403E01"/>
    <w:rsid w:val="00405763"/>
    <w:rsid w:val="00406C23"/>
    <w:rsid w:val="0040751E"/>
    <w:rsid w:val="00411FE9"/>
    <w:rsid w:val="00412C00"/>
    <w:rsid w:val="00412F67"/>
    <w:rsid w:val="00413148"/>
    <w:rsid w:val="00413357"/>
    <w:rsid w:val="004139A0"/>
    <w:rsid w:val="004159BE"/>
    <w:rsid w:val="00416EA8"/>
    <w:rsid w:val="0042029E"/>
    <w:rsid w:val="00421288"/>
    <w:rsid w:val="0042146B"/>
    <w:rsid w:val="004226F6"/>
    <w:rsid w:val="0042286D"/>
    <w:rsid w:val="00422BCD"/>
    <w:rsid w:val="00423AEF"/>
    <w:rsid w:val="00425BAC"/>
    <w:rsid w:val="00425DFA"/>
    <w:rsid w:val="00426314"/>
    <w:rsid w:val="00426F4E"/>
    <w:rsid w:val="004308A8"/>
    <w:rsid w:val="00430D14"/>
    <w:rsid w:val="0043174B"/>
    <w:rsid w:val="00431F96"/>
    <w:rsid w:val="00435640"/>
    <w:rsid w:val="004365C6"/>
    <w:rsid w:val="0043662D"/>
    <w:rsid w:val="004405C3"/>
    <w:rsid w:val="00440BCB"/>
    <w:rsid w:val="00441C97"/>
    <w:rsid w:val="00442D4D"/>
    <w:rsid w:val="004458A7"/>
    <w:rsid w:val="00445C3C"/>
    <w:rsid w:val="0044673F"/>
    <w:rsid w:val="00447C0C"/>
    <w:rsid w:val="00447D56"/>
    <w:rsid w:val="00450E4B"/>
    <w:rsid w:val="004516BD"/>
    <w:rsid w:val="00453EFB"/>
    <w:rsid w:val="00454254"/>
    <w:rsid w:val="00461A11"/>
    <w:rsid w:val="00461E1B"/>
    <w:rsid w:val="00461F18"/>
    <w:rsid w:val="004639EE"/>
    <w:rsid w:val="00467605"/>
    <w:rsid w:val="00467624"/>
    <w:rsid w:val="00467649"/>
    <w:rsid w:val="0047014D"/>
    <w:rsid w:val="004703C6"/>
    <w:rsid w:val="004704FD"/>
    <w:rsid w:val="00470CB0"/>
    <w:rsid w:val="0047125F"/>
    <w:rsid w:val="004717CC"/>
    <w:rsid w:val="00471EAB"/>
    <w:rsid w:val="0047213E"/>
    <w:rsid w:val="004721D5"/>
    <w:rsid w:val="00474415"/>
    <w:rsid w:val="004802BC"/>
    <w:rsid w:val="004805B0"/>
    <w:rsid w:val="00480953"/>
    <w:rsid w:val="004818C1"/>
    <w:rsid w:val="00482DF3"/>
    <w:rsid w:val="00482FAD"/>
    <w:rsid w:val="004835A1"/>
    <w:rsid w:val="0048441C"/>
    <w:rsid w:val="00484837"/>
    <w:rsid w:val="0048525C"/>
    <w:rsid w:val="00485908"/>
    <w:rsid w:val="00486466"/>
    <w:rsid w:val="0048687E"/>
    <w:rsid w:val="00486E8F"/>
    <w:rsid w:val="004912DB"/>
    <w:rsid w:val="004916BD"/>
    <w:rsid w:val="004959F4"/>
    <w:rsid w:val="00497F63"/>
    <w:rsid w:val="004A0539"/>
    <w:rsid w:val="004A176F"/>
    <w:rsid w:val="004A1994"/>
    <w:rsid w:val="004A250F"/>
    <w:rsid w:val="004A26E0"/>
    <w:rsid w:val="004A32AC"/>
    <w:rsid w:val="004A5414"/>
    <w:rsid w:val="004A5F70"/>
    <w:rsid w:val="004A71FD"/>
    <w:rsid w:val="004B1A43"/>
    <w:rsid w:val="004B1C3A"/>
    <w:rsid w:val="004B1E14"/>
    <w:rsid w:val="004B249E"/>
    <w:rsid w:val="004B455E"/>
    <w:rsid w:val="004B5487"/>
    <w:rsid w:val="004B57FB"/>
    <w:rsid w:val="004B5BD8"/>
    <w:rsid w:val="004B5C87"/>
    <w:rsid w:val="004B6C9A"/>
    <w:rsid w:val="004C1D2E"/>
    <w:rsid w:val="004C3A2F"/>
    <w:rsid w:val="004C504E"/>
    <w:rsid w:val="004C536A"/>
    <w:rsid w:val="004C5CF8"/>
    <w:rsid w:val="004C68B2"/>
    <w:rsid w:val="004C6AF2"/>
    <w:rsid w:val="004C7812"/>
    <w:rsid w:val="004D1652"/>
    <w:rsid w:val="004D2387"/>
    <w:rsid w:val="004D3744"/>
    <w:rsid w:val="004D4716"/>
    <w:rsid w:val="004D48AE"/>
    <w:rsid w:val="004D4BF4"/>
    <w:rsid w:val="004D5ABD"/>
    <w:rsid w:val="004D61B7"/>
    <w:rsid w:val="004D66B0"/>
    <w:rsid w:val="004E0021"/>
    <w:rsid w:val="004E06FA"/>
    <w:rsid w:val="004E0E9D"/>
    <w:rsid w:val="004E11C1"/>
    <w:rsid w:val="004E25D4"/>
    <w:rsid w:val="004E2AEC"/>
    <w:rsid w:val="004E3AAD"/>
    <w:rsid w:val="004E73A6"/>
    <w:rsid w:val="004F09A1"/>
    <w:rsid w:val="004F1024"/>
    <w:rsid w:val="004F1E1A"/>
    <w:rsid w:val="004F3A45"/>
    <w:rsid w:val="004F4030"/>
    <w:rsid w:val="004F646F"/>
    <w:rsid w:val="005001D2"/>
    <w:rsid w:val="005009CA"/>
    <w:rsid w:val="00500E52"/>
    <w:rsid w:val="00501334"/>
    <w:rsid w:val="005030CD"/>
    <w:rsid w:val="005064E8"/>
    <w:rsid w:val="0050664B"/>
    <w:rsid w:val="00506D7B"/>
    <w:rsid w:val="00511110"/>
    <w:rsid w:val="005113A0"/>
    <w:rsid w:val="00513000"/>
    <w:rsid w:val="00513557"/>
    <w:rsid w:val="005137D7"/>
    <w:rsid w:val="005147D8"/>
    <w:rsid w:val="00516D7F"/>
    <w:rsid w:val="00517C1E"/>
    <w:rsid w:val="005200F4"/>
    <w:rsid w:val="0052112F"/>
    <w:rsid w:val="00527E7A"/>
    <w:rsid w:val="00527EDD"/>
    <w:rsid w:val="00527EE9"/>
    <w:rsid w:val="0053026B"/>
    <w:rsid w:val="00530ADB"/>
    <w:rsid w:val="00534292"/>
    <w:rsid w:val="0053517D"/>
    <w:rsid w:val="00535185"/>
    <w:rsid w:val="005365DC"/>
    <w:rsid w:val="005373EA"/>
    <w:rsid w:val="00537B13"/>
    <w:rsid w:val="00537CC2"/>
    <w:rsid w:val="00540FAA"/>
    <w:rsid w:val="00541193"/>
    <w:rsid w:val="00541CD6"/>
    <w:rsid w:val="00542880"/>
    <w:rsid w:val="00542A77"/>
    <w:rsid w:val="005431F7"/>
    <w:rsid w:val="0054372F"/>
    <w:rsid w:val="00543FAF"/>
    <w:rsid w:val="00544EF0"/>
    <w:rsid w:val="005477F2"/>
    <w:rsid w:val="00552D9B"/>
    <w:rsid w:val="005536F5"/>
    <w:rsid w:val="00553DC5"/>
    <w:rsid w:val="00553F42"/>
    <w:rsid w:val="0055512B"/>
    <w:rsid w:val="00560E95"/>
    <w:rsid w:val="00560F8E"/>
    <w:rsid w:val="00561998"/>
    <w:rsid w:val="00561B03"/>
    <w:rsid w:val="00562279"/>
    <w:rsid w:val="00563BB5"/>
    <w:rsid w:val="0056428E"/>
    <w:rsid w:val="005642DD"/>
    <w:rsid w:val="005645DC"/>
    <w:rsid w:val="00564FF5"/>
    <w:rsid w:val="0057009C"/>
    <w:rsid w:val="00574331"/>
    <w:rsid w:val="005743EE"/>
    <w:rsid w:val="00575DD6"/>
    <w:rsid w:val="00577406"/>
    <w:rsid w:val="00577CC7"/>
    <w:rsid w:val="005810CF"/>
    <w:rsid w:val="005836C1"/>
    <w:rsid w:val="0058476E"/>
    <w:rsid w:val="00584F18"/>
    <w:rsid w:val="00584FC2"/>
    <w:rsid w:val="00585FFC"/>
    <w:rsid w:val="005863FA"/>
    <w:rsid w:val="00590197"/>
    <w:rsid w:val="0059044A"/>
    <w:rsid w:val="00590D64"/>
    <w:rsid w:val="00592E36"/>
    <w:rsid w:val="00592F9B"/>
    <w:rsid w:val="00594040"/>
    <w:rsid w:val="00594AE3"/>
    <w:rsid w:val="00595296"/>
    <w:rsid w:val="00596556"/>
    <w:rsid w:val="00596802"/>
    <w:rsid w:val="0059723D"/>
    <w:rsid w:val="00597AF4"/>
    <w:rsid w:val="005A096F"/>
    <w:rsid w:val="005A2A17"/>
    <w:rsid w:val="005A3E19"/>
    <w:rsid w:val="005B0FDB"/>
    <w:rsid w:val="005B16B1"/>
    <w:rsid w:val="005B2CF0"/>
    <w:rsid w:val="005B2ED3"/>
    <w:rsid w:val="005B3EAA"/>
    <w:rsid w:val="005B60D5"/>
    <w:rsid w:val="005B62D4"/>
    <w:rsid w:val="005B664E"/>
    <w:rsid w:val="005C0C86"/>
    <w:rsid w:val="005C0DAE"/>
    <w:rsid w:val="005C11A4"/>
    <w:rsid w:val="005C163A"/>
    <w:rsid w:val="005C22E6"/>
    <w:rsid w:val="005C269A"/>
    <w:rsid w:val="005C3262"/>
    <w:rsid w:val="005C34A2"/>
    <w:rsid w:val="005C4B0A"/>
    <w:rsid w:val="005C652A"/>
    <w:rsid w:val="005C6E51"/>
    <w:rsid w:val="005C7229"/>
    <w:rsid w:val="005C76AA"/>
    <w:rsid w:val="005D0B92"/>
    <w:rsid w:val="005D36D6"/>
    <w:rsid w:val="005D3876"/>
    <w:rsid w:val="005D3904"/>
    <w:rsid w:val="005E07FE"/>
    <w:rsid w:val="005E103E"/>
    <w:rsid w:val="005E10A2"/>
    <w:rsid w:val="005E28EB"/>
    <w:rsid w:val="005E4465"/>
    <w:rsid w:val="005E5369"/>
    <w:rsid w:val="005E6832"/>
    <w:rsid w:val="005E6B5C"/>
    <w:rsid w:val="005E6D18"/>
    <w:rsid w:val="005E6E81"/>
    <w:rsid w:val="005E715B"/>
    <w:rsid w:val="005F05D0"/>
    <w:rsid w:val="005F1569"/>
    <w:rsid w:val="005F1D45"/>
    <w:rsid w:val="005F2504"/>
    <w:rsid w:val="005F5FBB"/>
    <w:rsid w:val="005F6484"/>
    <w:rsid w:val="006006D4"/>
    <w:rsid w:val="0060330C"/>
    <w:rsid w:val="00603D40"/>
    <w:rsid w:val="0060431A"/>
    <w:rsid w:val="006054C2"/>
    <w:rsid w:val="00605553"/>
    <w:rsid w:val="0060575A"/>
    <w:rsid w:val="006059DC"/>
    <w:rsid w:val="00605A97"/>
    <w:rsid w:val="00606CBA"/>
    <w:rsid w:val="006102C2"/>
    <w:rsid w:val="006120D4"/>
    <w:rsid w:val="0061231A"/>
    <w:rsid w:val="00612681"/>
    <w:rsid w:val="00613941"/>
    <w:rsid w:val="00615A53"/>
    <w:rsid w:val="00616C9F"/>
    <w:rsid w:val="00622610"/>
    <w:rsid w:val="00623DCB"/>
    <w:rsid w:val="00624CA0"/>
    <w:rsid w:val="0062568C"/>
    <w:rsid w:val="006256EB"/>
    <w:rsid w:val="006273CF"/>
    <w:rsid w:val="00627FC3"/>
    <w:rsid w:val="0063161D"/>
    <w:rsid w:val="00631A38"/>
    <w:rsid w:val="00633529"/>
    <w:rsid w:val="00633BB4"/>
    <w:rsid w:val="00634D6C"/>
    <w:rsid w:val="00634E33"/>
    <w:rsid w:val="00635141"/>
    <w:rsid w:val="00635AA6"/>
    <w:rsid w:val="00635B3F"/>
    <w:rsid w:val="00636D90"/>
    <w:rsid w:val="00637E98"/>
    <w:rsid w:val="0064012C"/>
    <w:rsid w:val="00641123"/>
    <w:rsid w:val="00641BB9"/>
    <w:rsid w:val="00642455"/>
    <w:rsid w:val="00643128"/>
    <w:rsid w:val="00643927"/>
    <w:rsid w:val="00643F97"/>
    <w:rsid w:val="00643FCA"/>
    <w:rsid w:val="00644946"/>
    <w:rsid w:val="00645669"/>
    <w:rsid w:val="00646BC4"/>
    <w:rsid w:val="0064750A"/>
    <w:rsid w:val="00647D7D"/>
    <w:rsid w:val="00651D47"/>
    <w:rsid w:val="00652DA7"/>
    <w:rsid w:val="00653687"/>
    <w:rsid w:val="00655157"/>
    <w:rsid w:val="006562DE"/>
    <w:rsid w:val="00661DE0"/>
    <w:rsid w:val="00661E0A"/>
    <w:rsid w:val="0066437D"/>
    <w:rsid w:val="00664F28"/>
    <w:rsid w:val="00665A34"/>
    <w:rsid w:val="00667AA6"/>
    <w:rsid w:val="0067132A"/>
    <w:rsid w:val="00673ADE"/>
    <w:rsid w:val="00681394"/>
    <w:rsid w:val="006842F3"/>
    <w:rsid w:val="006843BB"/>
    <w:rsid w:val="006846BA"/>
    <w:rsid w:val="00684B3B"/>
    <w:rsid w:val="006856A4"/>
    <w:rsid w:val="006874A4"/>
    <w:rsid w:val="0068754E"/>
    <w:rsid w:val="006908F4"/>
    <w:rsid w:val="006935C1"/>
    <w:rsid w:val="006941E3"/>
    <w:rsid w:val="00694679"/>
    <w:rsid w:val="00696B24"/>
    <w:rsid w:val="00696F60"/>
    <w:rsid w:val="00697117"/>
    <w:rsid w:val="0069728E"/>
    <w:rsid w:val="006976EC"/>
    <w:rsid w:val="006A08E2"/>
    <w:rsid w:val="006A19BA"/>
    <w:rsid w:val="006A228D"/>
    <w:rsid w:val="006A2367"/>
    <w:rsid w:val="006A2789"/>
    <w:rsid w:val="006A2923"/>
    <w:rsid w:val="006A29F0"/>
    <w:rsid w:val="006A2EF1"/>
    <w:rsid w:val="006A4B31"/>
    <w:rsid w:val="006A67BA"/>
    <w:rsid w:val="006A71A9"/>
    <w:rsid w:val="006A777C"/>
    <w:rsid w:val="006B165D"/>
    <w:rsid w:val="006B17CD"/>
    <w:rsid w:val="006B2E3C"/>
    <w:rsid w:val="006B3D92"/>
    <w:rsid w:val="006B421B"/>
    <w:rsid w:val="006B44B5"/>
    <w:rsid w:val="006B5109"/>
    <w:rsid w:val="006B6BFC"/>
    <w:rsid w:val="006B7149"/>
    <w:rsid w:val="006B7621"/>
    <w:rsid w:val="006B78E4"/>
    <w:rsid w:val="006B7A85"/>
    <w:rsid w:val="006C20DB"/>
    <w:rsid w:val="006C26D7"/>
    <w:rsid w:val="006C31A4"/>
    <w:rsid w:val="006C4EA9"/>
    <w:rsid w:val="006C5107"/>
    <w:rsid w:val="006C6D07"/>
    <w:rsid w:val="006C7344"/>
    <w:rsid w:val="006C7396"/>
    <w:rsid w:val="006D14D3"/>
    <w:rsid w:val="006D1A57"/>
    <w:rsid w:val="006D3824"/>
    <w:rsid w:val="006D3E2A"/>
    <w:rsid w:val="006E1354"/>
    <w:rsid w:val="006E24B3"/>
    <w:rsid w:val="006E30B3"/>
    <w:rsid w:val="006E46EB"/>
    <w:rsid w:val="006E5CB4"/>
    <w:rsid w:val="006E63CA"/>
    <w:rsid w:val="006E76DC"/>
    <w:rsid w:val="006E7D8D"/>
    <w:rsid w:val="006F05D4"/>
    <w:rsid w:val="006F15BD"/>
    <w:rsid w:val="006F24A4"/>
    <w:rsid w:val="006F2974"/>
    <w:rsid w:val="006F2E59"/>
    <w:rsid w:val="006F3E2E"/>
    <w:rsid w:val="006F53B9"/>
    <w:rsid w:val="007006FE"/>
    <w:rsid w:val="007024E6"/>
    <w:rsid w:val="0070253B"/>
    <w:rsid w:val="00703BA7"/>
    <w:rsid w:val="00704323"/>
    <w:rsid w:val="007053F1"/>
    <w:rsid w:val="007055AB"/>
    <w:rsid w:val="00706F89"/>
    <w:rsid w:val="00707D4B"/>
    <w:rsid w:val="007117A0"/>
    <w:rsid w:val="007136E5"/>
    <w:rsid w:val="00714134"/>
    <w:rsid w:val="0071467F"/>
    <w:rsid w:val="00714994"/>
    <w:rsid w:val="00714DBE"/>
    <w:rsid w:val="00714E4B"/>
    <w:rsid w:val="007162EA"/>
    <w:rsid w:val="00716AC4"/>
    <w:rsid w:val="007228B1"/>
    <w:rsid w:val="0072331F"/>
    <w:rsid w:val="00724C5B"/>
    <w:rsid w:val="00725AA5"/>
    <w:rsid w:val="00725C43"/>
    <w:rsid w:val="00727B9F"/>
    <w:rsid w:val="00727F62"/>
    <w:rsid w:val="00731002"/>
    <w:rsid w:val="007315DF"/>
    <w:rsid w:val="007326AA"/>
    <w:rsid w:val="00732803"/>
    <w:rsid w:val="0073688F"/>
    <w:rsid w:val="00736CB7"/>
    <w:rsid w:val="00736D5A"/>
    <w:rsid w:val="00740CAA"/>
    <w:rsid w:val="007414C0"/>
    <w:rsid w:val="00743670"/>
    <w:rsid w:val="007438F2"/>
    <w:rsid w:val="0074522C"/>
    <w:rsid w:val="00745E47"/>
    <w:rsid w:val="00745FAD"/>
    <w:rsid w:val="00747756"/>
    <w:rsid w:val="00750654"/>
    <w:rsid w:val="0075125F"/>
    <w:rsid w:val="007517B3"/>
    <w:rsid w:val="007521C3"/>
    <w:rsid w:val="00752B9D"/>
    <w:rsid w:val="00752D8E"/>
    <w:rsid w:val="00754060"/>
    <w:rsid w:val="00754ACE"/>
    <w:rsid w:val="00755465"/>
    <w:rsid w:val="00755468"/>
    <w:rsid w:val="007561D4"/>
    <w:rsid w:val="00756C30"/>
    <w:rsid w:val="007570C3"/>
    <w:rsid w:val="00757DC4"/>
    <w:rsid w:val="00761B9E"/>
    <w:rsid w:val="0076244F"/>
    <w:rsid w:val="00762DFB"/>
    <w:rsid w:val="0076311E"/>
    <w:rsid w:val="00765609"/>
    <w:rsid w:val="00766455"/>
    <w:rsid w:val="007719C1"/>
    <w:rsid w:val="00771ADD"/>
    <w:rsid w:val="0077211A"/>
    <w:rsid w:val="00772701"/>
    <w:rsid w:val="00773FB5"/>
    <w:rsid w:val="00774CB5"/>
    <w:rsid w:val="00774E04"/>
    <w:rsid w:val="007750D1"/>
    <w:rsid w:val="00776D15"/>
    <w:rsid w:val="00781179"/>
    <w:rsid w:val="007813E1"/>
    <w:rsid w:val="007817C4"/>
    <w:rsid w:val="00781D5C"/>
    <w:rsid w:val="0078207C"/>
    <w:rsid w:val="00784B55"/>
    <w:rsid w:val="00785AD5"/>
    <w:rsid w:val="00785D39"/>
    <w:rsid w:val="007876D3"/>
    <w:rsid w:val="007913AA"/>
    <w:rsid w:val="00791F63"/>
    <w:rsid w:val="00792336"/>
    <w:rsid w:val="00793A2C"/>
    <w:rsid w:val="00794745"/>
    <w:rsid w:val="007948D4"/>
    <w:rsid w:val="00796309"/>
    <w:rsid w:val="007A03AB"/>
    <w:rsid w:val="007A1E4C"/>
    <w:rsid w:val="007A3B4E"/>
    <w:rsid w:val="007A585B"/>
    <w:rsid w:val="007A5B29"/>
    <w:rsid w:val="007A7AB7"/>
    <w:rsid w:val="007B0DBE"/>
    <w:rsid w:val="007B0F30"/>
    <w:rsid w:val="007B2710"/>
    <w:rsid w:val="007B2EE0"/>
    <w:rsid w:val="007B31F5"/>
    <w:rsid w:val="007B50A8"/>
    <w:rsid w:val="007B5BC7"/>
    <w:rsid w:val="007B759B"/>
    <w:rsid w:val="007B77AD"/>
    <w:rsid w:val="007B7FEB"/>
    <w:rsid w:val="007C1562"/>
    <w:rsid w:val="007C1E31"/>
    <w:rsid w:val="007C3356"/>
    <w:rsid w:val="007C48EC"/>
    <w:rsid w:val="007C4AB8"/>
    <w:rsid w:val="007C4EA5"/>
    <w:rsid w:val="007C5117"/>
    <w:rsid w:val="007C542A"/>
    <w:rsid w:val="007C55A4"/>
    <w:rsid w:val="007C5F95"/>
    <w:rsid w:val="007C66A5"/>
    <w:rsid w:val="007C7418"/>
    <w:rsid w:val="007D0BF0"/>
    <w:rsid w:val="007D0D17"/>
    <w:rsid w:val="007D138D"/>
    <w:rsid w:val="007D460A"/>
    <w:rsid w:val="007D4817"/>
    <w:rsid w:val="007D5E35"/>
    <w:rsid w:val="007D6292"/>
    <w:rsid w:val="007E017B"/>
    <w:rsid w:val="007E1B04"/>
    <w:rsid w:val="007E40A4"/>
    <w:rsid w:val="007E7C69"/>
    <w:rsid w:val="007F0DB5"/>
    <w:rsid w:val="007F4552"/>
    <w:rsid w:val="007F458D"/>
    <w:rsid w:val="0080199A"/>
    <w:rsid w:val="008034CE"/>
    <w:rsid w:val="00803D4B"/>
    <w:rsid w:val="008042F3"/>
    <w:rsid w:val="008053CB"/>
    <w:rsid w:val="00806DA2"/>
    <w:rsid w:val="00807387"/>
    <w:rsid w:val="00807CE9"/>
    <w:rsid w:val="00810820"/>
    <w:rsid w:val="00811F22"/>
    <w:rsid w:val="00812EC2"/>
    <w:rsid w:val="00814606"/>
    <w:rsid w:val="00814DFD"/>
    <w:rsid w:val="00820091"/>
    <w:rsid w:val="00820C02"/>
    <w:rsid w:val="00820EBD"/>
    <w:rsid w:val="008232B7"/>
    <w:rsid w:val="008235F9"/>
    <w:rsid w:val="00826265"/>
    <w:rsid w:val="00826DA8"/>
    <w:rsid w:val="00826F20"/>
    <w:rsid w:val="00826FF2"/>
    <w:rsid w:val="00831566"/>
    <w:rsid w:val="00831A14"/>
    <w:rsid w:val="00832373"/>
    <w:rsid w:val="00832B7D"/>
    <w:rsid w:val="00833D9C"/>
    <w:rsid w:val="00834604"/>
    <w:rsid w:val="00834D31"/>
    <w:rsid w:val="00834DF7"/>
    <w:rsid w:val="00835AD1"/>
    <w:rsid w:val="00841354"/>
    <w:rsid w:val="00841ADE"/>
    <w:rsid w:val="00843435"/>
    <w:rsid w:val="00844B51"/>
    <w:rsid w:val="008506B4"/>
    <w:rsid w:val="00850AB1"/>
    <w:rsid w:val="00852088"/>
    <w:rsid w:val="00853914"/>
    <w:rsid w:val="00857E94"/>
    <w:rsid w:val="00861399"/>
    <w:rsid w:val="008618C5"/>
    <w:rsid w:val="00861C72"/>
    <w:rsid w:val="00863125"/>
    <w:rsid w:val="0086656B"/>
    <w:rsid w:val="0086694E"/>
    <w:rsid w:val="008704C8"/>
    <w:rsid w:val="00871912"/>
    <w:rsid w:val="008724A1"/>
    <w:rsid w:val="00872522"/>
    <w:rsid w:val="00872F97"/>
    <w:rsid w:val="0087383E"/>
    <w:rsid w:val="00877858"/>
    <w:rsid w:val="008810C2"/>
    <w:rsid w:val="0088126E"/>
    <w:rsid w:val="00881798"/>
    <w:rsid w:val="00881A60"/>
    <w:rsid w:val="00882077"/>
    <w:rsid w:val="00882591"/>
    <w:rsid w:val="0088350C"/>
    <w:rsid w:val="00885376"/>
    <w:rsid w:val="00885A96"/>
    <w:rsid w:val="0088730C"/>
    <w:rsid w:val="008876BF"/>
    <w:rsid w:val="00890D27"/>
    <w:rsid w:val="00891562"/>
    <w:rsid w:val="008960CE"/>
    <w:rsid w:val="0089642A"/>
    <w:rsid w:val="008A0B50"/>
    <w:rsid w:val="008A2D27"/>
    <w:rsid w:val="008A31A7"/>
    <w:rsid w:val="008A730E"/>
    <w:rsid w:val="008A7910"/>
    <w:rsid w:val="008A7B94"/>
    <w:rsid w:val="008B07C2"/>
    <w:rsid w:val="008B46D1"/>
    <w:rsid w:val="008B5028"/>
    <w:rsid w:val="008B5C1A"/>
    <w:rsid w:val="008B70B1"/>
    <w:rsid w:val="008B77EA"/>
    <w:rsid w:val="008C049E"/>
    <w:rsid w:val="008C0981"/>
    <w:rsid w:val="008C1699"/>
    <w:rsid w:val="008C3DB3"/>
    <w:rsid w:val="008C3F0F"/>
    <w:rsid w:val="008C4753"/>
    <w:rsid w:val="008C50D7"/>
    <w:rsid w:val="008C6ADC"/>
    <w:rsid w:val="008D0C4A"/>
    <w:rsid w:val="008D1162"/>
    <w:rsid w:val="008D1704"/>
    <w:rsid w:val="008D2A86"/>
    <w:rsid w:val="008D3436"/>
    <w:rsid w:val="008D3E73"/>
    <w:rsid w:val="008D435D"/>
    <w:rsid w:val="008D4CC9"/>
    <w:rsid w:val="008D5232"/>
    <w:rsid w:val="008D5822"/>
    <w:rsid w:val="008D718A"/>
    <w:rsid w:val="008E0624"/>
    <w:rsid w:val="008E3207"/>
    <w:rsid w:val="008E34B5"/>
    <w:rsid w:val="008E3EC7"/>
    <w:rsid w:val="008E4FF4"/>
    <w:rsid w:val="008E5A03"/>
    <w:rsid w:val="008E77EB"/>
    <w:rsid w:val="008E7A72"/>
    <w:rsid w:val="008F04FA"/>
    <w:rsid w:val="008F0929"/>
    <w:rsid w:val="008F0991"/>
    <w:rsid w:val="008F0A10"/>
    <w:rsid w:val="008F0FD5"/>
    <w:rsid w:val="008F1582"/>
    <w:rsid w:val="008F54E1"/>
    <w:rsid w:val="008F55FE"/>
    <w:rsid w:val="008F5D54"/>
    <w:rsid w:val="008F7158"/>
    <w:rsid w:val="008F7981"/>
    <w:rsid w:val="0090472C"/>
    <w:rsid w:val="00905E9B"/>
    <w:rsid w:val="00907BC3"/>
    <w:rsid w:val="00910362"/>
    <w:rsid w:val="009115E5"/>
    <w:rsid w:val="00911928"/>
    <w:rsid w:val="00911983"/>
    <w:rsid w:val="0091291C"/>
    <w:rsid w:val="009139B5"/>
    <w:rsid w:val="00913DA9"/>
    <w:rsid w:val="00920A51"/>
    <w:rsid w:val="00920BAC"/>
    <w:rsid w:val="00921CE5"/>
    <w:rsid w:val="00923A03"/>
    <w:rsid w:val="00923BAA"/>
    <w:rsid w:val="00926CE5"/>
    <w:rsid w:val="00927590"/>
    <w:rsid w:val="00930CA5"/>
    <w:rsid w:val="009312AC"/>
    <w:rsid w:val="00931495"/>
    <w:rsid w:val="00933A84"/>
    <w:rsid w:val="00933B61"/>
    <w:rsid w:val="00934001"/>
    <w:rsid w:val="00934853"/>
    <w:rsid w:val="00935E33"/>
    <w:rsid w:val="00936A58"/>
    <w:rsid w:val="0093732D"/>
    <w:rsid w:val="009413A8"/>
    <w:rsid w:val="00941C34"/>
    <w:rsid w:val="00942D3B"/>
    <w:rsid w:val="009440A7"/>
    <w:rsid w:val="00945749"/>
    <w:rsid w:val="00945882"/>
    <w:rsid w:val="00950174"/>
    <w:rsid w:val="009509FD"/>
    <w:rsid w:val="00951DD0"/>
    <w:rsid w:val="00953D5A"/>
    <w:rsid w:val="00953F8E"/>
    <w:rsid w:val="00954A12"/>
    <w:rsid w:val="0095771A"/>
    <w:rsid w:val="00960BE2"/>
    <w:rsid w:val="00960E89"/>
    <w:rsid w:val="00964464"/>
    <w:rsid w:val="00964491"/>
    <w:rsid w:val="00964CE2"/>
    <w:rsid w:val="009704EF"/>
    <w:rsid w:val="009742AB"/>
    <w:rsid w:val="009748F9"/>
    <w:rsid w:val="00975FCA"/>
    <w:rsid w:val="0097609F"/>
    <w:rsid w:val="00976999"/>
    <w:rsid w:val="00976B43"/>
    <w:rsid w:val="00976C78"/>
    <w:rsid w:val="009804CC"/>
    <w:rsid w:val="00981DAC"/>
    <w:rsid w:val="00981E48"/>
    <w:rsid w:val="00983569"/>
    <w:rsid w:val="00984611"/>
    <w:rsid w:val="00985214"/>
    <w:rsid w:val="00986583"/>
    <w:rsid w:val="00987F84"/>
    <w:rsid w:val="009911D1"/>
    <w:rsid w:val="00991AF4"/>
    <w:rsid w:val="0099281F"/>
    <w:rsid w:val="00992ACA"/>
    <w:rsid w:val="00994215"/>
    <w:rsid w:val="0099485D"/>
    <w:rsid w:val="00994B77"/>
    <w:rsid w:val="00996AC5"/>
    <w:rsid w:val="00996BCF"/>
    <w:rsid w:val="00996C5F"/>
    <w:rsid w:val="00996DD6"/>
    <w:rsid w:val="009972EE"/>
    <w:rsid w:val="009A0D3D"/>
    <w:rsid w:val="009A24E9"/>
    <w:rsid w:val="009A430F"/>
    <w:rsid w:val="009A5782"/>
    <w:rsid w:val="009A5789"/>
    <w:rsid w:val="009A6EA9"/>
    <w:rsid w:val="009A7B0C"/>
    <w:rsid w:val="009B0129"/>
    <w:rsid w:val="009B0708"/>
    <w:rsid w:val="009B097E"/>
    <w:rsid w:val="009B163D"/>
    <w:rsid w:val="009B1C6A"/>
    <w:rsid w:val="009B2F1B"/>
    <w:rsid w:val="009B3468"/>
    <w:rsid w:val="009B4C8D"/>
    <w:rsid w:val="009B5B5B"/>
    <w:rsid w:val="009B5D7F"/>
    <w:rsid w:val="009B64AA"/>
    <w:rsid w:val="009B73F7"/>
    <w:rsid w:val="009C0D17"/>
    <w:rsid w:val="009C19DA"/>
    <w:rsid w:val="009C23E7"/>
    <w:rsid w:val="009C2F88"/>
    <w:rsid w:val="009C423A"/>
    <w:rsid w:val="009C5546"/>
    <w:rsid w:val="009C594C"/>
    <w:rsid w:val="009C5E6B"/>
    <w:rsid w:val="009C66CC"/>
    <w:rsid w:val="009C6E35"/>
    <w:rsid w:val="009C7573"/>
    <w:rsid w:val="009D1B59"/>
    <w:rsid w:val="009D2B26"/>
    <w:rsid w:val="009D2B6A"/>
    <w:rsid w:val="009D48D2"/>
    <w:rsid w:val="009D4BE3"/>
    <w:rsid w:val="009D60C8"/>
    <w:rsid w:val="009D724D"/>
    <w:rsid w:val="009E0DB1"/>
    <w:rsid w:val="009E0E2F"/>
    <w:rsid w:val="009E101F"/>
    <w:rsid w:val="009E110B"/>
    <w:rsid w:val="009E14D7"/>
    <w:rsid w:val="009E1B54"/>
    <w:rsid w:val="009E247C"/>
    <w:rsid w:val="009E2CCC"/>
    <w:rsid w:val="009E3915"/>
    <w:rsid w:val="009E4963"/>
    <w:rsid w:val="009E5B29"/>
    <w:rsid w:val="009E6647"/>
    <w:rsid w:val="009E6D54"/>
    <w:rsid w:val="009F0FA3"/>
    <w:rsid w:val="009F3FB3"/>
    <w:rsid w:val="009F4292"/>
    <w:rsid w:val="009F5BD4"/>
    <w:rsid w:val="009F5C1B"/>
    <w:rsid w:val="00A0085E"/>
    <w:rsid w:val="00A00A5D"/>
    <w:rsid w:val="00A015C8"/>
    <w:rsid w:val="00A028DA"/>
    <w:rsid w:val="00A0358D"/>
    <w:rsid w:val="00A04714"/>
    <w:rsid w:val="00A04F66"/>
    <w:rsid w:val="00A05E1F"/>
    <w:rsid w:val="00A06507"/>
    <w:rsid w:val="00A070BC"/>
    <w:rsid w:val="00A07739"/>
    <w:rsid w:val="00A112B2"/>
    <w:rsid w:val="00A1300C"/>
    <w:rsid w:val="00A149D1"/>
    <w:rsid w:val="00A14A2E"/>
    <w:rsid w:val="00A17BBC"/>
    <w:rsid w:val="00A17F6D"/>
    <w:rsid w:val="00A214E8"/>
    <w:rsid w:val="00A215F7"/>
    <w:rsid w:val="00A21BF0"/>
    <w:rsid w:val="00A22A03"/>
    <w:rsid w:val="00A22F4D"/>
    <w:rsid w:val="00A24A1B"/>
    <w:rsid w:val="00A270E8"/>
    <w:rsid w:val="00A27959"/>
    <w:rsid w:val="00A30B13"/>
    <w:rsid w:val="00A30E2F"/>
    <w:rsid w:val="00A30F13"/>
    <w:rsid w:val="00A310F0"/>
    <w:rsid w:val="00A314BE"/>
    <w:rsid w:val="00A35D52"/>
    <w:rsid w:val="00A4139A"/>
    <w:rsid w:val="00A422D8"/>
    <w:rsid w:val="00A454CF"/>
    <w:rsid w:val="00A46CA2"/>
    <w:rsid w:val="00A505A6"/>
    <w:rsid w:val="00A50B6F"/>
    <w:rsid w:val="00A514BB"/>
    <w:rsid w:val="00A51B6C"/>
    <w:rsid w:val="00A52ADF"/>
    <w:rsid w:val="00A53CE8"/>
    <w:rsid w:val="00A54C50"/>
    <w:rsid w:val="00A56559"/>
    <w:rsid w:val="00A566EC"/>
    <w:rsid w:val="00A56AA7"/>
    <w:rsid w:val="00A5757C"/>
    <w:rsid w:val="00A57A74"/>
    <w:rsid w:val="00A6115B"/>
    <w:rsid w:val="00A6201C"/>
    <w:rsid w:val="00A64613"/>
    <w:rsid w:val="00A65E0D"/>
    <w:rsid w:val="00A6685A"/>
    <w:rsid w:val="00A70357"/>
    <w:rsid w:val="00A71600"/>
    <w:rsid w:val="00A7163B"/>
    <w:rsid w:val="00A72531"/>
    <w:rsid w:val="00A74E5F"/>
    <w:rsid w:val="00A74F62"/>
    <w:rsid w:val="00A75048"/>
    <w:rsid w:val="00A7506A"/>
    <w:rsid w:val="00A76C3F"/>
    <w:rsid w:val="00A7799B"/>
    <w:rsid w:val="00A86A0C"/>
    <w:rsid w:val="00A86E7C"/>
    <w:rsid w:val="00A86F0C"/>
    <w:rsid w:val="00A87591"/>
    <w:rsid w:val="00A91714"/>
    <w:rsid w:val="00AA06F0"/>
    <w:rsid w:val="00AA2997"/>
    <w:rsid w:val="00AA2FF1"/>
    <w:rsid w:val="00AA4127"/>
    <w:rsid w:val="00AA57D2"/>
    <w:rsid w:val="00AA636C"/>
    <w:rsid w:val="00AA70A4"/>
    <w:rsid w:val="00AB0B20"/>
    <w:rsid w:val="00AB1230"/>
    <w:rsid w:val="00AB474C"/>
    <w:rsid w:val="00AB5E74"/>
    <w:rsid w:val="00AB60D0"/>
    <w:rsid w:val="00AB76F7"/>
    <w:rsid w:val="00AC163C"/>
    <w:rsid w:val="00AC26DF"/>
    <w:rsid w:val="00AC3A67"/>
    <w:rsid w:val="00AC3DE8"/>
    <w:rsid w:val="00AC4AAD"/>
    <w:rsid w:val="00AC4D15"/>
    <w:rsid w:val="00AC7ABB"/>
    <w:rsid w:val="00AD0886"/>
    <w:rsid w:val="00AD22E4"/>
    <w:rsid w:val="00AD27CB"/>
    <w:rsid w:val="00AD2BAF"/>
    <w:rsid w:val="00AD400C"/>
    <w:rsid w:val="00AD43D2"/>
    <w:rsid w:val="00AD4685"/>
    <w:rsid w:val="00AD69BC"/>
    <w:rsid w:val="00AD74C8"/>
    <w:rsid w:val="00AD76CF"/>
    <w:rsid w:val="00AD7838"/>
    <w:rsid w:val="00AE0798"/>
    <w:rsid w:val="00AE1B24"/>
    <w:rsid w:val="00AE22B5"/>
    <w:rsid w:val="00AE298D"/>
    <w:rsid w:val="00AE42CA"/>
    <w:rsid w:val="00AE471C"/>
    <w:rsid w:val="00AE63A6"/>
    <w:rsid w:val="00AE78EA"/>
    <w:rsid w:val="00AF00BB"/>
    <w:rsid w:val="00AF02C5"/>
    <w:rsid w:val="00AF0718"/>
    <w:rsid w:val="00AF07FE"/>
    <w:rsid w:val="00AF2EE1"/>
    <w:rsid w:val="00AF30AD"/>
    <w:rsid w:val="00AF37DF"/>
    <w:rsid w:val="00AF6932"/>
    <w:rsid w:val="00B01C8A"/>
    <w:rsid w:val="00B01D16"/>
    <w:rsid w:val="00B01FC4"/>
    <w:rsid w:val="00B02375"/>
    <w:rsid w:val="00B02726"/>
    <w:rsid w:val="00B0474A"/>
    <w:rsid w:val="00B04A89"/>
    <w:rsid w:val="00B04C6C"/>
    <w:rsid w:val="00B04D4D"/>
    <w:rsid w:val="00B0504F"/>
    <w:rsid w:val="00B06515"/>
    <w:rsid w:val="00B06977"/>
    <w:rsid w:val="00B06AFA"/>
    <w:rsid w:val="00B06BAE"/>
    <w:rsid w:val="00B07207"/>
    <w:rsid w:val="00B076D7"/>
    <w:rsid w:val="00B07E4C"/>
    <w:rsid w:val="00B1174F"/>
    <w:rsid w:val="00B12846"/>
    <w:rsid w:val="00B134B9"/>
    <w:rsid w:val="00B143C1"/>
    <w:rsid w:val="00B14ACE"/>
    <w:rsid w:val="00B14BF6"/>
    <w:rsid w:val="00B1511E"/>
    <w:rsid w:val="00B17169"/>
    <w:rsid w:val="00B2011F"/>
    <w:rsid w:val="00B21BB6"/>
    <w:rsid w:val="00B25826"/>
    <w:rsid w:val="00B26329"/>
    <w:rsid w:val="00B26EFB"/>
    <w:rsid w:val="00B27E7E"/>
    <w:rsid w:val="00B30A18"/>
    <w:rsid w:val="00B3182C"/>
    <w:rsid w:val="00B325BB"/>
    <w:rsid w:val="00B3402D"/>
    <w:rsid w:val="00B34A94"/>
    <w:rsid w:val="00B40A76"/>
    <w:rsid w:val="00B40EA9"/>
    <w:rsid w:val="00B41C51"/>
    <w:rsid w:val="00B43093"/>
    <w:rsid w:val="00B430A1"/>
    <w:rsid w:val="00B43880"/>
    <w:rsid w:val="00B440D7"/>
    <w:rsid w:val="00B445AE"/>
    <w:rsid w:val="00B4473B"/>
    <w:rsid w:val="00B44CC0"/>
    <w:rsid w:val="00B45307"/>
    <w:rsid w:val="00B45965"/>
    <w:rsid w:val="00B465A2"/>
    <w:rsid w:val="00B47337"/>
    <w:rsid w:val="00B51F80"/>
    <w:rsid w:val="00B5494A"/>
    <w:rsid w:val="00B55417"/>
    <w:rsid w:val="00B5541D"/>
    <w:rsid w:val="00B55ECA"/>
    <w:rsid w:val="00B603BD"/>
    <w:rsid w:val="00B61983"/>
    <w:rsid w:val="00B62D6B"/>
    <w:rsid w:val="00B6318B"/>
    <w:rsid w:val="00B63E39"/>
    <w:rsid w:val="00B65461"/>
    <w:rsid w:val="00B654E3"/>
    <w:rsid w:val="00B7000D"/>
    <w:rsid w:val="00B7154A"/>
    <w:rsid w:val="00B72C94"/>
    <w:rsid w:val="00B734B9"/>
    <w:rsid w:val="00B7516A"/>
    <w:rsid w:val="00B7584B"/>
    <w:rsid w:val="00B75EB4"/>
    <w:rsid w:val="00B803BF"/>
    <w:rsid w:val="00B80995"/>
    <w:rsid w:val="00B80F37"/>
    <w:rsid w:val="00B81659"/>
    <w:rsid w:val="00B84970"/>
    <w:rsid w:val="00B85394"/>
    <w:rsid w:val="00B85A40"/>
    <w:rsid w:val="00B90EA0"/>
    <w:rsid w:val="00B91162"/>
    <w:rsid w:val="00B91545"/>
    <w:rsid w:val="00B91D33"/>
    <w:rsid w:val="00B9257E"/>
    <w:rsid w:val="00B93553"/>
    <w:rsid w:val="00B9445F"/>
    <w:rsid w:val="00BA0253"/>
    <w:rsid w:val="00BA069C"/>
    <w:rsid w:val="00BA20DF"/>
    <w:rsid w:val="00BA2A8B"/>
    <w:rsid w:val="00BA2F41"/>
    <w:rsid w:val="00BA3A5A"/>
    <w:rsid w:val="00BA4988"/>
    <w:rsid w:val="00BA60A6"/>
    <w:rsid w:val="00BA72BF"/>
    <w:rsid w:val="00BB25EF"/>
    <w:rsid w:val="00BB2B8A"/>
    <w:rsid w:val="00BB2F36"/>
    <w:rsid w:val="00BB4161"/>
    <w:rsid w:val="00BB55C4"/>
    <w:rsid w:val="00BB6714"/>
    <w:rsid w:val="00BB6BFD"/>
    <w:rsid w:val="00BB7F83"/>
    <w:rsid w:val="00BC000F"/>
    <w:rsid w:val="00BC027A"/>
    <w:rsid w:val="00BC0710"/>
    <w:rsid w:val="00BC0D6A"/>
    <w:rsid w:val="00BC2C46"/>
    <w:rsid w:val="00BC4C58"/>
    <w:rsid w:val="00BC7822"/>
    <w:rsid w:val="00BD1346"/>
    <w:rsid w:val="00BD2534"/>
    <w:rsid w:val="00BD6CA6"/>
    <w:rsid w:val="00BD6E9A"/>
    <w:rsid w:val="00BD7646"/>
    <w:rsid w:val="00BE0E5C"/>
    <w:rsid w:val="00BE123E"/>
    <w:rsid w:val="00BE168E"/>
    <w:rsid w:val="00BE55C5"/>
    <w:rsid w:val="00BE7BB7"/>
    <w:rsid w:val="00BF0ED2"/>
    <w:rsid w:val="00BF1DC1"/>
    <w:rsid w:val="00BF2643"/>
    <w:rsid w:val="00BF31D1"/>
    <w:rsid w:val="00BF52A4"/>
    <w:rsid w:val="00BF58DB"/>
    <w:rsid w:val="00BF70C0"/>
    <w:rsid w:val="00BF73B6"/>
    <w:rsid w:val="00BF7AC1"/>
    <w:rsid w:val="00C041A3"/>
    <w:rsid w:val="00C04A23"/>
    <w:rsid w:val="00C055A9"/>
    <w:rsid w:val="00C07718"/>
    <w:rsid w:val="00C101BA"/>
    <w:rsid w:val="00C1038A"/>
    <w:rsid w:val="00C1071F"/>
    <w:rsid w:val="00C11CD4"/>
    <w:rsid w:val="00C11D27"/>
    <w:rsid w:val="00C123FF"/>
    <w:rsid w:val="00C129B5"/>
    <w:rsid w:val="00C13499"/>
    <w:rsid w:val="00C147AD"/>
    <w:rsid w:val="00C15155"/>
    <w:rsid w:val="00C20315"/>
    <w:rsid w:val="00C2170D"/>
    <w:rsid w:val="00C21991"/>
    <w:rsid w:val="00C2265B"/>
    <w:rsid w:val="00C24725"/>
    <w:rsid w:val="00C247A6"/>
    <w:rsid w:val="00C2538D"/>
    <w:rsid w:val="00C25B34"/>
    <w:rsid w:val="00C25D57"/>
    <w:rsid w:val="00C277CF"/>
    <w:rsid w:val="00C3142C"/>
    <w:rsid w:val="00C31944"/>
    <w:rsid w:val="00C33B76"/>
    <w:rsid w:val="00C369E4"/>
    <w:rsid w:val="00C409A5"/>
    <w:rsid w:val="00C40EA7"/>
    <w:rsid w:val="00C40FC4"/>
    <w:rsid w:val="00C42136"/>
    <w:rsid w:val="00C42404"/>
    <w:rsid w:val="00C45ED2"/>
    <w:rsid w:val="00C46F55"/>
    <w:rsid w:val="00C4745A"/>
    <w:rsid w:val="00C4787B"/>
    <w:rsid w:val="00C51E87"/>
    <w:rsid w:val="00C52506"/>
    <w:rsid w:val="00C53CE3"/>
    <w:rsid w:val="00C550A2"/>
    <w:rsid w:val="00C56469"/>
    <w:rsid w:val="00C6052E"/>
    <w:rsid w:val="00C60C6D"/>
    <w:rsid w:val="00C62877"/>
    <w:rsid w:val="00C62D4B"/>
    <w:rsid w:val="00C62E72"/>
    <w:rsid w:val="00C64441"/>
    <w:rsid w:val="00C64C09"/>
    <w:rsid w:val="00C67B11"/>
    <w:rsid w:val="00C70F53"/>
    <w:rsid w:val="00C71064"/>
    <w:rsid w:val="00C71DF6"/>
    <w:rsid w:val="00C722B6"/>
    <w:rsid w:val="00C73B95"/>
    <w:rsid w:val="00C73CB8"/>
    <w:rsid w:val="00C74503"/>
    <w:rsid w:val="00C755B1"/>
    <w:rsid w:val="00C75C3C"/>
    <w:rsid w:val="00C76FF6"/>
    <w:rsid w:val="00C8038E"/>
    <w:rsid w:val="00C80EBC"/>
    <w:rsid w:val="00C82BA9"/>
    <w:rsid w:val="00C875DA"/>
    <w:rsid w:val="00C90E5A"/>
    <w:rsid w:val="00C91DE9"/>
    <w:rsid w:val="00C91F12"/>
    <w:rsid w:val="00C9206F"/>
    <w:rsid w:val="00C92EC3"/>
    <w:rsid w:val="00C931C3"/>
    <w:rsid w:val="00C95A63"/>
    <w:rsid w:val="00CA11B0"/>
    <w:rsid w:val="00CA15E0"/>
    <w:rsid w:val="00CA2311"/>
    <w:rsid w:val="00CA31C0"/>
    <w:rsid w:val="00CA3C40"/>
    <w:rsid w:val="00CA4004"/>
    <w:rsid w:val="00CA50D9"/>
    <w:rsid w:val="00CA57A5"/>
    <w:rsid w:val="00CB024E"/>
    <w:rsid w:val="00CB08D8"/>
    <w:rsid w:val="00CB16E6"/>
    <w:rsid w:val="00CB2751"/>
    <w:rsid w:val="00CB29C4"/>
    <w:rsid w:val="00CB3CF6"/>
    <w:rsid w:val="00CB3D94"/>
    <w:rsid w:val="00CB464D"/>
    <w:rsid w:val="00CB49D6"/>
    <w:rsid w:val="00CB4D31"/>
    <w:rsid w:val="00CB5121"/>
    <w:rsid w:val="00CB5436"/>
    <w:rsid w:val="00CB67F3"/>
    <w:rsid w:val="00CB79FE"/>
    <w:rsid w:val="00CC0121"/>
    <w:rsid w:val="00CC45F4"/>
    <w:rsid w:val="00CC740F"/>
    <w:rsid w:val="00CC757F"/>
    <w:rsid w:val="00CC7BEE"/>
    <w:rsid w:val="00CD10AB"/>
    <w:rsid w:val="00CD439E"/>
    <w:rsid w:val="00CD540D"/>
    <w:rsid w:val="00CD5D5C"/>
    <w:rsid w:val="00CD7E6D"/>
    <w:rsid w:val="00CE1147"/>
    <w:rsid w:val="00CE23F1"/>
    <w:rsid w:val="00CE2BA7"/>
    <w:rsid w:val="00CE4D6A"/>
    <w:rsid w:val="00CE6394"/>
    <w:rsid w:val="00CE7343"/>
    <w:rsid w:val="00CF2087"/>
    <w:rsid w:val="00CF3EC2"/>
    <w:rsid w:val="00D0015F"/>
    <w:rsid w:val="00D0058C"/>
    <w:rsid w:val="00D01165"/>
    <w:rsid w:val="00D05DE8"/>
    <w:rsid w:val="00D070F4"/>
    <w:rsid w:val="00D076C3"/>
    <w:rsid w:val="00D07ECB"/>
    <w:rsid w:val="00D11734"/>
    <w:rsid w:val="00D1262E"/>
    <w:rsid w:val="00D1288F"/>
    <w:rsid w:val="00D144B8"/>
    <w:rsid w:val="00D15B33"/>
    <w:rsid w:val="00D15B88"/>
    <w:rsid w:val="00D15F0D"/>
    <w:rsid w:val="00D17E9C"/>
    <w:rsid w:val="00D2020A"/>
    <w:rsid w:val="00D205DE"/>
    <w:rsid w:val="00D211BF"/>
    <w:rsid w:val="00D23AF7"/>
    <w:rsid w:val="00D24894"/>
    <w:rsid w:val="00D30586"/>
    <w:rsid w:val="00D31211"/>
    <w:rsid w:val="00D33070"/>
    <w:rsid w:val="00D33CFD"/>
    <w:rsid w:val="00D36331"/>
    <w:rsid w:val="00D363C2"/>
    <w:rsid w:val="00D363E9"/>
    <w:rsid w:val="00D37596"/>
    <w:rsid w:val="00D37753"/>
    <w:rsid w:val="00D427CB"/>
    <w:rsid w:val="00D428E3"/>
    <w:rsid w:val="00D429DF"/>
    <w:rsid w:val="00D42DDE"/>
    <w:rsid w:val="00D441C3"/>
    <w:rsid w:val="00D442A5"/>
    <w:rsid w:val="00D4475B"/>
    <w:rsid w:val="00D46677"/>
    <w:rsid w:val="00D4764A"/>
    <w:rsid w:val="00D50BFA"/>
    <w:rsid w:val="00D51DEC"/>
    <w:rsid w:val="00D52847"/>
    <w:rsid w:val="00D549D2"/>
    <w:rsid w:val="00D552C4"/>
    <w:rsid w:val="00D55330"/>
    <w:rsid w:val="00D55E1F"/>
    <w:rsid w:val="00D55F0C"/>
    <w:rsid w:val="00D6177B"/>
    <w:rsid w:val="00D62F91"/>
    <w:rsid w:val="00D64655"/>
    <w:rsid w:val="00D6518F"/>
    <w:rsid w:val="00D65E0A"/>
    <w:rsid w:val="00D66419"/>
    <w:rsid w:val="00D71CFA"/>
    <w:rsid w:val="00D750FE"/>
    <w:rsid w:val="00D7554B"/>
    <w:rsid w:val="00D75573"/>
    <w:rsid w:val="00D76367"/>
    <w:rsid w:val="00D773F0"/>
    <w:rsid w:val="00D809B7"/>
    <w:rsid w:val="00D814C2"/>
    <w:rsid w:val="00D81504"/>
    <w:rsid w:val="00D831E5"/>
    <w:rsid w:val="00D84685"/>
    <w:rsid w:val="00D84750"/>
    <w:rsid w:val="00D87321"/>
    <w:rsid w:val="00D9051B"/>
    <w:rsid w:val="00D925D5"/>
    <w:rsid w:val="00D95040"/>
    <w:rsid w:val="00D954B1"/>
    <w:rsid w:val="00D972E5"/>
    <w:rsid w:val="00D9761D"/>
    <w:rsid w:val="00DA139E"/>
    <w:rsid w:val="00DA595A"/>
    <w:rsid w:val="00DA70FE"/>
    <w:rsid w:val="00DA7186"/>
    <w:rsid w:val="00DA7558"/>
    <w:rsid w:val="00DA758A"/>
    <w:rsid w:val="00DA7DA5"/>
    <w:rsid w:val="00DB1038"/>
    <w:rsid w:val="00DB1BB3"/>
    <w:rsid w:val="00DB1FC5"/>
    <w:rsid w:val="00DB275A"/>
    <w:rsid w:val="00DB368B"/>
    <w:rsid w:val="00DB3CAC"/>
    <w:rsid w:val="00DB4864"/>
    <w:rsid w:val="00DB51E0"/>
    <w:rsid w:val="00DB5313"/>
    <w:rsid w:val="00DB5E04"/>
    <w:rsid w:val="00DB6762"/>
    <w:rsid w:val="00DC096C"/>
    <w:rsid w:val="00DC0E07"/>
    <w:rsid w:val="00DC397D"/>
    <w:rsid w:val="00DC4E09"/>
    <w:rsid w:val="00DC50A1"/>
    <w:rsid w:val="00DD0225"/>
    <w:rsid w:val="00DD07C9"/>
    <w:rsid w:val="00DD2D40"/>
    <w:rsid w:val="00DD302A"/>
    <w:rsid w:val="00DD34C9"/>
    <w:rsid w:val="00DD4FE0"/>
    <w:rsid w:val="00DD64AD"/>
    <w:rsid w:val="00DD6897"/>
    <w:rsid w:val="00DD6AFF"/>
    <w:rsid w:val="00DD6D45"/>
    <w:rsid w:val="00DE0EEE"/>
    <w:rsid w:val="00DE0FA9"/>
    <w:rsid w:val="00DE33D0"/>
    <w:rsid w:val="00DE38D6"/>
    <w:rsid w:val="00DE3B1C"/>
    <w:rsid w:val="00DE659B"/>
    <w:rsid w:val="00DE6E33"/>
    <w:rsid w:val="00DE7664"/>
    <w:rsid w:val="00DF00CA"/>
    <w:rsid w:val="00DF0843"/>
    <w:rsid w:val="00DF0A25"/>
    <w:rsid w:val="00DF1AD3"/>
    <w:rsid w:val="00DF39E7"/>
    <w:rsid w:val="00DF3EE3"/>
    <w:rsid w:val="00DF4039"/>
    <w:rsid w:val="00DF44EE"/>
    <w:rsid w:val="00DF46BD"/>
    <w:rsid w:val="00DF4C69"/>
    <w:rsid w:val="00DF4D40"/>
    <w:rsid w:val="00DF6B8D"/>
    <w:rsid w:val="00E00739"/>
    <w:rsid w:val="00E011DA"/>
    <w:rsid w:val="00E0146C"/>
    <w:rsid w:val="00E01D6B"/>
    <w:rsid w:val="00E02E6F"/>
    <w:rsid w:val="00E02F42"/>
    <w:rsid w:val="00E0364F"/>
    <w:rsid w:val="00E0502E"/>
    <w:rsid w:val="00E05C45"/>
    <w:rsid w:val="00E070F4"/>
    <w:rsid w:val="00E07A37"/>
    <w:rsid w:val="00E10273"/>
    <w:rsid w:val="00E13AF5"/>
    <w:rsid w:val="00E13E6E"/>
    <w:rsid w:val="00E14583"/>
    <w:rsid w:val="00E16DE6"/>
    <w:rsid w:val="00E16EDD"/>
    <w:rsid w:val="00E173B7"/>
    <w:rsid w:val="00E17F22"/>
    <w:rsid w:val="00E20831"/>
    <w:rsid w:val="00E21205"/>
    <w:rsid w:val="00E214E9"/>
    <w:rsid w:val="00E23DA3"/>
    <w:rsid w:val="00E27207"/>
    <w:rsid w:val="00E31839"/>
    <w:rsid w:val="00E31CA4"/>
    <w:rsid w:val="00E32411"/>
    <w:rsid w:val="00E32CA3"/>
    <w:rsid w:val="00E32EB6"/>
    <w:rsid w:val="00E34821"/>
    <w:rsid w:val="00E350FE"/>
    <w:rsid w:val="00E36926"/>
    <w:rsid w:val="00E426E0"/>
    <w:rsid w:val="00E44973"/>
    <w:rsid w:val="00E4531A"/>
    <w:rsid w:val="00E470AC"/>
    <w:rsid w:val="00E475D3"/>
    <w:rsid w:val="00E47B5B"/>
    <w:rsid w:val="00E50E55"/>
    <w:rsid w:val="00E51F68"/>
    <w:rsid w:val="00E5214C"/>
    <w:rsid w:val="00E5355C"/>
    <w:rsid w:val="00E53B49"/>
    <w:rsid w:val="00E53DE1"/>
    <w:rsid w:val="00E54475"/>
    <w:rsid w:val="00E550F2"/>
    <w:rsid w:val="00E56B7E"/>
    <w:rsid w:val="00E575FA"/>
    <w:rsid w:val="00E601B0"/>
    <w:rsid w:val="00E61AA4"/>
    <w:rsid w:val="00E62B58"/>
    <w:rsid w:val="00E6328C"/>
    <w:rsid w:val="00E63F79"/>
    <w:rsid w:val="00E6420E"/>
    <w:rsid w:val="00E64294"/>
    <w:rsid w:val="00E64DC1"/>
    <w:rsid w:val="00E655FF"/>
    <w:rsid w:val="00E67747"/>
    <w:rsid w:val="00E70FE6"/>
    <w:rsid w:val="00E71109"/>
    <w:rsid w:val="00E713F5"/>
    <w:rsid w:val="00E717FB"/>
    <w:rsid w:val="00E72B98"/>
    <w:rsid w:val="00E73495"/>
    <w:rsid w:val="00E74373"/>
    <w:rsid w:val="00E75225"/>
    <w:rsid w:val="00E75517"/>
    <w:rsid w:val="00E825C5"/>
    <w:rsid w:val="00E82962"/>
    <w:rsid w:val="00E82F54"/>
    <w:rsid w:val="00E83993"/>
    <w:rsid w:val="00E8417B"/>
    <w:rsid w:val="00E84691"/>
    <w:rsid w:val="00E84ADF"/>
    <w:rsid w:val="00E85298"/>
    <w:rsid w:val="00E872B3"/>
    <w:rsid w:val="00E87571"/>
    <w:rsid w:val="00E87F9E"/>
    <w:rsid w:val="00E9014E"/>
    <w:rsid w:val="00E904C3"/>
    <w:rsid w:val="00E93BF0"/>
    <w:rsid w:val="00E93E08"/>
    <w:rsid w:val="00E977B4"/>
    <w:rsid w:val="00E97EB3"/>
    <w:rsid w:val="00EA0507"/>
    <w:rsid w:val="00EA10AB"/>
    <w:rsid w:val="00EA20B2"/>
    <w:rsid w:val="00EA4491"/>
    <w:rsid w:val="00EA5177"/>
    <w:rsid w:val="00EA580D"/>
    <w:rsid w:val="00EA6CFB"/>
    <w:rsid w:val="00EA77E1"/>
    <w:rsid w:val="00EB02C9"/>
    <w:rsid w:val="00EB048A"/>
    <w:rsid w:val="00EB148B"/>
    <w:rsid w:val="00EB22E9"/>
    <w:rsid w:val="00EB2F49"/>
    <w:rsid w:val="00EB3C17"/>
    <w:rsid w:val="00EB4F32"/>
    <w:rsid w:val="00EB55F2"/>
    <w:rsid w:val="00EB590F"/>
    <w:rsid w:val="00EC0486"/>
    <w:rsid w:val="00EC2525"/>
    <w:rsid w:val="00EC2EBA"/>
    <w:rsid w:val="00EC64D7"/>
    <w:rsid w:val="00ED1A56"/>
    <w:rsid w:val="00ED59E0"/>
    <w:rsid w:val="00ED6F79"/>
    <w:rsid w:val="00ED7806"/>
    <w:rsid w:val="00EE0578"/>
    <w:rsid w:val="00EE12A9"/>
    <w:rsid w:val="00EE5E42"/>
    <w:rsid w:val="00EE6EE0"/>
    <w:rsid w:val="00EE76E6"/>
    <w:rsid w:val="00EE7DB5"/>
    <w:rsid w:val="00EE7DB7"/>
    <w:rsid w:val="00EF010F"/>
    <w:rsid w:val="00EF0952"/>
    <w:rsid w:val="00EF0A73"/>
    <w:rsid w:val="00EF2180"/>
    <w:rsid w:val="00EF27D7"/>
    <w:rsid w:val="00EF4A75"/>
    <w:rsid w:val="00EF6841"/>
    <w:rsid w:val="00F004E6"/>
    <w:rsid w:val="00F00ED6"/>
    <w:rsid w:val="00F01035"/>
    <w:rsid w:val="00F02709"/>
    <w:rsid w:val="00F03703"/>
    <w:rsid w:val="00F03CDB"/>
    <w:rsid w:val="00F0408B"/>
    <w:rsid w:val="00F04163"/>
    <w:rsid w:val="00F041C9"/>
    <w:rsid w:val="00F053C9"/>
    <w:rsid w:val="00F06479"/>
    <w:rsid w:val="00F072CC"/>
    <w:rsid w:val="00F1107F"/>
    <w:rsid w:val="00F127E2"/>
    <w:rsid w:val="00F1414F"/>
    <w:rsid w:val="00F14D16"/>
    <w:rsid w:val="00F15412"/>
    <w:rsid w:val="00F16278"/>
    <w:rsid w:val="00F16FCE"/>
    <w:rsid w:val="00F17BDD"/>
    <w:rsid w:val="00F22918"/>
    <w:rsid w:val="00F22EB1"/>
    <w:rsid w:val="00F24686"/>
    <w:rsid w:val="00F2632D"/>
    <w:rsid w:val="00F273CB"/>
    <w:rsid w:val="00F30718"/>
    <w:rsid w:val="00F317A0"/>
    <w:rsid w:val="00F31B10"/>
    <w:rsid w:val="00F3391E"/>
    <w:rsid w:val="00F408D6"/>
    <w:rsid w:val="00F415A3"/>
    <w:rsid w:val="00F42033"/>
    <w:rsid w:val="00F433DF"/>
    <w:rsid w:val="00F44362"/>
    <w:rsid w:val="00F44579"/>
    <w:rsid w:val="00F473D7"/>
    <w:rsid w:val="00F5045F"/>
    <w:rsid w:val="00F5159E"/>
    <w:rsid w:val="00F51731"/>
    <w:rsid w:val="00F52687"/>
    <w:rsid w:val="00F52F54"/>
    <w:rsid w:val="00F5434A"/>
    <w:rsid w:val="00F55B42"/>
    <w:rsid w:val="00F56A77"/>
    <w:rsid w:val="00F5706D"/>
    <w:rsid w:val="00F576C4"/>
    <w:rsid w:val="00F60486"/>
    <w:rsid w:val="00F62B36"/>
    <w:rsid w:val="00F63339"/>
    <w:rsid w:val="00F64C33"/>
    <w:rsid w:val="00F67D05"/>
    <w:rsid w:val="00F70CFF"/>
    <w:rsid w:val="00F70F38"/>
    <w:rsid w:val="00F73DAD"/>
    <w:rsid w:val="00F74DCE"/>
    <w:rsid w:val="00F75344"/>
    <w:rsid w:val="00F75DB2"/>
    <w:rsid w:val="00F76E6A"/>
    <w:rsid w:val="00F77351"/>
    <w:rsid w:val="00F8062D"/>
    <w:rsid w:val="00F83F39"/>
    <w:rsid w:val="00F8505C"/>
    <w:rsid w:val="00F85086"/>
    <w:rsid w:val="00F86186"/>
    <w:rsid w:val="00F868C0"/>
    <w:rsid w:val="00F90317"/>
    <w:rsid w:val="00F90A9E"/>
    <w:rsid w:val="00F90C53"/>
    <w:rsid w:val="00F921CF"/>
    <w:rsid w:val="00F95106"/>
    <w:rsid w:val="00F961F3"/>
    <w:rsid w:val="00FA0BBA"/>
    <w:rsid w:val="00FA0CFC"/>
    <w:rsid w:val="00FA1EAD"/>
    <w:rsid w:val="00FA1F5F"/>
    <w:rsid w:val="00FA2858"/>
    <w:rsid w:val="00FA3044"/>
    <w:rsid w:val="00FA37D5"/>
    <w:rsid w:val="00FA39CD"/>
    <w:rsid w:val="00FA3ABD"/>
    <w:rsid w:val="00FA3EAB"/>
    <w:rsid w:val="00FA507A"/>
    <w:rsid w:val="00FA6D17"/>
    <w:rsid w:val="00FA74EF"/>
    <w:rsid w:val="00FA7D4D"/>
    <w:rsid w:val="00FB0C18"/>
    <w:rsid w:val="00FB4480"/>
    <w:rsid w:val="00FB56CC"/>
    <w:rsid w:val="00FB71AF"/>
    <w:rsid w:val="00FC4C3F"/>
    <w:rsid w:val="00FC6782"/>
    <w:rsid w:val="00FC6EBF"/>
    <w:rsid w:val="00FD0AE5"/>
    <w:rsid w:val="00FD22AD"/>
    <w:rsid w:val="00FD451A"/>
    <w:rsid w:val="00FD47B4"/>
    <w:rsid w:val="00FD5EB4"/>
    <w:rsid w:val="00FE11E3"/>
    <w:rsid w:val="00FE3A8F"/>
    <w:rsid w:val="00FE71FF"/>
    <w:rsid w:val="00FE7B25"/>
    <w:rsid w:val="00FF0EB3"/>
    <w:rsid w:val="00FF17E1"/>
    <w:rsid w:val="00FF2551"/>
    <w:rsid w:val="00FF25A5"/>
    <w:rsid w:val="00FF2AC6"/>
    <w:rsid w:val="00FF2BB3"/>
    <w:rsid w:val="00FF481A"/>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7438F2"/>
    <w:rPr>
      <w:sz w:val="20"/>
      <w:szCs w:val="20"/>
    </w:rPr>
  </w:style>
  <w:style w:type="character" w:customStyle="1" w:styleId="FootnoteTextChar">
    <w:name w:val="Footnote Text Char"/>
    <w:basedOn w:val="DefaultParagraphFont"/>
    <w:link w:val="FootnoteText"/>
    <w:uiPriority w:val="99"/>
    <w:semiHidden/>
    <w:rsid w:val="007438F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438F2"/>
    <w:rPr>
      <w:vertAlign w:val="superscript"/>
    </w:rPr>
  </w:style>
  <w:style w:type="paragraph" w:styleId="EndnoteText">
    <w:name w:val="endnote text"/>
    <w:basedOn w:val="Normal"/>
    <w:link w:val="EndnoteTextChar"/>
    <w:uiPriority w:val="99"/>
    <w:semiHidden/>
    <w:unhideWhenUsed/>
    <w:rsid w:val="007438F2"/>
    <w:rPr>
      <w:sz w:val="20"/>
      <w:szCs w:val="20"/>
    </w:rPr>
  </w:style>
  <w:style w:type="character" w:customStyle="1" w:styleId="EndnoteTextChar">
    <w:name w:val="Endnote Text Char"/>
    <w:basedOn w:val="DefaultParagraphFont"/>
    <w:link w:val="EndnoteText"/>
    <w:uiPriority w:val="99"/>
    <w:semiHidden/>
    <w:rsid w:val="007438F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7438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7438F2"/>
    <w:rPr>
      <w:sz w:val="20"/>
      <w:szCs w:val="20"/>
    </w:rPr>
  </w:style>
  <w:style w:type="character" w:customStyle="1" w:styleId="FootnoteTextChar">
    <w:name w:val="Footnote Text Char"/>
    <w:basedOn w:val="DefaultParagraphFont"/>
    <w:link w:val="FootnoteText"/>
    <w:uiPriority w:val="99"/>
    <w:semiHidden/>
    <w:rsid w:val="007438F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438F2"/>
    <w:rPr>
      <w:vertAlign w:val="superscript"/>
    </w:rPr>
  </w:style>
  <w:style w:type="paragraph" w:styleId="EndnoteText">
    <w:name w:val="endnote text"/>
    <w:basedOn w:val="Normal"/>
    <w:link w:val="EndnoteTextChar"/>
    <w:uiPriority w:val="99"/>
    <w:semiHidden/>
    <w:unhideWhenUsed/>
    <w:rsid w:val="007438F2"/>
    <w:rPr>
      <w:sz w:val="20"/>
      <w:szCs w:val="20"/>
    </w:rPr>
  </w:style>
  <w:style w:type="character" w:customStyle="1" w:styleId="EndnoteTextChar">
    <w:name w:val="Endnote Text Char"/>
    <w:basedOn w:val="DefaultParagraphFont"/>
    <w:link w:val="EndnoteText"/>
    <w:uiPriority w:val="99"/>
    <w:semiHidden/>
    <w:rsid w:val="007438F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7438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800">
      <w:bodyDiv w:val="1"/>
      <w:marLeft w:val="0"/>
      <w:marRight w:val="0"/>
      <w:marTop w:val="0"/>
      <w:marBottom w:val="0"/>
      <w:divBdr>
        <w:top w:val="none" w:sz="0" w:space="0" w:color="auto"/>
        <w:left w:val="none" w:sz="0" w:space="0" w:color="auto"/>
        <w:bottom w:val="none" w:sz="0" w:space="0" w:color="auto"/>
        <w:right w:val="none" w:sz="0" w:space="0" w:color="auto"/>
      </w:divBdr>
    </w:div>
    <w:div w:id="2978428">
      <w:bodyDiv w:val="1"/>
      <w:marLeft w:val="0"/>
      <w:marRight w:val="0"/>
      <w:marTop w:val="0"/>
      <w:marBottom w:val="0"/>
      <w:divBdr>
        <w:top w:val="none" w:sz="0" w:space="0" w:color="auto"/>
        <w:left w:val="none" w:sz="0" w:space="0" w:color="auto"/>
        <w:bottom w:val="none" w:sz="0" w:space="0" w:color="auto"/>
        <w:right w:val="none" w:sz="0" w:space="0" w:color="auto"/>
      </w:divBdr>
    </w:div>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16780761">
      <w:bodyDiv w:val="1"/>
      <w:marLeft w:val="0"/>
      <w:marRight w:val="0"/>
      <w:marTop w:val="0"/>
      <w:marBottom w:val="0"/>
      <w:divBdr>
        <w:top w:val="none" w:sz="0" w:space="0" w:color="auto"/>
        <w:left w:val="none" w:sz="0" w:space="0" w:color="auto"/>
        <w:bottom w:val="none" w:sz="0" w:space="0" w:color="auto"/>
        <w:right w:val="none" w:sz="0" w:space="0" w:color="auto"/>
      </w:divBdr>
    </w:div>
    <w:div w:id="24521352">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32006199">
      <w:bodyDiv w:val="1"/>
      <w:marLeft w:val="0"/>
      <w:marRight w:val="0"/>
      <w:marTop w:val="0"/>
      <w:marBottom w:val="0"/>
      <w:divBdr>
        <w:top w:val="none" w:sz="0" w:space="0" w:color="auto"/>
        <w:left w:val="none" w:sz="0" w:space="0" w:color="auto"/>
        <w:bottom w:val="none" w:sz="0" w:space="0" w:color="auto"/>
        <w:right w:val="none" w:sz="0" w:space="0" w:color="auto"/>
      </w:divBdr>
    </w:div>
    <w:div w:id="33772899">
      <w:bodyDiv w:val="1"/>
      <w:marLeft w:val="0"/>
      <w:marRight w:val="0"/>
      <w:marTop w:val="0"/>
      <w:marBottom w:val="0"/>
      <w:divBdr>
        <w:top w:val="none" w:sz="0" w:space="0" w:color="auto"/>
        <w:left w:val="none" w:sz="0" w:space="0" w:color="auto"/>
        <w:bottom w:val="none" w:sz="0" w:space="0" w:color="auto"/>
        <w:right w:val="none" w:sz="0" w:space="0" w:color="auto"/>
      </w:divBdr>
    </w:div>
    <w:div w:id="45423149">
      <w:bodyDiv w:val="1"/>
      <w:marLeft w:val="0"/>
      <w:marRight w:val="0"/>
      <w:marTop w:val="0"/>
      <w:marBottom w:val="0"/>
      <w:divBdr>
        <w:top w:val="none" w:sz="0" w:space="0" w:color="auto"/>
        <w:left w:val="none" w:sz="0" w:space="0" w:color="auto"/>
        <w:bottom w:val="none" w:sz="0" w:space="0" w:color="auto"/>
        <w:right w:val="none" w:sz="0" w:space="0" w:color="auto"/>
      </w:divBdr>
    </w:div>
    <w:div w:id="45491066">
      <w:bodyDiv w:val="1"/>
      <w:marLeft w:val="0"/>
      <w:marRight w:val="0"/>
      <w:marTop w:val="0"/>
      <w:marBottom w:val="0"/>
      <w:divBdr>
        <w:top w:val="none" w:sz="0" w:space="0" w:color="auto"/>
        <w:left w:val="none" w:sz="0" w:space="0" w:color="auto"/>
        <w:bottom w:val="none" w:sz="0" w:space="0" w:color="auto"/>
        <w:right w:val="none" w:sz="0" w:space="0" w:color="auto"/>
      </w:divBdr>
    </w:div>
    <w:div w:id="62027863">
      <w:bodyDiv w:val="1"/>
      <w:marLeft w:val="0"/>
      <w:marRight w:val="0"/>
      <w:marTop w:val="0"/>
      <w:marBottom w:val="0"/>
      <w:divBdr>
        <w:top w:val="none" w:sz="0" w:space="0" w:color="auto"/>
        <w:left w:val="none" w:sz="0" w:space="0" w:color="auto"/>
        <w:bottom w:val="none" w:sz="0" w:space="0" w:color="auto"/>
        <w:right w:val="none" w:sz="0" w:space="0" w:color="auto"/>
      </w:divBdr>
    </w:div>
    <w:div w:id="62608927">
      <w:bodyDiv w:val="1"/>
      <w:marLeft w:val="0"/>
      <w:marRight w:val="0"/>
      <w:marTop w:val="0"/>
      <w:marBottom w:val="0"/>
      <w:divBdr>
        <w:top w:val="none" w:sz="0" w:space="0" w:color="auto"/>
        <w:left w:val="none" w:sz="0" w:space="0" w:color="auto"/>
        <w:bottom w:val="none" w:sz="0" w:space="0" w:color="auto"/>
        <w:right w:val="none" w:sz="0" w:space="0" w:color="auto"/>
      </w:divBdr>
    </w:div>
    <w:div w:id="82385414">
      <w:bodyDiv w:val="1"/>
      <w:marLeft w:val="0"/>
      <w:marRight w:val="0"/>
      <w:marTop w:val="0"/>
      <w:marBottom w:val="0"/>
      <w:divBdr>
        <w:top w:val="none" w:sz="0" w:space="0" w:color="auto"/>
        <w:left w:val="none" w:sz="0" w:space="0" w:color="auto"/>
        <w:bottom w:val="none" w:sz="0" w:space="0" w:color="auto"/>
        <w:right w:val="none" w:sz="0" w:space="0" w:color="auto"/>
      </w:divBdr>
    </w:div>
    <w:div w:id="94861988">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21382713">
      <w:bodyDiv w:val="1"/>
      <w:marLeft w:val="0"/>
      <w:marRight w:val="0"/>
      <w:marTop w:val="0"/>
      <w:marBottom w:val="0"/>
      <w:divBdr>
        <w:top w:val="none" w:sz="0" w:space="0" w:color="auto"/>
        <w:left w:val="none" w:sz="0" w:space="0" w:color="auto"/>
        <w:bottom w:val="none" w:sz="0" w:space="0" w:color="auto"/>
        <w:right w:val="none" w:sz="0" w:space="0" w:color="auto"/>
      </w:divBdr>
    </w:div>
    <w:div w:id="140851689">
      <w:bodyDiv w:val="1"/>
      <w:marLeft w:val="0"/>
      <w:marRight w:val="0"/>
      <w:marTop w:val="0"/>
      <w:marBottom w:val="0"/>
      <w:divBdr>
        <w:top w:val="none" w:sz="0" w:space="0" w:color="auto"/>
        <w:left w:val="none" w:sz="0" w:space="0" w:color="auto"/>
        <w:bottom w:val="none" w:sz="0" w:space="0" w:color="auto"/>
        <w:right w:val="none" w:sz="0" w:space="0" w:color="auto"/>
      </w:divBdr>
    </w:div>
    <w:div w:id="154421146">
      <w:bodyDiv w:val="1"/>
      <w:marLeft w:val="0"/>
      <w:marRight w:val="0"/>
      <w:marTop w:val="0"/>
      <w:marBottom w:val="0"/>
      <w:divBdr>
        <w:top w:val="none" w:sz="0" w:space="0" w:color="auto"/>
        <w:left w:val="none" w:sz="0" w:space="0" w:color="auto"/>
        <w:bottom w:val="none" w:sz="0" w:space="0" w:color="auto"/>
        <w:right w:val="none" w:sz="0" w:space="0" w:color="auto"/>
      </w:divBdr>
    </w:div>
    <w:div w:id="156463780">
      <w:bodyDiv w:val="1"/>
      <w:marLeft w:val="0"/>
      <w:marRight w:val="0"/>
      <w:marTop w:val="0"/>
      <w:marBottom w:val="0"/>
      <w:divBdr>
        <w:top w:val="none" w:sz="0" w:space="0" w:color="auto"/>
        <w:left w:val="none" w:sz="0" w:space="0" w:color="auto"/>
        <w:bottom w:val="none" w:sz="0" w:space="0" w:color="auto"/>
        <w:right w:val="none" w:sz="0" w:space="0" w:color="auto"/>
      </w:divBdr>
    </w:div>
    <w:div w:id="160896589">
      <w:bodyDiv w:val="1"/>
      <w:marLeft w:val="0"/>
      <w:marRight w:val="0"/>
      <w:marTop w:val="0"/>
      <w:marBottom w:val="0"/>
      <w:divBdr>
        <w:top w:val="none" w:sz="0" w:space="0" w:color="auto"/>
        <w:left w:val="none" w:sz="0" w:space="0" w:color="auto"/>
        <w:bottom w:val="none" w:sz="0" w:space="0" w:color="auto"/>
        <w:right w:val="none" w:sz="0" w:space="0" w:color="auto"/>
      </w:divBdr>
    </w:div>
    <w:div w:id="167839403">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177542639">
      <w:bodyDiv w:val="1"/>
      <w:marLeft w:val="0"/>
      <w:marRight w:val="0"/>
      <w:marTop w:val="0"/>
      <w:marBottom w:val="0"/>
      <w:divBdr>
        <w:top w:val="none" w:sz="0" w:space="0" w:color="auto"/>
        <w:left w:val="none" w:sz="0" w:space="0" w:color="auto"/>
        <w:bottom w:val="none" w:sz="0" w:space="0" w:color="auto"/>
        <w:right w:val="none" w:sz="0" w:space="0" w:color="auto"/>
      </w:divBdr>
    </w:div>
    <w:div w:id="178395274">
      <w:bodyDiv w:val="1"/>
      <w:marLeft w:val="0"/>
      <w:marRight w:val="0"/>
      <w:marTop w:val="0"/>
      <w:marBottom w:val="0"/>
      <w:divBdr>
        <w:top w:val="none" w:sz="0" w:space="0" w:color="auto"/>
        <w:left w:val="none" w:sz="0" w:space="0" w:color="auto"/>
        <w:bottom w:val="none" w:sz="0" w:space="0" w:color="auto"/>
        <w:right w:val="none" w:sz="0" w:space="0" w:color="auto"/>
      </w:divBdr>
    </w:div>
    <w:div w:id="183132783">
      <w:bodyDiv w:val="1"/>
      <w:marLeft w:val="0"/>
      <w:marRight w:val="0"/>
      <w:marTop w:val="0"/>
      <w:marBottom w:val="0"/>
      <w:divBdr>
        <w:top w:val="none" w:sz="0" w:space="0" w:color="auto"/>
        <w:left w:val="none" w:sz="0" w:space="0" w:color="auto"/>
        <w:bottom w:val="none" w:sz="0" w:space="0" w:color="auto"/>
        <w:right w:val="none" w:sz="0" w:space="0" w:color="auto"/>
      </w:divBdr>
    </w:div>
    <w:div w:id="184708090">
      <w:bodyDiv w:val="1"/>
      <w:marLeft w:val="0"/>
      <w:marRight w:val="0"/>
      <w:marTop w:val="0"/>
      <w:marBottom w:val="0"/>
      <w:divBdr>
        <w:top w:val="none" w:sz="0" w:space="0" w:color="auto"/>
        <w:left w:val="none" w:sz="0" w:space="0" w:color="auto"/>
        <w:bottom w:val="none" w:sz="0" w:space="0" w:color="auto"/>
        <w:right w:val="none" w:sz="0" w:space="0" w:color="auto"/>
      </w:divBdr>
    </w:div>
    <w:div w:id="190000313">
      <w:bodyDiv w:val="1"/>
      <w:marLeft w:val="0"/>
      <w:marRight w:val="0"/>
      <w:marTop w:val="0"/>
      <w:marBottom w:val="0"/>
      <w:divBdr>
        <w:top w:val="none" w:sz="0" w:space="0" w:color="auto"/>
        <w:left w:val="none" w:sz="0" w:space="0" w:color="auto"/>
        <w:bottom w:val="none" w:sz="0" w:space="0" w:color="auto"/>
        <w:right w:val="none" w:sz="0" w:space="0" w:color="auto"/>
      </w:divBdr>
    </w:div>
    <w:div w:id="200020271">
      <w:bodyDiv w:val="1"/>
      <w:marLeft w:val="0"/>
      <w:marRight w:val="0"/>
      <w:marTop w:val="0"/>
      <w:marBottom w:val="0"/>
      <w:divBdr>
        <w:top w:val="none" w:sz="0" w:space="0" w:color="auto"/>
        <w:left w:val="none" w:sz="0" w:space="0" w:color="auto"/>
        <w:bottom w:val="none" w:sz="0" w:space="0" w:color="auto"/>
        <w:right w:val="none" w:sz="0" w:space="0" w:color="auto"/>
      </w:divBdr>
    </w:div>
    <w:div w:id="201672099">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08882317">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29775452">
      <w:bodyDiv w:val="1"/>
      <w:marLeft w:val="0"/>
      <w:marRight w:val="0"/>
      <w:marTop w:val="0"/>
      <w:marBottom w:val="0"/>
      <w:divBdr>
        <w:top w:val="none" w:sz="0" w:space="0" w:color="auto"/>
        <w:left w:val="none" w:sz="0" w:space="0" w:color="auto"/>
        <w:bottom w:val="none" w:sz="0" w:space="0" w:color="auto"/>
        <w:right w:val="none" w:sz="0" w:space="0" w:color="auto"/>
      </w:divBdr>
    </w:div>
    <w:div w:id="233053855">
      <w:bodyDiv w:val="1"/>
      <w:marLeft w:val="0"/>
      <w:marRight w:val="0"/>
      <w:marTop w:val="0"/>
      <w:marBottom w:val="0"/>
      <w:divBdr>
        <w:top w:val="none" w:sz="0" w:space="0" w:color="auto"/>
        <w:left w:val="none" w:sz="0" w:space="0" w:color="auto"/>
        <w:bottom w:val="none" w:sz="0" w:space="0" w:color="auto"/>
        <w:right w:val="none" w:sz="0" w:space="0" w:color="auto"/>
      </w:divBdr>
    </w:div>
    <w:div w:id="245186755">
      <w:bodyDiv w:val="1"/>
      <w:marLeft w:val="0"/>
      <w:marRight w:val="0"/>
      <w:marTop w:val="0"/>
      <w:marBottom w:val="0"/>
      <w:divBdr>
        <w:top w:val="none" w:sz="0" w:space="0" w:color="auto"/>
        <w:left w:val="none" w:sz="0" w:space="0" w:color="auto"/>
        <w:bottom w:val="none" w:sz="0" w:space="0" w:color="auto"/>
        <w:right w:val="none" w:sz="0" w:space="0" w:color="auto"/>
      </w:divBdr>
    </w:div>
    <w:div w:id="256184270">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67930109">
      <w:bodyDiv w:val="1"/>
      <w:marLeft w:val="0"/>
      <w:marRight w:val="0"/>
      <w:marTop w:val="0"/>
      <w:marBottom w:val="0"/>
      <w:divBdr>
        <w:top w:val="none" w:sz="0" w:space="0" w:color="auto"/>
        <w:left w:val="none" w:sz="0" w:space="0" w:color="auto"/>
        <w:bottom w:val="none" w:sz="0" w:space="0" w:color="auto"/>
        <w:right w:val="none" w:sz="0" w:space="0" w:color="auto"/>
      </w:divBdr>
    </w:div>
    <w:div w:id="276721789">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294024915">
      <w:bodyDiv w:val="1"/>
      <w:marLeft w:val="0"/>
      <w:marRight w:val="0"/>
      <w:marTop w:val="0"/>
      <w:marBottom w:val="0"/>
      <w:divBdr>
        <w:top w:val="none" w:sz="0" w:space="0" w:color="auto"/>
        <w:left w:val="none" w:sz="0" w:space="0" w:color="auto"/>
        <w:bottom w:val="none" w:sz="0" w:space="0" w:color="auto"/>
        <w:right w:val="none" w:sz="0" w:space="0" w:color="auto"/>
      </w:divBdr>
    </w:div>
    <w:div w:id="296840222">
      <w:bodyDiv w:val="1"/>
      <w:marLeft w:val="0"/>
      <w:marRight w:val="0"/>
      <w:marTop w:val="0"/>
      <w:marBottom w:val="0"/>
      <w:divBdr>
        <w:top w:val="none" w:sz="0" w:space="0" w:color="auto"/>
        <w:left w:val="none" w:sz="0" w:space="0" w:color="auto"/>
        <w:bottom w:val="none" w:sz="0" w:space="0" w:color="auto"/>
        <w:right w:val="none" w:sz="0" w:space="0" w:color="auto"/>
      </w:divBdr>
    </w:div>
    <w:div w:id="297536894">
      <w:bodyDiv w:val="1"/>
      <w:marLeft w:val="0"/>
      <w:marRight w:val="0"/>
      <w:marTop w:val="0"/>
      <w:marBottom w:val="0"/>
      <w:divBdr>
        <w:top w:val="none" w:sz="0" w:space="0" w:color="auto"/>
        <w:left w:val="none" w:sz="0" w:space="0" w:color="auto"/>
        <w:bottom w:val="none" w:sz="0" w:space="0" w:color="auto"/>
        <w:right w:val="none" w:sz="0" w:space="0" w:color="auto"/>
      </w:divBdr>
    </w:div>
    <w:div w:id="299042772">
      <w:bodyDiv w:val="1"/>
      <w:marLeft w:val="0"/>
      <w:marRight w:val="0"/>
      <w:marTop w:val="0"/>
      <w:marBottom w:val="0"/>
      <w:divBdr>
        <w:top w:val="none" w:sz="0" w:space="0" w:color="auto"/>
        <w:left w:val="none" w:sz="0" w:space="0" w:color="auto"/>
        <w:bottom w:val="none" w:sz="0" w:space="0" w:color="auto"/>
        <w:right w:val="none" w:sz="0" w:space="0" w:color="auto"/>
      </w:divBdr>
    </w:div>
    <w:div w:id="303660841">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7925370">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26059004">
      <w:bodyDiv w:val="1"/>
      <w:marLeft w:val="0"/>
      <w:marRight w:val="0"/>
      <w:marTop w:val="0"/>
      <w:marBottom w:val="0"/>
      <w:divBdr>
        <w:top w:val="none" w:sz="0" w:space="0" w:color="auto"/>
        <w:left w:val="none" w:sz="0" w:space="0" w:color="auto"/>
        <w:bottom w:val="none" w:sz="0" w:space="0" w:color="auto"/>
        <w:right w:val="none" w:sz="0" w:space="0" w:color="auto"/>
      </w:divBdr>
    </w:div>
    <w:div w:id="332611325">
      <w:bodyDiv w:val="1"/>
      <w:marLeft w:val="0"/>
      <w:marRight w:val="0"/>
      <w:marTop w:val="0"/>
      <w:marBottom w:val="0"/>
      <w:divBdr>
        <w:top w:val="none" w:sz="0" w:space="0" w:color="auto"/>
        <w:left w:val="none" w:sz="0" w:space="0" w:color="auto"/>
        <w:bottom w:val="none" w:sz="0" w:space="0" w:color="auto"/>
        <w:right w:val="none" w:sz="0" w:space="0" w:color="auto"/>
      </w:divBdr>
    </w:div>
    <w:div w:id="342051638">
      <w:bodyDiv w:val="1"/>
      <w:marLeft w:val="0"/>
      <w:marRight w:val="0"/>
      <w:marTop w:val="0"/>
      <w:marBottom w:val="0"/>
      <w:divBdr>
        <w:top w:val="none" w:sz="0" w:space="0" w:color="auto"/>
        <w:left w:val="none" w:sz="0" w:space="0" w:color="auto"/>
        <w:bottom w:val="none" w:sz="0" w:space="0" w:color="auto"/>
        <w:right w:val="none" w:sz="0" w:space="0" w:color="auto"/>
      </w:divBdr>
    </w:div>
    <w:div w:id="351224892">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79549316">
      <w:bodyDiv w:val="1"/>
      <w:marLeft w:val="0"/>
      <w:marRight w:val="0"/>
      <w:marTop w:val="0"/>
      <w:marBottom w:val="0"/>
      <w:divBdr>
        <w:top w:val="none" w:sz="0" w:space="0" w:color="auto"/>
        <w:left w:val="none" w:sz="0" w:space="0" w:color="auto"/>
        <w:bottom w:val="none" w:sz="0" w:space="0" w:color="auto"/>
        <w:right w:val="none" w:sz="0" w:space="0" w:color="auto"/>
      </w:divBdr>
    </w:div>
    <w:div w:id="382291808">
      <w:bodyDiv w:val="1"/>
      <w:marLeft w:val="0"/>
      <w:marRight w:val="0"/>
      <w:marTop w:val="0"/>
      <w:marBottom w:val="0"/>
      <w:divBdr>
        <w:top w:val="none" w:sz="0" w:space="0" w:color="auto"/>
        <w:left w:val="none" w:sz="0" w:space="0" w:color="auto"/>
        <w:bottom w:val="none" w:sz="0" w:space="0" w:color="auto"/>
        <w:right w:val="none" w:sz="0" w:space="0" w:color="auto"/>
      </w:divBdr>
    </w:div>
    <w:div w:id="390234084">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1146655">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09811921">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7233512">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29736950">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1922421">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65975867">
      <w:bodyDiv w:val="1"/>
      <w:marLeft w:val="0"/>
      <w:marRight w:val="0"/>
      <w:marTop w:val="0"/>
      <w:marBottom w:val="0"/>
      <w:divBdr>
        <w:top w:val="none" w:sz="0" w:space="0" w:color="auto"/>
        <w:left w:val="none" w:sz="0" w:space="0" w:color="auto"/>
        <w:bottom w:val="none" w:sz="0" w:space="0" w:color="auto"/>
        <w:right w:val="none" w:sz="0" w:space="0" w:color="auto"/>
      </w:divBdr>
    </w:div>
    <w:div w:id="471288735">
      <w:bodyDiv w:val="1"/>
      <w:marLeft w:val="0"/>
      <w:marRight w:val="0"/>
      <w:marTop w:val="0"/>
      <w:marBottom w:val="0"/>
      <w:divBdr>
        <w:top w:val="none" w:sz="0" w:space="0" w:color="auto"/>
        <w:left w:val="none" w:sz="0" w:space="0" w:color="auto"/>
        <w:bottom w:val="none" w:sz="0" w:space="0" w:color="auto"/>
        <w:right w:val="none" w:sz="0" w:space="0" w:color="auto"/>
      </w:divBdr>
    </w:div>
    <w:div w:id="471367310">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7772101">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80268124">
      <w:bodyDiv w:val="1"/>
      <w:marLeft w:val="0"/>
      <w:marRight w:val="0"/>
      <w:marTop w:val="0"/>
      <w:marBottom w:val="0"/>
      <w:divBdr>
        <w:top w:val="none" w:sz="0" w:space="0" w:color="auto"/>
        <w:left w:val="none" w:sz="0" w:space="0" w:color="auto"/>
        <w:bottom w:val="none" w:sz="0" w:space="0" w:color="auto"/>
        <w:right w:val="none" w:sz="0" w:space="0" w:color="auto"/>
      </w:divBdr>
    </w:div>
    <w:div w:id="490295352">
      <w:bodyDiv w:val="1"/>
      <w:marLeft w:val="0"/>
      <w:marRight w:val="0"/>
      <w:marTop w:val="0"/>
      <w:marBottom w:val="0"/>
      <w:divBdr>
        <w:top w:val="none" w:sz="0" w:space="0" w:color="auto"/>
        <w:left w:val="none" w:sz="0" w:space="0" w:color="auto"/>
        <w:bottom w:val="none" w:sz="0" w:space="0" w:color="auto"/>
        <w:right w:val="none" w:sz="0" w:space="0" w:color="auto"/>
      </w:divBdr>
    </w:div>
    <w:div w:id="495875504">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10951296">
      <w:bodyDiv w:val="1"/>
      <w:marLeft w:val="0"/>
      <w:marRight w:val="0"/>
      <w:marTop w:val="0"/>
      <w:marBottom w:val="0"/>
      <w:divBdr>
        <w:top w:val="none" w:sz="0" w:space="0" w:color="auto"/>
        <w:left w:val="none" w:sz="0" w:space="0" w:color="auto"/>
        <w:bottom w:val="none" w:sz="0" w:space="0" w:color="auto"/>
        <w:right w:val="none" w:sz="0" w:space="0" w:color="auto"/>
      </w:divBdr>
    </w:div>
    <w:div w:id="517499322">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38278914">
      <w:bodyDiv w:val="1"/>
      <w:marLeft w:val="0"/>
      <w:marRight w:val="0"/>
      <w:marTop w:val="0"/>
      <w:marBottom w:val="0"/>
      <w:divBdr>
        <w:top w:val="none" w:sz="0" w:space="0" w:color="auto"/>
        <w:left w:val="none" w:sz="0" w:space="0" w:color="auto"/>
        <w:bottom w:val="none" w:sz="0" w:space="0" w:color="auto"/>
        <w:right w:val="none" w:sz="0" w:space="0" w:color="auto"/>
      </w:divBdr>
    </w:div>
    <w:div w:id="539829581">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4508489">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598031587">
      <w:bodyDiv w:val="1"/>
      <w:marLeft w:val="0"/>
      <w:marRight w:val="0"/>
      <w:marTop w:val="0"/>
      <w:marBottom w:val="0"/>
      <w:divBdr>
        <w:top w:val="none" w:sz="0" w:space="0" w:color="auto"/>
        <w:left w:val="none" w:sz="0" w:space="0" w:color="auto"/>
        <w:bottom w:val="none" w:sz="0" w:space="0" w:color="auto"/>
        <w:right w:val="none" w:sz="0" w:space="0" w:color="auto"/>
      </w:divBdr>
    </w:div>
    <w:div w:id="607195688">
      <w:bodyDiv w:val="1"/>
      <w:marLeft w:val="0"/>
      <w:marRight w:val="0"/>
      <w:marTop w:val="0"/>
      <w:marBottom w:val="0"/>
      <w:divBdr>
        <w:top w:val="none" w:sz="0" w:space="0" w:color="auto"/>
        <w:left w:val="none" w:sz="0" w:space="0" w:color="auto"/>
        <w:bottom w:val="none" w:sz="0" w:space="0" w:color="auto"/>
        <w:right w:val="none" w:sz="0" w:space="0" w:color="auto"/>
      </w:divBdr>
    </w:div>
    <w:div w:id="608052311">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26815944">
      <w:bodyDiv w:val="1"/>
      <w:marLeft w:val="0"/>
      <w:marRight w:val="0"/>
      <w:marTop w:val="0"/>
      <w:marBottom w:val="0"/>
      <w:divBdr>
        <w:top w:val="none" w:sz="0" w:space="0" w:color="auto"/>
        <w:left w:val="none" w:sz="0" w:space="0" w:color="auto"/>
        <w:bottom w:val="none" w:sz="0" w:space="0" w:color="auto"/>
        <w:right w:val="none" w:sz="0" w:space="0" w:color="auto"/>
      </w:divBdr>
    </w:div>
    <w:div w:id="627391964">
      <w:bodyDiv w:val="1"/>
      <w:marLeft w:val="0"/>
      <w:marRight w:val="0"/>
      <w:marTop w:val="0"/>
      <w:marBottom w:val="0"/>
      <w:divBdr>
        <w:top w:val="none" w:sz="0" w:space="0" w:color="auto"/>
        <w:left w:val="none" w:sz="0" w:space="0" w:color="auto"/>
        <w:bottom w:val="none" w:sz="0" w:space="0" w:color="auto"/>
        <w:right w:val="none" w:sz="0" w:space="0" w:color="auto"/>
      </w:divBdr>
    </w:div>
    <w:div w:id="635570321">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655033687">
      <w:bodyDiv w:val="1"/>
      <w:marLeft w:val="0"/>
      <w:marRight w:val="0"/>
      <w:marTop w:val="0"/>
      <w:marBottom w:val="0"/>
      <w:divBdr>
        <w:top w:val="none" w:sz="0" w:space="0" w:color="auto"/>
        <w:left w:val="none" w:sz="0" w:space="0" w:color="auto"/>
        <w:bottom w:val="none" w:sz="0" w:space="0" w:color="auto"/>
        <w:right w:val="none" w:sz="0" w:space="0" w:color="auto"/>
      </w:divBdr>
    </w:div>
    <w:div w:id="672221307">
      <w:bodyDiv w:val="1"/>
      <w:marLeft w:val="0"/>
      <w:marRight w:val="0"/>
      <w:marTop w:val="0"/>
      <w:marBottom w:val="0"/>
      <w:divBdr>
        <w:top w:val="none" w:sz="0" w:space="0" w:color="auto"/>
        <w:left w:val="none" w:sz="0" w:space="0" w:color="auto"/>
        <w:bottom w:val="none" w:sz="0" w:space="0" w:color="auto"/>
        <w:right w:val="none" w:sz="0" w:space="0" w:color="auto"/>
      </w:divBdr>
    </w:div>
    <w:div w:id="675765786">
      <w:bodyDiv w:val="1"/>
      <w:marLeft w:val="0"/>
      <w:marRight w:val="0"/>
      <w:marTop w:val="0"/>
      <w:marBottom w:val="0"/>
      <w:divBdr>
        <w:top w:val="none" w:sz="0" w:space="0" w:color="auto"/>
        <w:left w:val="none" w:sz="0" w:space="0" w:color="auto"/>
        <w:bottom w:val="none" w:sz="0" w:space="0" w:color="auto"/>
        <w:right w:val="none" w:sz="0" w:space="0" w:color="auto"/>
      </w:divBdr>
    </w:div>
    <w:div w:id="685326561">
      <w:bodyDiv w:val="1"/>
      <w:marLeft w:val="0"/>
      <w:marRight w:val="0"/>
      <w:marTop w:val="0"/>
      <w:marBottom w:val="0"/>
      <w:divBdr>
        <w:top w:val="none" w:sz="0" w:space="0" w:color="auto"/>
        <w:left w:val="none" w:sz="0" w:space="0" w:color="auto"/>
        <w:bottom w:val="none" w:sz="0" w:space="0" w:color="auto"/>
        <w:right w:val="none" w:sz="0" w:space="0" w:color="auto"/>
      </w:divBdr>
    </w:div>
    <w:div w:id="707607026">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41373271">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65156027">
      <w:bodyDiv w:val="1"/>
      <w:marLeft w:val="0"/>
      <w:marRight w:val="0"/>
      <w:marTop w:val="0"/>
      <w:marBottom w:val="0"/>
      <w:divBdr>
        <w:top w:val="none" w:sz="0" w:space="0" w:color="auto"/>
        <w:left w:val="none" w:sz="0" w:space="0" w:color="auto"/>
        <w:bottom w:val="none" w:sz="0" w:space="0" w:color="auto"/>
        <w:right w:val="none" w:sz="0" w:space="0" w:color="auto"/>
      </w:divBdr>
    </w:div>
    <w:div w:id="772556892">
      <w:bodyDiv w:val="1"/>
      <w:marLeft w:val="0"/>
      <w:marRight w:val="0"/>
      <w:marTop w:val="0"/>
      <w:marBottom w:val="0"/>
      <w:divBdr>
        <w:top w:val="none" w:sz="0" w:space="0" w:color="auto"/>
        <w:left w:val="none" w:sz="0" w:space="0" w:color="auto"/>
        <w:bottom w:val="none" w:sz="0" w:space="0" w:color="auto"/>
        <w:right w:val="none" w:sz="0" w:space="0" w:color="auto"/>
      </w:divBdr>
    </w:div>
    <w:div w:id="776949411">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05851120">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21695696">
      <w:bodyDiv w:val="1"/>
      <w:marLeft w:val="0"/>
      <w:marRight w:val="0"/>
      <w:marTop w:val="0"/>
      <w:marBottom w:val="0"/>
      <w:divBdr>
        <w:top w:val="none" w:sz="0" w:space="0" w:color="auto"/>
        <w:left w:val="none" w:sz="0" w:space="0" w:color="auto"/>
        <w:bottom w:val="none" w:sz="0" w:space="0" w:color="auto"/>
        <w:right w:val="none" w:sz="0" w:space="0" w:color="auto"/>
      </w:divBdr>
    </w:div>
    <w:div w:id="828322939">
      <w:bodyDiv w:val="1"/>
      <w:marLeft w:val="0"/>
      <w:marRight w:val="0"/>
      <w:marTop w:val="0"/>
      <w:marBottom w:val="0"/>
      <w:divBdr>
        <w:top w:val="none" w:sz="0" w:space="0" w:color="auto"/>
        <w:left w:val="none" w:sz="0" w:space="0" w:color="auto"/>
        <w:bottom w:val="none" w:sz="0" w:space="0" w:color="auto"/>
        <w:right w:val="none" w:sz="0" w:space="0" w:color="auto"/>
      </w:divBdr>
    </w:div>
    <w:div w:id="830412837">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37380451">
      <w:bodyDiv w:val="1"/>
      <w:marLeft w:val="0"/>
      <w:marRight w:val="0"/>
      <w:marTop w:val="0"/>
      <w:marBottom w:val="0"/>
      <w:divBdr>
        <w:top w:val="none" w:sz="0" w:space="0" w:color="auto"/>
        <w:left w:val="none" w:sz="0" w:space="0" w:color="auto"/>
        <w:bottom w:val="none" w:sz="0" w:space="0" w:color="auto"/>
        <w:right w:val="none" w:sz="0" w:space="0" w:color="auto"/>
      </w:divBdr>
    </w:div>
    <w:div w:id="844320431">
      <w:bodyDiv w:val="1"/>
      <w:marLeft w:val="0"/>
      <w:marRight w:val="0"/>
      <w:marTop w:val="0"/>
      <w:marBottom w:val="0"/>
      <w:divBdr>
        <w:top w:val="none" w:sz="0" w:space="0" w:color="auto"/>
        <w:left w:val="none" w:sz="0" w:space="0" w:color="auto"/>
        <w:bottom w:val="none" w:sz="0" w:space="0" w:color="auto"/>
        <w:right w:val="none" w:sz="0" w:space="0" w:color="auto"/>
      </w:divBdr>
    </w:div>
    <w:div w:id="851719087">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1865385">
      <w:bodyDiv w:val="1"/>
      <w:marLeft w:val="0"/>
      <w:marRight w:val="0"/>
      <w:marTop w:val="0"/>
      <w:marBottom w:val="0"/>
      <w:divBdr>
        <w:top w:val="none" w:sz="0" w:space="0" w:color="auto"/>
        <w:left w:val="none" w:sz="0" w:space="0" w:color="auto"/>
        <w:bottom w:val="none" w:sz="0" w:space="0" w:color="auto"/>
        <w:right w:val="none" w:sz="0" w:space="0" w:color="auto"/>
      </w:divBdr>
    </w:div>
    <w:div w:id="862018388">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88803918">
      <w:bodyDiv w:val="1"/>
      <w:marLeft w:val="0"/>
      <w:marRight w:val="0"/>
      <w:marTop w:val="0"/>
      <w:marBottom w:val="0"/>
      <w:divBdr>
        <w:top w:val="none" w:sz="0" w:space="0" w:color="auto"/>
        <w:left w:val="none" w:sz="0" w:space="0" w:color="auto"/>
        <w:bottom w:val="none" w:sz="0" w:space="0" w:color="auto"/>
        <w:right w:val="none" w:sz="0" w:space="0" w:color="auto"/>
      </w:divBdr>
    </w:div>
    <w:div w:id="894701052">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898596079">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8000522">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49433440">
      <w:bodyDiv w:val="1"/>
      <w:marLeft w:val="0"/>
      <w:marRight w:val="0"/>
      <w:marTop w:val="0"/>
      <w:marBottom w:val="0"/>
      <w:divBdr>
        <w:top w:val="none" w:sz="0" w:space="0" w:color="auto"/>
        <w:left w:val="none" w:sz="0" w:space="0" w:color="auto"/>
        <w:bottom w:val="none" w:sz="0" w:space="0" w:color="auto"/>
        <w:right w:val="none" w:sz="0" w:space="0" w:color="auto"/>
      </w:divBdr>
    </w:div>
    <w:div w:id="962537088">
      <w:bodyDiv w:val="1"/>
      <w:marLeft w:val="0"/>
      <w:marRight w:val="0"/>
      <w:marTop w:val="0"/>
      <w:marBottom w:val="0"/>
      <w:divBdr>
        <w:top w:val="none" w:sz="0" w:space="0" w:color="auto"/>
        <w:left w:val="none" w:sz="0" w:space="0" w:color="auto"/>
        <w:bottom w:val="none" w:sz="0" w:space="0" w:color="auto"/>
        <w:right w:val="none" w:sz="0" w:space="0" w:color="auto"/>
      </w:divBdr>
    </w:div>
    <w:div w:id="963581719">
      <w:bodyDiv w:val="1"/>
      <w:marLeft w:val="0"/>
      <w:marRight w:val="0"/>
      <w:marTop w:val="0"/>
      <w:marBottom w:val="0"/>
      <w:divBdr>
        <w:top w:val="none" w:sz="0" w:space="0" w:color="auto"/>
        <w:left w:val="none" w:sz="0" w:space="0" w:color="auto"/>
        <w:bottom w:val="none" w:sz="0" w:space="0" w:color="auto"/>
        <w:right w:val="none" w:sz="0" w:space="0" w:color="auto"/>
      </w:divBdr>
    </w:div>
    <w:div w:id="969021948">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17737662">
      <w:bodyDiv w:val="1"/>
      <w:marLeft w:val="0"/>
      <w:marRight w:val="0"/>
      <w:marTop w:val="0"/>
      <w:marBottom w:val="0"/>
      <w:divBdr>
        <w:top w:val="none" w:sz="0" w:space="0" w:color="auto"/>
        <w:left w:val="none" w:sz="0" w:space="0" w:color="auto"/>
        <w:bottom w:val="none" w:sz="0" w:space="0" w:color="auto"/>
        <w:right w:val="none" w:sz="0" w:space="0" w:color="auto"/>
      </w:divBdr>
    </w:div>
    <w:div w:id="1030842488">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47877919">
      <w:bodyDiv w:val="1"/>
      <w:marLeft w:val="0"/>
      <w:marRight w:val="0"/>
      <w:marTop w:val="0"/>
      <w:marBottom w:val="0"/>
      <w:divBdr>
        <w:top w:val="none" w:sz="0" w:space="0" w:color="auto"/>
        <w:left w:val="none" w:sz="0" w:space="0" w:color="auto"/>
        <w:bottom w:val="none" w:sz="0" w:space="0" w:color="auto"/>
        <w:right w:val="none" w:sz="0" w:space="0" w:color="auto"/>
      </w:divBdr>
    </w:div>
    <w:div w:id="1051538713">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1074329">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23765133">
      <w:bodyDiv w:val="1"/>
      <w:marLeft w:val="0"/>
      <w:marRight w:val="0"/>
      <w:marTop w:val="0"/>
      <w:marBottom w:val="0"/>
      <w:divBdr>
        <w:top w:val="none" w:sz="0" w:space="0" w:color="auto"/>
        <w:left w:val="none" w:sz="0" w:space="0" w:color="auto"/>
        <w:bottom w:val="none" w:sz="0" w:space="0" w:color="auto"/>
        <w:right w:val="none" w:sz="0" w:space="0" w:color="auto"/>
      </w:divBdr>
    </w:div>
    <w:div w:id="1124810946">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46435501">
      <w:bodyDiv w:val="1"/>
      <w:marLeft w:val="0"/>
      <w:marRight w:val="0"/>
      <w:marTop w:val="0"/>
      <w:marBottom w:val="0"/>
      <w:divBdr>
        <w:top w:val="none" w:sz="0" w:space="0" w:color="auto"/>
        <w:left w:val="none" w:sz="0" w:space="0" w:color="auto"/>
        <w:bottom w:val="none" w:sz="0" w:space="0" w:color="auto"/>
        <w:right w:val="none" w:sz="0" w:space="0" w:color="auto"/>
      </w:divBdr>
    </w:div>
    <w:div w:id="1146706741">
      <w:bodyDiv w:val="1"/>
      <w:marLeft w:val="0"/>
      <w:marRight w:val="0"/>
      <w:marTop w:val="0"/>
      <w:marBottom w:val="0"/>
      <w:divBdr>
        <w:top w:val="none" w:sz="0" w:space="0" w:color="auto"/>
        <w:left w:val="none" w:sz="0" w:space="0" w:color="auto"/>
        <w:bottom w:val="none" w:sz="0" w:space="0" w:color="auto"/>
        <w:right w:val="none" w:sz="0" w:space="0" w:color="auto"/>
      </w:divBdr>
    </w:div>
    <w:div w:id="1165824365">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192644363">
      <w:bodyDiv w:val="1"/>
      <w:marLeft w:val="0"/>
      <w:marRight w:val="0"/>
      <w:marTop w:val="0"/>
      <w:marBottom w:val="0"/>
      <w:divBdr>
        <w:top w:val="none" w:sz="0" w:space="0" w:color="auto"/>
        <w:left w:val="none" w:sz="0" w:space="0" w:color="auto"/>
        <w:bottom w:val="none" w:sz="0" w:space="0" w:color="auto"/>
        <w:right w:val="none" w:sz="0" w:space="0" w:color="auto"/>
      </w:divBdr>
    </w:div>
    <w:div w:id="1196847208">
      <w:bodyDiv w:val="1"/>
      <w:marLeft w:val="0"/>
      <w:marRight w:val="0"/>
      <w:marTop w:val="0"/>
      <w:marBottom w:val="0"/>
      <w:divBdr>
        <w:top w:val="none" w:sz="0" w:space="0" w:color="auto"/>
        <w:left w:val="none" w:sz="0" w:space="0" w:color="auto"/>
        <w:bottom w:val="none" w:sz="0" w:space="0" w:color="auto"/>
        <w:right w:val="none" w:sz="0" w:space="0" w:color="auto"/>
      </w:divBdr>
    </w:div>
    <w:div w:id="1208567299">
      <w:bodyDiv w:val="1"/>
      <w:marLeft w:val="0"/>
      <w:marRight w:val="0"/>
      <w:marTop w:val="0"/>
      <w:marBottom w:val="0"/>
      <w:divBdr>
        <w:top w:val="none" w:sz="0" w:space="0" w:color="auto"/>
        <w:left w:val="none" w:sz="0" w:space="0" w:color="auto"/>
        <w:bottom w:val="none" w:sz="0" w:space="0" w:color="auto"/>
        <w:right w:val="none" w:sz="0" w:space="0" w:color="auto"/>
      </w:divBdr>
    </w:div>
    <w:div w:id="1209147737">
      <w:bodyDiv w:val="1"/>
      <w:marLeft w:val="0"/>
      <w:marRight w:val="0"/>
      <w:marTop w:val="0"/>
      <w:marBottom w:val="0"/>
      <w:divBdr>
        <w:top w:val="none" w:sz="0" w:space="0" w:color="auto"/>
        <w:left w:val="none" w:sz="0" w:space="0" w:color="auto"/>
        <w:bottom w:val="none" w:sz="0" w:space="0" w:color="auto"/>
        <w:right w:val="none" w:sz="0" w:space="0" w:color="auto"/>
      </w:divBdr>
    </w:div>
    <w:div w:id="1241677450">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0037859">
      <w:bodyDiv w:val="1"/>
      <w:marLeft w:val="0"/>
      <w:marRight w:val="0"/>
      <w:marTop w:val="0"/>
      <w:marBottom w:val="0"/>
      <w:divBdr>
        <w:top w:val="none" w:sz="0" w:space="0" w:color="auto"/>
        <w:left w:val="none" w:sz="0" w:space="0" w:color="auto"/>
        <w:bottom w:val="none" w:sz="0" w:space="0" w:color="auto"/>
        <w:right w:val="none" w:sz="0" w:space="0" w:color="auto"/>
      </w:divBdr>
    </w:div>
    <w:div w:id="1250624202">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3905081">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279798644">
      <w:bodyDiv w:val="1"/>
      <w:marLeft w:val="0"/>
      <w:marRight w:val="0"/>
      <w:marTop w:val="0"/>
      <w:marBottom w:val="0"/>
      <w:divBdr>
        <w:top w:val="none" w:sz="0" w:space="0" w:color="auto"/>
        <w:left w:val="none" w:sz="0" w:space="0" w:color="auto"/>
        <w:bottom w:val="none" w:sz="0" w:space="0" w:color="auto"/>
        <w:right w:val="none" w:sz="0" w:space="0" w:color="auto"/>
      </w:divBdr>
    </w:div>
    <w:div w:id="1284534776">
      <w:bodyDiv w:val="1"/>
      <w:marLeft w:val="0"/>
      <w:marRight w:val="0"/>
      <w:marTop w:val="0"/>
      <w:marBottom w:val="0"/>
      <w:divBdr>
        <w:top w:val="none" w:sz="0" w:space="0" w:color="auto"/>
        <w:left w:val="none" w:sz="0" w:space="0" w:color="auto"/>
        <w:bottom w:val="none" w:sz="0" w:space="0" w:color="auto"/>
        <w:right w:val="none" w:sz="0" w:space="0" w:color="auto"/>
      </w:divBdr>
    </w:div>
    <w:div w:id="1303459159">
      <w:bodyDiv w:val="1"/>
      <w:marLeft w:val="0"/>
      <w:marRight w:val="0"/>
      <w:marTop w:val="0"/>
      <w:marBottom w:val="0"/>
      <w:divBdr>
        <w:top w:val="none" w:sz="0" w:space="0" w:color="auto"/>
        <w:left w:val="none" w:sz="0" w:space="0" w:color="auto"/>
        <w:bottom w:val="none" w:sz="0" w:space="0" w:color="auto"/>
        <w:right w:val="none" w:sz="0" w:space="0" w:color="auto"/>
      </w:divBdr>
    </w:div>
    <w:div w:id="1313951086">
      <w:bodyDiv w:val="1"/>
      <w:marLeft w:val="0"/>
      <w:marRight w:val="0"/>
      <w:marTop w:val="0"/>
      <w:marBottom w:val="0"/>
      <w:divBdr>
        <w:top w:val="none" w:sz="0" w:space="0" w:color="auto"/>
        <w:left w:val="none" w:sz="0" w:space="0" w:color="auto"/>
        <w:bottom w:val="none" w:sz="0" w:space="0" w:color="auto"/>
        <w:right w:val="none" w:sz="0" w:space="0" w:color="auto"/>
      </w:divBdr>
    </w:div>
    <w:div w:id="1317807682">
      <w:bodyDiv w:val="1"/>
      <w:marLeft w:val="0"/>
      <w:marRight w:val="0"/>
      <w:marTop w:val="0"/>
      <w:marBottom w:val="0"/>
      <w:divBdr>
        <w:top w:val="none" w:sz="0" w:space="0" w:color="auto"/>
        <w:left w:val="none" w:sz="0" w:space="0" w:color="auto"/>
        <w:bottom w:val="none" w:sz="0" w:space="0" w:color="auto"/>
        <w:right w:val="none" w:sz="0" w:space="0" w:color="auto"/>
      </w:divBdr>
    </w:div>
    <w:div w:id="1319310146">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30214385">
      <w:bodyDiv w:val="1"/>
      <w:marLeft w:val="0"/>
      <w:marRight w:val="0"/>
      <w:marTop w:val="0"/>
      <w:marBottom w:val="0"/>
      <w:divBdr>
        <w:top w:val="none" w:sz="0" w:space="0" w:color="auto"/>
        <w:left w:val="none" w:sz="0" w:space="0" w:color="auto"/>
        <w:bottom w:val="none" w:sz="0" w:space="0" w:color="auto"/>
        <w:right w:val="none" w:sz="0" w:space="0" w:color="auto"/>
      </w:divBdr>
    </w:div>
    <w:div w:id="1341085266">
      <w:bodyDiv w:val="1"/>
      <w:marLeft w:val="0"/>
      <w:marRight w:val="0"/>
      <w:marTop w:val="0"/>
      <w:marBottom w:val="0"/>
      <w:divBdr>
        <w:top w:val="none" w:sz="0" w:space="0" w:color="auto"/>
        <w:left w:val="none" w:sz="0" w:space="0" w:color="auto"/>
        <w:bottom w:val="none" w:sz="0" w:space="0" w:color="auto"/>
        <w:right w:val="none" w:sz="0" w:space="0" w:color="auto"/>
      </w:divBdr>
    </w:div>
    <w:div w:id="1352150665">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3727292">
      <w:bodyDiv w:val="1"/>
      <w:marLeft w:val="0"/>
      <w:marRight w:val="0"/>
      <w:marTop w:val="0"/>
      <w:marBottom w:val="0"/>
      <w:divBdr>
        <w:top w:val="none" w:sz="0" w:space="0" w:color="auto"/>
        <w:left w:val="none" w:sz="0" w:space="0" w:color="auto"/>
        <w:bottom w:val="none" w:sz="0" w:space="0" w:color="auto"/>
        <w:right w:val="none" w:sz="0" w:space="0" w:color="auto"/>
      </w:divBdr>
    </w:div>
    <w:div w:id="1353874612">
      <w:bodyDiv w:val="1"/>
      <w:marLeft w:val="0"/>
      <w:marRight w:val="0"/>
      <w:marTop w:val="0"/>
      <w:marBottom w:val="0"/>
      <w:divBdr>
        <w:top w:val="none" w:sz="0" w:space="0" w:color="auto"/>
        <w:left w:val="none" w:sz="0" w:space="0" w:color="auto"/>
        <w:bottom w:val="none" w:sz="0" w:space="0" w:color="auto"/>
        <w:right w:val="none" w:sz="0" w:space="0" w:color="auto"/>
      </w:divBdr>
    </w:div>
    <w:div w:id="1354920978">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29941">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85522236">
      <w:bodyDiv w:val="1"/>
      <w:marLeft w:val="0"/>
      <w:marRight w:val="0"/>
      <w:marTop w:val="0"/>
      <w:marBottom w:val="0"/>
      <w:divBdr>
        <w:top w:val="none" w:sz="0" w:space="0" w:color="auto"/>
        <w:left w:val="none" w:sz="0" w:space="0" w:color="auto"/>
        <w:bottom w:val="none" w:sz="0" w:space="0" w:color="auto"/>
        <w:right w:val="none" w:sz="0" w:space="0" w:color="auto"/>
      </w:divBdr>
    </w:div>
    <w:div w:id="1393503627">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13088849">
      <w:bodyDiv w:val="1"/>
      <w:marLeft w:val="0"/>
      <w:marRight w:val="0"/>
      <w:marTop w:val="0"/>
      <w:marBottom w:val="0"/>
      <w:divBdr>
        <w:top w:val="none" w:sz="0" w:space="0" w:color="auto"/>
        <w:left w:val="none" w:sz="0" w:space="0" w:color="auto"/>
        <w:bottom w:val="none" w:sz="0" w:space="0" w:color="auto"/>
        <w:right w:val="none" w:sz="0" w:space="0" w:color="auto"/>
      </w:divBdr>
    </w:div>
    <w:div w:id="1414012980">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26655635">
      <w:bodyDiv w:val="1"/>
      <w:marLeft w:val="0"/>
      <w:marRight w:val="0"/>
      <w:marTop w:val="0"/>
      <w:marBottom w:val="0"/>
      <w:divBdr>
        <w:top w:val="none" w:sz="0" w:space="0" w:color="auto"/>
        <w:left w:val="none" w:sz="0" w:space="0" w:color="auto"/>
        <w:bottom w:val="none" w:sz="0" w:space="0" w:color="auto"/>
        <w:right w:val="none" w:sz="0" w:space="0" w:color="auto"/>
      </w:divBdr>
    </w:div>
    <w:div w:id="1442148111">
      <w:bodyDiv w:val="1"/>
      <w:marLeft w:val="0"/>
      <w:marRight w:val="0"/>
      <w:marTop w:val="0"/>
      <w:marBottom w:val="0"/>
      <w:divBdr>
        <w:top w:val="none" w:sz="0" w:space="0" w:color="auto"/>
        <w:left w:val="none" w:sz="0" w:space="0" w:color="auto"/>
        <w:bottom w:val="none" w:sz="0" w:space="0" w:color="auto"/>
        <w:right w:val="none" w:sz="0" w:space="0" w:color="auto"/>
      </w:divBdr>
    </w:div>
    <w:div w:id="1443913468">
      <w:bodyDiv w:val="1"/>
      <w:marLeft w:val="0"/>
      <w:marRight w:val="0"/>
      <w:marTop w:val="0"/>
      <w:marBottom w:val="0"/>
      <w:divBdr>
        <w:top w:val="none" w:sz="0" w:space="0" w:color="auto"/>
        <w:left w:val="none" w:sz="0" w:space="0" w:color="auto"/>
        <w:bottom w:val="none" w:sz="0" w:space="0" w:color="auto"/>
        <w:right w:val="none" w:sz="0" w:space="0" w:color="auto"/>
      </w:divBdr>
    </w:div>
    <w:div w:id="1445222442">
      <w:bodyDiv w:val="1"/>
      <w:marLeft w:val="0"/>
      <w:marRight w:val="0"/>
      <w:marTop w:val="0"/>
      <w:marBottom w:val="0"/>
      <w:divBdr>
        <w:top w:val="none" w:sz="0" w:space="0" w:color="auto"/>
        <w:left w:val="none" w:sz="0" w:space="0" w:color="auto"/>
        <w:bottom w:val="none" w:sz="0" w:space="0" w:color="auto"/>
        <w:right w:val="none" w:sz="0" w:space="0" w:color="auto"/>
      </w:divBdr>
    </w:div>
    <w:div w:id="1451364290">
      <w:bodyDiv w:val="1"/>
      <w:marLeft w:val="0"/>
      <w:marRight w:val="0"/>
      <w:marTop w:val="0"/>
      <w:marBottom w:val="0"/>
      <w:divBdr>
        <w:top w:val="none" w:sz="0" w:space="0" w:color="auto"/>
        <w:left w:val="none" w:sz="0" w:space="0" w:color="auto"/>
        <w:bottom w:val="none" w:sz="0" w:space="0" w:color="auto"/>
        <w:right w:val="none" w:sz="0" w:space="0" w:color="auto"/>
      </w:divBdr>
    </w:div>
    <w:div w:id="1481849856">
      <w:bodyDiv w:val="1"/>
      <w:marLeft w:val="0"/>
      <w:marRight w:val="0"/>
      <w:marTop w:val="0"/>
      <w:marBottom w:val="0"/>
      <w:divBdr>
        <w:top w:val="none" w:sz="0" w:space="0" w:color="auto"/>
        <w:left w:val="none" w:sz="0" w:space="0" w:color="auto"/>
        <w:bottom w:val="none" w:sz="0" w:space="0" w:color="auto"/>
        <w:right w:val="none" w:sz="0" w:space="0" w:color="auto"/>
      </w:divBdr>
    </w:div>
    <w:div w:id="1490445322">
      <w:bodyDiv w:val="1"/>
      <w:marLeft w:val="0"/>
      <w:marRight w:val="0"/>
      <w:marTop w:val="0"/>
      <w:marBottom w:val="0"/>
      <w:divBdr>
        <w:top w:val="none" w:sz="0" w:space="0" w:color="auto"/>
        <w:left w:val="none" w:sz="0" w:space="0" w:color="auto"/>
        <w:bottom w:val="none" w:sz="0" w:space="0" w:color="auto"/>
        <w:right w:val="none" w:sz="0" w:space="0" w:color="auto"/>
      </w:divBdr>
    </w:div>
    <w:div w:id="150335007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11678603">
      <w:bodyDiv w:val="1"/>
      <w:marLeft w:val="0"/>
      <w:marRight w:val="0"/>
      <w:marTop w:val="0"/>
      <w:marBottom w:val="0"/>
      <w:divBdr>
        <w:top w:val="none" w:sz="0" w:space="0" w:color="auto"/>
        <w:left w:val="none" w:sz="0" w:space="0" w:color="auto"/>
        <w:bottom w:val="none" w:sz="0" w:space="0" w:color="auto"/>
        <w:right w:val="none" w:sz="0" w:space="0" w:color="auto"/>
      </w:divBdr>
    </w:div>
    <w:div w:id="1513377035">
      <w:bodyDiv w:val="1"/>
      <w:marLeft w:val="0"/>
      <w:marRight w:val="0"/>
      <w:marTop w:val="0"/>
      <w:marBottom w:val="0"/>
      <w:divBdr>
        <w:top w:val="none" w:sz="0" w:space="0" w:color="auto"/>
        <w:left w:val="none" w:sz="0" w:space="0" w:color="auto"/>
        <w:bottom w:val="none" w:sz="0" w:space="0" w:color="auto"/>
        <w:right w:val="none" w:sz="0" w:space="0" w:color="auto"/>
      </w:divBdr>
    </w:div>
    <w:div w:id="1513568933">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24706153">
      <w:bodyDiv w:val="1"/>
      <w:marLeft w:val="0"/>
      <w:marRight w:val="0"/>
      <w:marTop w:val="0"/>
      <w:marBottom w:val="0"/>
      <w:divBdr>
        <w:top w:val="none" w:sz="0" w:space="0" w:color="auto"/>
        <w:left w:val="none" w:sz="0" w:space="0" w:color="auto"/>
        <w:bottom w:val="none" w:sz="0" w:space="0" w:color="auto"/>
        <w:right w:val="none" w:sz="0" w:space="0" w:color="auto"/>
      </w:divBdr>
    </w:div>
    <w:div w:id="1535382867">
      <w:bodyDiv w:val="1"/>
      <w:marLeft w:val="0"/>
      <w:marRight w:val="0"/>
      <w:marTop w:val="0"/>
      <w:marBottom w:val="0"/>
      <w:divBdr>
        <w:top w:val="none" w:sz="0" w:space="0" w:color="auto"/>
        <w:left w:val="none" w:sz="0" w:space="0" w:color="auto"/>
        <w:bottom w:val="none" w:sz="0" w:space="0" w:color="auto"/>
        <w:right w:val="none" w:sz="0" w:space="0" w:color="auto"/>
      </w:divBdr>
    </w:div>
    <w:div w:id="1538737097">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543908301">
      <w:bodyDiv w:val="1"/>
      <w:marLeft w:val="0"/>
      <w:marRight w:val="0"/>
      <w:marTop w:val="0"/>
      <w:marBottom w:val="0"/>
      <w:divBdr>
        <w:top w:val="none" w:sz="0" w:space="0" w:color="auto"/>
        <w:left w:val="none" w:sz="0" w:space="0" w:color="auto"/>
        <w:bottom w:val="none" w:sz="0" w:space="0" w:color="auto"/>
        <w:right w:val="none" w:sz="0" w:space="0" w:color="auto"/>
      </w:divBdr>
    </w:div>
    <w:div w:id="1555039918">
      <w:bodyDiv w:val="1"/>
      <w:marLeft w:val="0"/>
      <w:marRight w:val="0"/>
      <w:marTop w:val="0"/>
      <w:marBottom w:val="0"/>
      <w:divBdr>
        <w:top w:val="none" w:sz="0" w:space="0" w:color="auto"/>
        <w:left w:val="none" w:sz="0" w:space="0" w:color="auto"/>
        <w:bottom w:val="none" w:sz="0" w:space="0" w:color="auto"/>
        <w:right w:val="none" w:sz="0" w:space="0" w:color="auto"/>
      </w:divBdr>
    </w:div>
    <w:div w:id="1557008015">
      <w:bodyDiv w:val="1"/>
      <w:marLeft w:val="0"/>
      <w:marRight w:val="0"/>
      <w:marTop w:val="0"/>
      <w:marBottom w:val="0"/>
      <w:divBdr>
        <w:top w:val="none" w:sz="0" w:space="0" w:color="auto"/>
        <w:left w:val="none" w:sz="0" w:space="0" w:color="auto"/>
        <w:bottom w:val="none" w:sz="0" w:space="0" w:color="auto"/>
        <w:right w:val="none" w:sz="0" w:space="0" w:color="auto"/>
      </w:divBdr>
    </w:div>
    <w:div w:id="1560171241">
      <w:bodyDiv w:val="1"/>
      <w:marLeft w:val="0"/>
      <w:marRight w:val="0"/>
      <w:marTop w:val="0"/>
      <w:marBottom w:val="0"/>
      <w:divBdr>
        <w:top w:val="none" w:sz="0" w:space="0" w:color="auto"/>
        <w:left w:val="none" w:sz="0" w:space="0" w:color="auto"/>
        <w:bottom w:val="none" w:sz="0" w:space="0" w:color="auto"/>
        <w:right w:val="none" w:sz="0" w:space="0" w:color="auto"/>
      </w:divBdr>
    </w:div>
    <w:div w:id="1565212014">
      <w:bodyDiv w:val="1"/>
      <w:marLeft w:val="0"/>
      <w:marRight w:val="0"/>
      <w:marTop w:val="0"/>
      <w:marBottom w:val="0"/>
      <w:divBdr>
        <w:top w:val="none" w:sz="0" w:space="0" w:color="auto"/>
        <w:left w:val="none" w:sz="0" w:space="0" w:color="auto"/>
        <w:bottom w:val="none" w:sz="0" w:space="0" w:color="auto"/>
        <w:right w:val="none" w:sz="0" w:space="0" w:color="auto"/>
      </w:divBdr>
    </w:div>
    <w:div w:id="1609315118">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30434490">
      <w:bodyDiv w:val="1"/>
      <w:marLeft w:val="0"/>
      <w:marRight w:val="0"/>
      <w:marTop w:val="0"/>
      <w:marBottom w:val="0"/>
      <w:divBdr>
        <w:top w:val="none" w:sz="0" w:space="0" w:color="auto"/>
        <w:left w:val="none" w:sz="0" w:space="0" w:color="auto"/>
        <w:bottom w:val="none" w:sz="0" w:space="0" w:color="auto"/>
        <w:right w:val="none" w:sz="0" w:space="0" w:color="auto"/>
      </w:divBdr>
    </w:div>
    <w:div w:id="1637489738">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49894725">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64234732">
      <w:bodyDiv w:val="1"/>
      <w:marLeft w:val="0"/>
      <w:marRight w:val="0"/>
      <w:marTop w:val="0"/>
      <w:marBottom w:val="0"/>
      <w:divBdr>
        <w:top w:val="none" w:sz="0" w:space="0" w:color="auto"/>
        <w:left w:val="none" w:sz="0" w:space="0" w:color="auto"/>
        <w:bottom w:val="none" w:sz="0" w:space="0" w:color="auto"/>
        <w:right w:val="none" w:sz="0" w:space="0" w:color="auto"/>
      </w:divBdr>
    </w:div>
    <w:div w:id="1679387139">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697150431">
      <w:bodyDiv w:val="1"/>
      <w:marLeft w:val="0"/>
      <w:marRight w:val="0"/>
      <w:marTop w:val="0"/>
      <w:marBottom w:val="0"/>
      <w:divBdr>
        <w:top w:val="none" w:sz="0" w:space="0" w:color="auto"/>
        <w:left w:val="none" w:sz="0" w:space="0" w:color="auto"/>
        <w:bottom w:val="none" w:sz="0" w:space="0" w:color="auto"/>
        <w:right w:val="none" w:sz="0" w:space="0" w:color="auto"/>
      </w:divBdr>
    </w:div>
    <w:div w:id="1699236970">
      <w:bodyDiv w:val="1"/>
      <w:marLeft w:val="0"/>
      <w:marRight w:val="0"/>
      <w:marTop w:val="0"/>
      <w:marBottom w:val="0"/>
      <w:divBdr>
        <w:top w:val="none" w:sz="0" w:space="0" w:color="auto"/>
        <w:left w:val="none" w:sz="0" w:space="0" w:color="auto"/>
        <w:bottom w:val="none" w:sz="0" w:space="0" w:color="auto"/>
        <w:right w:val="none" w:sz="0" w:space="0" w:color="auto"/>
      </w:divBdr>
    </w:div>
    <w:div w:id="1703554572">
      <w:bodyDiv w:val="1"/>
      <w:marLeft w:val="0"/>
      <w:marRight w:val="0"/>
      <w:marTop w:val="0"/>
      <w:marBottom w:val="0"/>
      <w:divBdr>
        <w:top w:val="none" w:sz="0" w:space="0" w:color="auto"/>
        <w:left w:val="none" w:sz="0" w:space="0" w:color="auto"/>
        <w:bottom w:val="none" w:sz="0" w:space="0" w:color="auto"/>
        <w:right w:val="none" w:sz="0" w:space="0" w:color="auto"/>
      </w:divBdr>
    </w:div>
    <w:div w:id="1708339044">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11759559">
      <w:bodyDiv w:val="1"/>
      <w:marLeft w:val="0"/>
      <w:marRight w:val="0"/>
      <w:marTop w:val="0"/>
      <w:marBottom w:val="0"/>
      <w:divBdr>
        <w:top w:val="none" w:sz="0" w:space="0" w:color="auto"/>
        <w:left w:val="none" w:sz="0" w:space="0" w:color="auto"/>
        <w:bottom w:val="none" w:sz="0" w:space="0" w:color="auto"/>
        <w:right w:val="none" w:sz="0" w:space="0" w:color="auto"/>
      </w:divBdr>
    </w:div>
    <w:div w:id="171195808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24400662">
      <w:bodyDiv w:val="1"/>
      <w:marLeft w:val="0"/>
      <w:marRight w:val="0"/>
      <w:marTop w:val="0"/>
      <w:marBottom w:val="0"/>
      <w:divBdr>
        <w:top w:val="none" w:sz="0" w:space="0" w:color="auto"/>
        <w:left w:val="none" w:sz="0" w:space="0" w:color="auto"/>
        <w:bottom w:val="none" w:sz="0" w:space="0" w:color="auto"/>
        <w:right w:val="none" w:sz="0" w:space="0" w:color="auto"/>
      </w:divBdr>
    </w:div>
    <w:div w:id="1734965617">
      <w:bodyDiv w:val="1"/>
      <w:marLeft w:val="0"/>
      <w:marRight w:val="0"/>
      <w:marTop w:val="0"/>
      <w:marBottom w:val="0"/>
      <w:divBdr>
        <w:top w:val="none" w:sz="0" w:space="0" w:color="auto"/>
        <w:left w:val="none" w:sz="0" w:space="0" w:color="auto"/>
        <w:bottom w:val="none" w:sz="0" w:space="0" w:color="auto"/>
        <w:right w:val="none" w:sz="0" w:space="0" w:color="auto"/>
      </w:divBdr>
    </w:div>
    <w:div w:id="1741781248">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43722915">
      <w:bodyDiv w:val="1"/>
      <w:marLeft w:val="0"/>
      <w:marRight w:val="0"/>
      <w:marTop w:val="0"/>
      <w:marBottom w:val="0"/>
      <w:divBdr>
        <w:top w:val="none" w:sz="0" w:space="0" w:color="auto"/>
        <w:left w:val="none" w:sz="0" w:space="0" w:color="auto"/>
        <w:bottom w:val="none" w:sz="0" w:space="0" w:color="auto"/>
        <w:right w:val="none" w:sz="0" w:space="0" w:color="auto"/>
      </w:divBdr>
    </w:div>
    <w:div w:id="1760249947">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60370643">
      <w:bodyDiv w:val="1"/>
      <w:marLeft w:val="0"/>
      <w:marRight w:val="0"/>
      <w:marTop w:val="0"/>
      <w:marBottom w:val="0"/>
      <w:divBdr>
        <w:top w:val="none" w:sz="0" w:space="0" w:color="auto"/>
        <w:left w:val="none" w:sz="0" w:space="0" w:color="auto"/>
        <w:bottom w:val="none" w:sz="0" w:space="0" w:color="auto"/>
        <w:right w:val="none" w:sz="0" w:space="0" w:color="auto"/>
      </w:divBdr>
    </w:div>
    <w:div w:id="1768042402">
      <w:bodyDiv w:val="1"/>
      <w:marLeft w:val="0"/>
      <w:marRight w:val="0"/>
      <w:marTop w:val="0"/>
      <w:marBottom w:val="0"/>
      <w:divBdr>
        <w:top w:val="none" w:sz="0" w:space="0" w:color="auto"/>
        <w:left w:val="none" w:sz="0" w:space="0" w:color="auto"/>
        <w:bottom w:val="none" w:sz="0" w:space="0" w:color="auto"/>
        <w:right w:val="none" w:sz="0" w:space="0" w:color="auto"/>
      </w:divBdr>
    </w:div>
    <w:div w:id="1769617766">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78482444">
      <w:bodyDiv w:val="1"/>
      <w:marLeft w:val="0"/>
      <w:marRight w:val="0"/>
      <w:marTop w:val="0"/>
      <w:marBottom w:val="0"/>
      <w:divBdr>
        <w:top w:val="none" w:sz="0" w:space="0" w:color="auto"/>
        <w:left w:val="none" w:sz="0" w:space="0" w:color="auto"/>
        <w:bottom w:val="none" w:sz="0" w:space="0" w:color="auto"/>
        <w:right w:val="none" w:sz="0" w:space="0" w:color="auto"/>
      </w:divBdr>
    </w:div>
    <w:div w:id="1782608032">
      <w:bodyDiv w:val="1"/>
      <w:marLeft w:val="0"/>
      <w:marRight w:val="0"/>
      <w:marTop w:val="0"/>
      <w:marBottom w:val="0"/>
      <w:divBdr>
        <w:top w:val="none" w:sz="0" w:space="0" w:color="auto"/>
        <w:left w:val="none" w:sz="0" w:space="0" w:color="auto"/>
        <w:bottom w:val="none" w:sz="0" w:space="0" w:color="auto"/>
        <w:right w:val="none" w:sz="0" w:space="0" w:color="auto"/>
      </w:divBdr>
    </w:div>
    <w:div w:id="1784689096">
      <w:bodyDiv w:val="1"/>
      <w:marLeft w:val="0"/>
      <w:marRight w:val="0"/>
      <w:marTop w:val="0"/>
      <w:marBottom w:val="0"/>
      <w:divBdr>
        <w:top w:val="none" w:sz="0" w:space="0" w:color="auto"/>
        <w:left w:val="none" w:sz="0" w:space="0" w:color="auto"/>
        <w:bottom w:val="none" w:sz="0" w:space="0" w:color="auto"/>
        <w:right w:val="none" w:sz="0" w:space="0" w:color="auto"/>
      </w:divBdr>
    </w:div>
    <w:div w:id="1785269659">
      <w:bodyDiv w:val="1"/>
      <w:marLeft w:val="0"/>
      <w:marRight w:val="0"/>
      <w:marTop w:val="0"/>
      <w:marBottom w:val="0"/>
      <w:divBdr>
        <w:top w:val="none" w:sz="0" w:space="0" w:color="auto"/>
        <w:left w:val="none" w:sz="0" w:space="0" w:color="auto"/>
        <w:bottom w:val="none" w:sz="0" w:space="0" w:color="auto"/>
        <w:right w:val="none" w:sz="0" w:space="0" w:color="auto"/>
      </w:divBdr>
    </w:div>
    <w:div w:id="178595300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0100909">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06969341">
      <w:bodyDiv w:val="1"/>
      <w:marLeft w:val="0"/>
      <w:marRight w:val="0"/>
      <w:marTop w:val="0"/>
      <w:marBottom w:val="0"/>
      <w:divBdr>
        <w:top w:val="none" w:sz="0" w:space="0" w:color="auto"/>
        <w:left w:val="none" w:sz="0" w:space="0" w:color="auto"/>
        <w:bottom w:val="none" w:sz="0" w:space="0" w:color="auto"/>
        <w:right w:val="none" w:sz="0" w:space="0" w:color="auto"/>
      </w:divBdr>
    </w:div>
    <w:div w:id="1810170768">
      <w:bodyDiv w:val="1"/>
      <w:marLeft w:val="0"/>
      <w:marRight w:val="0"/>
      <w:marTop w:val="0"/>
      <w:marBottom w:val="0"/>
      <w:divBdr>
        <w:top w:val="none" w:sz="0" w:space="0" w:color="auto"/>
        <w:left w:val="none" w:sz="0" w:space="0" w:color="auto"/>
        <w:bottom w:val="none" w:sz="0" w:space="0" w:color="auto"/>
        <w:right w:val="none" w:sz="0" w:space="0" w:color="auto"/>
      </w:divBdr>
    </w:div>
    <w:div w:id="1815835003">
      <w:bodyDiv w:val="1"/>
      <w:marLeft w:val="0"/>
      <w:marRight w:val="0"/>
      <w:marTop w:val="0"/>
      <w:marBottom w:val="0"/>
      <w:divBdr>
        <w:top w:val="none" w:sz="0" w:space="0" w:color="auto"/>
        <w:left w:val="none" w:sz="0" w:space="0" w:color="auto"/>
        <w:bottom w:val="none" w:sz="0" w:space="0" w:color="auto"/>
        <w:right w:val="none" w:sz="0" w:space="0" w:color="auto"/>
      </w:divBdr>
    </w:div>
    <w:div w:id="1830249201">
      <w:bodyDiv w:val="1"/>
      <w:marLeft w:val="0"/>
      <w:marRight w:val="0"/>
      <w:marTop w:val="0"/>
      <w:marBottom w:val="0"/>
      <w:divBdr>
        <w:top w:val="none" w:sz="0" w:space="0" w:color="auto"/>
        <w:left w:val="none" w:sz="0" w:space="0" w:color="auto"/>
        <w:bottom w:val="none" w:sz="0" w:space="0" w:color="auto"/>
        <w:right w:val="none" w:sz="0" w:space="0" w:color="auto"/>
      </w:divBdr>
    </w:div>
    <w:div w:id="1833138455">
      <w:bodyDiv w:val="1"/>
      <w:marLeft w:val="0"/>
      <w:marRight w:val="0"/>
      <w:marTop w:val="0"/>
      <w:marBottom w:val="0"/>
      <w:divBdr>
        <w:top w:val="none" w:sz="0" w:space="0" w:color="auto"/>
        <w:left w:val="none" w:sz="0" w:space="0" w:color="auto"/>
        <w:bottom w:val="none" w:sz="0" w:space="0" w:color="auto"/>
        <w:right w:val="none" w:sz="0" w:space="0" w:color="auto"/>
      </w:divBdr>
    </w:div>
    <w:div w:id="1836915862">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39421294">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1043014">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76699641">
      <w:bodyDiv w:val="1"/>
      <w:marLeft w:val="0"/>
      <w:marRight w:val="0"/>
      <w:marTop w:val="0"/>
      <w:marBottom w:val="0"/>
      <w:divBdr>
        <w:top w:val="none" w:sz="0" w:space="0" w:color="auto"/>
        <w:left w:val="none" w:sz="0" w:space="0" w:color="auto"/>
        <w:bottom w:val="none" w:sz="0" w:space="0" w:color="auto"/>
        <w:right w:val="none" w:sz="0" w:space="0" w:color="auto"/>
      </w:divBdr>
    </w:div>
    <w:div w:id="1877234372">
      <w:bodyDiv w:val="1"/>
      <w:marLeft w:val="0"/>
      <w:marRight w:val="0"/>
      <w:marTop w:val="0"/>
      <w:marBottom w:val="0"/>
      <w:divBdr>
        <w:top w:val="none" w:sz="0" w:space="0" w:color="auto"/>
        <w:left w:val="none" w:sz="0" w:space="0" w:color="auto"/>
        <w:bottom w:val="none" w:sz="0" w:space="0" w:color="auto"/>
        <w:right w:val="none" w:sz="0" w:space="0" w:color="auto"/>
      </w:divBdr>
    </w:div>
    <w:div w:id="1881623752">
      <w:bodyDiv w:val="1"/>
      <w:marLeft w:val="0"/>
      <w:marRight w:val="0"/>
      <w:marTop w:val="0"/>
      <w:marBottom w:val="0"/>
      <w:divBdr>
        <w:top w:val="none" w:sz="0" w:space="0" w:color="auto"/>
        <w:left w:val="none" w:sz="0" w:space="0" w:color="auto"/>
        <w:bottom w:val="none" w:sz="0" w:space="0" w:color="auto"/>
        <w:right w:val="none" w:sz="0" w:space="0" w:color="auto"/>
      </w:divBdr>
    </w:div>
    <w:div w:id="1882328159">
      <w:bodyDiv w:val="1"/>
      <w:marLeft w:val="0"/>
      <w:marRight w:val="0"/>
      <w:marTop w:val="0"/>
      <w:marBottom w:val="0"/>
      <w:divBdr>
        <w:top w:val="none" w:sz="0" w:space="0" w:color="auto"/>
        <w:left w:val="none" w:sz="0" w:space="0" w:color="auto"/>
        <w:bottom w:val="none" w:sz="0" w:space="0" w:color="auto"/>
        <w:right w:val="none" w:sz="0" w:space="0" w:color="auto"/>
      </w:divBdr>
    </w:div>
    <w:div w:id="1890141077">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4272455">
      <w:bodyDiv w:val="1"/>
      <w:marLeft w:val="0"/>
      <w:marRight w:val="0"/>
      <w:marTop w:val="0"/>
      <w:marBottom w:val="0"/>
      <w:divBdr>
        <w:top w:val="none" w:sz="0" w:space="0" w:color="auto"/>
        <w:left w:val="none" w:sz="0" w:space="0" w:color="auto"/>
        <w:bottom w:val="none" w:sz="0" w:space="0" w:color="auto"/>
        <w:right w:val="none" w:sz="0" w:space="0" w:color="auto"/>
      </w:divBdr>
    </w:div>
    <w:div w:id="1897355211">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03642013">
      <w:bodyDiv w:val="1"/>
      <w:marLeft w:val="0"/>
      <w:marRight w:val="0"/>
      <w:marTop w:val="0"/>
      <w:marBottom w:val="0"/>
      <w:divBdr>
        <w:top w:val="none" w:sz="0" w:space="0" w:color="auto"/>
        <w:left w:val="none" w:sz="0" w:space="0" w:color="auto"/>
        <w:bottom w:val="none" w:sz="0" w:space="0" w:color="auto"/>
        <w:right w:val="none" w:sz="0" w:space="0" w:color="auto"/>
      </w:divBdr>
    </w:div>
    <w:div w:id="1916162123">
      <w:bodyDiv w:val="1"/>
      <w:marLeft w:val="0"/>
      <w:marRight w:val="0"/>
      <w:marTop w:val="0"/>
      <w:marBottom w:val="0"/>
      <w:divBdr>
        <w:top w:val="none" w:sz="0" w:space="0" w:color="auto"/>
        <w:left w:val="none" w:sz="0" w:space="0" w:color="auto"/>
        <w:bottom w:val="none" w:sz="0" w:space="0" w:color="auto"/>
        <w:right w:val="none" w:sz="0" w:space="0" w:color="auto"/>
      </w:divBdr>
    </w:div>
    <w:div w:id="1922249079">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48852382">
      <w:bodyDiv w:val="1"/>
      <w:marLeft w:val="0"/>
      <w:marRight w:val="0"/>
      <w:marTop w:val="0"/>
      <w:marBottom w:val="0"/>
      <w:divBdr>
        <w:top w:val="none" w:sz="0" w:space="0" w:color="auto"/>
        <w:left w:val="none" w:sz="0" w:space="0" w:color="auto"/>
        <w:bottom w:val="none" w:sz="0" w:space="0" w:color="auto"/>
        <w:right w:val="none" w:sz="0" w:space="0" w:color="auto"/>
      </w:divBdr>
    </w:div>
    <w:div w:id="1951014590">
      <w:bodyDiv w:val="1"/>
      <w:marLeft w:val="0"/>
      <w:marRight w:val="0"/>
      <w:marTop w:val="0"/>
      <w:marBottom w:val="0"/>
      <w:divBdr>
        <w:top w:val="none" w:sz="0" w:space="0" w:color="auto"/>
        <w:left w:val="none" w:sz="0" w:space="0" w:color="auto"/>
        <w:bottom w:val="none" w:sz="0" w:space="0" w:color="auto"/>
        <w:right w:val="none" w:sz="0" w:space="0" w:color="auto"/>
      </w:divBdr>
    </w:div>
    <w:div w:id="1963489040">
      <w:bodyDiv w:val="1"/>
      <w:marLeft w:val="0"/>
      <w:marRight w:val="0"/>
      <w:marTop w:val="0"/>
      <w:marBottom w:val="0"/>
      <w:divBdr>
        <w:top w:val="none" w:sz="0" w:space="0" w:color="auto"/>
        <w:left w:val="none" w:sz="0" w:space="0" w:color="auto"/>
        <w:bottom w:val="none" w:sz="0" w:space="0" w:color="auto"/>
        <w:right w:val="none" w:sz="0" w:space="0" w:color="auto"/>
      </w:divBdr>
    </w:div>
    <w:div w:id="1966613695">
      <w:bodyDiv w:val="1"/>
      <w:marLeft w:val="0"/>
      <w:marRight w:val="0"/>
      <w:marTop w:val="0"/>
      <w:marBottom w:val="0"/>
      <w:divBdr>
        <w:top w:val="none" w:sz="0" w:space="0" w:color="auto"/>
        <w:left w:val="none" w:sz="0" w:space="0" w:color="auto"/>
        <w:bottom w:val="none" w:sz="0" w:space="0" w:color="auto"/>
        <w:right w:val="none" w:sz="0" w:space="0" w:color="auto"/>
      </w:divBdr>
    </w:div>
    <w:div w:id="1969505811">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176855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1994064508">
      <w:bodyDiv w:val="1"/>
      <w:marLeft w:val="0"/>
      <w:marRight w:val="0"/>
      <w:marTop w:val="0"/>
      <w:marBottom w:val="0"/>
      <w:divBdr>
        <w:top w:val="none" w:sz="0" w:space="0" w:color="auto"/>
        <w:left w:val="none" w:sz="0" w:space="0" w:color="auto"/>
        <w:bottom w:val="none" w:sz="0" w:space="0" w:color="auto"/>
        <w:right w:val="none" w:sz="0" w:space="0" w:color="auto"/>
      </w:divBdr>
    </w:div>
    <w:div w:id="1995915014">
      <w:bodyDiv w:val="1"/>
      <w:marLeft w:val="0"/>
      <w:marRight w:val="0"/>
      <w:marTop w:val="0"/>
      <w:marBottom w:val="0"/>
      <w:divBdr>
        <w:top w:val="none" w:sz="0" w:space="0" w:color="auto"/>
        <w:left w:val="none" w:sz="0" w:space="0" w:color="auto"/>
        <w:bottom w:val="none" w:sz="0" w:space="0" w:color="auto"/>
        <w:right w:val="none" w:sz="0" w:space="0" w:color="auto"/>
      </w:divBdr>
    </w:div>
    <w:div w:id="2006585365">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11055587">
      <w:bodyDiv w:val="1"/>
      <w:marLeft w:val="0"/>
      <w:marRight w:val="0"/>
      <w:marTop w:val="0"/>
      <w:marBottom w:val="0"/>
      <w:divBdr>
        <w:top w:val="none" w:sz="0" w:space="0" w:color="auto"/>
        <w:left w:val="none" w:sz="0" w:space="0" w:color="auto"/>
        <w:bottom w:val="none" w:sz="0" w:space="0" w:color="auto"/>
        <w:right w:val="none" w:sz="0" w:space="0" w:color="auto"/>
      </w:divBdr>
    </w:div>
    <w:div w:id="2020767442">
      <w:bodyDiv w:val="1"/>
      <w:marLeft w:val="0"/>
      <w:marRight w:val="0"/>
      <w:marTop w:val="0"/>
      <w:marBottom w:val="0"/>
      <w:divBdr>
        <w:top w:val="none" w:sz="0" w:space="0" w:color="auto"/>
        <w:left w:val="none" w:sz="0" w:space="0" w:color="auto"/>
        <w:bottom w:val="none" w:sz="0" w:space="0" w:color="auto"/>
        <w:right w:val="none" w:sz="0" w:space="0" w:color="auto"/>
      </w:divBdr>
    </w:div>
    <w:div w:id="2028486976">
      <w:bodyDiv w:val="1"/>
      <w:marLeft w:val="0"/>
      <w:marRight w:val="0"/>
      <w:marTop w:val="0"/>
      <w:marBottom w:val="0"/>
      <w:divBdr>
        <w:top w:val="none" w:sz="0" w:space="0" w:color="auto"/>
        <w:left w:val="none" w:sz="0" w:space="0" w:color="auto"/>
        <w:bottom w:val="none" w:sz="0" w:space="0" w:color="auto"/>
        <w:right w:val="none" w:sz="0" w:space="0" w:color="auto"/>
      </w:divBdr>
    </w:div>
    <w:div w:id="2045330556">
      <w:bodyDiv w:val="1"/>
      <w:marLeft w:val="0"/>
      <w:marRight w:val="0"/>
      <w:marTop w:val="0"/>
      <w:marBottom w:val="0"/>
      <w:divBdr>
        <w:top w:val="none" w:sz="0" w:space="0" w:color="auto"/>
        <w:left w:val="none" w:sz="0" w:space="0" w:color="auto"/>
        <w:bottom w:val="none" w:sz="0" w:space="0" w:color="auto"/>
        <w:right w:val="none" w:sz="0" w:space="0" w:color="auto"/>
      </w:divBdr>
    </w:div>
    <w:div w:id="2060667175">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79593452">
      <w:bodyDiv w:val="1"/>
      <w:marLeft w:val="0"/>
      <w:marRight w:val="0"/>
      <w:marTop w:val="0"/>
      <w:marBottom w:val="0"/>
      <w:divBdr>
        <w:top w:val="none" w:sz="0" w:space="0" w:color="auto"/>
        <w:left w:val="none" w:sz="0" w:space="0" w:color="auto"/>
        <w:bottom w:val="none" w:sz="0" w:space="0" w:color="auto"/>
        <w:right w:val="none" w:sz="0" w:space="0" w:color="auto"/>
      </w:divBdr>
    </w:div>
    <w:div w:id="2081243439">
      <w:bodyDiv w:val="1"/>
      <w:marLeft w:val="0"/>
      <w:marRight w:val="0"/>
      <w:marTop w:val="0"/>
      <w:marBottom w:val="0"/>
      <w:divBdr>
        <w:top w:val="none" w:sz="0" w:space="0" w:color="auto"/>
        <w:left w:val="none" w:sz="0" w:space="0" w:color="auto"/>
        <w:bottom w:val="none" w:sz="0" w:space="0" w:color="auto"/>
        <w:right w:val="none" w:sz="0" w:space="0" w:color="auto"/>
      </w:divBdr>
    </w:div>
    <w:div w:id="2081437107">
      <w:bodyDiv w:val="1"/>
      <w:marLeft w:val="0"/>
      <w:marRight w:val="0"/>
      <w:marTop w:val="0"/>
      <w:marBottom w:val="0"/>
      <w:divBdr>
        <w:top w:val="none" w:sz="0" w:space="0" w:color="auto"/>
        <w:left w:val="none" w:sz="0" w:space="0" w:color="auto"/>
        <w:bottom w:val="none" w:sz="0" w:space="0" w:color="auto"/>
        <w:right w:val="none" w:sz="0" w:space="0" w:color="auto"/>
      </w:divBdr>
    </w:div>
    <w:div w:id="2081904282">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4157504">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04716981">
      <w:bodyDiv w:val="1"/>
      <w:marLeft w:val="0"/>
      <w:marRight w:val="0"/>
      <w:marTop w:val="0"/>
      <w:marBottom w:val="0"/>
      <w:divBdr>
        <w:top w:val="none" w:sz="0" w:space="0" w:color="auto"/>
        <w:left w:val="none" w:sz="0" w:space="0" w:color="auto"/>
        <w:bottom w:val="none" w:sz="0" w:space="0" w:color="auto"/>
        <w:right w:val="none" w:sz="0" w:space="0" w:color="auto"/>
      </w:divBdr>
    </w:div>
    <w:div w:id="2105420911">
      <w:bodyDiv w:val="1"/>
      <w:marLeft w:val="0"/>
      <w:marRight w:val="0"/>
      <w:marTop w:val="0"/>
      <w:marBottom w:val="0"/>
      <w:divBdr>
        <w:top w:val="none" w:sz="0" w:space="0" w:color="auto"/>
        <w:left w:val="none" w:sz="0" w:space="0" w:color="auto"/>
        <w:bottom w:val="none" w:sz="0" w:space="0" w:color="auto"/>
        <w:right w:val="none" w:sz="0" w:space="0" w:color="auto"/>
      </w:divBdr>
    </w:div>
    <w:div w:id="2111004452">
      <w:bodyDiv w:val="1"/>
      <w:marLeft w:val="0"/>
      <w:marRight w:val="0"/>
      <w:marTop w:val="0"/>
      <w:marBottom w:val="0"/>
      <w:divBdr>
        <w:top w:val="none" w:sz="0" w:space="0" w:color="auto"/>
        <w:left w:val="none" w:sz="0" w:space="0" w:color="auto"/>
        <w:bottom w:val="none" w:sz="0" w:space="0" w:color="auto"/>
        <w:right w:val="none" w:sz="0" w:space="0" w:color="auto"/>
      </w:divBdr>
    </w:div>
    <w:div w:id="2113279275">
      <w:bodyDiv w:val="1"/>
      <w:marLeft w:val="0"/>
      <w:marRight w:val="0"/>
      <w:marTop w:val="0"/>
      <w:marBottom w:val="0"/>
      <w:divBdr>
        <w:top w:val="none" w:sz="0" w:space="0" w:color="auto"/>
        <w:left w:val="none" w:sz="0" w:space="0" w:color="auto"/>
        <w:bottom w:val="none" w:sz="0" w:space="0" w:color="auto"/>
        <w:right w:val="none" w:sz="0" w:space="0" w:color="auto"/>
      </w:divBdr>
    </w:div>
    <w:div w:id="2120024124">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2570900">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2A7AD-82A5-43A8-9F33-A6A4F0AD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Williams, Karen</cp:lastModifiedBy>
  <cp:revision>3</cp:revision>
  <cp:lastPrinted>2015-04-24T15:52:00Z</cp:lastPrinted>
  <dcterms:created xsi:type="dcterms:W3CDTF">2017-10-18T17:00:00Z</dcterms:created>
  <dcterms:modified xsi:type="dcterms:W3CDTF">2017-10-18T17:00:00Z</dcterms:modified>
</cp:coreProperties>
</file>