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9" w:rsidRDefault="00917849" w:rsidP="00917849">
      <w:pPr>
        <w:spacing w:after="0" w:line="240" w:lineRule="auto"/>
        <w:ind w:right="-46"/>
        <w:jc w:val="center"/>
        <w:rPr>
          <w:rFonts w:cs="Arial"/>
          <w:b/>
          <w:sz w:val="28"/>
          <w:szCs w:val="28"/>
        </w:rPr>
      </w:pPr>
      <w:r w:rsidRPr="009374C1">
        <w:rPr>
          <w:rFonts w:cs="Arial"/>
          <w:b/>
          <w:sz w:val="28"/>
          <w:szCs w:val="28"/>
        </w:rPr>
        <w:t>AUDIT AND RISK COMMITTEE MEETING</w:t>
      </w:r>
      <w:r>
        <w:rPr>
          <w:rFonts w:cs="Arial"/>
          <w:b/>
          <w:sz w:val="28"/>
          <w:szCs w:val="28"/>
        </w:rPr>
        <w:t xml:space="preserve"> SUMMARY </w:t>
      </w:r>
    </w:p>
    <w:p w:rsidR="00917849" w:rsidRPr="00AB4AAE" w:rsidRDefault="00917849" w:rsidP="00917849">
      <w:pPr>
        <w:spacing w:after="0" w:line="240" w:lineRule="auto"/>
        <w:ind w:right="-46"/>
        <w:jc w:val="center"/>
        <w:rPr>
          <w:rFonts w:cs="Arial"/>
          <w:b/>
          <w:szCs w:val="28"/>
        </w:rPr>
      </w:pPr>
    </w:p>
    <w:p w:rsidR="00917849" w:rsidRDefault="00917849" w:rsidP="00917849">
      <w:pPr>
        <w:spacing w:after="0" w:line="240" w:lineRule="auto"/>
        <w:ind w:right="-46"/>
        <w:jc w:val="center"/>
        <w:rPr>
          <w:rFonts w:cs="Arial"/>
          <w:b/>
          <w:sz w:val="28"/>
          <w:szCs w:val="28"/>
        </w:rPr>
      </w:pPr>
      <w:r>
        <w:rPr>
          <w:rFonts w:cs="Arial"/>
          <w:b/>
          <w:sz w:val="28"/>
          <w:szCs w:val="28"/>
        </w:rPr>
        <w:t>Key summary points from the Audit and Risk Committ</w:t>
      </w:r>
      <w:r w:rsidR="00382649">
        <w:rPr>
          <w:rFonts w:cs="Arial"/>
          <w:b/>
          <w:sz w:val="28"/>
          <w:szCs w:val="28"/>
        </w:rPr>
        <w:t>ee meeting held on 02 August</w:t>
      </w:r>
      <w:r w:rsidR="00AB4AAE">
        <w:rPr>
          <w:rFonts w:cs="Arial"/>
          <w:b/>
          <w:sz w:val="28"/>
          <w:szCs w:val="28"/>
        </w:rPr>
        <w:t xml:space="preserve"> 2017</w:t>
      </w:r>
    </w:p>
    <w:p w:rsidR="00917849" w:rsidRDefault="00917849" w:rsidP="00917849">
      <w:pPr>
        <w:spacing w:after="0" w:line="240" w:lineRule="auto"/>
        <w:ind w:right="-46"/>
        <w:jc w:val="center"/>
        <w:rPr>
          <w:rFonts w:cs="Arial"/>
          <w:b/>
          <w:sz w:val="28"/>
          <w:szCs w:val="28"/>
        </w:rPr>
      </w:pPr>
    </w:p>
    <w:tbl>
      <w:tblPr>
        <w:tblStyle w:val="TableGrid"/>
        <w:tblW w:w="9924" w:type="dxa"/>
        <w:tblInd w:w="-318" w:type="dxa"/>
        <w:tblLook w:val="04A0" w:firstRow="1" w:lastRow="0" w:firstColumn="1" w:lastColumn="0" w:noHBand="0" w:noVBand="1"/>
      </w:tblPr>
      <w:tblGrid>
        <w:gridCol w:w="1702"/>
        <w:gridCol w:w="8222"/>
      </w:tblGrid>
      <w:tr w:rsidR="00917849" w:rsidTr="00EB35E3">
        <w:tc>
          <w:tcPr>
            <w:tcW w:w="1702" w:type="dxa"/>
            <w:tcBorders>
              <w:bottom w:val="single" w:sz="4" w:space="0" w:color="auto"/>
            </w:tcBorders>
            <w:shd w:val="clear" w:color="auto" w:fill="FBD4B4" w:themeFill="accent6" w:themeFillTint="66"/>
          </w:tcPr>
          <w:p w:rsidR="00A36BD7" w:rsidRDefault="009C098E" w:rsidP="000E5951">
            <w:pPr>
              <w:ind w:right="-46"/>
              <w:rPr>
                <w:rFonts w:cs="Arial"/>
                <w:b/>
                <w:szCs w:val="28"/>
              </w:rPr>
            </w:pPr>
            <w:r>
              <w:rPr>
                <w:rFonts w:cs="Arial"/>
                <w:b/>
                <w:szCs w:val="28"/>
              </w:rPr>
              <w:t>COMMITTEE GOVERNANCE</w:t>
            </w:r>
          </w:p>
          <w:p w:rsidR="00A36BD7" w:rsidRPr="00AB4AAE" w:rsidRDefault="00A36BD7" w:rsidP="000E5951">
            <w:pPr>
              <w:ind w:right="-46"/>
              <w:rPr>
                <w:rFonts w:cs="Arial"/>
                <w:b/>
                <w:szCs w:val="28"/>
              </w:rPr>
            </w:pPr>
          </w:p>
        </w:tc>
        <w:tc>
          <w:tcPr>
            <w:tcW w:w="8222" w:type="dxa"/>
          </w:tcPr>
          <w:p w:rsidR="000E5951" w:rsidRPr="000E5951" w:rsidRDefault="000E5951" w:rsidP="009C098E">
            <w:pPr>
              <w:shd w:val="clear" w:color="auto" w:fill="FBD4B4" w:themeFill="accent6" w:themeFillTint="66"/>
              <w:ind w:right="-46"/>
              <w:rPr>
                <w:rFonts w:cs="Arial"/>
                <w:b/>
                <w:szCs w:val="28"/>
              </w:rPr>
            </w:pPr>
            <w:r w:rsidRPr="000E5951">
              <w:rPr>
                <w:rFonts w:cs="Arial"/>
                <w:b/>
                <w:szCs w:val="28"/>
              </w:rPr>
              <w:t>0</w:t>
            </w:r>
            <w:r w:rsidR="00382649">
              <w:rPr>
                <w:rFonts w:cs="Arial"/>
                <w:b/>
                <w:szCs w:val="28"/>
              </w:rPr>
              <w:t xml:space="preserve">2 August </w:t>
            </w:r>
            <w:r w:rsidRPr="000E5951">
              <w:rPr>
                <w:rFonts w:cs="Arial"/>
                <w:b/>
                <w:szCs w:val="28"/>
              </w:rPr>
              <w:t>2017, HRA 1, Skipton House</w:t>
            </w:r>
          </w:p>
          <w:p w:rsidR="000E5951" w:rsidRDefault="000E5951" w:rsidP="00917849">
            <w:pPr>
              <w:ind w:right="-46"/>
              <w:rPr>
                <w:rFonts w:cs="Arial"/>
                <w:szCs w:val="28"/>
              </w:rPr>
            </w:pPr>
          </w:p>
          <w:p w:rsidR="00AB4AAE" w:rsidRPr="009C098E" w:rsidRDefault="00917849" w:rsidP="009C098E">
            <w:pPr>
              <w:pStyle w:val="ListParagraph"/>
              <w:numPr>
                <w:ilvl w:val="0"/>
                <w:numId w:val="4"/>
              </w:numPr>
              <w:ind w:right="-46"/>
              <w:rPr>
                <w:rFonts w:cs="Arial"/>
                <w:szCs w:val="28"/>
              </w:rPr>
            </w:pPr>
            <w:r w:rsidRPr="009C098E">
              <w:rPr>
                <w:rFonts w:cs="Arial"/>
                <w:szCs w:val="28"/>
              </w:rPr>
              <w:t>Quorate</w:t>
            </w:r>
          </w:p>
          <w:p w:rsidR="00917849" w:rsidRPr="009C098E" w:rsidRDefault="00917849" w:rsidP="009C098E">
            <w:pPr>
              <w:pStyle w:val="ListParagraph"/>
              <w:numPr>
                <w:ilvl w:val="0"/>
                <w:numId w:val="4"/>
              </w:numPr>
              <w:ind w:right="-46"/>
              <w:rPr>
                <w:rFonts w:cs="Arial"/>
                <w:szCs w:val="28"/>
              </w:rPr>
            </w:pPr>
            <w:r w:rsidRPr="009C098E">
              <w:rPr>
                <w:rFonts w:cs="Arial"/>
                <w:szCs w:val="28"/>
              </w:rPr>
              <w:t xml:space="preserve">Attendance (membership) – </w:t>
            </w:r>
            <w:r w:rsidR="00382649">
              <w:rPr>
                <w:rFonts w:cs="Arial"/>
                <w:szCs w:val="28"/>
              </w:rPr>
              <w:t>4</w:t>
            </w:r>
            <w:r w:rsidRPr="009C098E">
              <w:rPr>
                <w:rFonts w:cs="Arial"/>
                <w:szCs w:val="28"/>
              </w:rPr>
              <w:t>/4</w:t>
            </w:r>
          </w:p>
          <w:p w:rsidR="000E5951" w:rsidRDefault="000E5951" w:rsidP="00AB4AAE">
            <w:pPr>
              <w:ind w:right="-46"/>
              <w:rPr>
                <w:rFonts w:cs="Arial"/>
                <w:szCs w:val="28"/>
              </w:rPr>
            </w:pPr>
          </w:p>
        </w:tc>
      </w:tr>
      <w:tr w:rsidR="00EB35E3" w:rsidTr="009C098E">
        <w:tc>
          <w:tcPr>
            <w:tcW w:w="1702" w:type="dxa"/>
            <w:vMerge w:val="restart"/>
            <w:shd w:val="clear" w:color="auto" w:fill="FBD4B4" w:themeFill="accent6" w:themeFillTint="66"/>
          </w:tcPr>
          <w:p w:rsidR="00EB35E3" w:rsidRPr="00AB4AAE" w:rsidRDefault="00EB35E3" w:rsidP="000E5951">
            <w:pPr>
              <w:ind w:right="-46"/>
              <w:rPr>
                <w:rFonts w:cs="Arial"/>
                <w:b/>
                <w:szCs w:val="28"/>
              </w:rPr>
            </w:pPr>
            <w:r>
              <w:rPr>
                <w:rFonts w:cs="Arial"/>
                <w:b/>
                <w:szCs w:val="28"/>
              </w:rPr>
              <w:t>KEY BUSINESS CONDUCTED</w:t>
            </w:r>
          </w:p>
        </w:tc>
        <w:tc>
          <w:tcPr>
            <w:tcW w:w="8222" w:type="dxa"/>
          </w:tcPr>
          <w:p w:rsidR="00EB35E3" w:rsidRDefault="00EB35E3" w:rsidP="009C098E">
            <w:pPr>
              <w:shd w:val="clear" w:color="auto" w:fill="FBD4B4" w:themeFill="accent6" w:themeFillTint="66"/>
              <w:ind w:right="-46"/>
              <w:rPr>
                <w:rFonts w:cs="Arial"/>
                <w:b/>
                <w:szCs w:val="28"/>
              </w:rPr>
            </w:pPr>
            <w:r>
              <w:rPr>
                <w:rFonts w:cs="Arial"/>
                <w:b/>
                <w:szCs w:val="28"/>
              </w:rPr>
              <w:t>Audit and Risk Committee effectiveness</w:t>
            </w:r>
          </w:p>
          <w:p w:rsidR="00EB35E3" w:rsidRDefault="00EB35E3" w:rsidP="006B5B32">
            <w:pPr>
              <w:ind w:right="-46"/>
              <w:rPr>
                <w:rFonts w:cs="Arial"/>
                <w:b/>
                <w:szCs w:val="28"/>
              </w:rPr>
            </w:pPr>
          </w:p>
          <w:p w:rsidR="00EB35E3" w:rsidRDefault="00EB35E3" w:rsidP="006B5B32">
            <w:pPr>
              <w:ind w:right="-46"/>
              <w:rPr>
                <w:rFonts w:cs="Arial"/>
                <w:szCs w:val="28"/>
              </w:rPr>
            </w:pPr>
            <w:r>
              <w:rPr>
                <w:rFonts w:cs="Arial"/>
                <w:szCs w:val="28"/>
              </w:rPr>
              <w:t>A review of effectiveness was conducted by the Committee in February 2016. A number of recommendations were made and the Committee reconsidered these at the August meeting. The Committee was largely satisfied it was operating effectively however agreed the following actions should be undertaken to further improve its running:</w:t>
            </w:r>
          </w:p>
          <w:p w:rsidR="00EB35E3" w:rsidRDefault="00EB35E3" w:rsidP="006B5B32">
            <w:pPr>
              <w:ind w:right="-46"/>
              <w:rPr>
                <w:rFonts w:cs="Arial"/>
                <w:szCs w:val="28"/>
              </w:rPr>
            </w:pPr>
          </w:p>
          <w:p w:rsidR="00EB35E3" w:rsidRDefault="00EB35E3" w:rsidP="00382649">
            <w:pPr>
              <w:pStyle w:val="ListParagraph"/>
              <w:numPr>
                <w:ilvl w:val="0"/>
                <w:numId w:val="5"/>
              </w:numPr>
              <w:ind w:right="-46"/>
              <w:rPr>
                <w:rFonts w:cs="Arial"/>
                <w:szCs w:val="28"/>
              </w:rPr>
            </w:pPr>
            <w:r>
              <w:rPr>
                <w:rFonts w:cs="Arial"/>
                <w:szCs w:val="28"/>
              </w:rPr>
              <w:t xml:space="preserve">A </w:t>
            </w:r>
            <w:r w:rsidRPr="00FD791B">
              <w:rPr>
                <w:rFonts w:cs="Arial"/>
                <w:b/>
                <w:szCs w:val="28"/>
              </w:rPr>
              <w:t>forward plan of risk deep dive topics</w:t>
            </w:r>
            <w:r>
              <w:rPr>
                <w:rFonts w:cs="Arial"/>
                <w:szCs w:val="28"/>
              </w:rPr>
              <w:t xml:space="preserve"> will be agreed.</w:t>
            </w:r>
          </w:p>
          <w:p w:rsidR="00EB35E3" w:rsidRDefault="00EB35E3" w:rsidP="00382649">
            <w:pPr>
              <w:pStyle w:val="ListParagraph"/>
              <w:numPr>
                <w:ilvl w:val="0"/>
                <w:numId w:val="5"/>
              </w:numPr>
              <w:ind w:right="-46"/>
              <w:rPr>
                <w:rFonts w:cs="Arial"/>
                <w:szCs w:val="28"/>
              </w:rPr>
            </w:pPr>
            <w:r>
              <w:rPr>
                <w:rFonts w:cs="Arial"/>
                <w:szCs w:val="28"/>
              </w:rPr>
              <w:t xml:space="preserve">Details of </w:t>
            </w:r>
            <w:r w:rsidRPr="00FD791B">
              <w:rPr>
                <w:rFonts w:cs="Arial"/>
                <w:b/>
                <w:szCs w:val="28"/>
              </w:rPr>
              <w:t>possible training events for NEDs</w:t>
            </w:r>
            <w:r>
              <w:rPr>
                <w:rFonts w:cs="Arial"/>
                <w:szCs w:val="28"/>
              </w:rPr>
              <w:t xml:space="preserve"> and Committee members will be sought from DH, the National Audit Office and the Health Group Internal Audit Service.</w:t>
            </w:r>
          </w:p>
          <w:p w:rsidR="00EB35E3" w:rsidRDefault="00EB35E3" w:rsidP="00382649">
            <w:pPr>
              <w:pStyle w:val="ListParagraph"/>
              <w:numPr>
                <w:ilvl w:val="0"/>
                <w:numId w:val="5"/>
              </w:numPr>
              <w:ind w:right="-46"/>
              <w:rPr>
                <w:rFonts w:cs="Arial"/>
                <w:szCs w:val="28"/>
              </w:rPr>
            </w:pPr>
            <w:r>
              <w:rPr>
                <w:rFonts w:cs="Arial"/>
                <w:szCs w:val="28"/>
              </w:rPr>
              <w:t xml:space="preserve">Consideration of </w:t>
            </w:r>
            <w:r w:rsidRPr="00FD791B">
              <w:rPr>
                <w:rFonts w:cs="Arial"/>
                <w:b/>
                <w:szCs w:val="28"/>
              </w:rPr>
              <w:t>a further member</w:t>
            </w:r>
            <w:r>
              <w:rPr>
                <w:rFonts w:cs="Arial"/>
                <w:szCs w:val="28"/>
              </w:rPr>
              <w:t xml:space="preserve"> to be recruited, potentially from another Arm’s Length Body’s Audit and Risk Committee.</w:t>
            </w:r>
          </w:p>
          <w:p w:rsidR="00EB35E3" w:rsidRPr="00382649" w:rsidRDefault="00EB35E3" w:rsidP="00382649">
            <w:pPr>
              <w:pStyle w:val="ListParagraph"/>
              <w:numPr>
                <w:ilvl w:val="0"/>
                <w:numId w:val="5"/>
              </w:numPr>
              <w:ind w:right="-46"/>
              <w:rPr>
                <w:rFonts w:cs="Arial"/>
                <w:szCs w:val="28"/>
              </w:rPr>
            </w:pPr>
            <w:r>
              <w:rPr>
                <w:rFonts w:cs="Arial"/>
                <w:szCs w:val="28"/>
              </w:rPr>
              <w:t xml:space="preserve">A </w:t>
            </w:r>
            <w:r w:rsidRPr="00FD791B">
              <w:rPr>
                <w:rFonts w:cs="Arial"/>
                <w:b/>
                <w:szCs w:val="28"/>
              </w:rPr>
              <w:t>yearly summary review of effectiveness</w:t>
            </w:r>
            <w:r>
              <w:rPr>
                <w:rFonts w:cs="Arial"/>
                <w:szCs w:val="28"/>
              </w:rPr>
              <w:t xml:space="preserve"> of the Committee will be conducted.</w:t>
            </w:r>
          </w:p>
          <w:p w:rsidR="00EB35E3" w:rsidRDefault="00EB35E3" w:rsidP="00382649">
            <w:pPr>
              <w:ind w:right="-46"/>
              <w:rPr>
                <w:rFonts w:cs="Arial"/>
                <w:szCs w:val="28"/>
              </w:rPr>
            </w:pPr>
          </w:p>
        </w:tc>
      </w:tr>
      <w:tr w:rsidR="00EB35E3" w:rsidTr="009C098E">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EB35E3" w:rsidRDefault="00EB35E3" w:rsidP="009C098E">
            <w:pPr>
              <w:shd w:val="clear" w:color="auto" w:fill="FBD4B4" w:themeFill="accent6" w:themeFillTint="66"/>
              <w:rPr>
                <w:b/>
              </w:rPr>
            </w:pPr>
            <w:r w:rsidRPr="00A72E29">
              <w:rPr>
                <w:rFonts w:cstheme="minorHAnsi"/>
                <w:b/>
                <w:szCs w:val="24"/>
              </w:rPr>
              <w:t>HRA delegated authorities review</w:t>
            </w:r>
            <w:r>
              <w:rPr>
                <w:b/>
              </w:rPr>
              <w:t xml:space="preserve"> </w:t>
            </w:r>
          </w:p>
          <w:p w:rsidR="00EB35E3" w:rsidRDefault="00EB35E3" w:rsidP="00382649">
            <w:pPr>
              <w:rPr>
                <w:b/>
              </w:rPr>
            </w:pPr>
          </w:p>
          <w:p w:rsidR="00EB35E3" w:rsidRPr="00FD791B" w:rsidRDefault="00EB35E3" w:rsidP="00FD791B">
            <w:pPr>
              <w:autoSpaceDE w:val="0"/>
              <w:autoSpaceDN w:val="0"/>
              <w:adjustRightInd w:val="0"/>
            </w:pPr>
            <w:r>
              <w:t xml:space="preserve">The Committee reviewed and approved the updated Board scheme of delegation and the </w:t>
            </w:r>
            <w:r w:rsidRPr="00A72E29">
              <w:rPr>
                <w:rFonts w:cstheme="minorHAnsi"/>
                <w:szCs w:val="66"/>
              </w:rPr>
              <w:t>Standing orders, reservation and delegation of powers and Standing Financial Instructions.</w:t>
            </w:r>
            <w:r>
              <w:rPr>
                <w:rFonts w:cstheme="minorHAnsi"/>
                <w:szCs w:val="66"/>
              </w:rPr>
              <w:t xml:space="preserve"> The main change related to the requirement for Board approval for contracts to be reduced from £1 million to £250,000 for the whole life of the contract. Contracts over £100,000 with regard to information technology and any ‘novel’ contracts would also require approval. </w:t>
            </w:r>
          </w:p>
          <w:p w:rsidR="00EB35E3" w:rsidRPr="004A05E6" w:rsidRDefault="00EB35E3" w:rsidP="00382649">
            <w:pPr>
              <w:rPr>
                <w:b/>
              </w:rPr>
            </w:pPr>
          </w:p>
        </w:tc>
      </w:tr>
      <w:tr w:rsidR="00EB35E3" w:rsidTr="002A59FC">
        <w:trPr>
          <w:trHeight w:val="699"/>
        </w:trPr>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EB35E3" w:rsidRDefault="00EB35E3" w:rsidP="009C098E">
            <w:pPr>
              <w:shd w:val="clear" w:color="auto" w:fill="FBD4B4" w:themeFill="accent6" w:themeFillTint="66"/>
              <w:rPr>
                <w:b/>
              </w:rPr>
            </w:pPr>
            <w:r>
              <w:rPr>
                <w:b/>
              </w:rPr>
              <w:t>HGIAS Assurance reports and delivery of audit plan</w:t>
            </w:r>
          </w:p>
          <w:p w:rsidR="00EB35E3" w:rsidRDefault="00EB35E3" w:rsidP="00FD791B">
            <w:pPr>
              <w:jc w:val="both"/>
            </w:pPr>
          </w:p>
          <w:tbl>
            <w:tblPr>
              <w:tblStyle w:val="TableGrid"/>
              <w:tblW w:w="0" w:type="auto"/>
              <w:tblLook w:val="04A0" w:firstRow="1" w:lastRow="0" w:firstColumn="1" w:lastColumn="0" w:noHBand="0" w:noVBand="1"/>
            </w:tblPr>
            <w:tblGrid>
              <w:gridCol w:w="1699"/>
              <w:gridCol w:w="1452"/>
              <w:gridCol w:w="549"/>
              <w:gridCol w:w="554"/>
              <w:gridCol w:w="546"/>
              <w:gridCol w:w="3196"/>
            </w:tblGrid>
            <w:tr w:rsidR="00EB35E3" w:rsidTr="00A36BD7">
              <w:tc>
                <w:tcPr>
                  <w:tcW w:w="1421" w:type="dxa"/>
                  <w:vMerge w:val="restart"/>
                </w:tcPr>
                <w:p w:rsidR="00EB35E3" w:rsidRDefault="00EB35E3" w:rsidP="00520A87">
                  <w:pPr>
                    <w:rPr>
                      <w:b/>
                    </w:rPr>
                  </w:pPr>
                  <w:r>
                    <w:rPr>
                      <w:b/>
                    </w:rPr>
                    <w:t>Review</w:t>
                  </w:r>
                </w:p>
              </w:tc>
              <w:tc>
                <w:tcPr>
                  <w:tcW w:w="1472" w:type="dxa"/>
                  <w:vMerge w:val="restart"/>
                </w:tcPr>
                <w:p w:rsidR="00EB35E3" w:rsidRDefault="00EB35E3" w:rsidP="00E621F0">
                  <w:pPr>
                    <w:jc w:val="center"/>
                    <w:rPr>
                      <w:b/>
                    </w:rPr>
                  </w:pPr>
                  <w:r>
                    <w:rPr>
                      <w:b/>
                    </w:rPr>
                    <w:t>Assurance level</w:t>
                  </w:r>
                </w:p>
              </w:tc>
              <w:tc>
                <w:tcPr>
                  <w:tcW w:w="1713" w:type="dxa"/>
                  <w:gridSpan w:val="3"/>
                </w:tcPr>
                <w:p w:rsidR="00EB35E3" w:rsidRDefault="00EB35E3" w:rsidP="00E621F0">
                  <w:pPr>
                    <w:jc w:val="center"/>
                    <w:rPr>
                      <w:b/>
                    </w:rPr>
                  </w:pPr>
                  <w:r>
                    <w:rPr>
                      <w:b/>
                    </w:rPr>
                    <w:t>Findings</w:t>
                  </w:r>
                </w:p>
              </w:tc>
              <w:tc>
                <w:tcPr>
                  <w:tcW w:w="3390" w:type="dxa"/>
                  <w:vMerge w:val="restart"/>
                </w:tcPr>
                <w:p w:rsidR="00EB35E3" w:rsidRDefault="00EB35E3" w:rsidP="00520A87">
                  <w:pPr>
                    <w:rPr>
                      <w:b/>
                    </w:rPr>
                  </w:pPr>
                  <w:r>
                    <w:rPr>
                      <w:b/>
                    </w:rPr>
                    <w:t>Comments</w:t>
                  </w:r>
                </w:p>
              </w:tc>
            </w:tr>
            <w:tr w:rsidR="00EB35E3" w:rsidTr="002A59FC">
              <w:tc>
                <w:tcPr>
                  <w:tcW w:w="1421" w:type="dxa"/>
                  <w:vMerge/>
                </w:tcPr>
                <w:p w:rsidR="00EB35E3" w:rsidRDefault="00EB35E3" w:rsidP="00520A87">
                  <w:pPr>
                    <w:rPr>
                      <w:b/>
                    </w:rPr>
                  </w:pPr>
                </w:p>
              </w:tc>
              <w:tc>
                <w:tcPr>
                  <w:tcW w:w="1472" w:type="dxa"/>
                  <w:vMerge/>
                  <w:tcBorders>
                    <w:bottom w:val="single" w:sz="4" w:space="0" w:color="auto"/>
                  </w:tcBorders>
                </w:tcPr>
                <w:p w:rsidR="00EB35E3" w:rsidRDefault="00EB35E3" w:rsidP="00E621F0">
                  <w:pPr>
                    <w:jc w:val="center"/>
                    <w:rPr>
                      <w:b/>
                    </w:rPr>
                  </w:pPr>
                </w:p>
              </w:tc>
              <w:tc>
                <w:tcPr>
                  <w:tcW w:w="571" w:type="dxa"/>
                </w:tcPr>
                <w:p w:rsidR="00EB35E3" w:rsidRDefault="00EB35E3" w:rsidP="00E621F0">
                  <w:pPr>
                    <w:jc w:val="center"/>
                    <w:rPr>
                      <w:b/>
                    </w:rPr>
                  </w:pPr>
                  <w:r>
                    <w:rPr>
                      <w:b/>
                    </w:rPr>
                    <w:t>H</w:t>
                  </w:r>
                </w:p>
              </w:tc>
              <w:tc>
                <w:tcPr>
                  <w:tcW w:w="571" w:type="dxa"/>
                </w:tcPr>
                <w:p w:rsidR="00EB35E3" w:rsidRDefault="00EB35E3" w:rsidP="00E621F0">
                  <w:pPr>
                    <w:jc w:val="center"/>
                    <w:rPr>
                      <w:b/>
                    </w:rPr>
                  </w:pPr>
                  <w:r>
                    <w:rPr>
                      <w:b/>
                    </w:rPr>
                    <w:t>M</w:t>
                  </w:r>
                </w:p>
              </w:tc>
              <w:tc>
                <w:tcPr>
                  <w:tcW w:w="571" w:type="dxa"/>
                </w:tcPr>
                <w:p w:rsidR="00EB35E3" w:rsidRDefault="00EB35E3" w:rsidP="00E621F0">
                  <w:pPr>
                    <w:jc w:val="center"/>
                    <w:rPr>
                      <w:b/>
                    </w:rPr>
                  </w:pPr>
                  <w:r>
                    <w:rPr>
                      <w:b/>
                    </w:rPr>
                    <w:t>L</w:t>
                  </w:r>
                </w:p>
              </w:tc>
              <w:tc>
                <w:tcPr>
                  <w:tcW w:w="3390" w:type="dxa"/>
                  <w:vMerge/>
                </w:tcPr>
                <w:p w:rsidR="00EB35E3" w:rsidRDefault="00EB35E3" w:rsidP="00520A87">
                  <w:pPr>
                    <w:rPr>
                      <w:b/>
                    </w:rPr>
                  </w:pPr>
                </w:p>
              </w:tc>
            </w:tr>
            <w:tr w:rsidR="00EB35E3" w:rsidTr="002A59FC">
              <w:tc>
                <w:tcPr>
                  <w:tcW w:w="1421" w:type="dxa"/>
                </w:tcPr>
                <w:p w:rsidR="00EB35E3" w:rsidRPr="002A59FC" w:rsidRDefault="00EB35E3" w:rsidP="002A59FC">
                  <w:pPr>
                    <w:rPr>
                      <w:rFonts w:cs="Arial"/>
                    </w:rPr>
                  </w:pPr>
                  <w:r w:rsidRPr="002A59FC">
                    <w:rPr>
                      <w:rFonts w:cs="Arial"/>
                    </w:rPr>
                    <w:t xml:space="preserve">Stakeholder engagement </w:t>
                  </w:r>
                  <w:r>
                    <w:rPr>
                      <w:rFonts w:cs="Arial"/>
                    </w:rPr>
                    <w:t xml:space="preserve">&amp; </w:t>
                  </w:r>
                  <w:r w:rsidRPr="002A59FC">
                    <w:rPr>
                      <w:rFonts w:cs="Arial"/>
                    </w:rPr>
                    <w:t>communications audit report</w:t>
                  </w:r>
                </w:p>
                <w:p w:rsidR="00EB35E3" w:rsidRDefault="00EB35E3" w:rsidP="00520A87">
                  <w:pPr>
                    <w:rPr>
                      <w:b/>
                    </w:rPr>
                  </w:pPr>
                </w:p>
              </w:tc>
              <w:tc>
                <w:tcPr>
                  <w:tcW w:w="1472" w:type="dxa"/>
                  <w:tcBorders>
                    <w:bottom w:val="single" w:sz="4" w:space="0" w:color="auto"/>
                  </w:tcBorders>
                  <w:shd w:val="clear" w:color="auto" w:fill="92D050"/>
                </w:tcPr>
                <w:p w:rsidR="00EB35E3" w:rsidRDefault="00EB35E3" w:rsidP="00E621F0">
                  <w:pPr>
                    <w:jc w:val="center"/>
                    <w:rPr>
                      <w:b/>
                    </w:rPr>
                  </w:pPr>
                  <w:r>
                    <w:rPr>
                      <w:b/>
                    </w:rPr>
                    <w:t>MODERATE</w:t>
                  </w:r>
                </w:p>
              </w:tc>
              <w:tc>
                <w:tcPr>
                  <w:tcW w:w="571" w:type="dxa"/>
                </w:tcPr>
                <w:p w:rsidR="00EB35E3" w:rsidRPr="00AB4AAE" w:rsidRDefault="00EB35E3" w:rsidP="00E621F0">
                  <w:pPr>
                    <w:jc w:val="center"/>
                  </w:pPr>
                  <w:r>
                    <w:t>0</w:t>
                  </w:r>
                </w:p>
              </w:tc>
              <w:tc>
                <w:tcPr>
                  <w:tcW w:w="571" w:type="dxa"/>
                </w:tcPr>
                <w:p w:rsidR="00EB35E3" w:rsidRPr="00AB4AAE" w:rsidRDefault="00EB35E3" w:rsidP="00E621F0">
                  <w:pPr>
                    <w:jc w:val="center"/>
                  </w:pPr>
                  <w:r>
                    <w:t>0</w:t>
                  </w:r>
                </w:p>
              </w:tc>
              <w:tc>
                <w:tcPr>
                  <w:tcW w:w="571" w:type="dxa"/>
                </w:tcPr>
                <w:p w:rsidR="00EB35E3" w:rsidRPr="00AB4AAE" w:rsidRDefault="00EB35E3" w:rsidP="00E621F0">
                  <w:pPr>
                    <w:jc w:val="center"/>
                  </w:pPr>
                  <w:r>
                    <w:t>4</w:t>
                  </w:r>
                </w:p>
              </w:tc>
              <w:tc>
                <w:tcPr>
                  <w:tcW w:w="3390" w:type="dxa"/>
                </w:tcPr>
                <w:p w:rsidR="00EB35E3" w:rsidRPr="00AB4AAE" w:rsidRDefault="00EB35E3" w:rsidP="002A59FC">
                  <w:r>
                    <w:rPr>
                      <w:rFonts w:cs="Arial"/>
                    </w:rPr>
                    <w:t>A</w:t>
                  </w:r>
                  <w:r w:rsidRPr="00A72E29">
                    <w:rPr>
                      <w:rFonts w:cs="Arial"/>
                    </w:rPr>
                    <w:t xml:space="preserve"> review of this area had previously been conducted in 2014/15 with a limited rating issued. </w:t>
                  </w:r>
                  <w:r>
                    <w:rPr>
                      <w:rFonts w:cs="Arial"/>
                    </w:rPr>
                    <w:t xml:space="preserve">The Committee welcomed the improvements made however agreed further work required to </w:t>
                  </w:r>
                  <w:r w:rsidRPr="00A72E29">
                    <w:rPr>
                      <w:rFonts w:ascii="Calibri" w:hAnsi="Calibri" w:cs="Calibri"/>
                      <w:szCs w:val="24"/>
                    </w:rPr>
                    <w:t>operationalise the strategic work conducted thus far.</w:t>
                  </w:r>
                </w:p>
              </w:tc>
            </w:tr>
          </w:tbl>
          <w:p w:rsidR="00EB35E3" w:rsidRPr="00FD791B" w:rsidRDefault="00EB35E3" w:rsidP="00416A35">
            <w:pPr>
              <w:rPr>
                <w:i/>
                <w:sz w:val="18"/>
              </w:rPr>
            </w:pPr>
            <w:r>
              <w:rPr>
                <w:i/>
                <w:sz w:val="18"/>
              </w:rPr>
              <w:t>S</w:t>
            </w:r>
            <w:r w:rsidRPr="00FD791B">
              <w:rPr>
                <w:i/>
                <w:sz w:val="18"/>
              </w:rPr>
              <w:t xml:space="preserve">ubstantial </w:t>
            </w:r>
            <w:r>
              <w:rPr>
                <w:i/>
                <w:sz w:val="18"/>
              </w:rPr>
              <w:t>–</w:t>
            </w:r>
            <w:r w:rsidRPr="00FD791B">
              <w:rPr>
                <w:i/>
                <w:sz w:val="18"/>
              </w:rPr>
              <w:t xml:space="preserve"> </w:t>
            </w:r>
            <w:r>
              <w:rPr>
                <w:i/>
                <w:sz w:val="18"/>
              </w:rPr>
              <w:t xml:space="preserve">the </w:t>
            </w:r>
            <w:r w:rsidRPr="00FD791B">
              <w:rPr>
                <w:i/>
                <w:sz w:val="18"/>
              </w:rPr>
              <w:t>framework of governance, risk management and co</w:t>
            </w:r>
            <w:r>
              <w:rPr>
                <w:i/>
                <w:sz w:val="18"/>
              </w:rPr>
              <w:t xml:space="preserve">ntrol </w:t>
            </w:r>
            <w:r w:rsidRPr="00FD791B">
              <w:rPr>
                <w:i/>
                <w:sz w:val="18"/>
              </w:rPr>
              <w:t xml:space="preserve">is adequate </w:t>
            </w:r>
            <w:r>
              <w:rPr>
                <w:i/>
                <w:sz w:val="18"/>
              </w:rPr>
              <w:t>&amp; effective</w:t>
            </w:r>
          </w:p>
          <w:p w:rsidR="00EB35E3" w:rsidRPr="00FD791B" w:rsidRDefault="00EB35E3" w:rsidP="00416A35">
            <w:pPr>
              <w:rPr>
                <w:i/>
                <w:sz w:val="18"/>
              </w:rPr>
            </w:pPr>
            <w:r w:rsidRPr="00FD791B">
              <w:rPr>
                <w:i/>
                <w:sz w:val="18"/>
              </w:rPr>
              <w:t>Moderate</w:t>
            </w:r>
            <w:r w:rsidRPr="00FD791B">
              <w:rPr>
                <w:i/>
                <w:sz w:val="18"/>
              </w:rPr>
              <w:t xml:space="preserve"> - some improvements are required to enhance the adequacy and</w:t>
            </w:r>
            <w:r>
              <w:rPr>
                <w:i/>
                <w:sz w:val="18"/>
              </w:rPr>
              <w:t xml:space="preserve"> effectiveness of the framework</w:t>
            </w:r>
          </w:p>
          <w:p w:rsidR="00EB35E3" w:rsidRPr="00FD791B" w:rsidRDefault="00EB35E3" w:rsidP="00416A35">
            <w:pPr>
              <w:rPr>
                <w:i/>
                <w:sz w:val="18"/>
              </w:rPr>
            </w:pPr>
            <w:r w:rsidRPr="00FD791B">
              <w:rPr>
                <w:i/>
                <w:sz w:val="18"/>
              </w:rPr>
              <w:lastRenderedPageBreak/>
              <w:t xml:space="preserve">Limited - significant weaknesses in the framework </w:t>
            </w:r>
            <w:r>
              <w:rPr>
                <w:i/>
                <w:sz w:val="18"/>
              </w:rPr>
              <w:t xml:space="preserve">- it could be / </w:t>
            </w:r>
            <w:r w:rsidRPr="00FD791B">
              <w:rPr>
                <w:i/>
                <w:sz w:val="18"/>
              </w:rPr>
              <w:t>could become inadequate and ineffective</w:t>
            </w:r>
          </w:p>
          <w:p w:rsidR="00EB35E3" w:rsidRDefault="00EB35E3" w:rsidP="002A59FC">
            <w:pPr>
              <w:rPr>
                <w:i/>
                <w:sz w:val="18"/>
              </w:rPr>
            </w:pPr>
            <w:r w:rsidRPr="00FD791B">
              <w:rPr>
                <w:i/>
                <w:sz w:val="18"/>
              </w:rPr>
              <w:t xml:space="preserve">Unsatisfactory - fundamental weaknesses in the framework </w:t>
            </w:r>
            <w:r>
              <w:rPr>
                <w:i/>
                <w:sz w:val="18"/>
              </w:rPr>
              <w:t xml:space="preserve">- </w:t>
            </w:r>
            <w:r w:rsidRPr="00FD791B">
              <w:rPr>
                <w:i/>
                <w:sz w:val="18"/>
              </w:rPr>
              <w:t>it is inadequate and ineffective or is likely to fail</w:t>
            </w:r>
          </w:p>
          <w:p w:rsidR="00EB35E3" w:rsidRDefault="00EB35E3" w:rsidP="002A59FC">
            <w:pPr>
              <w:rPr>
                <w:i/>
                <w:sz w:val="18"/>
              </w:rPr>
            </w:pPr>
          </w:p>
          <w:p w:rsidR="00EB35E3" w:rsidRPr="00DA67AA" w:rsidRDefault="00EB35E3" w:rsidP="002A59FC">
            <w:r w:rsidRPr="00DA67AA">
              <w:t>The Committee was assured the delivery of the HRA Audit plan was on track for 2017/18 and the recommendations from audits conducted in 2016/17 were in the process of being implemented as required.</w:t>
            </w:r>
          </w:p>
          <w:p w:rsidR="00EB35E3" w:rsidRPr="00DA67AA" w:rsidRDefault="00EB35E3" w:rsidP="002A59FC">
            <w:pPr>
              <w:rPr>
                <w:sz w:val="18"/>
              </w:rPr>
            </w:pPr>
          </w:p>
        </w:tc>
      </w:tr>
      <w:tr w:rsidR="00EB35E3" w:rsidTr="009C098E">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EB35E3" w:rsidRDefault="00EB35E3" w:rsidP="009C098E">
            <w:pPr>
              <w:shd w:val="clear" w:color="auto" w:fill="FBD4B4" w:themeFill="accent6" w:themeFillTint="66"/>
              <w:rPr>
                <w:b/>
              </w:rPr>
            </w:pPr>
            <w:r>
              <w:rPr>
                <w:b/>
              </w:rPr>
              <w:t>Risk deep dive : Communications</w:t>
            </w:r>
          </w:p>
          <w:p w:rsidR="00EB35E3" w:rsidRDefault="00EB35E3" w:rsidP="00382649"/>
          <w:p w:rsidR="00EB35E3" w:rsidRDefault="00EB35E3" w:rsidP="002A59FC">
            <w:pPr>
              <w:rPr>
                <w:rFonts w:cs="Arial"/>
              </w:rPr>
            </w:pPr>
            <w:r>
              <w:t xml:space="preserve">Simon Wilde, Head of Communications gave a presentation to the Committee which provided  an </w:t>
            </w:r>
            <w:r>
              <w:rPr>
                <w:rFonts w:cs="Arial"/>
              </w:rPr>
              <w:t>overview of the communications function alongside details of strategic stakeholder communications, shared thinking regarding the development of a refreshed communications strategy and the approach to reputation management, and highlighted the key risks faced by the function</w:t>
            </w:r>
            <w:r>
              <w:rPr>
                <w:rFonts w:cs="Arial"/>
              </w:rPr>
              <w:t xml:space="preserve"> in the communications function</w:t>
            </w:r>
            <w:r>
              <w:rPr>
                <w:rFonts w:cs="Arial"/>
              </w:rPr>
              <w:t>.</w:t>
            </w:r>
          </w:p>
          <w:p w:rsidR="00EB35E3" w:rsidRPr="00A36BD7" w:rsidRDefault="00EB35E3" w:rsidP="00382649">
            <w:r>
              <w:t xml:space="preserve"> </w:t>
            </w:r>
          </w:p>
        </w:tc>
      </w:tr>
      <w:tr w:rsidR="00EB35E3" w:rsidTr="009C098E">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EB35E3" w:rsidRDefault="00EB35E3" w:rsidP="009C098E">
            <w:pPr>
              <w:shd w:val="clear" w:color="auto" w:fill="FBD4B4" w:themeFill="accent6" w:themeFillTint="66"/>
              <w:rPr>
                <w:b/>
              </w:rPr>
            </w:pPr>
            <w:r>
              <w:rPr>
                <w:b/>
              </w:rPr>
              <w:t>Board seminar on strategic risk</w:t>
            </w:r>
          </w:p>
          <w:p w:rsidR="00EB35E3" w:rsidRDefault="00EB35E3" w:rsidP="00520A87"/>
          <w:p w:rsidR="00EB35E3" w:rsidRDefault="00EB35E3" w:rsidP="00382649">
            <w:r>
              <w:t>The Committee agreed a workshop style discussion should take place with key outputs to include:</w:t>
            </w:r>
          </w:p>
          <w:p w:rsidR="00EB35E3" w:rsidRDefault="00EB35E3" w:rsidP="00DA67AA">
            <w:pPr>
              <w:pStyle w:val="ListParagraph"/>
              <w:numPr>
                <w:ilvl w:val="0"/>
                <w:numId w:val="6"/>
              </w:numPr>
            </w:pPr>
            <w:r>
              <w:t>A strategic level risk register</w:t>
            </w:r>
          </w:p>
          <w:p w:rsidR="00EB35E3" w:rsidRDefault="00EB35E3" w:rsidP="00DA67AA">
            <w:pPr>
              <w:pStyle w:val="ListParagraph"/>
              <w:numPr>
                <w:ilvl w:val="0"/>
                <w:numId w:val="6"/>
              </w:numPr>
            </w:pPr>
            <w:r>
              <w:t>A consideration of risk appetite for key risk categories</w:t>
            </w:r>
          </w:p>
          <w:p w:rsidR="00EB35E3" w:rsidRPr="00A36BD7" w:rsidRDefault="00EB35E3" w:rsidP="00DA67AA">
            <w:pPr>
              <w:pStyle w:val="ListParagraph"/>
            </w:pPr>
          </w:p>
        </w:tc>
      </w:tr>
      <w:tr w:rsidR="00EB35E3" w:rsidTr="00F7677E">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EB35E3" w:rsidRDefault="00EB35E3" w:rsidP="009C098E">
            <w:pPr>
              <w:shd w:val="clear" w:color="auto" w:fill="FBD4B4" w:themeFill="accent6" w:themeFillTint="66"/>
              <w:rPr>
                <w:b/>
              </w:rPr>
            </w:pPr>
            <w:r>
              <w:rPr>
                <w:b/>
              </w:rPr>
              <w:t>Declaration of interest register 2016/17</w:t>
            </w:r>
          </w:p>
          <w:p w:rsidR="00EB35E3" w:rsidRDefault="00EB35E3" w:rsidP="00520A87">
            <w:pPr>
              <w:rPr>
                <w:b/>
              </w:rPr>
            </w:pPr>
          </w:p>
          <w:p w:rsidR="00EB35E3" w:rsidRPr="00DA67AA" w:rsidRDefault="00EB35E3" w:rsidP="00520A87">
            <w:r>
              <w:t>The Committee reviewed the register for those staff who had declared an interest for 2016/17. The Committee was assured there were no declarations which required further investigation with appropriate measures in place.</w:t>
            </w:r>
          </w:p>
          <w:p w:rsidR="00EB35E3" w:rsidRPr="00520A87" w:rsidRDefault="00EB35E3" w:rsidP="00382649"/>
        </w:tc>
      </w:tr>
      <w:tr w:rsidR="00EB35E3" w:rsidTr="009C098E">
        <w:tc>
          <w:tcPr>
            <w:tcW w:w="1702" w:type="dxa"/>
            <w:vMerge/>
            <w:tcBorders>
              <w:bottom w:val="single" w:sz="4" w:space="0" w:color="auto"/>
            </w:tcBorders>
            <w:shd w:val="clear" w:color="auto" w:fill="FBD4B4" w:themeFill="accent6" w:themeFillTint="66"/>
          </w:tcPr>
          <w:p w:rsidR="00EB35E3" w:rsidRDefault="00EB35E3" w:rsidP="00AB4AAE">
            <w:pPr>
              <w:ind w:right="-46"/>
              <w:rPr>
                <w:rFonts w:cs="Arial"/>
                <w:szCs w:val="28"/>
              </w:rPr>
            </w:pPr>
          </w:p>
        </w:tc>
        <w:tc>
          <w:tcPr>
            <w:tcW w:w="8222" w:type="dxa"/>
          </w:tcPr>
          <w:p w:rsidR="00EB35E3" w:rsidRDefault="00EB35E3" w:rsidP="00DA67AA">
            <w:pPr>
              <w:shd w:val="clear" w:color="auto" w:fill="FBD4B4" w:themeFill="accent6" w:themeFillTint="66"/>
              <w:rPr>
                <w:b/>
              </w:rPr>
            </w:pPr>
            <w:r>
              <w:rPr>
                <w:b/>
              </w:rPr>
              <w:t>Information Governance Annual Report 2016/17</w:t>
            </w:r>
          </w:p>
          <w:p w:rsidR="00EB35E3" w:rsidRDefault="00EB35E3" w:rsidP="00DA67AA">
            <w:pPr>
              <w:rPr>
                <w:b/>
              </w:rPr>
            </w:pPr>
          </w:p>
          <w:p w:rsidR="00374B9B" w:rsidRDefault="00EB35E3" w:rsidP="00DA67AA">
            <w:r>
              <w:t xml:space="preserve">The Committee </w:t>
            </w:r>
            <w:r>
              <w:t>received and noted the annual report for 2016/17 and noted relevant assurances are in place.</w:t>
            </w:r>
          </w:p>
          <w:p w:rsidR="00374B9B" w:rsidRPr="00DA67AA" w:rsidRDefault="00374B9B" w:rsidP="00DA67AA">
            <w:bookmarkStart w:id="0" w:name="_GoBack"/>
            <w:bookmarkEnd w:id="0"/>
          </w:p>
        </w:tc>
      </w:tr>
      <w:tr w:rsidR="00917849" w:rsidTr="009C098E">
        <w:tc>
          <w:tcPr>
            <w:tcW w:w="1702" w:type="dxa"/>
            <w:shd w:val="clear" w:color="auto" w:fill="FBD4B4" w:themeFill="accent6" w:themeFillTint="66"/>
          </w:tcPr>
          <w:p w:rsidR="00917849" w:rsidRPr="00A36BD7" w:rsidRDefault="009C098E" w:rsidP="00AB4AAE">
            <w:pPr>
              <w:ind w:right="-46"/>
              <w:rPr>
                <w:rFonts w:cs="Arial"/>
                <w:b/>
                <w:szCs w:val="28"/>
              </w:rPr>
            </w:pPr>
            <w:r>
              <w:rPr>
                <w:rFonts w:cs="Arial"/>
                <w:b/>
                <w:szCs w:val="28"/>
              </w:rPr>
              <w:t xml:space="preserve">UPCOMING MEETING </w:t>
            </w:r>
            <w:r w:rsidR="00374B9B">
              <w:rPr>
                <w:rFonts w:cs="Arial"/>
                <w:b/>
                <w:szCs w:val="28"/>
              </w:rPr>
              <w:t>TOPICS</w:t>
            </w:r>
          </w:p>
          <w:p w:rsidR="006B5B32" w:rsidRDefault="006B5B32" w:rsidP="00AB4AAE">
            <w:pPr>
              <w:ind w:right="-46"/>
              <w:rPr>
                <w:rFonts w:cs="Arial"/>
                <w:szCs w:val="28"/>
              </w:rPr>
            </w:pPr>
          </w:p>
        </w:tc>
        <w:tc>
          <w:tcPr>
            <w:tcW w:w="8222" w:type="dxa"/>
          </w:tcPr>
          <w:p w:rsidR="00374B9B" w:rsidRDefault="00374B9B" w:rsidP="00374B9B">
            <w:pPr>
              <w:pStyle w:val="ListParagraph"/>
              <w:rPr>
                <w:rFonts w:cs="Arial"/>
                <w:szCs w:val="28"/>
              </w:rPr>
            </w:pPr>
          </w:p>
          <w:p w:rsidR="00382649" w:rsidRDefault="00EB35E3" w:rsidP="00EB35E3">
            <w:pPr>
              <w:pStyle w:val="ListParagraph"/>
              <w:numPr>
                <w:ilvl w:val="0"/>
                <w:numId w:val="2"/>
              </w:numPr>
              <w:rPr>
                <w:rFonts w:cs="Arial"/>
                <w:szCs w:val="28"/>
              </w:rPr>
            </w:pPr>
            <w:r>
              <w:rPr>
                <w:rFonts w:cs="Arial"/>
                <w:szCs w:val="28"/>
              </w:rPr>
              <w:t xml:space="preserve">Discussion regarding volunteer membership </w:t>
            </w:r>
          </w:p>
          <w:p w:rsidR="00EB35E3" w:rsidRDefault="00EB35E3" w:rsidP="00EB35E3">
            <w:pPr>
              <w:pStyle w:val="ListParagraph"/>
              <w:numPr>
                <w:ilvl w:val="0"/>
                <w:numId w:val="2"/>
              </w:numPr>
            </w:pPr>
            <w:r>
              <w:t>Approve external audit planning report</w:t>
            </w:r>
          </w:p>
          <w:p w:rsidR="00EB35E3" w:rsidRDefault="00EB35E3" w:rsidP="00EB35E3">
            <w:pPr>
              <w:pStyle w:val="ListParagraph"/>
              <w:numPr>
                <w:ilvl w:val="0"/>
                <w:numId w:val="2"/>
              </w:numPr>
            </w:pPr>
            <w:r>
              <w:t>Review fraud position</w:t>
            </w:r>
          </w:p>
          <w:p w:rsidR="00EB35E3" w:rsidRDefault="00EB35E3" w:rsidP="00EB35E3">
            <w:pPr>
              <w:pStyle w:val="ListParagraph"/>
              <w:numPr>
                <w:ilvl w:val="0"/>
                <w:numId w:val="2"/>
              </w:numPr>
            </w:pPr>
            <w:r>
              <w:t>Review Assurance Mapping Framework</w:t>
            </w:r>
          </w:p>
          <w:p w:rsidR="00EB35E3" w:rsidRPr="00374B9B" w:rsidRDefault="00EB35E3" w:rsidP="00374B9B">
            <w:pPr>
              <w:rPr>
                <w:rFonts w:cs="Arial"/>
                <w:szCs w:val="28"/>
              </w:rPr>
            </w:pPr>
          </w:p>
        </w:tc>
      </w:tr>
    </w:tbl>
    <w:p w:rsidR="00917849" w:rsidRPr="00917849" w:rsidRDefault="00917849" w:rsidP="00917849">
      <w:pPr>
        <w:spacing w:after="0" w:line="240" w:lineRule="auto"/>
        <w:ind w:right="-46"/>
        <w:jc w:val="center"/>
        <w:rPr>
          <w:rFonts w:cs="Arial"/>
          <w:szCs w:val="28"/>
        </w:rPr>
      </w:pPr>
    </w:p>
    <w:p w:rsidR="00917849" w:rsidRDefault="00917849" w:rsidP="00917849">
      <w:pPr>
        <w:jc w:val="center"/>
      </w:pPr>
    </w:p>
    <w:sectPr w:rsidR="00917849" w:rsidSect="00917849">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9" w:rsidRDefault="00917849" w:rsidP="00917849">
      <w:pPr>
        <w:spacing w:after="0" w:line="240" w:lineRule="auto"/>
      </w:pPr>
      <w:r>
        <w:separator/>
      </w:r>
    </w:p>
  </w:endnote>
  <w:endnote w:type="continuationSeparator" w:id="0">
    <w:p w:rsidR="00917849" w:rsidRDefault="00917849" w:rsidP="0091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9B" w:rsidRPr="00382649" w:rsidRDefault="00374B9B" w:rsidP="00374B9B">
    <w:pPr>
      <w:pStyle w:val="Footer"/>
      <w:rPr>
        <w:sz w:val="18"/>
      </w:rPr>
    </w:pPr>
    <w:r>
      <w:rPr>
        <w:sz w:val="18"/>
      </w:rPr>
      <w:t>2017.08.02 Audit and Risk Committee meeting 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49" w:rsidRPr="00382649" w:rsidRDefault="00382649" w:rsidP="00382649">
    <w:pPr>
      <w:pStyle w:val="Footer"/>
      <w:rPr>
        <w:sz w:val="18"/>
      </w:rPr>
    </w:pPr>
    <w:r>
      <w:rPr>
        <w:sz w:val="18"/>
      </w:rPr>
      <w:t>2017.08.02 Audit and Risk Committee meeting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9" w:rsidRDefault="00917849" w:rsidP="00917849">
      <w:pPr>
        <w:spacing w:after="0" w:line="240" w:lineRule="auto"/>
      </w:pPr>
      <w:r>
        <w:separator/>
      </w:r>
    </w:p>
  </w:footnote>
  <w:footnote w:type="continuationSeparator" w:id="0">
    <w:p w:rsidR="00917849" w:rsidRDefault="00917849" w:rsidP="0091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49" w:rsidRDefault="00917849">
    <w:pPr>
      <w:pStyle w:val="Header"/>
    </w:pPr>
    <w:r>
      <w:rPr>
        <w:noProof/>
        <w:lang w:eastAsia="en-GB"/>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-1905</wp:posOffset>
          </wp:positionV>
          <wp:extent cx="1238250" cy="651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624"/>
    <w:multiLevelType w:val="hybridMultilevel"/>
    <w:tmpl w:val="9A763E3C"/>
    <w:lvl w:ilvl="0" w:tplc="E960915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D4F90"/>
    <w:multiLevelType w:val="hybridMultilevel"/>
    <w:tmpl w:val="238C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E7F24"/>
    <w:multiLevelType w:val="hybridMultilevel"/>
    <w:tmpl w:val="BF0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F6F9B"/>
    <w:multiLevelType w:val="hybridMultilevel"/>
    <w:tmpl w:val="C8D8840C"/>
    <w:lvl w:ilvl="0" w:tplc="634270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3E6645"/>
    <w:multiLevelType w:val="hybridMultilevel"/>
    <w:tmpl w:val="618A4748"/>
    <w:lvl w:ilvl="0" w:tplc="4ACA79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49"/>
    <w:rsid w:val="000E5951"/>
    <w:rsid w:val="001228DF"/>
    <w:rsid w:val="002A59FC"/>
    <w:rsid w:val="00367375"/>
    <w:rsid w:val="00374B9B"/>
    <w:rsid w:val="00382649"/>
    <w:rsid w:val="00416A35"/>
    <w:rsid w:val="00520A87"/>
    <w:rsid w:val="006B5B32"/>
    <w:rsid w:val="00917849"/>
    <w:rsid w:val="009C098E"/>
    <w:rsid w:val="00A36BD7"/>
    <w:rsid w:val="00AB4AAE"/>
    <w:rsid w:val="00DA67AA"/>
    <w:rsid w:val="00E621F0"/>
    <w:rsid w:val="00EB35E3"/>
    <w:rsid w:val="00FD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3</cp:revision>
  <dcterms:created xsi:type="dcterms:W3CDTF">2017-07-11T12:26:00Z</dcterms:created>
  <dcterms:modified xsi:type="dcterms:W3CDTF">2017-08-21T14:34:00Z</dcterms:modified>
</cp:coreProperties>
</file>