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D26F22"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9</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D26F22"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C</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&amp; LT</w:t>
      </w:r>
      <w:r w:rsidRPr="00DF3EE3">
        <w:rPr>
          <w:rFonts w:asciiTheme="minorHAnsi" w:eastAsiaTheme="minorHAnsi" w:hAnsiTheme="minorHAnsi" w:cstheme="minorHAnsi"/>
          <w:b/>
          <w:sz w:val="44"/>
          <w:szCs w:val="44"/>
          <w:lang w:eastAsia="en-US"/>
        </w:rPr>
        <w:t xml:space="preserve"> COVER SHEET</w:t>
      </w:r>
      <w:bookmarkStart w:id="0" w:name="_GoBack"/>
      <w:bookmarkEnd w:id="0"/>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6C6D07" w:rsidRDefault="00736D5A" w:rsidP="00006BA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Leadership team: </w:t>
            </w:r>
            <w:r w:rsidR="00461F18">
              <w:rPr>
                <w:rFonts w:asciiTheme="minorHAnsi" w:eastAsiaTheme="minorHAnsi" w:hAnsiTheme="minorHAnsi" w:cstheme="minorHAnsi"/>
                <w:lang w:eastAsia="en-US"/>
              </w:rPr>
              <w:t>11</w:t>
            </w:r>
            <w:r w:rsidR="00461F18" w:rsidRPr="00461F18">
              <w:rPr>
                <w:rFonts w:asciiTheme="minorHAnsi" w:eastAsiaTheme="minorHAnsi" w:hAnsiTheme="minorHAnsi" w:cstheme="minorHAnsi"/>
                <w:vertAlign w:val="superscript"/>
                <w:lang w:eastAsia="en-US"/>
              </w:rPr>
              <w:t>th</w:t>
            </w:r>
            <w:r w:rsidR="00461F18">
              <w:rPr>
                <w:rFonts w:asciiTheme="minorHAnsi" w:eastAsiaTheme="minorHAnsi" w:hAnsiTheme="minorHAnsi" w:cstheme="minorHAnsi"/>
                <w:lang w:eastAsia="en-US"/>
              </w:rPr>
              <w:t xml:space="preserve"> September 2017</w:t>
            </w:r>
          </w:p>
          <w:p w:rsidR="00E93BF0" w:rsidRPr="00A5757C" w:rsidRDefault="00E872B3" w:rsidP="0029462A">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w:t>
            </w:r>
            <w:r w:rsidR="00461F18">
              <w:rPr>
                <w:rFonts w:asciiTheme="minorHAnsi" w:eastAsiaTheme="minorHAnsi" w:hAnsiTheme="minorHAnsi" w:cstheme="minorHAnsi"/>
                <w:lang w:eastAsia="en-US"/>
              </w:rPr>
              <w:t xml:space="preserve"> 13</w:t>
            </w:r>
            <w:r w:rsidR="00461F18" w:rsidRPr="00461F18">
              <w:rPr>
                <w:rFonts w:asciiTheme="minorHAnsi" w:eastAsiaTheme="minorHAnsi" w:hAnsiTheme="minorHAnsi" w:cstheme="minorHAnsi"/>
                <w:vertAlign w:val="superscript"/>
                <w:lang w:eastAsia="en-US"/>
              </w:rPr>
              <w:t>th</w:t>
            </w:r>
            <w:r w:rsidR="00461F18">
              <w:rPr>
                <w:rFonts w:asciiTheme="minorHAnsi" w:eastAsiaTheme="minorHAnsi" w:hAnsiTheme="minorHAnsi" w:cstheme="minorHAnsi"/>
                <w:lang w:eastAsia="en-US"/>
              </w:rPr>
              <w:t xml:space="preserve"> September 2017</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AA2FF1">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E872B3">
              <w:rPr>
                <w:rFonts w:asciiTheme="minorHAnsi" w:hAnsiTheme="minorHAnsi" w:cstheme="minorHAnsi"/>
              </w:rPr>
              <w:t>4 months</w:t>
            </w:r>
            <w:r w:rsidR="00E93BF0">
              <w:rPr>
                <w:rFonts w:asciiTheme="minorHAnsi" w:hAnsiTheme="minorHAnsi" w:cstheme="minorHAnsi"/>
              </w:rPr>
              <w:t xml:space="preserve"> </w:t>
            </w:r>
            <w:r w:rsidR="00A76C3F">
              <w:rPr>
                <w:rFonts w:asciiTheme="minorHAnsi" w:hAnsiTheme="minorHAnsi" w:cstheme="minorHAnsi"/>
              </w:rPr>
              <w:t>ended 3</w:t>
            </w:r>
            <w:r w:rsidR="00E872B3">
              <w:rPr>
                <w:rFonts w:asciiTheme="minorHAnsi" w:hAnsiTheme="minorHAnsi" w:cstheme="minorHAnsi"/>
              </w:rPr>
              <w:t>1 July</w:t>
            </w:r>
            <w:r w:rsidR="00FA0CFC">
              <w:rPr>
                <w:rFonts w:asciiTheme="minorHAnsi" w:hAnsiTheme="minorHAnsi" w:cstheme="minorHAnsi"/>
              </w:rPr>
              <w:t xml:space="preserve"> 2017</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our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E872B3">
              <w:rPr>
                <w:rFonts w:asciiTheme="minorHAnsi" w:eastAsiaTheme="minorHAnsi" w:hAnsiTheme="minorHAnsi" w:cstheme="minorHAnsi"/>
                <w:lang w:eastAsia="en-US"/>
              </w:rPr>
              <w:t>4</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5F1D45" w:rsidRPr="005F1D45">
              <w:rPr>
                <w:rFonts w:asciiTheme="minorHAnsi" w:eastAsiaTheme="minorHAnsi" w:hAnsiTheme="minorHAnsi" w:cstheme="minorHAnsi"/>
                <w:lang w:eastAsia="en-US"/>
              </w:rPr>
              <w:t>3</w:t>
            </w:r>
            <w:r w:rsidR="00E872B3">
              <w:rPr>
                <w:rFonts w:asciiTheme="minorHAnsi" w:eastAsiaTheme="minorHAnsi" w:hAnsiTheme="minorHAnsi" w:cstheme="minorHAnsi"/>
                <w:lang w:eastAsia="en-US"/>
              </w:rPr>
              <w:t>1</w:t>
            </w:r>
            <w:r w:rsidR="005F1D45" w:rsidRPr="005F1D45">
              <w:rPr>
                <w:rFonts w:asciiTheme="minorHAnsi" w:eastAsiaTheme="minorHAnsi" w:hAnsiTheme="minorHAnsi" w:cstheme="minorHAnsi"/>
                <w:lang w:eastAsia="en-US"/>
              </w:rPr>
              <w:t xml:space="preserve"> </w:t>
            </w:r>
            <w:r w:rsidR="00E872B3">
              <w:rPr>
                <w:rFonts w:asciiTheme="minorHAnsi" w:eastAsiaTheme="minorHAnsi" w:hAnsiTheme="minorHAnsi" w:cstheme="minorHAnsi"/>
                <w:lang w:eastAsia="en-US"/>
              </w:rPr>
              <w:t>July</w:t>
            </w:r>
            <w:r w:rsidR="005F1D45" w:rsidRPr="005F1D45">
              <w:rPr>
                <w:rFonts w:asciiTheme="minorHAnsi" w:eastAsiaTheme="minorHAnsi" w:hAnsiTheme="minorHAnsi" w:cstheme="minorHAnsi"/>
                <w:lang w:eastAsia="en-US"/>
              </w:rPr>
              <w:t xml:space="preserve"> 2017</w:t>
            </w:r>
          </w:p>
          <w:p w:rsidR="0025092F" w:rsidRDefault="005F1D45"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 xml:space="preserve">our 2017/18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p w:rsidR="00E93BF0" w:rsidRPr="005F1D45" w:rsidRDefault="00E93BF0" w:rsidP="004B1A43">
            <w:pPr>
              <w:spacing w:after="200" w:line="276" w:lineRule="auto"/>
              <w:rPr>
                <w:rFonts w:asciiTheme="minorHAnsi" w:eastAsiaTheme="minorHAnsi" w:hAnsiTheme="minorHAnsi" w:cstheme="minorHAnsi"/>
                <w:lang w:eastAsia="en-US"/>
              </w:rPr>
            </w:pP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59723D" w:rsidRDefault="0059723D" w:rsidP="00826FF2">
            <w:pPr>
              <w:pStyle w:val="ListParagraph"/>
              <w:numPr>
                <w:ilvl w:val="0"/>
                <w:numId w:val="24"/>
              </w:numPr>
              <w:spacing w:after="200" w:line="276" w:lineRule="auto"/>
              <w:rPr>
                <w:rFonts w:asciiTheme="minorHAnsi" w:eastAsiaTheme="minorHAnsi" w:hAnsiTheme="minorHAnsi" w:cstheme="minorHAnsi"/>
                <w:lang w:eastAsia="en-US"/>
              </w:rPr>
            </w:pPr>
            <w:r w:rsidRPr="0059723D">
              <w:rPr>
                <w:rFonts w:asciiTheme="minorHAnsi" w:eastAsiaTheme="minorHAnsi" w:hAnsiTheme="minorHAnsi" w:cstheme="minorHAnsi"/>
                <w:b/>
                <w:lang w:eastAsia="en-US"/>
              </w:rPr>
              <w:t>No significant variances</w:t>
            </w:r>
            <w:r>
              <w:rPr>
                <w:rFonts w:asciiTheme="minorHAnsi" w:eastAsiaTheme="minorHAnsi" w:hAnsiTheme="minorHAnsi" w:cstheme="minorHAnsi"/>
                <w:lang w:eastAsia="en-US"/>
              </w:rPr>
              <w:t xml:space="preserve"> at this stage of the year</w:t>
            </w:r>
          </w:p>
          <w:p w:rsidR="00181165"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 small</w:t>
            </w:r>
            <w:r>
              <w:rPr>
                <w:rFonts w:asciiTheme="minorHAnsi" w:eastAsiaTheme="minorHAnsi" w:hAnsiTheme="minorHAnsi" w:cstheme="minorHAnsi"/>
                <w:lang w:eastAsia="en-US"/>
              </w:rPr>
              <w:t xml:space="preserve">  </w:t>
            </w:r>
            <w:r w:rsidR="001677C5" w:rsidRPr="0059723D">
              <w:rPr>
                <w:rFonts w:asciiTheme="minorHAnsi" w:eastAsiaTheme="minorHAnsi" w:hAnsiTheme="minorHAnsi" w:cstheme="minorHAnsi"/>
                <w:b/>
                <w:lang w:eastAsia="en-US"/>
              </w:rPr>
              <w:t>under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181165" w:rsidRPr="0059723D">
              <w:rPr>
                <w:rFonts w:asciiTheme="minorHAnsi" w:eastAsiaTheme="minorHAnsi" w:hAnsiTheme="minorHAnsi" w:cstheme="minorHAnsi"/>
                <w:b/>
                <w:lang w:eastAsia="en-US"/>
              </w:rPr>
              <w:t>£</w:t>
            </w:r>
            <w:r w:rsidR="00561998">
              <w:rPr>
                <w:rFonts w:asciiTheme="minorHAnsi" w:eastAsiaTheme="minorHAnsi" w:hAnsiTheme="minorHAnsi" w:cstheme="minorHAnsi"/>
                <w:b/>
                <w:lang w:eastAsia="en-US"/>
              </w:rPr>
              <w:t>32</w:t>
            </w:r>
            <w:r w:rsidR="00181165" w:rsidRPr="0059723D">
              <w:rPr>
                <w:rFonts w:asciiTheme="minorHAnsi" w:eastAsiaTheme="minorHAnsi" w:hAnsiTheme="minorHAnsi" w:cstheme="minorHAnsi"/>
                <w:b/>
                <w:lang w:eastAsia="en-US"/>
              </w:rPr>
              <w:t>k (</w:t>
            </w:r>
            <w:r w:rsidR="00561998">
              <w:rPr>
                <w:rFonts w:asciiTheme="minorHAnsi" w:eastAsiaTheme="minorHAnsi" w:hAnsiTheme="minorHAnsi" w:cstheme="minorHAnsi"/>
                <w:b/>
                <w:lang w:eastAsia="en-US"/>
              </w:rPr>
              <w:t>0.8</w:t>
            </w:r>
            <w:r w:rsidR="00181165" w:rsidRPr="0059723D">
              <w:rPr>
                <w:rFonts w:asciiTheme="minorHAnsi" w:eastAsiaTheme="minorHAnsi" w:hAnsiTheme="minorHAnsi" w:cstheme="minorHAnsi"/>
                <w:b/>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nd </w:t>
            </w:r>
            <w:r w:rsidR="00181165" w:rsidRPr="0059723D">
              <w:rPr>
                <w:rFonts w:asciiTheme="minorHAnsi" w:eastAsiaTheme="minorHAnsi" w:hAnsiTheme="minorHAnsi" w:cstheme="minorHAnsi"/>
                <w:b/>
                <w:lang w:eastAsia="en-US"/>
              </w:rPr>
              <w:t>£</w:t>
            </w:r>
            <w:r w:rsidR="002E0A2A">
              <w:rPr>
                <w:rFonts w:asciiTheme="minorHAnsi" w:eastAsiaTheme="minorHAnsi" w:hAnsiTheme="minorHAnsi" w:cstheme="minorHAnsi"/>
                <w:b/>
                <w:lang w:eastAsia="en-US"/>
              </w:rPr>
              <w:t>7</w:t>
            </w:r>
            <w:r w:rsidR="00181165" w:rsidRPr="0059723D">
              <w:rPr>
                <w:rFonts w:asciiTheme="minorHAnsi" w:eastAsiaTheme="minorHAnsi" w:hAnsiTheme="minorHAnsi" w:cstheme="minorHAnsi"/>
                <w:b/>
                <w:lang w:eastAsia="en-US"/>
              </w:rPr>
              <w:t>k (</w:t>
            </w:r>
            <w:r w:rsidR="00E872B3">
              <w:rPr>
                <w:rFonts w:asciiTheme="minorHAnsi" w:eastAsiaTheme="minorHAnsi" w:hAnsiTheme="minorHAnsi" w:cstheme="minorHAnsi"/>
                <w:b/>
                <w:lang w:eastAsia="en-US"/>
              </w:rPr>
              <w:t>3</w:t>
            </w:r>
            <w:r w:rsidR="002E0A2A">
              <w:rPr>
                <w:rFonts w:asciiTheme="minorHAnsi" w:eastAsiaTheme="minorHAnsi" w:hAnsiTheme="minorHAnsi" w:cstheme="minorHAnsi"/>
                <w:b/>
                <w:lang w:eastAsia="en-US"/>
              </w:rPr>
              <w:t>.0</w:t>
            </w:r>
            <w:r w:rsidR="00181165" w:rsidRPr="0059723D">
              <w:rPr>
                <w:rFonts w:asciiTheme="minorHAnsi" w:eastAsiaTheme="minorHAnsi" w:hAnsiTheme="minorHAnsi" w:cstheme="minorHAnsi"/>
                <w:b/>
                <w:lang w:eastAsia="en-US"/>
              </w:rPr>
              <w:t>%)</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 xml:space="preserve">n capital expenditure </w:t>
            </w:r>
          </w:p>
          <w:p w:rsidR="00461F18" w:rsidRDefault="00461F18"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HRA continues to manage costs well against budget however there is a growing risk that meeting our budgeted expenditure is at an unacceptable cost to </w:t>
            </w:r>
            <w:r>
              <w:rPr>
                <w:rFonts w:asciiTheme="minorHAnsi" w:eastAsiaTheme="minorHAnsi" w:hAnsiTheme="minorHAnsi" w:cstheme="minorHAnsi"/>
                <w:lang w:eastAsia="en-US"/>
              </w:rPr>
              <w:lastRenderedPageBreak/>
              <w:t xml:space="preserve">our capacity to respond to change. </w:t>
            </w:r>
          </w:p>
          <w:p w:rsidR="00461F18" w:rsidRDefault="00461F18"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We continue to chase DH on the outcome of 2 business cases submitted (executive restructure £160k and SIP £260k). Given the delay in DH decision we have requested that the SIP additional funding be allocated over 2 financial years (17/18 and 18/19) to give us sufficient time to procure the necessary resources in the available timeframe.</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D07ECB">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Yes,  following </w:t>
            </w:r>
            <w:r w:rsidR="00D07ECB">
              <w:rPr>
                <w:rFonts w:asciiTheme="minorHAnsi" w:eastAsiaTheme="minorHAnsi" w:hAnsiTheme="minorHAnsi" w:cstheme="minorHAnsi"/>
                <w:b/>
                <w:lang w:eastAsia="en-US"/>
              </w:rPr>
              <w:t xml:space="preserve">Leadership Team and Board </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61F18"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Sylvia Hazard and </w:t>
            </w:r>
            <w:r w:rsidR="004159BE">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461F18"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Deputy Director of Finance and </w:t>
            </w:r>
            <w:r w:rsidR="00826FF2">
              <w:rPr>
                <w:rFonts w:asciiTheme="minorHAnsi" w:eastAsiaTheme="minorHAnsi" w:hAnsiTheme="minorHAnsi" w:cstheme="minorHAnsi"/>
                <w:lang w:eastAsia="en-US"/>
              </w:rPr>
              <w:t>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461F18" w:rsidP="003A6DA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5</w:t>
            </w:r>
            <w:r w:rsidRPr="00461F18">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September 2017</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2017/18</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E872B3">
        <w:rPr>
          <w:rFonts w:ascii="Arial" w:hAnsi="Arial" w:cs="Arial"/>
          <w:b/>
          <w:sz w:val="22"/>
          <w:szCs w:val="22"/>
        </w:rPr>
        <w:t>31 July</w:t>
      </w:r>
      <w:r w:rsidR="003A6DA1">
        <w:rPr>
          <w:rFonts w:ascii="Arial" w:hAnsi="Arial" w:cs="Arial"/>
          <w:b/>
          <w:sz w:val="22"/>
          <w:szCs w:val="22"/>
        </w:rPr>
        <w:t xml:space="preserve"> </w:t>
      </w:r>
      <w:r w:rsidR="001677C5">
        <w:rPr>
          <w:rFonts w:ascii="Arial" w:hAnsi="Arial" w:cs="Arial"/>
          <w:b/>
          <w:sz w:val="22"/>
          <w:szCs w:val="22"/>
        </w:rPr>
        <w:t>2017</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D1262E"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The HRA</w:t>
      </w:r>
      <w:r w:rsidR="00D07ECB">
        <w:rPr>
          <w:rFonts w:ascii="Arial" w:eastAsiaTheme="minorHAnsi" w:hAnsi="Arial" w:cs="Arial"/>
          <w:sz w:val="22"/>
          <w:szCs w:val="22"/>
          <w:lang w:eastAsia="en-US"/>
        </w:rPr>
        <w:t xml:space="preserve"> </w:t>
      </w:r>
      <w:r w:rsidR="00950174">
        <w:rPr>
          <w:rFonts w:ascii="Arial" w:eastAsiaTheme="minorHAnsi" w:hAnsi="Arial" w:cs="Arial"/>
          <w:sz w:val="22"/>
          <w:szCs w:val="22"/>
          <w:lang w:eastAsia="en-US"/>
        </w:rPr>
        <w:t>2017</w:t>
      </w:r>
      <w:r w:rsidR="008D718A">
        <w:rPr>
          <w:rFonts w:ascii="Arial" w:eastAsiaTheme="minorHAnsi" w:hAnsi="Arial" w:cs="Arial"/>
          <w:sz w:val="22"/>
          <w:szCs w:val="22"/>
          <w:lang w:eastAsia="en-US"/>
        </w:rPr>
        <w:t>/18</w:t>
      </w:r>
      <w:r w:rsidR="00950174">
        <w:rPr>
          <w:rFonts w:ascii="Arial" w:eastAsiaTheme="minorHAnsi" w:hAnsi="Arial" w:cs="Arial"/>
          <w:sz w:val="22"/>
          <w:szCs w:val="22"/>
          <w:lang w:eastAsia="en-US"/>
        </w:rPr>
        <w:t xml:space="preserve"> </w:t>
      </w:r>
      <w:r w:rsidR="00D07ECB">
        <w:rPr>
          <w:rFonts w:ascii="Arial" w:eastAsiaTheme="minorHAnsi" w:hAnsi="Arial" w:cs="Arial"/>
          <w:sz w:val="22"/>
          <w:szCs w:val="22"/>
          <w:lang w:eastAsia="en-US"/>
        </w:rPr>
        <w:t xml:space="preserve">outturn </w:t>
      </w:r>
      <w:r w:rsidR="008D718A">
        <w:rPr>
          <w:rFonts w:ascii="Arial" w:eastAsiaTheme="minorHAnsi" w:hAnsi="Arial" w:cs="Arial"/>
          <w:sz w:val="22"/>
          <w:szCs w:val="22"/>
          <w:lang w:eastAsia="en-US"/>
        </w:rPr>
        <w:t xml:space="preserve">for the first </w:t>
      </w:r>
      <w:r w:rsidR="00E872B3">
        <w:rPr>
          <w:rFonts w:ascii="Arial" w:eastAsiaTheme="minorHAnsi" w:hAnsi="Arial" w:cs="Arial"/>
          <w:sz w:val="22"/>
          <w:szCs w:val="22"/>
          <w:lang w:eastAsia="en-US"/>
        </w:rPr>
        <w:t>4</w:t>
      </w:r>
      <w:r w:rsidR="008D718A">
        <w:rPr>
          <w:rFonts w:ascii="Arial" w:eastAsiaTheme="minorHAnsi" w:hAnsi="Arial" w:cs="Arial"/>
          <w:sz w:val="22"/>
          <w:szCs w:val="22"/>
          <w:lang w:eastAsia="en-US"/>
        </w:rPr>
        <w:t xml:space="preserve"> months of the year </w:t>
      </w:r>
      <w:r w:rsidR="00D07ECB" w:rsidRPr="00055EF8">
        <w:rPr>
          <w:rFonts w:ascii="Arial" w:eastAsiaTheme="minorHAnsi" w:hAnsi="Arial" w:cs="Arial"/>
          <w:sz w:val="22"/>
          <w:szCs w:val="22"/>
          <w:lang w:eastAsia="en-US"/>
        </w:rPr>
        <w:t>was £</w:t>
      </w:r>
      <w:r w:rsidR="00055EF8" w:rsidRPr="00055EF8">
        <w:rPr>
          <w:rFonts w:ascii="Arial" w:eastAsiaTheme="minorHAnsi" w:hAnsi="Arial" w:cs="Arial"/>
          <w:sz w:val="22"/>
          <w:szCs w:val="22"/>
          <w:lang w:eastAsia="en-US"/>
        </w:rPr>
        <w:t>4,022</w:t>
      </w:r>
      <w:r w:rsidR="001D4F68" w:rsidRPr="00055EF8">
        <w:rPr>
          <w:rFonts w:ascii="Arial" w:eastAsiaTheme="minorHAnsi" w:hAnsi="Arial" w:cs="Arial"/>
          <w:sz w:val="22"/>
          <w:szCs w:val="22"/>
          <w:lang w:eastAsia="en-US"/>
        </w:rPr>
        <w:t>k</w:t>
      </w:r>
      <w:r w:rsidR="00D07ECB" w:rsidRPr="00055EF8">
        <w:rPr>
          <w:rFonts w:ascii="Arial" w:eastAsiaTheme="minorHAnsi" w:hAnsi="Arial" w:cs="Arial"/>
          <w:sz w:val="22"/>
          <w:szCs w:val="22"/>
          <w:lang w:eastAsia="en-US"/>
        </w:rPr>
        <w:t xml:space="preserve"> (201</w:t>
      </w:r>
      <w:r w:rsidR="008D718A" w:rsidRPr="00055EF8">
        <w:rPr>
          <w:rFonts w:ascii="Arial" w:eastAsiaTheme="minorHAnsi" w:hAnsi="Arial" w:cs="Arial"/>
          <w:sz w:val="22"/>
          <w:szCs w:val="22"/>
          <w:lang w:eastAsia="en-US"/>
        </w:rPr>
        <w:t>6/17</w:t>
      </w:r>
      <w:r w:rsidR="00D07ECB" w:rsidRPr="00055EF8">
        <w:rPr>
          <w:rFonts w:ascii="Arial" w:eastAsiaTheme="minorHAnsi" w:hAnsi="Arial" w:cs="Arial"/>
          <w:sz w:val="22"/>
          <w:szCs w:val="22"/>
          <w:lang w:eastAsia="en-US"/>
        </w:rPr>
        <w:t>: £</w:t>
      </w:r>
      <w:r w:rsidR="00055EF8" w:rsidRPr="00055EF8">
        <w:rPr>
          <w:rFonts w:ascii="Arial" w:eastAsiaTheme="minorHAnsi" w:hAnsi="Arial" w:cs="Arial"/>
          <w:sz w:val="22"/>
          <w:szCs w:val="22"/>
          <w:lang w:eastAsia="en-US"/>
        </w:rPr>
        <w:t>4,123</w:t>
      </w:r>
      <w:r w:rsidR="00B84970" w:rsidRPr="00055EF8">
        <w:rPr>
          <w:rFonts w:ascii="Arial" w:eastAsiaTheme="minorHAnsi" w:hAnsi="Arial" w:cs="Arial"/>
          <w:sz w:val="22"/>
          <w:szCs w:val="22"/>
          <w:lang w:eastAsia="en-US"/>
        </w:rPr>
        <w:t>k</w:t>
      </w:r>
      <w:r w:rsidR="00D07ECB" w:rsidRPr="00055EF8">
        <w:rPr>
          <w:rFonts w:ascii="Arial" w:eastAsiaTheme="minorHAnsi" w:hAnsi="Arial" w:cs="Arial"/>
          <w:sz w:val="22"/>
          <w:szCs w:val="22"/>
          <w:lang w:eastAsia="en-US"/>
        </w:rPr>
        <w:t>)</w:t>
      </w:r>
      <w:r w:rsidR="00D07ECB">
        <w:rPr>
          <w:rFonts w:ascii="Arial" w:eastAsiaTheme="minorHAnsi" w:hAnsi="Arial" w:cs="Arial"/>
          <w:sz w:val="22"/>
          <w:szCs w:val="22"/>
          <w:lang w:eastAsia="en-US"/>
        </w:rPr>
        <w:t xml:space="preserve"> and £</w:t>
      </w:r>
      <w:r w:rsidR="00E872B3">
        <w:rPr>
          <w:rFonts w:ascii="Arial" w:eastAsiaTheme="minorHAnsi" w:hAnsi="Arial" w:cs="Arial"/>
          <w:sz w:val="22"/>
          <w:szCs w:val="22"/>
          <w:lang w:eastAsia="en-US"/>
        </w:rPr>
        <w:t>224</w:t>
      </w:r>
      <w:r w:rsidR="008D718A">
        <w:rPr>
          <w:rFonts w:ascii="Arial" w:eastAsiaTheme="minorHAnsi" w:hAnsi="Arial" w:cs="Arial"/>
          <w:sz w:val="22"/>
          <w:szCs w:val="22"/>
          <w:lang w:eastAsia="en-US"/>
        </w:rPr>
        <w:t xml:space="preserve">k </w:t>
      </w:r>
      <w:r w:rsidR="00D07ECB">
        <w:rPr>
          <w:rFonts w:ascii="Arial" w:eastAsiaTheme="minorHAnsi" w:hAnsi="Arial" w:cs="Arial"/>
          <w:sz w:val="22"/>
          <w:szCs w:val="22"/>
          <w:lang w:eastAsia="en-US"/>
        </w:rPr>
        <w:t>(2016</w:t>
      </w:r>
      <w:r w:rsidR="008D718A">
        <w:rPr>
          <w:rFonts w:ascii="Arial" w:eastAsiaTheme="minorHAnsi" w:hAnsi="Arial" w:cs="Arial"/>
          <w:sz w:val="22"/>
          <w:szCs w:val="22"/>
          <w:lang w:eastAsia="en-US"/>
        </w:rPr>
        <w:t>/17</w:t>
      </w:r>
      <w:r w:rsidR="00D07ECB">
        <w:rPr>
          <w:rFonts w:ascii="Arial" w:eastAsiaTheme="minorHAnsi" w:hAnsi="Arial" w:cs="Arial"/>
          <w:sz w:val="22"/>
          <w:szCs w:val="22"/>
          <w:lang w:eastAsia="en-US"/>
        </w:rPr>
        <w:t xml:space="preserve"> £</w:t>
      </w:r>
      <w:r w:rsidR="00E872B3">
        <w:rPr>
          <w:rFonts w:ascii="Arial" w:eastAsiaTheme="minorHAnsi" w:hAnsi="Arial" w:cs="Arial"/>
          <w:sz w:val="22"/>
          <w:szCs w:val="22"/>
          <w:lang w:eastAsia="en-US"/>
        </w:rPr>
        <w:t>247</w:t>
      </w:r>
      <w:r w:rsidR="003015EB">
        <w:rPr>
          <w:rFonts w:ascii="Arial" w:eastAsiaTheme="minorHAnsi" w:hAnsi="Arial" w:cs="Arial"/>
          <w:sz w:val="22"/>
          <w:szCs w:val="22"/>
          <w:lang w:eastAsia="en-US"/>
        </w:rPr>
        <w:t>k</w:t>
      </w:r>
      <w:r w:rsidR="00D07ECB">
        <w:rPr>
          <w:rFonts w:ascii="Arial" w:eastAsiaTheme="minorHAnsi" w:hAnsi="Arial" w:cs="Arial"/>
          <w:sz w:val="22"/>
          <w:szCs w:val="22"/>
          <w:lang w:eastAsia="en-US"/>
        </w:rPr>
        <w:t>) capital. On revenue expenditure</w:t>
      </w:r>
      <w:r w:rsidR="004C1D2E">
        <w:rPr>
          <w:rFonts w:ascii="Arial" w:eastAsiaTheme="minorHAnsi" w:hAnsi="Arial" w:cs="Arial"/>
          <w:sz w:val="22"/>
          <w:szCs w:val="22"/>
          <w:lang w:eastAsia="en-US"/>
        </w:rPr>
        <w:t xml:space="preserve"> th</w:t>
      </w:r>
      <w:r w:rsidR="00D07ECB">
        <w:rPr>
          <w:rFonts w:ascii="Arial" w:eastAsiaTheme="minorHAnsi" w:hAnsi="Arial" w:cs="Arial"/>
          <w:sz w:val="22"/>
          <w:szCs w:val="22"/>
          <w:lang w:eastAsia="en-US"/>
        </w:rPr>
        <w:t>is represented a £</w:t>
      </w:r>
      <w:r w:rsidR="00055EF8">
        <w:rPr>
          <w:rFonts w:ascii="Arial" w:eastAsiaTheme="minorHAnsi" w:hAnsi="Arial" w:cs="Arial"/>
          <w:sz w:val="22"/>
          <w:szCs w:val="22"/>
          <w:lang w:eastAsia="en-US"/>
        </w:rPr>
        <w:t>32</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w:t>
      </w:r>
      <w:r w:rsidR="007C4AB8">
        <w:rPr>
          <w:rFonts w:ascii="Arial" w:eastAsiaTheme="minorHAnsi" w:hAnsi="Arial" w:cs="Arial"/>
          <w:sz w:val="22"/>
          <w:szCs w:val="22"/>
          <w:lang w:eastAsia="en-US"/>
        </w:rPr>
        <w:t xml:space="preserve"> </w:t>
      </w:r>
      <w:r w:rsidR="00561998">
        <w:rPr>
          <w:rFonts w:ascii="Arial" w:eastAsiaTheme="minorHAnsi" w:hAnsi="Arial" w:cs="Arial"/>
          <w:sz w:val="22"/>
          <w:szCs w:val="22"/>
          <w:lang w:eastAsia="en-US"/>
        </w:rPr>
        <w:t>0.8</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xml:space="preserve"> (2016</w:t>
      </w:r>
      <w:r w:rsidR="008D718A">
        <w:rPr>
          <w:rFonts w:ascii="Arial" w:eastAsiaTheme="minorHAnsi" w:hAnsi="Arial" w:cs="Arial"/>
          <w:sz w:val="22"/>
          <w:szCs w:val="22"/>
          <w:lang w:eastAsia="en-US"/>
        </w:rPr>
        <w:t>/17</w:t>
      </w:r>
      <w:r w:rsidR="00D07ECB">
        <w:rPr>
          <w:rFonts w:ascii="Arial" w:eastAsiaTheme="minorHAnsi" w:hAnsi="Arial" w:cs="Arial"/>
          <w:sz w:val="22"/>
          <w:szCs w:val="22"/>
          <w:lang w:eastAsia="en-US"/>
        </w:rPr>
        <w:t xml:space="preserve"> £</w:t>
      </w:r>
      <w:r w:rsidR="00055EF8">
        <w:rPr>
          <w:rFonts w:ascii="Arial" w:eastAsiaTheme="minorHAnsi" w:hAnsi="Arial" w:cs="Arial"/>
          <w:sz w:val="22"/>
          <w:szCs w:val="22"/>
          <w:lang w:eastAsia="en-US"/>
        </w:rPr>
        <w:t>35</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 xml:space="preserve">, </w:t>
      </w:r>
      <w:r w:rsidR="00055EF8">
        <w:rPr>
          <w:rFonts w:ascii="Arial" w:eastAsiaTheme="minorHAnsi" w:hAnsi="Arial" w:cs="Arial"/>
          <w:sz w:val="22"/>
          <w:szCs w:val="22"/>
          <w:lang w:eastAsia="en-US"/>
        </w:rPr>
        <w:t>0.85</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underspend</w:t>
      </w:r>
      <w:r w:rsidR="004C1D2E">
        <w:rPr>
          <w:rFonts w:ascii="Arial" w:eastAsiaTheme="minorHAnsi" w:hAnsi="Arial" w:cs="Arial"/>
          <w:sz w:val="22"/>
          <w:szCs w:val="22"/>
          <w:lang w:eastAsia="en-US"/>
        </w:rPr>
        <w:t xml:space="preserve"> and on capital expenditure a £</w:t>
      </w:r>
      <w:r w:rsidR="00D4475B">
        <w:rPr>
          <w:rFonts w:ascii="Arial" w:eastAsiaTheme="minorHAnsi" w:hAnsi="Arial" w:cs="Arial"/>
          <w:sz w:val="22"/>
          <w:szCs w:val="22"/>
          <w:lang w:eastAsia="en-US"/>
        </w:rPr>
        <w:t>7</w:t>
      </w:r>
      <w:r w:rsidR="004C1D2E">
        <w:rPr>
          <w:rFonts w:ascii="Arial" w:eastAsiaTheme="minorHAnsi" w:hAnsi="Arial" w:cs="Arial"/>
          <w:sz w:val="22"/>
          <w:szCs w:val="22"/>
          <w:lang w:eastAsia="en-US"/>
        </w:rPr>
        <w:t xml:space="preserve">k, </w:t>
      </w:r>
      <w:r w:rsidR="00E872B3">
        <w:rPr>
          <w:rFonts w:ascii="Arial" w:eastAsiaTheme="minorHAnsi" w:hAnsi="Arial" w:cs="Arial"/>
          <w:sz w:val="22"/>
          <w:szCs w:val="22"/>
          <w:lang w:eastAsia="en-US"/>
        </w:rPr>
        <w:t>3</w:t>
      </w:r>
      <w:r w:rsidR="00D4475B">
        <w:rPr>
          <w:rFonts w:ascii="Arial" w:eastAsiaTheme="minorHAnsi" w:hAnsi="Arial" w:cs="Arial"/>
          <w:sz w:val="22"/>
          <w:szCs w:val="22"/>
          <w:lang w:eastAsia="en-US"/>
        </w:rPr>
        <w:t>.0</w:t>
      </w:r>
      <w:r w:rsidR="004C1D2E">
        <w:rPr>
          <w:rFonts w:ascii="Arial" w:eastAsiaTheme="minorHAnsi" w:hAnsi="Arial" w:cs="Arial"/>
          <w:sz w:val="22"/>
          <w:szCs w:val="22"/>
          <w:lang w:eastAsia="en-US"/>
        </w:rPr>
        <w:t>% underspend (2016</w:t>
      </w:r>
      <w:r w:rsidR="008D718A">
        <w:rPr>
          <w:rFonts w:ascii="Arial" w:eastAsiaTheme="minorHAnsi" w:hAnsi="Arial" w:cs="Arial"/>
          <w:sz w:val="22"/>
          <w:szCs w:val="22"/>
          <w:lang w:eastAsia="en-US"/>
        </w:rPr>
        <w:t>/17</w:t>
      </w:r>
      <w:r w:rsidR="004C1D2E">
        <w:rPr>
          <w:rFonts w:ascii="Arial" w:eastAsiaTheme="minorHAnsi" w:hAnsi="Arial" w:cs="Arial"/>
          <w:sz w:val="22"/>
          <w:szCs w:val="22"/>
          <w:lang w:eastAsia="en-US"/>
        </w:rPr>
        <w:t xml:space="preserve"> £</w:t>
      </w:r>
      <w:r w:rsidR="00E872B3">
        <w:rPr>
          <w:rFonts w:ascii="Arial" w:eastAsiaTheme="minorHAnsi" w:hAnsi="Arial" w:cs="Arial"/>
          <w:sz w:val="22"/>
          <w:szCs w:val="22"/>
          <w:lang w:eastAsia="en-US"/>
        </w:rPr>
        <w:t>9</w:t>
      </w:r>
      <w:r w:rsidR="004C1D2E">
        <w:rPr>
          <w:rFonts w:ascii="Arial" w:eastAsiaTheme="minorHAnsi" w:hAnsi="Arial" w:cs="Arial"/>
          <w:sz w:val="22"/>
          <w:szCs w:val="22"/>
          <w:lang w:eastAsia="en-US"/>
        </w:rPr>
        <w:t xml:space="preserve">k, </w:t>
      </w:r>
      <w:r w:rsidR="00E872B3">
        <w:rPr>
          <w:rFonts w:ascii="Arial" w:eastAsiaTheme="minorHAnsi" w:hAnsi="Arial" w:cs="Arial"/>
          <w:sz w:val="22"/>
          <w:szCs w:val="22"/>
          <w:lang w:eastAsia="en-US"/>
        </w:rPr>
        <w:t>3.5</w:t>
      </w:r>
      <w:r w:rsidR="004C1D2E">
        <w:rPr>
          <w:rFonts w:ascii="Arial" w:eastAsiaTheme="minorHAnsi" w:hAnsi="Arial" w:cs="Arial"/>
          <w:sz w:val="22"/>
          <w:szCs w:val="22"/>
          <w:lang w:eastAsia="en-US"/>
        </w:rPr>
        <w:t xml:space="preserve">%). </w:t>
      </w:r>
      <w:r w:rsidR="00FA0CFC">
        <w:rPr>
          <w:rFonts w:ascii="Arial" w:eastAsiaTheme="minorHAnsi" w:hAnsi="Arial" w:cs="Arial"/>
          <w:sz w:val="22"/>
          <w:szCs w:val="22"/>
          <w:lang w:eastAsia="en-US"/>
        </w:rPr>
        <w:t xml:space="preserve"> </w:t>
      </w:r>
    </w:p>
    <w:p w:rsidR="00D1262E" w:rsidRDefault="00D1262E" w:rsidP="00D1262E">
      <w:pPr>
        <w:pStyle w:val="ListParagraph"/>
        <w:spacing w:after="200" w:line="276" w:lineRule="auto"/>
        <w:rPr>
          <w:rFonts w:ascii="Arial" w:eastAsiaTheme="minorHAnsi" w:hAnsi="Arial" w:cs="Arial"/>
          <w:sz w:val="22"/>
          <w:szCs w:val="22"/>
          <w:lang w:eastAsia="en-US"/>
        </w:rPr>
      </w:pPr>
    </w:p>
    <w:p w:rsidR="007D4817" w:rsidRDefault="002559B6" w:rsidP="007D4817">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Performance against our </w:t>
      </w:r>
      <w:r w:rsidR="007D4817" w:rsidRPr="007D4817">
        <w:rPr>
          <w:rFonts w:ascii="Arial" w:eastAsiaTheme="minorHAnsi" w:hAnsi="Arial" w:cs="Arial"/>
          <w:sz w:val="22"/>
          <w:szCs w:val="22"/>
          <w:lang w:eastAsia="en-US"/>
        </w:rPr>
        <w:t>vacancy factor</w:t>
      </w:r>
      <w:r>
        <w:rPr>
          <w:rFonts w:ascii="Arial" w:eastAsiaTheme="minorHAnsi" w:hAnsi="Arial" w:cs="Arial"/>
          <w:sz w:val="22"/>
          <w:szCs w:val="22"/>
          <w:lang w:eastAsia="en-US"/>
        </w:rPr>
        <w:t xml:space="preserve"> </w:t>
      </w:r>
      <w:r w:rsidR="00561998">
        <w:rPr>
          <w:rFonts w:ascii="Arial" w:eastAsiaTheme="minorHAnsi" w:hAnsi="Arial" w:cs="Arial"/>
          <w:sz w:val="22"/>
          <w:szCs w:val="22"/>
          <w:lang w:eastAsia="en-US"/>
        </w:rPr>
        <w:t>has been achieved for the first four months</w:t>
      </w:r>
      <w:r w:rsidR="00D4475B">
        <w:rPr>
          <w:rFonts w:ascii="Arial" w:eastAsiaTheme="minorHAnsi" w:hAnsi="Arial" w:cs="Arial"/>
          <w:sz w:val="22"/>
          <w:szCs w:val="22"/>
          <w:lang w:eastAsia="en-US"/>
        </w:rPr>
        <w:t>. T</w:t>
      </w:r>
      <w:r w:rsidR="007D4817" w:rsidRPr="007D4817">
        <w:rPr>
          <w:rFonts w:ascii="Arial" w:eastAsiaTheme="minorHAnsi" w:hAnsi="Arial" w:cs="Arial"/>
          <w:sz w:val="22"/>
          <w:szCs w:val="22"/>
          <w:lang w:eastAsia="en-US"/>
        </w:rPr>
        <w:t xml:space="preserve">his </w:t>
      </w:r>
      <w:r w:rsidR="008D5232">
        <w:rPr>
          <w:rFonts w:ascii="Arial" w:eastAsiaTheme="minorHAnsi" w:hAnsi="Arial" w:cs="Arial"/>
          <w:sz w:val="22"/>
          <w:szCs w:val="22"/>
          <w:lang w:eastAsia="en-US"/>
        </w:rPr>
        <w:t xml:space="preserve">performance </w:t>
      </w:r>
      <w:r w:rsidR="00D4475B">
        <w:rPr>
          <w:rFonts w:ascii="Arial" w:eastAsiaTheme="minorHAnsi" w:hAnsi="Arial" w:cs="Arial"/>
          <w:sz w:val="22"/>
          <w:szCs w:val="22"/>
          <w:lang w:eastAsia="en-US"/>
        </w:rPr>
        <w:t>is</w:t>
      </w:r>
      <w:r w:rsidR="007D4817" w:rsidRPr="007D4817">
        <w:rPr>
          <w:rFonts w:ascii="Arial" w:eastAsiaTheme="minorHAnsi" w:hAnsi="Arial" w:cs="Arial"/>
          <w:sz w:val="22"/>
          <w:szCs w:val="22"/>
          <w:lang w:eastAsia="en-US"/>
        </w:rPr>
        <w:t xml:space="preserve"> closely monitored by recruitment panel to ensure that our services have adequate resources and service delivery is not compromised.</w:t>
      </w:r>
    </w:p>
    <w:p w:rsidR="007D4817" w:rsidRPr="007D4817" w:rsidRDefault="007D4817" w:rsidP="007D4817">
      <w:pPr>
        <w:pStyle w:val="ListParagraph"/>
        <w:rPr>
          <w:rFonts w:ascii="Arial" w:eastAsiaTheme="minorHAnsi" w:hAnsi="Arial" w:cs="Arial"/>
          <w:sz w:val="22"/>
          <w:szCs w:val="22"/>
          <w:lang w:eastAsia="en-US"/>
        </w:rPr>
      </w:pPr>
    </w:p>
    <w:p w:rsidR="008D5232" w:rsidRDefault="001D4F68" w:rsidP="008D5232">
      <w:pPr>
        <w:pStyle w:val="ListParagraph"/>
        <w:numPr>
          <w:ilvl w:val="0"/>
          <w:numId w:val="2"/>
        </w:numPr>
        <w:spacing w:after="200" w:line="276" w:lineRule="auto"/>
        <w:rPr>
          <w:rFonts w:ascii="Arial" w:eastAsiaTheme="minorHAnsi" w:hAnsi="Arial" w:cs="Arial"/>
          <w:sz w:val="22"/>
          <w:szCs w:val="22"/>
          <w:lang w:eastAsia="en-US"/>
        </w:rPr>
      </w:pPr>
      <w:r w:rsidRPr="008D5232">
        <w:rPr>
          <w:rFonts w:ascii="Arial" w:eastAsiaTheme="minorHAnsi" w:hAnsi="Arial" w:cs="Arial"/>
          <w:sz w:val="22"/>
          <w:szCs w:val="22"/>
          <w:lang w:eastAsia="en-US"/>
        </w:rPr>
        <w:t xml:space="preserve">Business cases (total value £420k) submitted to DH have yet to be determined. Plans are in place to manage the impact if both / either business case is unsuccessful. </w:t>
      </w:r>
      <w:r w:rsidR="008D5232" w:rsidRPr="008D5232">
        <w:rPr>
          <w:rFonts w:ascii="Arial" w:eastAsiaTheme="minorHAnsi" w:hAnsi="Arial" w:cs="Arial"/>
          <w:sz w:val="22"/>
          <w:szCs w:val="22"/>
          <w:lang w:eastAsia="en-US"/>
        </w:rPr>
        <w:t>The delay in decision is a concern and will have implications for the SIP in particular</w:t>
      </w:r>
      <w:r w:rsidRPr="008D5232">
        <w:rPr>
          <w:rFonts w:ascii="Arial" w:eastAsiaTheme="minorHAnsi" w:hAnsi="Arial" w:cs="Arial"/>
          <w:sz w:val="22"/>
          <w:szCs w:val="22"/>
          <w:lang w:eastAsia="en-US"/>
        </w:rPr>
        <w:t xml:space="preserve"> timescales </w:t>
      </w:r>
      <w:r w:rsidR="008D5232" w:rsidRPr="008D5232">
        <w:rPr>
          <w:rFonts w:ascii="Arial" w:eastAsiaTheme="minorHAnsi" w:hAnsi="Arial" w:cs="Arial"/>
          <w:sz w:val="22"/>
          <w:szCs w:val="22"/>
          <w:lang w:eastAsia="en-US"/>
        </w:rPr>
        <w:t xml:space="preserve">for delivery. </w:t>
      </w:r>
    </w:p>
    <w:p w:rsidR="008D5232" w:rsidRPr="008D5232" w:rsidRDefault="008D5232" w:rsidP="008D5232">
      <w:pPr>
        <w:pStyle w:val="ListParagraph"/>
        <w:rPr>
          <w:rFonts w:ascii="Arial" w:eastAsiaTheme="minorHAnsi" w:hAnsi="Arial" w:cs="Arial"/>
          <w:sz w:val="22"/>
          <w:szCs w:val="22"/>
          <w:lang w:eastAsia="en-US"/>
        </w:rPr>
      </w:pPr>
    </w:p>
    <w:p w:rsidR="00D4475B" w:rsidRPr="008D5232" w:rsidRDefault="008D5232" w:rsidP="007D4817">
      <w:pPr>
        <w:pStyle w:val="ListParagraph"/>
        <w:numPr>
          <w:ilvl w:val="0"/>
          <w:numId w:val="2"/>
        </w:numPr>
        <w:spacing w:after="200" w:line="276" w:lineRule="auto"/>
        <w:rPr>
          <w:rFonts w:ascii="Arial" w:eastAsiaTheme="minorHAnsi" w:hAnsi="Arial" w:cs="Arial"/>
          <w:sz w:val="22"/>
          <w:szCs w:val="22"/>
          <w:lang w:eastAsia="en-US"/>
        </w:rPr>
      </w:pPr>
      <w:r w:rsidRPr="008D5232">
        <w:rPr>
          <w:rFonts w:ascii="Arial" w:eastAsiaTheme="minorHAnsi" w:hAnsi="Arial" w:cs="Arial"/>
          <w:sz w:val="22"/>
          <w:szCs w:val="22"/>
          <w:lang w:eastAsia="en-US"/>
        </w:rPr>
        <w:t xml:space="preserve">We </w:t>
      </w:r>
      <w:r w:rsidR="00D4475B" w:rsidRPr="008D5232">
        <w:rPr>
          <w:rFonts w:ascii="Arial" w:eastAsiaTheme="minorHAnsi" w:hAnsi="Arial" w:cs="Arial"/>
          <w:sz w:val="22"/>
          <w:szCs w:val="22"/>
          <w:lang w:eastAsia="en-US"/>
        </w:rPr>
        <w:t xml:space="preserve">are working closely with PA Consulting and DH to determine </w:t>
      </w:r>
      <w:r w:rsidRPr="008D5232">
        <w:rPr>
          <w:rFonts w:ascii="Arial" w:eastAsiaTheme="minorHAnsi" w:hAnsi="Arial" w:cs="Arial"/>
          <w:sz w:val="22"/>
          <w:szCs w:val="22"/>
          <w:lang w:eastAsia="en-US"/>
        </w:rPr>
        <w:t>scope and specifications</w:t>
      </w:r>
      <w:r w:rsidR="00D4475B" w:rsidRPr="008D5232">
        <w:rPr>
          <w:rFonts w:ascii="Arial" w:eastAsiaTheme="minorHAnsi" w:hAnsi="Arial" w:cs="Arial"/>
          <w:sz w:val="22"/>
          <w:szCs w:val="22"/>
          <w:lang w:eastAsia="en-US"/>
        </w:rPr>
        <w:t xml:space="preserve"> to improve our systems infrastructure to meet the changing external environment and research sector </w:t>
      </w:r>
      <w:r w:rsidRPr="008D5232">
        <w:rPr>
          <w:rFonts w:ascii="Arial" w:eastAsiaTheme="minorHAnsi" w:hAnsi="Arial" w:cs="Arial"/>
          <w:sz w:val="22"/>
          <w:szCs w:val="22"/>
          <w:lang w:eastAsia="en-US"/>
        </w:rPr>
        <w:t>requirements</w:t>
      </w:r>
      <w:r w:rsidR="00D4475B" w:rsidRPr="008D5232">
        <w:rPr>
          <w:rFonts w:ascii="Arial" w:eastAsiaTheme="minorHAnsi" w:hAnsi="Arial" w:cs="Arial"/>
          <w:sz w:val="22"/>
          <w:szCs w:val="22"/>
          <w:lang w:eastAsia="en-US"/>
        </w:rPr>
        <w:t xml:space="preserve">. </w:t>
      </w:r>
      <w:r w:rsidRPr="008D5232">
        <w:rPr>
          <w:rFonts w:ascii="Arial" w:eastAsiaTheme="minorHAnsi" w:hAnsi="Arial" w:cs="Arial"/>
          <w:sz w:val="22"/>
          <w:szCs w:val="22"/>
          <w:lang w:eastAsia="en-US"/>
        </w:rPr>
        <w:t>Any further i</w:t>
      </w:r>
      <w:r w:rsidR="00D4475B" w:rsidRPr="008D5232">
        <w:rPr>
          <w:rFonts w:ascii="Arial" w:eastAsiaTheme="minorHAnsi" w:hAnsi="Arial" w:cs="Arial"/>
          <w:sz w:val="22"/>
          <w:szCs w:val="22"/>
          <w:lang w:eastAsia="en-US"/>
        </w:rPr>
        <w:t xml:space="preserve">nvestment </w:t>
      </w:r>
      <w:r w:rsidRPr="008D5232">
        <w:rPr>
          <w:rFonts w:ascii="Arial" w:eastAsiaTheme="minorHAnsi" w:hAnsi="Arial" w:cs="Arial"/>
          <w:sz w:val="22"/>
          <w:szCs w:val="22"/>
          <w:lang w:eastAsia="en-US"/>
        </w:rPr>
        <w:t>identified is</w:t>
      </w:r>
      <w:r w:rsidR="00D4475B" w:rsidRPr="008D5232">
        <w:rPr>
          <w:rFonts w:ascii="Arial" w:eastAsiaTheme="minorHAnsi" w:hAnsi="Arial" w:cs="Arial"/>
          <w:sz w:val="22"/>
          <w:szCs w:val="22"/>
          <w:lang w:eastAsia="en-US"/>
        </w:rPr>
        <w:t xml:space="preserve"> currently not scoped within our grant in aid allocation and would require additional funding if </w:t>
      </w:r>
      <w:r w:rsidRPr="008D5232">
        <w:rPr>
          <w:rFonts w:ascii="Arial" w:eastAsiaTheme="minorHAnsi" w:hAnsi="Arial" w:cs="Arial"/>
          <w:sz w:val="22"/>
          <w:szCs w:val="22"/>
          <w:lang w:eastAsia="en-US"/>
        </w:rPr>
        <w:t>approved</w:t>
      </w:r>
      <w:r w:rsidR="00D4475B" w:rsidRPr="008D5232">
        <w:rPr>
          <w:rFonts w:ascii="Arial" w:eastAsiaTheme="minorHAnsi" w:hAnsi="Arial" w:cs="Arial"/>
          <w:sz w:val="22"/>
          <w:szCs w:val="22"/>
          <w:lang w:eastAsia="en-US"/>
        </w:rPr>
        <w:t xml:space="preserve">.  </w:t>
      </w:r>
    </w:p>
    <w:p w:rsidR="00423AEF" w:rsidRPr="00423AEF" w:rsidRDefault="00423AEF" w:rsidP="00423AEF">
      <w:pPr>
        <w:pStyle w:val="ListParagraph"/>
        <w:rPr>
          <w:rFonts w:ascii="Arial" w:eastAsiaTheme="minorHAnsi" w:hAnsi="Arial" w:cs="Arial"/>
          <w:sz w:val="22"/>
          <w:szCs w:val="22"/>
          <w:lang w:eastAsia="en-US"/>
        </w:rPr>
      </w:pPr>
    </w:p>
    <w:p w:rsidR="00423AEF" w:rsidRPr="00386ED9"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HRA</w:t>
      </w:r>
      <w:r w:rsidRPr="00386ED9">
        <w:rPr>
          <w:rFonts w:ascii="Arial" w:eastAsiaTheme="minorHAnsi" w:hAnsi="Arial" w:cs="Arial"/>
          <w:sz w:val="22"/>
          <w:szCs w:val="22"/>
          <w:lang w:eastAsia="en-US"/>
        </w:rPr>
        <w:t xml:space="preserve"> </w:t>
      </w:r>
      <w:r w:rsidRPr="006C7396">
        <w:rPr>
          <w:rFonts w:ascii="Arial" w:eastAsiaTheme="minorHAnsi" w:hAnsi="Arial" w:cs="Arial"/>
          <w:sz w:val="22"/>
          <w:szCs w:val="22"/>
          <w:lang w:eastAsia="en-US"/>
        </w:rPr>
        <w:t>continued to meet its regulatory requirements in paying invoices</w:t>
      </w:r>
      <w:r w:rsidR="001B0417">
        <w:rPr>
          <w:rFonts w:ascii="Arial" w:eastAsiaTheme="minorHAnsi" w:hAnsi="Arial" w:cs="Arial"/>
          <w:sz w:val="22"/>
          <w:szCs w:val="22"/>
          <w:lang w:eastAsia="en-US"/>
        </w:rPr>
        <w:t xml:space="preserve"> quickly</w:t>
      </w:r>
    </w:p>
    <w:p w:rsidR="002E0A2A"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561998">
        <w:rPr>
          <w:rFonts w:ascii="Arial" w:hAnsi="Arial" w:cs="Arial"/>
          <w:b/>
          <w:sz w:val="22"/>
          <w:szCs w:val="22"/>
        </w:rPr>
        <w:t>4</w:t>
      </w:r>
      <w:r w:rsidR="00A4139A">
        <w:rPr>
          <w:rFonts w:ascii="Arial" w:hAnsi="Arial" w:cs="Arial"/>
          <w:b/>
          <w:sz w:val="22"/>
          <w:szCs w:val="22"/>
        </w:rPr>
        <w:t xml:space="preserve">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561998">
        <w:rPr>
          <w:rFonts w:ascii="Arial" w:hAnsi="Arial" w:cs="Arial"/>
          <w:b/>
          <w:sz w:val="22"/>
          <w:szCs w:val="22"/>
        </w:rPr>
        <w:t>31 July</w:t>
      </w:r>
      <w:r w:rsidR="00736CB7">
        <w:rPr>
          <w:rFonts w:ascii="Arial" w:hAnsi="Arial" w:cs="Arial"/>
          <w:b/>
          <w:sz w:val="22"/>
          <w:szCs w:val="22"/>
        </w:rPr>
        <w:t xml:space="preserve"> </w:t>
      </w:r>
      <w:r w:rsidR="00B62D6B">
        <w:rPr>
          <w:rFonts w:ascii="Arial" w:hAnsi="Arial" w:cs="Arial"/>
          <w:b/>
          <w:sz w:val="22"/>
          <w:szCs w:val="22"/>
        </w:rPr>
        <w:t>201</w:t>
      </w:r>
      <w:r w:rsidR="00423AEF">
        <w:rPr>
          <w:rFonts w:ascii="Arial" w:hAnsi="Arial" w:cs="Arial"/>
          <w:b/>
          <w:sz w:val="22"/>
          <w:szCs w:val="22"/>
        </w:rPr>
        <w:t>7</w:t>
      </w:r>
      <w:r w:rsidR="00AD76CF" w:rsidRPr="00AD76CF">
        <w:rPr>
          <w:rFonts w:ascii="Arial" w:hAnsi="Arial" w:cs="Arial"/>
          <w:b/>
          <w:sz w:val="22"/>
          <w:szCs w:val="22"/>
        </w:rPr>
        <w:t xml:space="preserve"> </w:t>
      </w:r>
    </w:p>
    <w:p w:rsidR="00561998" w:rsidRPr="00195D4C" w:rsidRDefault="00561998" w:rsidP="00B62D6B">
      <w:pPr>
        <w:jc w:val="both"/>
        <w:rPr>
          <w:rFonts w:ascii="Arial" w:hAnsi="Arial" w:cs="Arial"/>
          <w:b/>
          <w:sz w:val="22"/>
          <w:szCs w:val="22"/>
        </w:rPr>
      </w:pPr>
    </w:p>
    <w:tbl>
      <w:tblPr>
        <w:tblW w:w="8691" w:type="dxa"/>
        <w:tblInd w:w="108" w:type="dxa"/>
        <w:tblLook w:val="04A0" w:firstRow="1" w:lastRow="0" w:firstColumn="1" w:lastColumn="0" w:noHBand="0" w:noVBand="1"/>
      </w:tblPr>
      <w:tblGrid>
        <w:gridCol w:w="3454"/>
        <w:gridCol w:w="961"/>
        <w:gridCol w:w="961"/>
        <w:gridCol w:w="961"/>
        <w:gridCol w:w="1052"/>
        <w:gridCol w:w="1302"/>
      </w:tblGrid>
      <w:tr w:rsidR="00584FC2" w:rsidRPr="00584FC2" w:rsidTr="00584FC2">
        <w:trPr>
          <w:trHeight w:val="201"/>
        </w:trPr>
        <w:tc>
          <w:tcPr>
            <w:tcW w:w="3454" w:type="dxa"/>
            <w:tcBorders>
              <w:top w:val="single" w:sz="4" w:space="0" w:color="666666"/>
              <w:left w:val="nil"/>
              <w:bottom w:val="single" w:sz="4" w:space="0" w:color="666666"/>
              <w:right w:val="single" w:sz="4" w:space="0" w:color="666666"/>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2017/18</w:t>
            </w:r>
          </w:p>
        </w:tc>
        <w:tc>
          <w:tcPr>
            <w:tcW w:w="2974" w:type="dxa"/>
            <w:gridSpan w:val="3"/>
            <w:vMerge w:val="restart"/>
            <w:tcBorders>
              <w:top w:val="single" w:sz="8" w:space="0" w:color="FFFFFF"/>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4 Months ended 31 July 2017 (£'000)</w:t>
            </w: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r>
      <w:tr w:rsidR="00584FC2" w:rsidRPr="00584FC2" w:rsidTr="00584FC2">
        <w:trPr>
          <w:trHeight w:val="118"/>
        </w:trPr>
        <w:tc>
          <w:tcPr>
            <w:tcW w:w="3454"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£'000</w:t>
            </w:r>
          </w:p>
        </w:tc>
        <w:tc>
          <w:tcPr>
            <w:tcW w:w="2974" w:type="dxa"/>
            <w:gridSpan w:val="3"/>
            <w:vMerge/>
            <w:tcBorders>
              <w:top w:val="nil"/>
              <w:left w:val="nil"/>
              <w:bottom w:val="nil"/>
              <w:right w:val="nil"/>
            </w:tcBorders>
            <w:vAlign w:val="center"/>
            <w:hideMark/>
          </w:tcPr>
          <w:p w:rsidR="00584FC2" w:rsidRPr="00584FC2" w:rsidRDefault="00584FC2" w:rsidP="00584FC2">
            <w:pPr>
              <w:rPr>
                <w:rFonts w:ascii="Arial" w:hAnsi="Arial" w:cs="Arial"/>
                <w:b/>
                <w:bCs/>
                <w:color w:val="FFFFFF"/>
                <w:sz w:val="20"/>
                <w:szCs w:val="20"/>
              </w:rPr>
            </w:pPr>
          </w:p>
        </w:tc>
        <w:tc>
          <w:tcPr>
            <w:tcW w:w="1302" w:type="dxa"/>
            <w:tcBorders>
              <w:top w:val="nil"/>
              <w:left w:val="nil"/>
              <w:bottom w:val="nil"/>
              <w:right w:val="nil"/>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w:t>
            </w:r>
          </w:p>
        </w:tc>
      </w:tr>
      <w:tr w:rsidR="00584FC2" w:rsidRPr="00584FC2" w:rsidTr="00584FC2">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Income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Latest 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Budget</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Actual</w:t>
            </w:r>
          </w:p>
        </w:tc>
        <w:tc>
          <w:tcPr>
            <w:tcW w:w="1051"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c>
          <w:tcPr>
            <w:tcW w:w="1302"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Variance</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Grant in Aid confirmed</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12,310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3,929</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3,897</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32</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(0.8)%</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HRA income</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205</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rPr>
                <w:rFonts w:ascii="Calibri" w:hAnsi="Calibri" w:cs="Calibri"/>
                <w:color w:val="000000"/>
                <w:sz w:val="22"/>
                <w:szCs w:val="22"/>
              </w:rPr>
            </w:pP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Non cash revenue resource limit</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570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125</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125</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rPr>
                <w:rFonts w:ascii="Calibri" w:hAnsi="Calibri" w:cs="Calibri"/>
                <w:color w:val="000000"/>
                <w:sz w:val="22"/>
                <w:szCs w:val="22"/>
              </w:rPr>
            </w:pP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 xml:space="preserve"> Total Income</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13,085</w:t>
            </w:r>
          </w:p>
        </w:tc>
        <w:tc>
          <w:tcPr>
            <w:tcW w:w="96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4,054</w:t>
            </w:r>
          </w:p>
        </w:tc>
        <w:tc>
          <w:tcPr>
            <w:tcW w:w="96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4,022</w:t>
            </w:r>
          </w:p>
        </w:tc>
        <w:tc>
          <w:tcPr>
            <w:tcW w:w="1051" w:type="dxa"/>
            <w:tcBorders>
              <w:top w:val="nil"/>
              <w:left w:val="nil"/>
              <w:bottom w:val="nil"/>
              <w:right w:val="single" w:sz="8" w:space="0" w:color="FFFFFF"/>
            </w:tcBorders>
            <w:shd w:val="clear" w:color="000000" w:fill="365F91"/>
            <w:vAlign w:val="bottom"/>
            <w:hideMark/>
          </w:tcPr>
          <w:p w:rsidR="00584FC2" w:rsidRPr="00584FC2" w:rsidRDefault="00461F18" w:rsidP="00584FC2">
            <w:pPr>
              <w:jc w:val="right"/>
              <w:rPr>
                <w:rFonts w:ascii="Arial" w:hAnsi="Arial" w:cs="Arial"/>
                <w:b/>
                <w:bCs/>
                <w:color w:val="FFFFFF"/>
                <w:sz w:val="18"/>
                <w:szCs w:val="18"/>
              </w:rPr>
            </w:pPr>
            <w:r>
              <w:rPr>
                <w:rFonts w:ascii="Arial" w:hAnsi="Arial" w:cs="Arial"/>
                <w:b/>
                <w:bCs/>
                <w:color w:val="FFFFFF"/>
                <w:sz w:val="18"/>
                <w:szCs w:val="18"/>
              </w:rPr>
              <w:t>(</w:t>
            </w:r>
            <w:r w:rsidR="00584FC2" w:rsidRPr="00584FC2">
              <w:rPr>
                <w:rFonts w:ascii="Arial" w:hAnsi="Arial" w:cs="Arial"/>
                <w:b/>
                <w:bCs/>
                <w:color w:val="FFFFFF"/>
                <w:sz w:val="18"/>
                <w:szCs w:val="18"/>
              </w:rPr>
              <w:t>32</w:t>
            </w:r>
            <w:r>
              <w:rPr>
                <w:rFonts w:ascii="Arial" w:hAnsi="Arial" w:cs="Arial"/>
                <w:b/>
                <w:bCs/>
                <w:color w:val="FFFFFF"/>
                <w:sz w:val="18"/>
                <w:szCs w:val="18"/>
              </w:rPr>
              <w:t>)</w:t>
            </w:r>
          </w:p>
        </w:tc>
        <w:tc>
          <w:tcPr>
            <w:tcW w:w="1302"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(0.8)%</w:t>
            </w:r>
          </w:p>
        </w:tc>
      </w:tr>
      <w:tr w:rsidR="00584FC2" w:rsidRPr="00584FC2" w:rsidTr="00584FC2">
        <w:trPr>
          <w:trHeight w:val="207"/>
        </w:trPr>
        <w:tc>
          <w:tcPr>
            <w:tcW w:w="3454" w:type="dxa"/>
            <w:tcBorders>
              <w:top w:val="nil"/>
              <w:left w:val="nil"/>
              <w:bottom w:val="single" w:sz="8" w:space="0" w:color="CCCCCC"/>
              <w:right w:val="single" w:sz="8" w:space="0" w:color="CCCCCC"/>
            </w:tcBorders>
            <w:shd w:val="clear" w:color="000000" w:fill="95B3D7"/>
            <w:vAlign w:val="center"/>
            <w:hideMark/>
          </w:tcPr>
          <w:p w:rsidR="00584FC2" w:rsidRPr="00584FC2" w:rsidRDefault="00584FC2" w:rsidP="00584FC2">
            <w:pPr>
              <w:jc w:val="center"/>
              <w:rPr>
                <w:rFonts w:ascii="Arial" w:hAnsi="Arial" w:cs="Arial"/>
                <w:b/>
                <w:bCs/>
                <w:color w:val="FFFFFF"/>
                <w:sz w:val="20"/>
                <w:szCs w:val="20"/>
              </w:rPr>
            </w:pPr>
            <w:r w:rsidRPr="00584FC2">
              <w:rPr>
                <w:rFonts w:ascii="Arial" w:hAnsi="Arial" w:cs="Arial"/>
                <w:b/>
                <w:bCs/>
                <w:color w:val="FFFFFF"/>
                <w:sz w:val="20"/>
                <w:szCs w:val="20"/>
              </w:rPr>
              <w:t>Expenditure</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961" w:type="dxa"/>
            <w:tcBorders>
              <w:top w:val="nil"/>
              <w:left w:val="nil"/>
              <w:bottom w:val="nil"/>
              <w:right w:val="single" w:sz="8" w:space="0" w:color="55ACD3"/>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051"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c>
          <w:tcPr>
            <w:tcW w:w="1302" w:type="dxa"/>
            <w:tcBorders>
              <w:top w:val="nil"/>
              <w:left w:val="nil"/>
              <w:bottom w:val="nil"/>
              <w:right w:val="nil"/>
            </w:tcBorders>
            <w:shd w:val="clear" w:color="000000" w:fill="95B3D7"/>
            <w:vAlign w:val="center"/>
            <w:hideMark/>
          </w:tcPr>
          <w:p w:rsidR="00584FC2" w:rsidRPr="00584FC2" w:rsidRDefault="00584FC2" w:rsidP="00584FC2">
            <w:pPr>
              <w:rPr>
                <w:rFonts w:ascii="Arial" w:hAnsi="Arial" w:cs="Arial"/>
                <w:b/>
                <w:bCs/>
                <w:color w:val="FFFFFF"/>
                <w:sz w:val="20"/>
                <w:szCs w:val="20"/>
              </w:rPr>
            </w:pPr>
            <w:r w:rsidRPr="00584FC2">
              <w:rPr>
                <w:rFonts w:ascii="Arial" w:hAnsi="Arial" w:cs="Arial"/>
                <w:b/>
                <w:bCs/>
                <w:color w:val="FFFFFF"/>
                <w:sz w:val="20"/>
                <w:szCs w:val="20"/>
              </w:rPr>
              <w:t> </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 xml:space="preserve">HRA Approval </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2,741</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907</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902</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5</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(0.6)%</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Research ethics service</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3,728</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1,242</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1,227</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15</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Research systems</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1,312</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463</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454</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9</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(1.9)%</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Confidentiality Advisory Service</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280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76</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70</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6</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(7.9)%</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000000" w:fill="365F91"/>
            <w:vAlign w:val="bottom"/>
            <w:hideMark/>
          </w:tcPr>
          <w:p w:rsidR="00584FC2" w:rsidRPr="00461F18" w:rsidRDefault="00584FC2" w:rsidP="00584FC2">
            <w:pPr>
              <w:rPr>
                <w:rFonts w:ascii="Arial" w:hAnsi="Arial" w:cs="Arial"/>
                <w:b/>
                <w:color w:val="FFFFFF"/>
                <w:sz w:val="18"/>
                <w:szCs w:val="18"/>
              </w:rPr>
            </w:pPr>
            <w:r w:rsidRPr="00461F18">
              <w:rPr>
                <w:rFonts w:ascii="Arial" w:hAnsi="Arial" w:cs="Arial"/>
                <w:b/>
                <w:color w:val="FFFFFF"/>
                <w:sz w:val="18"/>
                <w:szCs w:val="18"/>
              </w:rPr>
              <w:t>Total Services Expenditure</w:t>
            </w:r>
          </w:p>
        </w:tc>
        <w:tc>
          <w:tcPr>
            <w:tcW w:w="961" w:type="dxa"/>
            <w:tcBorders>
              <w:top w:val="nil"/>
              <w:left w:val="nil"/>
              <w:bottom w:val="nil"/>
              <w:right w:val="nil"/>
            </w:tcBorders>
            <w:shd w:val="clear" w:color="000000" w:fill="365F91"/>
            <w:noWrap/>
            <w:vAlign w:val="bottom"/>
            <w:hideMark/>
          </w:tcPr>
          <w:p w:rsidR="00584FC2" w:rsidRPr="00461F18" w:rsidRDefault="00584FC2" w:rsidP="00584FC2">
            <w:pPr>
              <w:jc w:val="right"/>
              <w:rPr>
                <w:rFonts w:ascii="Calibri" w:hAnsi="Calibri" w:cs="Calibri"/>
                <w:b/>
                <w:color w:val="FFFFFF"/>
                <w:sz w:val="22"/>
                <w:szCs w:val="22"/>
              </w:rPr>
            </w:pPr>
            <w:r w:rsidRPr="00461F18">
              <w:rPr>
                <w:rFonts w:ascii="Calibri" w:hAnsi="Calibri" w:cs="Calibri"/>
                <w:b/>
                <w:color w:val="FFFFFF"/>
                <w:sz w:val="22"/>
                <w:szCs w:val="22"/>
              </w:rPr>
              <w:t>8,061</w:t>
            </w:r>
          </w:p>
        </w:tc>
        <w:tc>
          <w:tcPr>
            <w:tcW w:w="961" w:type="dxa"/>
            <w:tcBorders>
              <w:top w:val="nil"/>
              <w:left w:val="nil"/>
              <w:bottom w:val="nil"/>
              <w:right w:val="nil"/>
            </w:tcBorders>
            <w:shd w:val="clear" w:color="000000" w:fill="365F91"/>
            <w:noWrap/>
            <w:vAlign w:val="bottom"/>
            <w:hideMark/>
          </w:tcPr>
          <w:p w:rsidR="00584FC2" w:rsidRPr="00461F18" w:rsidRDefault="00584FC2" w:rsidP="00584FC2">
            <w:pPr>
              <w:jc w:val="right"/>
              <w:rPr>
                <w:rFonts w:ascii="Calibri" w:hAnsi="Calibri" w:cs="Calibri"/>
                <w:b/>
                <w:color w:val="FFFFFF"/>
                <w:sz w:val="22"/>
                <w:szCs w:val="22"/>
              </w:rPr>
            </w:pPr>
            <w:r w:rsidRPr="00461F18">
              <w:rPr>
                <w:rFonts w:ascii="Calibri" w:hAnsi="Calibri" w:cs="Calibri"/>
                <w:b/>
                <w:color w:val="FFFFFF"/>
                <w:sz w:val="22"/>
                <w:szCs w:val="22"/>
              </w:rPr>
              <w:t>2,688</w:t>
            </w:r>
          </w:p>
        </w:tc>
        <w:tc>
          <w:tcPr>
            <w:tcW w:w="961" w:type="dxa"/>
            <w:tcBorders>
              <w:top w:val="nil"/>
              <w:left w:val="nil"/>
              <w:bottom w:val="nil"/>
              <w:right w:val="nil"/>
            </w:tcBorders>
            <w:shd w:val="clear" w:color="000000" w:fill="365F91"/>
            <w:noWrap/>
            <w:vAlign w:val="bottom"/>
            <w:hideMark/>
          </w:tcPr>
          <w:p w:rsidR="00584FC2" w:rsidRPr="00461F18" w:rsidRDefault="00584FC2" w:rsidP="00584FC2">
            <w:pPr>
              <w:jc w:val="right"/>
              <w:rPr>
                <w:rFonts w:ascii="Calibri" w:hAnsi="Calibri" w:cs="Calibri"/>
                <w:b/>
                <w:color w:val="FFFFFF"/>
                <w:sz w:val="22"/>
                <w:szCs w:val="22"/>
              </w:rPr>
            </w:pPr>
            <w:r w:rsidRPr="00461F18">
              <w:rPr>
                <w:rFonts w:ascii="Calibri" w:hAnsi="Calibri" w:cs="Calibri"/>
                <w:b/>
                <w:color w:val="FFFFFF"/>
                <w:sz w:val="22"/>
                <w:szCs w:val="22"/>
              </w:rPr>
              <w:t>2,653</w:t>
            </w:r>
          </w:p>
        </w:tc>
        <w:tc>
          <w:tcPr>
            <w:tcW w:w="1051" w:type="dxa"/>
            <w:tcBorders>
              <w:top w:val="nil"/>
              <w:left w:val="nil"/>
              <w:bottom w:val="nil"/>
              <w:right w:val="nil"/>
            </w:tcBorders>
            <w:shd w:val="clear" w:color="000000" w:fill="365F91"/>
            <w:noWrap/>
            <w:vAlign w:val="bottom"/>
            <w:hideMark/>
          </w:tcPr>
          <w:p w:rsidR="00584FC2" w:rsidRPr="00461F18" w:rsidRDefault="00461F18" w:rsidP="00584FC2">
            <w:pPr>
              <w:jc w:val="right"/>
              <w:rPr>
                <w:rFonts w:ascii="Calibri" w:hAnsi="Calibri" w:cs="Calibri"/>
                <w:b/>
                <w:color w:val="FFFFFF"/>
                <w:sz w:val="22"/>
                <w:szCs w:val="22"/>
              </w:rPr>
            </w:pPr>
            <w:r w:rsidRPr="00461F18">
              <w:rPr>
                <w:rFonts w:ascii="Calibri" w:hAnsi="Calibri" w:cs="Calibri"/>
                <w:b/>
                <w:color w:val="FFFFFF"/>
                <w:sz w:val="22"/>
                <w:szCs w:val="22"/>
              </w:rPr>
              <w:t>(</w:t>
            </w:r>
            <w:r w:rsidR="00584FC2" w:rsidRPr="00461F18">
              <w:rPr>
                <w:rFonts w:ascii="Calibri" w:hAnsi="Calibri" w:cs="Calibri"/>
                <w:b/>
                <w:color w:val="FFFFFF"/>
                <w:sz w:val="22"/>
                <w:szCs w:val="22"/>
              </w:rPr>
              <w:t>35</w:t>
            </w:r>
            <w:r w:rsidRPr="00461F18">
              <w:rPr>
                <w:rFonts w:ascii="Calibri" w:hAnsi="Calibri" w:cs="Calibri"/>
                <w:b/>
                <w:color w:val="FFFFFF"/>
                <w:sz w:val="22"/>
                <w:szCs w:val="22"/>
              </w:rPr>
              <w:t>)</w:t>
            </w:r>
          </w:p>
        </w:tc>
        <w:tc>
          <w:tcPr>
            <w:tcW w:w="1302" w:type="dxa"/>
            <w:tcBorders>
              <w:top w:val="nil"/>
              <w:left w:val="nil"/>
              <w:bottom w:val="nil"/>
              <w:right w:val="nil"/>
            </w:tcBorders>
            <w:shd w:val="clear" w:color="000000" w:fill="365F91"/>
            <w:noWrap/>
            <w:vAlign w:val="bottom"/>
            <w:hideMark/>
          </w:tcPr>
          <w:p w:rsidR="00584FC2" w:rsidRPr="00461F18" w:rsidRDefault="00584FC2" w:rsidP="00584FC2">
            <w:pPr>
              <w:jc w:val="right"/>
              <w:rPr>
                <w:rFonts w:ascii="Calibri" w:hAnsi="Calibri" w:cs="Calibri"/>
                <w:b/>
                <w:color w:val="FFFFFF"/>
                <w:sz w:val="22"/>
                <w:szCs w:val="22"/>
              </w:rPr>
            </w:pPr>
            <w:r w:rsidRPr="00461F18">
              <w:rPr>
                <w:rFonts w:ascii="Calibri" w:hAnsi="Calibri" w:cs="Calibri"/>
                <w:b/>
                <w:color w:val="FFFFFF"/>
                <w:sz w:val="22"/>
                <w:szCs w:val="22"/>
              </w:rPr>
              <w:t>(1.3)%</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 xml:space="preserve">Chief Exec </w:t>
            </w:r>
            <w:proofErr w:type="spellStart"/>
            <w:r w:rsidRPr="00584FC2">
              <w:rPr>
                <w:rFonts w:ascii="Arial" w:hAnsi="Arial" w:cs="Arial"/>
                <w:color w:val="000000"/>
                <w:sz w:val="18"/>
                <w:szCs w:val="18"/>
              </w:rPr>
              <w:t>inc.</w:t>
            </w:r>
            <w:proofErr w:type="spellEnd"/>
            <w:r w:rsidRPr="00584FC2">
              <w:rPr>
                <w:rFonts w:ascii="Arial" w:hAnsi="Arial" w:cs="Arial"/>
                <w:color w:val="000000"/>
                <w:sz w:val="18"/>
                <w:szCs w:val="18"/>
              </w:rPr>
              <w:t xml:space="preserve"> Governance.</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864</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279</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282</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1.1%</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Policy</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346</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75</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77</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2.7%</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Training</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414</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90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88</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2</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(2.2)%</w:t>
            </w:r>
          </w:p>
        </w:tc>
      </w:tr>
      <w:tr w:rsidR="00584FC2" w:rsidRPr="00584FC2" w:rsidTr="00584FC2">
        <w:trPr>
          <w:trHeight w:val="124"/>
        </w:trPr>
        <w:tc>
          <w:tcPr>
            <w:tcW w:w="3454" w:type="dxa"/>
            <w:tcBorders>
              <w:top w:val="nil"/>
              <w:left w:val="single" w:sz="8" w:space="0" w:color="FFFFFF"/>
              <w:bottom w:val="single" w:sz="8" w:space="0" w:color="FFFFFF"/>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Corporate Services</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1,026</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327</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321</w:t>
            </w:r>
          </w:p>
        </w:tc>
        <w:tc>
          <w:tcPr>
            <w:tcW w:w="1051" w:type="dxa"/>
            <w:tcBorders>
              <w:top w:val="nil"/>
              <w:left w:val="nil"/>
              <w:bottom w:val="nil"/>
              <w:right w:val="nil"/>
            </w:tcBorders>
            <w:shd w:val="clear" w:color="auto" w:fill="auto"/>
            <w:noWrap/>
            <w:vAlign w:val="bottom"/>
            <w:hideMark/>
          </w:tcPr>
          <w:p w:rsidR="00584FC2" w:rsidRPr="00584FC2" w:rsidRDefault="00461F18" w:rsidP="00584FC2">
            <w:pPr>
              <w:jc w:val="right"/>
              <w:rPr>
                <w:rFonts w:ascii="Calibri" w:hAnsi="Calibri" w:cs="Calibri"/>
                <w:color w:val="000000"/>
                <w:sz w:val="22"/>
                <w:szCs w:val="22"/>
              </w:rPr>
            </w:pPr>
            <w:r>
              <w:rPr>
                <w:rFonts w:ascii="Calibri" w:hAnsi="Calibri" w:cs="Calibri"/>
                <w:color w:val="000000"/>
                <w:sz w:val="22"/>
                <w:szCs w:val="22"/>
              </w:rPr>
              <w:t>(</w:t>
            </w:r>
            <w:r w:rsidR="00584FC2" w:rsidRPr="00584FC2">
              <w:rPr>
                <w:rFonts w:ascii="Calibri" w:hAnsi="Calibri" w:cs="Calibri"/>
                <w:color w:val="000000"/>
                <w:sz w:val="22"/>
                <w:szCs w:val="22"/>
              </w:rPr>
              <w:t>6</w:t>
            </w:r>
            <w:r>
              <w:rPr>
                <w:rFonts w:ascii="Calibri" w:hAnsi="Calibri" w:cs="Calibri"/>
                <w:color w:val="000000"/>
                <w:sz w:val="22"/>
                <w:szCs w:val="22"/>
              </w:rPr>
              <w:t>)</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(1.8)%</w:t>
            </w: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 xml:space="preserve">Finance, Procurement &amp; Estates </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1,620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470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476</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6</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1.3%</w:t>
            </w: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Reserves</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184</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rPr>
                <w:rFonts w:ascii="Calibri" w:hAnsi="Calibri" w:cs="Calibri"/>
                <w:color w:val="000000"/>
                <w:sz w:val="22"/>
                <w:szCs w:val="22"/>
              </w:rPr>
            </w:pP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auto" w:fill="auto"/>
            <w:vAlign w:val="bottom"/>
            <w:hideMark/>
          </w:tcPr>
          <w:p w:rsidR="00584FC2" w:rsidRPr="00584FC2" w:rsidRDefault="00584FC2" w:rsidP="00584FC2">
            <w:pPr>
              <w:rPr>
                <w:rFonts w:ascii="Arial" w:hAnsi="Arial" w:cs="Arial"/>
                <w:color w:val="000000"/>
                <w:sz w:val="18"/>
                <w:szCs w:val="18"/>
              </w:rPr>
            </w:pPr>
            <w:r w:rsidRPr="00584FC2">
              <w:rPr>
                <w:rFonts w:ascii="Arial" w:hAnsi="Arial" w:cs="Arial"/>
                <w:color w:val="000000"/>
                <w:sz w:val="18"/>
                <w:szCs w:val="18"/>
              </w:rPr>
              <w:t>Depreciation</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570</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125</w:t>
            </w:r>
          </w:p>
        </w:tc>
        <w:tc>
          <w:tcPr>
            <w:tcW w:w="96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125</w:t>
            </w:r>
          </w:p>
        </w:tc>
        <w:tc>
          <w:tcPr>
            <w:tcW w:w="1051"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w:t>
            </w:r>
          </w:p>
        </w:tc>
        <w:tc>
          <w:tcPr>
            <w:tcW w:w="1302" w:type="dxa"/>
            <w:tcBorders>
              <w:top w:val="nil"/>
              <w:left w:val="nil"/>
              <w:bottom w:val="nil"/>
              <w:right w:val="nil"/>
            </w:tcBorders>
            <w:shd w:val="clear" w:color="auto" w:fill="auto"/>
            <w:noWrap/>
            <w:vAlign w:val="bottom"/>
            <w:hideMark/>
          </w:tcPr>
          <w:p w:rsidR="00584FC2" w:rsidRPr="00584FC2" w:rsidRDefault="00584FC2" w:rsidP="00584FC2">
            <w:pPr>
              <w:jc w:val="right"/>
              <w:rPr>
                <w:rFonts w:ascii="Calibri" w:hAnsi="Calibri" w:cs="Calibri"/>
                <w:color w:val="000000"/>
                <w:sz w:val="22"/>
                <w:szCs w:val="22"/>
              </w:rPr>
            </w:pPr>
            <w:r w:rsidRPr="00584FC2">
              <w:rPr>
                <w:rFonts w:ascii="Calibri" w:hAnsi="Calibri" w:cs="Calibri"/>
                <w:color w:val="000000"/>
                <w:sz w:val="22"/>
                <w:szCs w:val="22"/>
              </w:rPr>
              <w:t>0.0%</w:t>
            </w: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 xml:space="preserve"> Total Expenditure</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13,085</w:t>
            </w:r>
          </w:p>
        </w:tc>
        <w:tc>
          <w:tcPr>
            <w:tcW w:w="96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4,054</w:t>
            </w:r>
          </w:p>
        </w:tc>
        <w:tc>
          <w:tcPr>
            <w:tcW w:w="96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4,022</w:t>
            </w:r>
          </w:p>
        </w:tc>
        <w:tc>
          <w:tcPr>
            <w:tcW w:w="1051" w:type="dxa"/>
            <w:tcBorders>
              <w:top w:val="nil"/>
              <w:left w:val="nil"/>
              <w:bottom w:val="nil"/>
              <w:right w:val="single" w:sz="8" w:space="0" w:color="FFFFFF"/>
            </w:tcBorders>
            <w:shd w:val="clear" w:color="000000" w:fill="365F91"/>
            <w:vAlign w:val="bottom"/>
            <w:hideMark/>
          </w:tcPr>
          <w:p w:rsidR="00584FC2" w:rsidRPr="00584FC2" w:rsidRDefault="00461F18" w:rsidP="00584FC2">
            <w:pPr>
              <w:jc w:val="right"/>
              <w:rPr>
                <w:rFonts w:ascii="Arial" w:hAnsi="Arial" w:cs="Arial"/>
                <w:b/>
                <w:bCs/>
                <w:color w:val="FFFFFF"/>
                <w:sz w:val="18"/>
                <w:szCs w:val="18"/>
              </w:rPr>
            </w:pPr>
            <w:r>
              <w:rPr>
                <w:rFonts w:ascii="Arial" w:hAnsi="Arial" w:cs="Arial"/>
                <w:b/>
                <w:bCs/>
                <w:color w:val="FFFFFF"/>
                <w:sz w:val="18"/>
                <w:szCs w:val="18"/>
              </w:rPr>
              <w:t>(</w:t>
            </w:r>
            <w:r w:rsidR="00584FC2" w:rsidRPr="00584FC2">
              <w:rPr>
                <w:rFonts w:ascii="Arial" w:hAnsi="Arial" w:cs="Arial"/>
                <w:b/>
                <w:bCs/>
                <w:color w:val="FFFFFF"/>
                <w:sz w:val="18"/>
                <w:szCs w:val="18"/>
              </w:rPr>
              <w:t>32</w:t>
            </w:r>
            <w:r>
              <w:rPr>
                <w:rFonts w:ascii="Arial" w:hAnsi="Arial" w:cs="Arial"/>
                <w:b/>
                <w:bCs/>
                <w:color w:val="FFFFFF"/>
                <w:sz w:val="18"/>
                <w:szCs w:val="18"/>
              </w:rPr>
              <w:t>)</w:t>
            </w:r>
          </w:p>
        </w:tc>
        <w:tc>
          <w:tcPr>
            <w:tcW w:w="1302"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(0.8)%</w:t>
            </w:r>
          </w:p>
        </w:tc>
      </w:tr>
      <w:tr w:rsidR="00584FC2" w:rsidRPr="00584FC2" w:rsidTr="00584FC2">
        <w:trPr>
          <w:trHeight w:val="118"/>
        </w:trPr>
        <w:tc>
          <w:tcPr>
            <w:tcW w:w="3454"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rPr>
                <w:rFonts w:ascii="Arial" w:hAnsi="Arial" w:cs="Arial"/>
                <w:b/>
                <w:bCs/>
                <w:color w:val="FFFFFF"/>
                <w:sz w:val="18"/>
                <w:szCs w:val="18"/>
              </w:rPr>
            </w:pPr>
            <w:r w:rsidRPr="00584FC2">
              <w:rPr>
                <w:rFonts w:ascii="Arial" w:hAnsi="Arial" w:cs="Arial"/>
                <w:b/>
                <w:bCs/>
                <w:color w:val="FFFFFF"/>
                <w:sz w:val="18"/>
                <w:szCs w:val="18"/>
              </w:rPr>
              <w:t>Surplus /Deficit</w:t>
            </w:r>
          </w:p>
        </w:tc>
        <w:tc>
          <w:tcPr>
            <w:tcW w:w="961" w:type="dxa"/>
            <w:tcBorders>
              <w:top w:val="nil"/>
              <w:left w:val="single" w:sz="8" w:space="0" w:color="FFFFFF"/>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96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1051"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c>
          <w:tcPr>
            <w:tcW w:w="1302" w:type="dxa"/>
            <w:tcBorders>
              <w:top w:val="nil"/>
              <w:left w:val="nil"/>
              <w:bottom w:val="nil"/>
              <w:right w:val="single" w:sz="8" w:space="0" w:color="FFFFFF"/>
            </w:tcBorders>
            <w:shd w:val="clear" w:color="000000" w:fill="365F91"/>
            <w:vAlign w:val="bottom"/>
            <w:hideMark/>
          </w:tcPr>
          <w:p w:rsidR="00584FC2" w:rsidRPr="00584FC2" w:rsidRDefault="00584FC2" w:rsidP="00584FC2">
            <w:pPr>
              <w:jc w:val="right"/>
              <w:rPr>
                <w:rFonts w:ascii="Arial" w:hAnsi="Arial" w:cs="Arial"/>
                <w:b/>
                <w:bCs/>
                <w:color w:val="FFFFFF"/>
                <w:sz w:val="18"/>
                <w:szCs w:val="18"/>
              </w:rPr>
            </w:pPr>
            <w:r w:rsidRPr="00584FC2">
              <w:rPr>
                <w:rFonts w:ascii="Arial" w:hAnsi="Arial" w:cs="Arial"/>
                <w:b/>
                <w:bCs/>
                <w:color w:val="FFFFFF"/>
                <w:sz w:val="18"/>
                <w:szCs w:val="18"/>
              </w:rPr>
              <w:t>0</w:t>
            </w:r>
          </w:p>
        </w:tc>
      </w:tr>
    </w:tbl>
    <w:p w:rsidR="00561998" w:rsidRDefault="00561998" w:rsidP="007C5117">
      <w:pPr>
        <w:spacing w:after="200" w:line="276" w:lineRule="auto"/>
        <w:rPr>
          <w:rFonts w:ascii="Arial" w:hAnsi="Arial" w:cs="Arial"/>
          <w:b/>
          <w:sz w:val="22"/>
          <w:szCs w:val="22"/>
        </w:rPr>
      </w:pPr>
    </w:p>
    <w:p w:rsidR="00561998" w:rsidRDefault="00561998" w:rsidP="007C5117">
      <w:pPr>
        <w:spacing w:after="200" w:line="276" w:lineRule="auto"/>
        <w:rPr>
          <w:rFonts w:ascii="Arial" w:hAnsi="Arial" w:cs="Arial"/>
          <w:b/>
          <w:sz w:val="22"/>
          <w:szCs w:val="22"/>
        </w:rPr>
      </w:pPr>
    </w:p>
    <w:p w:rsidR="00561998" w:rsidRDefault="00561998" w:rsidP="007C5117">
      <w:pPr>
        <w:spacing w:after="200" w:line="276" w:lineRule="auto"/>
        <w:rPr>
          <w:rFonts w:ascii="Arial" w:hAnsi="Arial" w:cs="Arial"/>
          <w:b/>
          <w:sz w:val="22"/>
          <w:szCs w:val="22"/>
        </w:rPr>
      </w:pPr>
    </w:p>
    <w:p w:rsidR="001B0417" w:rsidRDefault="00E87F9E" w:rsidP="007C5117">
      <w:pPr>
        <w:spacing w:after="200" w:line="276" w:lineRule="auto"/>
        <w:rPr>
          <w:rFonts w:ascii="Arial" w:hAnsi="Arial" w:cs="Arial"/>
          <w:b/>
          <w:sz w:val="22"/>
          <w:szCs w:val="22"/>
        </w:rPr>
      </w:pPr>
      <w:r>
        <w:rPr>
          <w:rFonts w:ascii="Arial" w:hAnsi="Arial" w:cs="Arial"/>
          <w:b/>
          <w:sz w:val="22"/>
          <w:szCs w:val="22"/>
        </w:rPr>
        <w:lastRenderedPageBreak/>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3A2BEF" w:rsidRPr="003A2BEF" w:rsidRDefault="003A2BEF" w:rsidP="007C5117">
      <w:pPr>
        <w:spacing w:after="200" w:line="276" w:lineRule="auto"/>
        <w:rPr>
          <w:rFonts w:ascii="Arial" w:hAnsi="Arial" w:cs="Arial"/>
          <w:sz w:val="22"/>
          <w:szCs w:val="22"/>
        </w:rPr>
      </w:pPr>
      <w:r w:rsidRPr="00E87F9E">
        <w:rPr>
          <w:rFonts w:ascii="Arial" w:hAnsi="Arial" w:cs="Arial"/>
          <w:b/>
          <w:sz w:val="22"/>
          <w:szCs w:val="22"/>
        </w:rPr>
        <w:t>No significant issues</w:t>
      </w:r>
      <w:r w:rsidRPr="003A2BEF">
        <w:rPr>
          <w:rFonts w:ascii="Arial" w:hAnsi="Arial" w:cs="Arial"/>
          <w:sz w:val="22"/>
          <w:szCs w:val="22"/>
        </w:rPr>
        <w:t xml:space="preserve"> to report </w:t>
      </w:r>
      <w:r w:rsidR="00727B9F">
        <w:rPr>
          <w:rFonts w:ascii="Arial" w:hAnsi="Arial" w:cs="Arial"/>
          <w:sz w:val="22"/>
          <w:szCs w:val="22"/>
        </w:rPr>
        <w:t>for the first quarter.</w:t>
      </w:r>
    </w:p>
    <w:p w:rsidR="003A2BEF" w:rsidRDefault="003A2BEF" w:rsidP="007C5117">
      <w:pPr>
        <w:spacing w:after="200" w:line="276" w:lineRule="auto"/>
        <w:rPr>
          <w:rFonts w:ascii="Arial" w:hAnsi="Arial" w:cs="Arial"/>
          <w:sz w:val="22"/>
          <w:szCs w:val="22"/>
        </w:rPr>
      </w:pPr>
      <w:r w:rsidRPr="003A2BEF">
        <w:rPr>
          <w:rFonts w:ascii="Arial" w:hAnsi="Arial" w:cs="Arial"/>
          <w:sz w:val="22"/>
          <w:szCs w:val="22"/>
        </w:rPr>
        <w:t xml:space="preserve">Our </w:t>
      </w:r>
      <w:r w:rsidRPr="00E87F9E">
        <w:rPr>
          <w:rFonts w:ascii="Arial" w:hAnsi="Arial" w:cs="Arial"/>
          <w:b/>
          <w:sz w:val="22"/>
          <w:szCs w:val="22"/>
        </w:rPr>
        <w:t>vacancy factor</w:t>
      </w:r>
      <w:r w:rsidRPr="003A2BEF">
        <w:rPr>
          <w:rFonts w:ascii="Arial" w:hAnsi="Arial" w:cs="Arial"/>
          <w:sz w:val="22"/>
          <w:szCs w:val="22"/>
        </w:rPr>
        <w:t xml:space="preserve"> </w:t>
      </w:r>
      <w:r w:rsidR="00596802">
        <w:rPr>
          <w:rFonts w:ascii="Arial" w:hAnsi="Arial" w:cs="Arial"/>
          <w:sz w:val="22"/>
          <w:szCs w:val="22"/>
        </w:rPr>
        <w:t>continues to be met with r</w:t>
      </w:r>
      <w:r w:rsidRPr="003A2BEF">
        <w:rPr>
          <w:rFonts w:ascii="Arial" w:hAnsi="Arial" w:cs="Arial"/>
          <w:sz w:val="22"/>
          <w:szCs w:val="22"/>
        </w:rPr>
        <w:t>ecruitment panel closely monitor</w:t>
      </w:r>
      <w:r w:rsidR="00596802">
        <w:rPr>
          <w:rFonts w:ascii="Arial" w:hAnsi="Arial" w:cs="Arial"/>
          <w:sz w:val="22"/>
          <w:szCs w:val="22"/>
        </w:rPr>
        <w:t>ing</w:t>
      </w:r>
      <w:r w:rsidRPr="003A2BEF">
        <w:rPr>
          <w:rFonts w:ascii="Arial" w:hAnsi="Arial" w:cs="Arial"/>
          <w:sz w:val="22"/>
          <w:szCs w:val="22"/>
        </w:rPr>
        <w:t xml:space="preserve"> </w:t>
      </w:r>
      <w:r w:rsidR="005C7229">
        <w:rPr>
          <w:rFonts w:ascii="Arial" w:hAnsi="Arial" w:cs="Arial"/>
          <w:sz w:val="22"/>
          <w:szCs w:val="22"/>
        </w:rPr>
        <w:t xml:space="preserve">vacancies </w:t>
      </w:r>
      <w:r w:rsidRPr="003A2BEF">
        <w:rPr>
          <w:rFonts w:ascii="Arial" w:hAnsi="Arial" w:cs="Arial"/>
          <w:sz w:val="22"/>
          <w:szCs w:val="22"/>
        </w:rPr>
        <w:t xml:space="preserve">to ensure that front line services </w:t>
      </w:r>
      <w:r w:rsidR="005C7229">
        <w:rPr>
          <w:rFonts w:ascii="Arial" w:hAnsi="Arial" w:cs="Arial"/>
          <w:sz w:val="22"/>
          <w:szCs w:val="22"/>
        </w:rPr>
        <w:t xml:space="preserve">and our strategic projects </w:t>
      </w:r>
      <w:r w:rsidRPr="003A2BEF">
        <w:rPr>
          <w:rFonts w:ascii="Arial" w:hAnsi="Arial" w:cs="Arial"/>
          <w:sz w:val="22"/>
          <w:szCs w:val="22"/>
        </w:rPr>
        <w:t xml:space="preserve">are adequately resourced. </w:t>
      </w:r>
    </w:p>
    <w:p w:rsidR="00E87F9E" w:rsidRDefault="00E87F9E" w:rsidP="007C5117">
      <w:pPr>
        <w:spacing w:after="200" w:line="276" w:lineRule="auto"/>
        <w:rPr>
          <w:rFonts w:ascii="Arial" w:hAnsi="Arial" w:cs="Arial"/>
          <w:sz w:val="22"/>
          <w:szCs w:val="22"/>
        </w:rPr>
      </w:pPr>
      <w:r w:rsidRPr="00E87F9E">
        <w:rPr>
          <w:rFonts w:ascii="Arial" w:hAnsi="Arial" w:cs="Arial"/>
          <w:b/>
          <w:sz w:val="22"/>
          <w:szCs w:val="22"/>
        </w:rPr>
        <w:t>Reserves</w:t>
      </w:r>
      <w:r>
        <w:rPr>
          <w:rFonts w:ascii="Arial" w:hAnsi="Arial" w:cs="Arial"/>
          <w:sz w:val="22"/>
          <w:szCs w:val="22"/>
        </w:rPr>
        <w:t xml:space="preserve"> projects (£360k</w:t>
      </w:r>
      <w:r w:rsidR="00286AF0">
        <w:rPr>
          <w:rFonts w:ascii="Arial" w:hAnsi="Arial" w:cs="Arial"/>
          <w:sz w:val="22"/>
          <w:szCs w:val="22"/>
        </w:rPr>
        <w:t xml:space="preserve"> annual budget</w:t>
      </w:r>
      <w:r>
        <w:rPr>
          <w:rFonts w:ascii="Arial" w:hAnsi="Arial" w:cs="Arial"/>
          <w:sz w:val="22"/>
          <w:szCs w:val="22"/>
        </w:rPr>
        <w:t>) are progressing well and are expected to fully utilise their funding allocation</w:t>
      </w:r>
      <w:r w:rsidR="001D4F68">
        <w:rPr>
          <w:rFonts w:ascii="Arial" w:hAnsi="Arial" w:cs="Arial"/>
          <w:sz w:val="22"/>
          <w:szCs w:val="22"/>
        </w:rPr>
        <w:t xml:space="preserve">. The key risk </w:t>
      </w:r>
      <w:r w:rsidR="00461F18">
        <w:rPr>
          <w:rFonts w:ascii="Arial" w:hAnsi="Arial" w:cs="Arial"/>
          <w:sz w:val="22"/>
          <w:szCs w:val="22"/>
        </w:rPr>
        <w:t xml:space="preserve">continues to </w:t>
      </w:r>
      <w:r w:rsidR="001D4F68">
        <w:rPr>
          <w:rFonts w:ascii="Arial" w:hAnsi="Arial" w:cs="Arial"/>
          <w:sz w:val="22"/>
          <w:szCs w:val="22"/>
        </w:rPr>
        <w:t xml:space="preserve">rest with the undetermined business cases (executive restructure and SIP) and the impact of this on our ability to deliver (quality and to time) the wide range of projects currently planned. </w:t>
      </w:r>
      <w:r>
        <w:rPr>
          <w:rFonts w:ascii="Arial" w:hAnsi="Arial" w:cs="Arial"/>
          <w:sz w:val="22"/>
          <w:szCs w:val="22"/>
        </w:rPr>
        <w:t xml:space="preserve"> </w:t>
      </w:r>
    </w:p>
    <w:p w:rsidR="001B0417" w:rsidRDefault="0050664B" w:rsidP="007C5117">
      <w:pPr>
        <w:spacing w:after="200" w:line="276" w:lineRule="auto"/>
        <w:rPr>
          <w:rFonts w:ascii="Arial" w:eastAsiaTheme="minorHAnsi" w:hAnsi="Arial" w:cs="Arial"/>
          <w:b/>
          <w:i/>
          <w:sz w:val="22"/>
          <w:szCs w:val="22"/>
          <w:lang w:eastAsia="en-US"/>
        </w:rPr>
      </w:pPr>
      <w:r>
        <w:rPr>
          <w:rFonts w:ascii="Arial" w:eastAsiaTheme="minorHAnsi" w:hAnsi="Arial" w:cs="Arial"/>
          <w:b/>
          <w:i/>
          <w:sz w:val="22"/>
          <w:szCs w:val="22"/>
          <w:lang w:eastAsia="en-US"/>
        </w:rPr>
        <w:t>Approval and ethics services</w:t>
      </w:r>
      <w:r w:rsidR="00264356" w:rsidRPr="005E6832">
        <w:rPr>
          <w:rFonts w:ascii="Arial" w:eastAsiaTheme="minorHAnsi" w:hAnsi="Arial" w:cs="Arial"/>
          <w:b/>
          <w:i/>
          <w:sz w:val="22"/>
          <w:szCs w:val="22"/>
          <w:lang w:eastAsia="en-US"/>
        </w:rPr>
        <w:t>, £</w:t>
      </w:r>
      <w:r w:rsidR="007C4AB8">
        <w:rPr>
          <w:rFonts w:ascii="Arial" w:eastAsiaTheme="minorHAnsi" w:hAnsi="Arial" w:cs="Arial"/>
          <w:b/>
          <w:i/>
          <w:sz w:val="22"/>
          <w:szCs w:val="22"/>
          <w:lang w:eastAsia="en-US"/>
        </w:rPr>
        <w:t>2</w:t>
      </w:r>
      <w:r w:rsidR="005F1569">
        <w:rPr>
          <w:rFonts w:ascii="Arial" w:eastAsiaTheme="minorHAnsi" w:hAnsi="Arial" w:cs="Arial"/>
          <w:b/>
          <w:i/>
          <w:sz w:val="22"/>
          <w:szCs w:val="22"/>
          <w:lang w:eastAsia="en-US"/>
        </w:rPr>
        <w:t>1</w:t>
      </w:r>
      <w:r w:rsidR="00264356" w:rsidRPr="005E6832">
        <w:rPr>
          <w:rFonts w:ascii="Arial" w:eastAsiaTheme="minorHAnsi" w:hAnsi="Arial" w:cs="Arial"/>
          <w:b/>
          <w:i/>
          <w:sz w:val="22"/>
          <w:szCs w:val="22"/>
          <w:lang w:eastAsia="en-US"/>
        </w:rPr>
        <w:t>k</w:t>
      </w:r>
      <w:r w:rsidR="00F5159E">
        <w:rPr>
          <w:rFonts w:ascii="Arial" w:eastAsiaTheme="minorHAnsi" w:hAnsi="Arial" w:cs="Arial"/>
          <w:b/>
          <w:i/>
          <w:sz w:val="22"/>
          <w:szCs w:val="22"/>
          <w:lang w:eastAsia="en-US"/>
        </w:rPr>
        <w:t xml:space="preserve"> underspend</w:t>
      </w:r>
      <w:r w:rsidR="00264356" w:rsidRPr="005E6832">
        <w:rPr>
          <w:rFonts w:ascii="Arial" w:eastAsiaTheme="minorHAnsi" w:hAnsi="Arial" w:cs="Arial"/>
          <w:b/>
          <w:i/>
          <w:sz w:val="22"/>
          <w:szCs w:val="22"/>
          <w:lang w:eastAsia="en-US"/>
        </w:rPr>
        <w:t xml:space="preserve">, </w:t>
      </w:r>
      <w:r w:rsidR="00020483">
        <w:rPr>
          <w:rFonts w:ascii="Arial" w:eastAsiaTheme="minorHAnsi" w:hAnsi="Arial" w:cs="Arial"/>
          <w:b/>
          <w:i/>
          <w:sz w:val="22"/>
          <w:szCs w:val="22"/>
          <w:lang w:eastAsia="en-US"/>
        </w:rPr>
        <w:t>0.9</w:t>
      </w:r>
      <w:r w:rsidR="005E6832" w:rsidRPr="005E6832">
        <w:rPr>
          <w:rFonts w:ascii="Arial" w:eastAsiaTheme="minorHAnsi" w:hAnsi="Arial" w:cs="Arial"/>
          <w:b/>
          <w:i/>
          <w:sz w:val="22"/>
          <w:szCs w:val="22"/>
          <w:lang w:eastAsia="en-US"/>
        </w:rPr>
        <w:t>% variance</w:t>
      </w:r>
      <w:r w:rsidR="004226F6" w:rsidRPr="005E6832">
        <w:rPr>
          <w:rFonts w:ascii="Arial" w:eastAsiaTheme="minorHAnsi" w:hAnsi="Arial" w:cs="Arial"/>
          <w:b/>
          <w:i/>
          <w:sz w:val="22"/>
          <w:szCs w:val="22"/>
          <w:lang w:eastAsia="en-US"/>
        </w:rPr>
        <w:t>:</w:t>
      </w:r>
    </w:p>
    <w:p w:rsidR="00596802" w:rsidRDefault="00C875DA" w:rsidP="001C2FF9">
      <w:pPr>
        <w:pStyle w:val="ListParagraph"/>
        <w:numPr>
          <w:ilvl w:val="0"/>
          <w:numId w:val="24"/>
        </w:numPr>
        <w:spacing w:after="200" w:line="276" w:lineRule="auto"/>
        <w:rPr>
          <w:rFonts w:ascii="Arial" w:eastAsiaTheme="minorHAnsi" w:hAnsi="Arial" w:cs="Arial"/>
          <w:sz w:val="22"/>
          <w:szCs w:val="22"/>
          <w:lang w:eastAsia="en-US"/>
        </w:rPr>
      </w:pPr>
      <w:r w:rsidRPr="00596802">
        <w:rPr>
          <w:rFonts w:ascii="Arial" w:eastAsiaTheme="minorHAnsi" w:hAnsi="Arial" w:cs="Arial"/>
          <w:b/>
          <w:sz w:val="22"/>
          <w:szCs w:val="22"/>
          <w:lang w:eastAsia="en-US"/>
        </w:rPr>
        <w:t>Research ethics:</w:t>
      </w:r>
      <w:r w:rsidRPr="00596802">
        <w:rPr>
          <w:rFonts w:ascii="Arial" w:eastAsiaTheme="minorHAnsi" w:hAnsi="Arial" w:cs="Arial"/>
          <w:sz w:val="22"/>
          <w:szCs w:val="22"/>
          <w:lang w:eastAsia="en-US"/>
        </w:rPr>
        <w:t xml:space="preserve"> £1</w:t>
      </w:r>
      <w:r w:rsidR="005F1569">
        <w:rPr>
          <w:rFonts w:ascii="Arial" w:eastAsiaTheme="minorHAnsi" w:hAnsi="Arial" w:cs="Arial"/>
          <w:sz w:val="22"/>
          <w:szCs w:val="22"/>
          <w:lang w:eastAsia="en-US"/>
        </w:rPr>
        <w:t>5</w:t>
      </w:r>
      <w:r w:rsidRPr="00596802">
        <w:rPr>
          <w:rFonts w:ascii="Arial" w:eastAsiaTheme="minorHAnsi" w:hAnsi="Arial" w:cs="Arial"/>
          <w:sz w:val="22"/>
          <w:szCs w:val="22"/>
          <w:lang w:eastAsia="en-US"/>
        </w:rPr>
        <w:t xml:space="preserve">k </w:t>
      </w:r>
      <w:r w:rsidR="005F1569">
        <w:rPr>
          <w:rFonts w:ascii="Arial" w:eastAsiaTheme="minorHAnsi" w:hAnsi="Arial" w:cs="Arial"/>
          <w:sz w:val="22"/>
          <w:szCs w:val="22"/>
          <w:lang w:eastAsia="en-US"/>
        </w:rPr>
        <w:t xml:space="preserve">underspend </w:t>
      </w:r>
      <w:r w:rsidRPr="00596802">
        <w:rPr>
          <w:rFonts w:ascii="Arial" w:eastAsiaTheme="minorHAnsi" w:hAnsi="Arial" w:cs="Arial"/>
          <w:sz w:val="22"/>
          <w:szCs w:val="22"/>
          <w:lang w:eastAsia="en-US"/>
        </w:rPr>
        <w:t xml:space="preserve">due mainly to interim </w:t>
      </w:r>
      <w:r w:rsidR="00596802">
        <w:rPr>
          <w:rFonts w:ascii="Arial" w:eastAsiaTheme="minorHAnsi" w:hAnsi="Arial" w:cs="Arial"/>
          <w:sz w:val="22"/>
          <w:szCs w:val="22"/>
          <w:lang w:eastAsia="en-US"/>
        </w:rPr>
        <w:t xml:space="preserve">management </w:t>
      </w:r>
      <w:r w:rsidR="004721D5">
        <w:rPr>
          <w:rFonts w:ascii="Arial" w:eastAsiaTheme="minorHAnsi" w:hAnsi="Arial" w:cs="Arial"/>
          <w:sz w:val="22"/>
          <w:szCs w:val="22"/>
          <w:lang w:eastAsia="en-US"/>
        </w:rPr>
        <w:t>structures</w:t>
      </w:r>
      <w:r w:rsidRPr="00596802">
        <w:rPr>
          <w:rFonts w:ascii="Arial" w:eastAsiaTheme="minorHAnsi" w:hAnsi="Arial" w:cs="Arial"/>
          <w:sz w:val="22"/>
          <w:szCs w:val="22"/>
          <w:lang w:eastAsia="en-US"/>
        </w:rPr>
        <w:t xml:space="preserve"> (internal development opportunities </w:t>
      </w:r>
      <w:r w:rsidR="004721D5">
        <w:rPr>
          <w:rFonts w:ascii="Arial" w:eastAsiaTheme="minorHAnsi" w:hAnsi="Arial" w:cs="Arial"/>
          <w:sz w:val="22"/>
          <w:szCs w:val="22"/>
          <w:lang w:eastAsia="en-US"/>
        </w:rPr>
        <w:t xml:space="preserve">provided </w:t>
      </w:r>
      <w:r w:rsidRPr="00596802">
        <w:rPr>
          <w:rFonts w:ascii="Arial" w:eastAsiaTheme="minorHAnsi" w:hAnsi="Arial" w:cs="Arial"/>
          <w:sz w:val="22"/>
          <w:szCs w:val="22"/>
          <w:lang w:eastAsia="en-US"/>
        </w:rPr>
        <w:t>to fill vacant senior posts</w:t>
      </w:r>
      <w:r w:rsidR="00286AF0" w:rsidRPr="00596802">
        <w:rPr>
          <w:rFonts w:ascii="Arial" w:eastAsiaTheme="minorHAnsi" w:hAnsi="Arial" w:cs="Arial"/>
          <w:sz w:val="22"/>
          <w:szCs w:val="22"/>
          <w:lang w:eastAsia="en-US"/>
        </w:rPr>
        <w:t xml:space="preserve"> while the SIP develops</w:t>
      </w:r>
      <w:r w:rsidRPr="00596802">
        <w:rPr>
          <w:rFonts w:ascii="Arial" w:eastAsiaTheme="minorHAnsi" w:hAnsi="Arial" w:cs="Arial"/>
          <w:sz w:val="22"/>
          <w:szCs w:val="22"/>
          <w:lang w:eastAsia="en-US"/>
        </w:rPr>
        <w:t>)</w:t>
      </w:r>
      <w:r w:rsidR="004721D5">
        <w:rPr>
          <w:rFonts w:ascii="Arial" w:eastAsiaTheme="minorHAnsi" w:hAnsi="Arial" w:cs="Arial"/>
          <w:sz w:val="22"/>
          <w:szCs w:val="22"/>
          <w:lang w:eastAsia="en-US"/>
        </w:rPr>
        <w:t>.</w:t>
      </w:r>
      <w:r w:rsidRPr="00596802">
        <w:rPr>
          <w:rFonts w:ascii="Arial" w:eastAsiaTheme="minorHAnsi" w:hAnsi="Arial" w:cs="Arial"/>
          <w:sz w:val="22"/>
          <w:szCs w:val="22"/>
          <w:lang w:eastAsia="en-US"/>
        </w:rPr>
        <w:t xml:space="preserve"> </w:t>
      </w:r>
    </w:p>
    <w:p w:rsidR="001C2FF9" w:rsidRDefault="001C2FF9" w:rsidP="00C875DA">
      <w:pPr>
        <w:pStyle w:val="ListParagraph"/>
        <w:numPr>
          <w:ilvl w:val="0"/>
          <w:numId w:val="24"/>
        </w:numPr>
        <w:spacing w:after="200" w:line="276" w:lineRule="auto"/>
        <w:rPr>
          <w:rFonts w:ascii="Arial" w:eastAsiaTheme="minorHAnsi" w:hAnsi="Arial" w:cs="Arial"/>
          <w:sz w:val="22"/>
          <w:szCs w:val="22"/>
          <w:lang w:eastAsia="en-US"/>
        </w:rPr>
      </w:pPr>
      <w:r w:rsidRPr="005F1569">
        <w:rPr>
          <w:rFonts w:ascii="Arial" w:eastAsiaTheme="minorHAnsi" w:hAnsi="Arial" w:cs="Arial"/>
          <w:b/>
          <w:sz w:val="22"/>
          <w:szCs w:val="22"/>
          <w:lang w:eastAsia="en-US"/>
        </w:rPr>
        <w:t>CAG</w:t>
      </w:r>
      <w:r w:rsidR="00C875DA" w:rsidRPr="005F1569">
        <w:rPr>
          <w:rFonts w:ascii="Arial" w:eastAsiaTheme="minorHAnsi" w:hAnsi="Arial" w:cs="Arial"/>
          <w:b/>
          <w:sz w:val="22"/>
          <w:szCs w:val="22"/>
          <w:lang w:eastAsia="en-US"/>
        </w:rPr>
        <w:t>:</w:t>
      </w:r>
      <w:r w:rsidRPr="005F1569">
        <w:rPr>
          <w:rFonts w:ascii="Arial" w:eastAsiaTheme="minorHAnsi" w:hAnsi="Arial" w:cs="Arial"/>
          <w:sz w:val="22"/>
          <w:szCs w:val="22"/>
          <w:lang w:eastAsia="en-US"/>
        </w:rPr>
        <w:t xml:space="preserve"> £</w:t>
      </w:r>
      <w:r w:rsidR="00596802" w:rsidRPr="005F1569">
        <w:rPr>
          <w:rFonts w:ascii="Arial" w:eastAsiaTheme="minorHAnsi" w:hAnsi="Arial" w:cs="Arial"/>
          <w:sz w:val="22"/>
          <w:szCs w:val="22"/>
          <w:lang w:eastAsia="en-US"/>
        </w:rPr>
        <w:t>6</w:t>
      </w:r>
      <w:r w:rsidRPr="005F1569">
        <w:rPr>
          <w:rFonts w:ascii="Arial" w:eastAsiaTheme="minorHAnsi" w:hAnsi="Arial" w:cs="Arial"/>
          <w:sz w:val="22"/>
          <w:szCs w:val="22"/>
          <w:lang w:eastAsia="en-US"/>
        </w:rPr>
        <w:t xml:space="preserve">k variance </w:t>
      </w:r>
      <w:r w:rsidR="005F1569" w:rsidRPr="005F1569">
        <w:rPr>
          <w:rFonts w:ascii="Arial" w:eastAsiaTheme="minorHAnsi" w:hAnsi="Arial" w:cs="Arial"/>
          <w:sz w:val="22"/>
          <w:szCs w:val="22"/>
          <w:lang w:eastAsia="en-US"/>
        </w:rPr>
        <w:t xml:space="preserve">mostly </w:t>
      </w:r>
      <w:r w:rsidRPr="005F1569">
        <w:rPr>
          <w:rFonts w:ascii="Arial" w:eastAsiaTheme="minorHAnsi" w:hAnsi="Arial" w:cs="Arial"/>
          <w:sz w:val="22"/>
          <w:szCs w:val="22"/>
          <w:lang w:eastAsia="en-US"/>
        </w:rPr>
        <w:t>due to lower travel costs than anticipated</w:t>
      </w:r>
      <w:r w:rsidR="00C875DA" w:rsidRPr="005F1569">
        <w:rPr>
          <w:rFonts w:ascii="Arial" w:eastAsiaTheme="minorHAnsi" w:hAnsi="Arial" w:cs="Arial"/>
          <w:sz w:val="22"/>
          <w:szCs w:val="22"/>
          <w:lang w:eastAsia="en-US"/>
        </w:rPr>
        <w:t>.</w:t>
      </w:r>
      <w:r w:rsidR="00644946" w:rsidRPr="005F1569">
        <w:rPr>
          <w:rFonts w:ascii="Arial" w:eastAsiaTheme="minorHAnsi" w:hAnsi="Arial" w:cs="Arial"/>
          <w:sz w:val="22"/>
          <w:szCs w:val="22"/>
          <w:lang w:eastAsia="en-US"/>
        </w:rPr>
        <w:t xml:space="preserve"> </w:t>
      </w:r>
    </w:p>
    <w:p w:rsidR="005F1569" w:rsidRDefault="005F1569" w:rsidP="005F1569">
      <w:pPr>
        <w:spacing w:after="200" w:line="276" w:lineRule="auto"/>
        <w:rPr>
          <w:rFonts w:ascii="Arial" w:eastAsiaTheme="minorHAnsi" w:hAnsi="Arial" w:cs="Arial"/>
          <w:b/>
          <w:i/>
          <w:sz w:val="22"/>
          <w:szCs w:val="22"/>
          <w:lang w:eastAsia="en-US"/>
        </w:rPr>
      </w:pPr>
      <w:r>
        <w:rPr>
          <w:rFonts w:ascii="Arial" w:eastAsiaTheme="minorHAnsi" w:hAnsi="Arial" w:cs="Arial"/>
          <w:b/>
          <w:i/>
          <w:sz w:val="22"/>
          <w:szCs w:val="22"/>
          <w:lang w:eastAsia="en-US"/>
        </w:rPr>
        <w:t>Research Systems, £9k underspend, 1.9% variance</w:t>
      </w:r>
    </w:p>
    <w:p w:rsidR="005F1569" w:rsidRPr="005F1569" w:rsidRDefault="005F1569" w:rsidP="005F1569">
      <w:pPr>
        <w:pStyle w:val="ListParagraph"/>
        <w:numPr>
          <w:ilvl w:val="0"/>
          <w:numId w:val="42"/>
        </w:numPr>
        <w:spacing w:after="200" w:line="276" w:lineRule="auto"/>
        <w:rPr>
          <w:rFonts w:ascii="Arial" w:eastAsiaTheme="minorHAnsi" w:hAnsi="Arial" w:cs="Arial"/>
          <w:b/>
          <w:sz w:val="22"/>
          <w:szCs w:val="22"/>
          <w:lang w:eastAsia="en-US"/>
        </w:rPr>
      </w:pPr>
      <w:r w:rsidRPr="005F1569">
        <w:rPr>
          <w:rFonts w:ascii="Arial" w:eastAsiaTheme="minorHAnsi" w:hAnsi="Arial" w:cs="Arial"/>
          <w:b/>
          <w:sz w:val="22"/>
          <w:szCs w:val="22"/>
          <w:lang w:eastAsia="en-US"/>
        </w:rPr>
        <w:t xml:space="preserve">Research systems: </w:t>
      </w:r>
      <w:r w:rsidR="00290FFE">
        <w:rPr>
          <w:rFonts w:ascii="Arial" w:eastAsiaTheme="minorHAnsi" w:hAnsi="Arial" w:cs="Arial"/>
          <w:sz w:val="22"/>
          <w:szCs w:val="22"/>
          <w:lang w:eastAsia="en-US"/>
        </w:rPr>
        <w:t>£2k underspend arising from a vacancy for which recruitment has now been undertaken, £2k underspend on the BGO contract currently and £5k underspend within HRA IT mostly due to travel costs being lower than expected.</w:t>
      </w:r>
    </w:p>
    <w:p w:rsidR="005F1569" w:rsidRPr="005F1569" w:rsidRDefault="005F1569" w:rsidP="005F1569">
      <w:pPr>
        <w:pStyle w:val="ListParagraph"/>
        <w:spacing w:after="200" w:line="276" w:lineRule="auto"/>
        <w:rPr>
          <w:rFonts w:ascii="Arial" w:eastAsiaTheme="minorHAnsi" w:hAnsi="Arial" w:cs="Arial"/>
          <w:sz w:val="22"/>
          <w:szCs w:val="22"/>
          <w:lang w:eastAsia="en-US"/>
        </w:rPr>
      </w:pP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t>2017/18: financial r</w:t>
      </w:r>
      <w:r w:rsidRPr="00E87F9E">
        <w:rPr>
          <w:rFonts w:ascii="Arial" w:hAnsi="Arial" w:cs="Arial"/>
          <w:b/>
          <w:sz w:val="22"/>
          <w:szCs w:val="22"/>
        </w:rPr>
        <w:t>isks:</w:t>
      </w:r>
    </w:p>
    <w:p w:rsidR="00644946" w:rsidRDefault="004721D5"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As previously reported, our</w:t>
      </w:r>
      <w:r w:rsidR="00644946">
        <w:rPr>
          <w:rFonts w:ascii="Arial" w:hAnsi="Arial" w:cs="Arial"/>
          <w:sz w:val="22"/>
          <w:szCs w:val="22"/>
        </w:rPr>
        <w:t xml:space="preserve"> two business cases to DH to support the </w:t>
      </w:r>
      <w:r w:rsidR="00644946" w:rsidRPr="00F52F54">
        <w:rPr>
          <w:rFonts w:ascii="Arial" w:hAnsi="Arial" w:cs="Arial"/>
          <w:b/>
          <w:sz w:val="22"/>
          <w:szCs w:val="22"/>
        </w:rPr>
        <w:t>executive restructure</w:t>
      </w:r>
      <w:r w:rsidR="00644946">
        <w:rPr>
          <w:rFonts w:ascii="Arial" w:hAnsi="Arial" w:cs="Arial"/>
          <w:sz w:val="22"/>
          <w:szCs w:val="22"/>
        </w:rPr>
        <w:t xml:space="preserve"> and our </w:t>
      </w:r>
      <w:r w:rsidR="00644946" w:rsidRPr="00F52F54">
        <w:rPr>
          <w:rFonts w:ascii="Arial" w:hAnsi="Arial" w:cs="Arial"/>
          <w:b/>
          <w:sz w:val="22"/>
          <w:szCs w:val="22"/>
        </w:rPr>
        <w:t>SIP programme</w:t>
      </w:r>
      <w:r w:rsidR="00644946">
        <w:rPr>
          <w:rFonts w:ascii="Arial" w:hAnsi="Arial" w:cs="Arial"/>
          <w:b/>
          <w:sz w:val="22"/>
          <w:szCs w:val="22"/>
        </w:rPr>
        <w:t xml:space="preserve">, </w:t>
      </w:r>
      <w:r w:rsidR="00644946">
        <w:rPr>
          <w:rFonts w:ascii="Arial" w:hAnsi="Arial" w:cs="Arial"/>
          <w:sz w:val="22"/>
          <w:szCs w:val="22"/>
        </w:rPr>
        <w:t>with a combined funding request of £420k</w:t>
      </w:r>
      <w:r w:rsidR="00CD10AB">
        <w:rPr>
          <w:rFonts w:ascii="Arial" w:hAnsi="Arial" w:cs="Arial"/>
          <w:sz w:val="22"/>
          <w:szCs w:val="22"/>
        </w:rPr>
        <w:t>, have yet to be determined. We continue to follow this up with our DH sponsor and finance teams</w:t>
      </w:r>
      <w:r w:rsidR="00644946">
        <w:rPr>
          <w:rFonts w:ascii="Arial" w:hAnsi="Arial" w:cs="Arial"/>
          <w:sz w:val="22"/>
          <w:szCs w:val="22"/>
        </w:rPr>
        <w:t xml:space="preserve">.  </w:t>
      </w:r>
    </w:p>
    <w:p w:rsidR="00644946" w:rsidRDefault="00644946" w:rsidP="00644946">
      <w:pPr>
        <w:pStyle w:val="ListParagraph"/>
        <w:spacing w:after="200" w:line="276" w:lineRule="auto"/>
        <w:rPr>
          <w:rFonts w:ascii="Arial" w:hAnsi="Arial" w:cs="Arial"/>
          <w:sz w:val="22"/>
          <w:szCs w:val="22"/>
        </w:rPr>
      </w:pPr>
    </w:p>
    <w:p w:rsidR="00644946" w:rsidRDefault="00644946" w:rsidP="00644946">
      <w:pPr>
        <w:pStyle w:val="ListParagraph"/>
        <w:numPr>
          <w:ilvl w:val="0"/>
          <w:numId w:val="40"/>
        </w:numPr>
        <w:spacing w:after="200" w:line="276" w:lineRule="auto"/>
        <w:rPr>
          <w:rFonts w:ascii="Arial" w:hAnsi="Arial" w:cs="Arial"/>
          <w:sz w:val="22"/>
          <w:szCs w:val="22"/>
        </w:rPr>
      </w:pPr>
      <w:r>
        <w:rPr>
          <w:rFonts w:ascii="Arial" w:hAnsi="Arial" w:cs="Arial"/>
          <w:sz w:val="22"/>
          <w:szCs w:val="22"/>
        </w:rPr>
        <w:t xml:space="preserve">We do not have capacity from our current GIA allocation to deliver a </w:t>
      </w:r>
      <w:r w:rsidRPr="00286AF0">
        <w:rPr>
          <w:rFonts w:ascii="Arial" w:hAnsi="Arial" w:cs="Arial"/>
          <w:sz w:val="22"/>
          <w:szCs w:val="22"/>
        </w:rPr>
        <w:t xml:space="preserve">significant </w:t>
      </w:r>
      <w:r w:rsidRPr="00F52F54">
        <w:rPr>
          <w:rFonts w:ascii="Arial" w:hAnsi="Arial" w:cs="Arial"/>
          <w:b/>
          <w:sz w:val="22"/>
          <w:szCs w:val="22"/>
        </w:rPr>
        <w:t>systems change</w:t>
      </w:r>
      <w:r>
        <w:rPr>
          <w:rFonts w:ascii="Arial" w:hAnsi="Arial" w:cs="Arial"/>
          <w:sz w:val="22"/>
          <w:szCs w:val="22"/>
        </w:rPr>
        <w:t xml:space="preserve"> programme. We </w:t>
      </w:r>
      <w:r w:rsidR="00CD10AB">
        <w:rPr>
          <w:rFonts w:ascii="Arial" w:hAnsi="Arial" w:cs="Arial"/>
          <w:sz w:val="22"/>
          <w:szCs w:val="22"/>
        </w:rPr>
        <w:t xml:space="preserve">are being supported by PA consulting </w:t>
      </w:r>
      <w:r w:rsidR="00DA139E">
        <w:rPr>
          <w:rFonts w:ascii="Arial" w:hAnsi="Arial" w:cs="Arial"/>
          <w:sz w:val="22"/>
          <w:szCs w:val="22"/>
        </w:rPr>
        <w:t>who have</w:t>
      </w:r>
      <w:r w:rsidR="00CD10AB">
        <w:rPr>
          <w:rFonts w:ascii="Arial" w:hAnsi="Arial" w:cs="Arial"/>
          <w:sz w:val="22"/>
          <w:szCs w:val="22"/>
        </w:rPr>
        <w:t xml:space="preserve"> review</w:t>
      </w:r>
      <w:r w:rsidR="00DA139E">
        <w:rPr>
          <w:rFonts w:ascii="Arial" w:hAnsi="Arial" w:cs="Arial"/>
          <w:sz w:val="22"/>
          <w:szCs w:val="22"/>
        </w:rPr>
        <w:t>ed</w:t>
      </w:r>
      <w:r w:rsidR="00CD10AB">
        <w:rPr>
          <w:rFonts w:ascii="Arial" w:hAnsi="Arial" w:cs="Arial"/>
          <w:sz w:val="22"/>
          <w:szCs w:val="22"/>
        </w:rPr>
        <w:t xml:space="preserve"> our current systems and </w:t>
      </w:r>
      <w:r w:rsidR="00DA139E">
        <w:rPr>
          <w:rFonts w:ascii="Arial" w:hAnsi="Arial" w:cs="Arial"/>
          <w:sz w:val="22"/>
          <w:szCs w:val="22"/>
        </w:rPr>
        <w:t xml:space="preserve">have </w:t>
      </w:r>
      <w:r>
        <w:rPr>
          <w:rFonts w:ascii="Arial" w:hAnsi="Arial" w:cs="Arial"/>
          <w:sz w:val="22"/>
          <w:szCs w:val="22"/>
        </w:rPr>
        <w:t>specif</w:t>
      </w:r>
      <w:r w:rsidR="00DA139E">
        <w:rPr>
          <w:rFonts w:ascii="Arial" w:hAnsi="Arial" w:cs="Arial"/>
          <w:sz w:val="22"/>
          <w:szCs w:val="22"/>
        </w:rPr>
        <w:t>ied</w:t>
      </w:r>
      <w:r>
        <w:rPr>
          <w:rFonts w:ascii="Arial" w:hAnsi="Arial" w:cs="Arial"/>
          <w:sz w:val="22"/>
          <w:szCs w:val="22"/>
        </w:rPr>
        <w:t xml:space="preserve"> </w:t>
      </w:r>
      <w:r w:rsidR="00DA139E">
        <w:rPr>
          <w:rFonts w:ascii="Arial" w:hAnsi="Arial" w:cs="Arial"/>
          <w:sz w:val="22"/>
          <w:szCs w:val="22"/>
        </w:rPr>
        <w:t xml:space="preserve">options to address their findings. </w:t>
      </w:r>
      <w:r w:rsidR="00CD10AB">
        <w:rPr>
          <w:rFonts w:ascii="Arial" w:hAnsi="Arial" w:cs="Arial"/>
          <w:sz w:val="22"/>
          <w:szCs w:val="22"/>
        </w:rPr>
        <w:t xml:space="preserve">This work </w:t>
      </w:r>
      <w:r w:rsidR="00DA139E">
        <w:rPr>
          <w:rFonts w:ascii="Arial" w:hAnsi="Arial" w:cs="Arial"/>
          <w:sz w:val="22"/>
          <w:szCs w:val="22"/>
        </w:rPr>
        <w:t xml:space="preserve">has been used to inform our request for additional funds to DH and Treasury and will be discussed further at the HRA Board meeting in September. </w:t>
      </w:r>
      <w:r w:rsidR="00CD10AB">
        <w:rPr>
          <w:rFonts w:ascii="Arial" w:hAnsi="Arial" w:cs="Arial"/>
          <w:sz w:val="22"/>
          <w:szCs w:val="22"/>
        </w:rPr>
        <w:t xml:space="preserve"> </w:t>
      </w:r>
      <w:r>
        <w:rPr>
          <w:rFonts w:ascii="Arial" w:hAnsi="Arial" w:cs="Arial"/>
          <w:sz w:val="22"/>
          <w:szCs w:val="22"/>
        </w:rPr>
        <w:t xml:space="preserve">  </w:t>
      </w:r>
    </w:p>
    <w:p w:rsidR="00644946" w:rsidRPr="00644946" w:rsidRDefault="00644946" w:rsidP="00644946">
      <w:pPr>
        <w:pStyle w:val="ListParagraph"/>
        <w:rPr>
          <w:rFonts w:ascii="Arial" w:hAnsi="Arial" w:cs="Arial"/>
          <w:sz w:val="22"/>
          <w:szCs w:val="22"/>
        </w:rPr>
      </w:pPr>
    </w:p>
    <w:p w:rsidR="00CD10AB" w:rsidRPr="002E0A2A" w:rsidRDefault="00644946" w:rsidP="002E0A2A">
      <w:pPr>
        <w:pStyle w:val="ListParagraph"/>
        <w:numPr>
          <w:ilvl w:val="0"/>
          <w:numId w:val="40"/>
        </w:numPr>
        <w:spacing w:after="200" w:line="276" w:lineRule="auto"/>
        <w:rPr>
          <w:rFonts w:ascii="Arial" w:hAnsi="Arial" w:cs="Arial"/>
          <w:b/>
          <w:sz w:val="22"/>
          <w:szCs w:val="22"/>
        </w:rPr>
      </w:pPr>
      <w:r w:rsidRPr="002E0A2A">
        <w:rPr>
          <w:rFonts w:ascii="Arial" w:hAnsi="Arial" w:cs="Arial"/>
          <w:sz w:val="22"/>
          <w:szCs w:val="22"/>
        </w:rPr>
        <w:t xml:space="preserve">Our current </w:t>
      </w:r>
      <w:r w:rsidRPr="002E0A2A">
        <w:rPr>
          <w:rFonts w:ascii="Arial" w:hAnsi="Arial" w:cs="Arial"/>
          <w:b/>
          <w:sz w:val="22"/>
          <w:szCs w:val="22"/>
        </w:rPr>
        <w:t>business model</w:t>
      </w:r>
      <w:r w:rsidRPr="002E0A2A">
        <w:rPr>
          <w:rFonts w:ascii="Arial" w:hAnsi="Arial" w:cs="Arial"/>
          <w:sz w:val="22"/>
          <w:szCs w:val="22"/>
        </w:rPr>
        <w:t xml:space="preserve"> </w:t>
      </w:r>
      <w:r w:rsidR="00CD10AB" w:rsidRPr="002E0A2A">
        <w:rPr>
          <w:rFonts w:ascii="Arial" w:hAnsi="Arial" w:cs="Arial"/>
          <w:sz w:val="22"/>
          <w:szCs w:val="22"/>
        </w:rPr>
        <w:t xml:space="preserve">needs to adapt in order to </w:t>
      </w:r>
      <w:r w:rsidRPr="002E0A2A">
        <w:rPr>
          <w:rFonts w:ascii="Arial" w:hAnsi="Arial" w:cs="Arial"/>
          <w:sz w:val="22"/>
          <w:szCs w:val="22"/>
        </w:rPr>
        <w:t xml:space="preserve">sustain future real terms reductions in GIA as required by the spending review. To address this we are developing a financial strategy </w:t>
      </w:r>
      <w:r w:rsidR="00CD10AB" w:rsidRPr="002E0A2A">
        <w:rPr>
          <w:rFonts w:ascii="Arial" w:hAnsi="Arial" w:cs="Arial"/>
          <w:sz w:val="22"/>
          <w:szCs w:val="22"/>
        </w:rPr>
        <w:t xml:space="preserve">alongside our SIP programme, </w:t>
      </w:r>
      <w:r w:rsidRPr="002E0A2A">
        <w:rPr>
          <w:rFonts w:ascii="Arial" w:hAnsi="Arial" w:cs="Arial"/>
          <w:sz w:val="22"/>
          <w:szCs w:val="22"/>
        </w:rPr>
        <w:t xml:space="preserve">to create a revised business model that enables us to deliver on our strategic, statutory and operational requirements within our allocated GIA. This will be presented to the Board </w:t>
      </w:r>
      <w:r w:rsidR="00DA139E">
        <w:rPr>
          <w:rFonts w:ascii="Arial" w:hAnsi="Arial" w:cs="Arial"/>
          <w:sz w:val="22"/>
          <w:szCs w:val="22"/>
        </w:rPr>
        <w:t>on 22</w:t>
      </w:r>
      <w:r w:rsidR="00DA139E" w:rsidRPr="00DA139E">
        <w:rPr>
          <w:rFonts w:ascii="Arial" w:hAnsi="Arial" w:cs="Arial"/>
          <w:sz w:val="22"/>
          <w:szCs w:val="22"/>
          <w:vertAlign w:val="superscript"/>
        </w:rPr>
        <w:t>nd</w:t>
      </w:r>
      <w:r w:rsidR="00DA139E">
        <w:rPr>
          <w:rFonts w:ascii="Arial" w:hAnsi="Arial" w:cs="Arial"/>
          <w:sz w:val="22"/>
          <w:szCs w:val="22"/>
        </w:rPr>
        <w:t xml:space="preserve"> November 2017.</w:t>
      </w:r>
      <w:r w:rsidRPr="002E0A2A">
        <w:rPr>
          <w:rFonts w:ascii="Arial" w:hAnsi="Arial" w:cs="Arial"/>
          <w:sz w:val="22"/>
          <w:szCs w:val="22"/>
        </w:rPr>
        <w:t xml:space="preserve"> </w:t>
      </w:r>
      <w:r w:rsidR="00CD10AB" w:rsidRPr="002E0A2A">
        <w:rPr>
          <w:rFonts w:ascii="Arial" w:hAnsi="Arial" w:cs="Arial"/>
          <w:b/>
          <w:sz w:val="22"/>
          <w:szCs w:val="22"/>
        </w:rPr>
        <w:br w:type="page"/>
      </w:r>
    </w:p>
    <w:p w:rsidR="00FF2551" w:rsidRPr="00471EAB" w:rsidRDefault="0050664B" w:rsidP="007C5117">
      <w:pPr>
        <w:spacing w:after="200" w:line="276" w:lineRule="auto"/>
        <w:rPr>
          <w:rFonts w:ascii="Arial" w:hAnsi="Arial" w:cs="Arial"/>
          <w:b/>
          <w:sz w:val="22"/>
          <w:szCs w:val="22"/>
        </w:rPr>
      </w:pPr>
      <w:r>
        <w:rPr>
          <w:rFonts w:ascii="Arial" w:hAnsi="Arial" w:cs="Arial"/>
          <w:b/>
          <w:sz w:val="22"/>
          <w:szCs w:val="22"/>
        </w:rPr>
        <w:lastRenderedPageBreak/>
        <w:t>Staff</w:t>
      </w:r>
      <w:r w:rsidR="00891562">
        <w:rPr>
          <w:rFonts w:ascii="Arial" w:hAnsi="Arial" w:cs="Arial"/>
          <w:b/>
          <w:sz w:val="22"/>
          <w:szCs w:val="22"/>
        </w:rPr>
        <w:t xml:space="preserve"> costs </w:t>
      </w:r>
      <w:r>
        <w:rPr>
          <w:rFonts w:ascii="Arial" w:hAnsi="Arial" w:cs="Arial"/>
          <w:b/>
          <w:sz w:val="22"/>
          <w:szCs w:val="22"/>
        </w:rPr>
        <w:t>(</w:t>
      </w:r>
      <w:r w:rsidR="00C73CB8">
        <w:rPr>
          <w:rFonts w:ascii="Arial" w:hAnsi="Arial" w:cs="Arial"/>
          <w:b/>
          <w:sz w:val="22"/>
          <w:szCs w:val="22"/>
        </w:rPr>
        <w:t>4</w:t>
      </w:r>
      <w:r>
        <w:rPr>
          <w:rFonts w:ascii="Arial" w:hAnsi="Arial" w:cs="Arial"/>
          <w:b/>
          <w:sz w:val="22"/>
          <w:szCs w:val="22"/>
        </w:rPr>
        <w:t xml:space="preserve"> </w:t>
      </w:r>
      <w:proofErr w:type="spellStart"/>
      <w:r>
        <w:rPr>
          <w:rFonts w:ascii="Arial" w:hAnsi="Arial" w:cs="Arial"/>
          <w:b/>
          <w:sz w:val="22"/>
          <w:szCs w:val="22"/>
        </w:rPr>
        <w:t>mths</w:t>
      </w:r>
      <w:proofErr w:type="spellEnd"/>
      <w:r w:rsidR="000D2F24">
        <w:rPr>
          <w:rFonts w:ascii="Arial" w:hAnsi="Arial" w:cs="Arial"/>
          <w:b/>
          <w:sz w:val="22"/>
          <w:szCs w:val="22"/>
        </w:rPr>
        <w:t>-ended 3</w:t>
      </w:r>
      <w:r w:rsidR="00C73CB8">
        <w:rPr>
          <w:rFonts w:ascii="Arial" w:hAnsi="Arial" w:cs="Arial"/>
          <w:b/>
          <w:sz w:val="22"/>
          <w:szCs w:val="22"/>
        </w:rPr>
        <w:t>1 July</w:t>
      </w:r>
      <w:r w:rsidR="000D2F24">
        <w:rPr>
          <w:rFonts w:ascii="Arial" w:hAnsi="Arial" w:cs="Arial"/>
          <w:b/>
          <w:sz w:val="22"/>
          <w:szCs w:val="22"/>
        </w:rPr>
        <w:t xml:space="preserve"> 2017</w:t>
      </w:r>
      <w:r>
        <w:rPr>
          <w:rFonts w:ascii="Arial" w:hAnsi="Arial" w:cs="Arial"/>
          <w:b/>
          <w:sz w:val="22"/>
          <w:szCs w:val="22"/>
        </w:rPr>
        <w:t>)</w:t>
      </w:r>
    </w:p>
    <w:tbl>
      <w:tblPr>
        <w:tblW w:w="10600" w:type="dxa"/>
        <w:tblInd w:w="93" w:type="dxa"/>
        <w:tblLook w:val="04A0" w:firstRow="1" w:lastRow="0" w:firstColumn="1" w:lastColumn="0" w:noHBand="0" w:noVBand="1"/>
      </w:tblPr>
      <w:tblGrid>
        <w:gridCol w:w="2960"/>
        <w:gridCol w:w="1300"/>
        <w:gridCol w:w="1320"/>
        <w:gridCol w:w="1420"/>
        <w:gridCol w:w="1360"/>
        <w:gridCol w:w="1120"/>
        <w:gridCol w:w="1120"/>
      </w:tblGrid>
      <w:tr w:rsidR="00C73CB8" w:rsidRPr="00C73CB8" w:rsidTr="00C73CB8">
        <w:trPr>
          <w:trHeight w:val="1500"/>
        </w:trPr>
        <w:tc>
          <w:tcPr>
            <w:tcW w:w="2960" w:type="dxa"/>
            <w:vMerge w:val="restart"/>
            <w:tcBorders>
              <w:top w:val="single" w:sz="8" w:space="0" w:color="auto"/>
              <w:left w:val="single" w:sz="8" w:space="0" w:color="auto"/>
              <w:bottom w:val="nil"/>
              <w:right w:val="nil"/>
            </w:tcBorders>
            <w:shd w:val="clear" w:color="000000" w:fill="95B3D7"/>
            <w:vAlign w:val="center"/>
            <w:hideMark/>
          </w:tcPr>
          <w:p w:rsidR="00C73CB8" w:rsidRPr="00C73CB8" w:rsidRDefault="00C73CB8" w:rsidP="00C73CB8">
            <w:pPr>
              <w:rPr>
                <w:rFonts w:ascii="Calibri" w:hAnsi="Calibri"/>
                <w:b/>
                <w:bCs/>
                <w:color w:val="FFFFFF"/>
                <w:sz w:val="22"/>
                <w:szCs w:val="22"/>
              </w:rPr>
            </w:pPr>
            <w:r w:rsidRPr="00C73CB8">
              <w:rPr>
                <w:rFonts w:ascii="Calibri" w:hAnsi="Calibri"/>
                <w:b/>
                <w:bCs/>
                <w:color w:val="FFFFFF"/>
                <w:sz w:val="22"/>
                <w:szCs w:val="22"/>
              </w:rPr>
              <w:t>Service</w:t>
            </w:r>
          </w:p>
        </w:tc>
        <w:tc>
          <w:tcPr>
            <w:tcW w:w="1300" w:type="dxa"/>
            <w:tcBorders>
              <w:top w:val="single" w:sz="8" w:space="0" w:color="auto"/>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2017/18 </w:t>
            </w:r>
            <w:r w:rsidRPr="00C73CB8">
              <w:rPr>
                <w:rFonts w:ascii="Calibri" w:hAnsi="Calibri"/>
                <w:b/>
                <w:bCs/>
                <w:color w:val="FFFFFF"/>
                <w:sz w:val="22"/>
                <w:szCs w:val="22"/>
              </w:rPr>
              <w:br/>
              <w:t xml:space="preserve">budget </w:t>
            </w:r>
            <w:r w:rsidRPr="00C73CB8">
              <w:rPr>
                <w:rFonts w:ascii="Calibri" w:hAnsi="Calibri"/>
                <w:b/>
                <w:bCs/>
                <w:color w:val="FFFFFF"/>
                <w:sz w:val="22"/>
                <w:szCs w:val="22"/>
              </w:rPr>
              <w:br/>
              <w:t>YTD</w:t>
            </w:r>
          </w:p>
        </w:tc>
        <w:tc>
          <w:tcPr>
            <w:tcW w:w="1320" w:type="dxa"/>
            <w:tcBorders>
              <w:top w:val="single" w:sz="8" w:space="0" w:color="auto"/>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2017/18 </w:t>
            </w:r>
            <w:r w:rsidRPr="00C73CB8">
              <w:rPr>
                <w:rFonts w:ascii="Calibri" w:hAnsi="Calibri"/>
                <w:b/>
                <w:bCs/>
                <w:color w:val="FFFFFF"/>
                <w:sz w:val="22"/>
                <w:szCs w:val="22"/>
              </w:rPr>
              <w:br/>
              <w:t>vacancy factor</w:t>
            </w:r>
            <w:r w:rsidRPr="00C73CB8">
              <w:rPr>
                <w:rFonts w:ascii="Calibri" w:hAnsi="Calibri"/>
                <w:b/>
                <w:bCs/>
                <w:color w:val="FFFFFF"/>
                <w:sz w:val="22"/>
                <w:szCs w:val="22"/>
              </w:rPr>
              <w:br/>
              <w:t xml:space="preserve"> YTD</w:t>
            </w:r>
          </w:p>
        </w:tc>
        <w:tc>
          <w:tcPr>
            <w:tcW w:w="1420" w:type="dxa"/>
            <w:tcBorders>
              <w:top w:val="single" w:sz="8" w:space="0" w:color="auto"/>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2017/18</w:t>
            </w:r>
            <w:r w:rsidRPr="00C73CB8">
              <w:rPr>
                <w:rFonts w:ascii="Calibri" w:hAnsi="Calibri"/>
                <w:b/>
                <w:bCs/>
                <w:color w:val="FFFFFF"/>
                <w:sz w:val="22"/>
                <w:szCs w:val="22"/>
              </w:rPr>
              <w:br/>
              <w:t xml:space="preserve"> budget net of vacancy factor</w:t>
            </w:r>
          </w:p>
        </w:tc>
        <w:tc>
          <w:tcPr>
            <w:tcW w:w="1360" w:type="dxa"/>
            <w:tcBorders>
              <w:top w:val="single" w:sz="8" w:space="0" w:color="auto"/>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2017/18  </w:t>
            </w:r>
            <w:r w:rsidRPr="00C73CB8">
              <w:rPr>
                <w:rFonts w:ascii="Calibri" w:hAnsi="Calibri"/>
                <w:b/>
                <w:bCs/>
                <w:color w:val="FFFFFF"/>
                <w:sz w:val="22"/>
                <w:szCs w:val="22"/>
              </w:rPr>
              <w:br/>
              <w:t>actual</w:t>
            </w:r>
          </w:p>
        </w:tc>
        <w:tc>
          <w:tcPr>
            <w:tcW w:w="1120" w:type="dxa"/>
            <w:tcBorders>
              <w:top w:val="single" w:sz="8" w:space="0" w:color="auto"/>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Variance vs budget net of vacancy factor</w:t>
            </w:r>
          </w:p>
        </w:tc>
        <w:tc>
          <w:tcPr>
            <w:tcW w:w="1120" w:type="dxa"/>
            <w:tcBorders>
              <w:top w:val="single" w:sz="8" w:space="0" w:color="auto"/>
              <w:left w:val="nil"/>
              <w:bottom w:val="nil"/>
              <w:right w:val="single" w:sz="8" w:space="0" w:color="auto"/>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Variance net of vacancy factor</w:t>
            </w:r>
          </w:p>
        </w:tc>
      </w:tr>
      <w:tr w:rsidR="00C73CB8" w:rsidRPr="00C73CB8" w:rsidTr="00C73CB8">
        <w:trPr>
          <w:trHeight w:val="300"/>
        </w:trPr>
        <w:tc>
          <w:tcPr>
            <w:tcW w:w="2960" w:type="dxa"/>
            <w:vMerge/>
            <w:tcBorders>
              <w:top w:val="single" w:sz="8" w:space="0" w:color="auto"/>
              <w:left w:val="single" w:sz="8" w:space="0" w:color="auto"/>
              <w:bottom w:val="nil"/>
              <w:right w:val="nil"/>
            </w:tcBorders>
            <w:vAlign w:val="center"/>
            <w:hideMark/>
          </w:tcPr>
          <w:p w:rsidR="00C73CB8" w:rsidRPr="00C73CB8" w:rsidRDefault="00C73CB8" w:rsidP="00C73CB8">
            <w:pPr>
              <w:rPr>
                <w:rFonts w:ascii="Calibri" w:hAnsi="Calibri"/>
                <w:b/>
                <w:bCs/>
                <w:color w:val="FFFFFF"/>
                <w:sz w:val="22"/>
                <w:szCs w:val="22"/>
              </w:rPr>
            </w:pPr>
          </w:p>
        </w:tc>
        <w:tc>
          <w:tcPr>
            <w:tcW w:w="1300" w:type="dxa"/>
            <w:tcBorders>
              <w:top w:val="nil"/>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320" w:type="dxa"/>
            <w:tcBorders>
              <w:top w:val="nil"/>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420" w:type="dxa"/>
            <w:tcBorders>
              <w:top w:val="nil"/>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360" w:type="dxa"/>
            <w:tcBorders>
              <w:top w:val="nil"/>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120" w:type="dxa"/>
            <w:tcBorders>
              <w:top w:val="nil"/>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c>
          <w:tcPr>
            <w:tcW w:w="1120" w:type="dxa"/>
            <w:tcBorders>
              <w:top w:val="nil"/>
              <w:left w:val="nil"/>
              <w:bottom w:val="nil"/>
              <w:right w:val="single" w:sz="8" w:space="0" w:color="auto"/>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£000 </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Research ethics service</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1,014</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(28)</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986</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985</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(0.2)%</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 xml:space="preserve">HRA Approval </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891</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(25)</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867</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868</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0.1%</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Confidentiality advisory service</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62</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60</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60</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(0)</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(0.0)%</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Research systems</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178</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(4)</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174</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172</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(1.2)%</w:t>
            </w:r>
          </w:p>
        </w:tc>
      </w:tr>
      <w:tr w:rsidR="00C73CB8" w:rsidRPr="00C73CB8" w:rsidTr="00C73CB8">
        <w:trPr>
          <w:trHeight w:val="300"/>
        </w:trPr>
        <w:tc>
          <w:tcPr>
            <w:tcW w:w="2960" w:type="dxa"/>
            <w:tcBorders>
              <w:top w:val="nil"/>
              <w:left w:val="single" w:sz="8" w:space="0" w:color="auto"/>
              <w:bottom w:val="nil"/>
              <w:right w:val="nil"/>
            </w:tcBorders>
            <w:shd w:val="clear" w:color="000000" w:fill="365F91"/>
            <w:vAlign w:val="center"/>
            <w:hideMark/>
          </w:tcPr>
          <w:p w:rsidR="00C73CB8" w:rsidRPr="00C73CB8" w:rsidRDefault="00C73CB8" w:rsidP="00C73CB8">
            <w:pPr>
              <w:rPr>
                <w:rFonts w:ascii="Calibri" w:hAnsi="Calibri"/>
                <w:b/>
                <w:bCs/>
                <w:color w:val="FFFFFF"/>
                <w:sz w:val="20"/>
                <w:szCs w:val="20"/>
              </w:rPr>
            </w:pPr>
            <w:r w:rsidRPr="00C73CB8">
              <w:rPr>
                <w:rFonts w:ascii="Calibri" w:hAnsi="Calibri"/>
                <w:b/>
                <w:bCs/>
                <w:color w:val="FFFFFF"/>
                <w:sz w:val="20"/>
                <w:szCs w:val="20"/>
              </w:rPr>
              <w:t>Total Services Staff Costs</w:t>
            </w:r>
          </w:p>
        </w:tc>
        <w:tc>
          <w:tcPr>
            <w:tcW w:w="1300" w:type="dxa"/>
            <w:tcBorders>
              <w:top w:val="nil"/>
              <w:left w:val="nil"/>
              <w:bottom w:val="nil"/>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2,146</w:t>
            </w:r>
          </w:p>
        </w:tc>
        <w:tc>
          <w:tcPr>
            <w:tcW w:w="1320" w:type="dxa"/>
            <w:tcBorders>
              <w:top w:val="nil"/>
              <w:left w:val="nil"/>
              <w:bottom w:val="nil"/>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(59)</w:t>
            </w:r>
          </w:p>
        </w:tc>
        <w:tc>
          <w:tcPr>
            <w:tcW w:w="1420" w:type="dxa"/>
            <w:tcBorders>
              <w:top w:val="nil"/>
              <w:left w:val="nil"/>
              <w:bottom w:val="nil"/>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2,087</w:t>
            </w:r>
          </w:p>
        </w:tc>
        <w:tc>
          <w:tcPr>
            <w:tcW w:w="1360" w:type="dxa"/>
            <w:tcBorders>
              <w:top w:val="nil"/>
              <w:left w:val="nil"/>
              <w:bottom w:val="nil"/>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2,085</w:t>
            </w:r>
          </w:p>
        </w:tc>
        <w:tc>
          <w:tcPr>
            <w:tcW w:w="1120" w:type="dxa"/>
            <w:tcBorders>
              <w:top w:val="nil"/>
              <w:left w:val="nil"/>
              <w:bottom w:val="nil"/>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(3)</w:t>
            </w:r>
          </w:p>
        </w:tc>
        <w:tc>
          <w:tcPr>
            <w:tcW w:w="1120" w:type="dxa"/>
            <w:tcBorders>
              <w:top w:val="nil"/>
              <w:left w:val="nil"/>
              <w:bottom w:val="nil"/>
              <w:right w:val="single" w:sz="8" w:space="0" w:color="auto"/>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(0.1)%</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 </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 </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Chief executive (</w:t>
            </w:r>
            <w:proofErr w:type="spellStart"/>
            <w:r w:rsidRPr="00C73CB8">
              <w:rPr>
                <w:rFonts w:ascii="Calibri" w:hAnsi="Calibri"/>
                <w:color w:val="000000"/>
                <w:sz w:val="20"/>
                <w:szCs w:val="20"/>
              </w:rPr>
              <w:t>inc</w:t>
            </w:r>
            <w:proofErr w:type="spellEnd"/>
            <w:r w:rsidRPr="00C73CB8">
              <w:rPr>
                <w:rFonts w:ascii="Calibri" w:hAnsi="Calibri"/>
                <w:color w:val="000000"/>
                <w:sz w:val="20"/>
                <w:szCs w:val="20"/>
              </w:rPr>
              <w:t xml:space="preserve"> Governance )</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268</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(7)</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261</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265</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5</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1.8%</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Policy</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69</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(3)</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66</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68</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3</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4.0%</w:t>
            </w:r>
          </w:p>
        </w:tc>
      </w:tr>
      <w:tr w:rsidR="00C73CB8" w:rsidRPr="00C73CB8" w:rsidTr="00C73CB8">
        <w:trPr>
          <w:trHeight w:val="300"/>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Training</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57</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55</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56</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0</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0.2%</w:t>
            </w:r>
          </w:p>
        </w:tc>
      </w:tr>
      <w:tr w:rsidR="00C73CB8" w:rsidRPr="00C73CB8" w:rsidTr="00C73CB8">
        <w:trPr>
          <w:trHeight w:val="289"/>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Corporate services</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280</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(7)</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273</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266</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(7)</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(2.6)%</w:t>
            </w:r>
          </w:p>
        </w:tc>
      </w:tr>
      <w:tr w:rsidR="00C73CB8" w:rsidRPr="00C73CB8" w:rsidTr="00C73CB8">
        <w:trPr>
          <w:trHeight w:val="289"/>
        </w:trPr>
        <w:tc>
          <w:tcPr>
            <w:tcW w:w="2960" w:type="dxa"/>
            <w:tcBorders>
              <w:top w:val="nil"/>
              <w:left w:val="single" w:sz="8" w:space="0" w:color="auto"/>
              <w:bottom w:val="nil"/>
              <w:right w:val="nil"/>
            </w:tcBorders>
            <w:shd w:val="clear" w:color="auto" w:fill="auto"/>
            <w:vAlign w:val="center"/>
            <w:hideMark/>
          </w:tcPr>
          <w:p w:rsidR="00C73CB8" w:rsidRPr="00C73CB8" w:rsidRDefault="00C73CB8" w:rsidP="00C73CB8">
            <w:pPr>
              <w:rPr>
                <w:rFonts w:ascii="Calibri" w:hAnsi="Calibri"/>
                <w:color w:val="000000"/>
                <w:sz w:val="20"/>
                <w:szCs w:val="20"/>
              </w:rPr>
            </w:pPr>
            <w:r w:rsidRPr="00C73CB8">
              <w:rPr>
                <w:rFonts w:ascii="Calibri" w:hAnsi="Calibri"/>
                <w:color w:val="000000"/>
                <w:sz w:val="20"/>
                <w:szCs w:val="20"/>
              </w:rPr>
              <w:t>Finance, Procurement and Estates</w:t>
            </w:r>
          </w:p>
        </w:tc>
        <w:tc>
          <w:tcPr>
            <w:tcW w:w="130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170</w:t>
            </w:r>
          </w:p>
        </w:tc>
        <w:tc>
          <w:tcPr>
            <w:tcW w:w="13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(5)</w:t>
            </w:r>
          </w:p>
        </w:tc>
        <w:tc>
          <w:tcPr>
            <w:tcW w:w="14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165</w:t>
            </w:r>
          </w:p>
        </w:tc>
        <w:tc>
          <w:tcPr>
            <w:tcW w:w="136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161</w:t>
            </w:r>
          </w:p>
        </w:tc>
        <w:tc>
          <w:tcPr>
            <w:tcW w:w="1120" w:type="dxa"/>
            <w:tcBorders>
              <w:top w:val="nil"/>
              <w:left w:val="nil"/>
              <w:bottom w:val="nil"/>
              <w:right w:val="nil"/>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(4)</w:t>
            </w:r>
          </w:p>
        </w:tc>
        <w:tc>
          <w:tcPr>
            <w:tcW w:w="1120" w:type="dxa"/>
            <w:tcBorders>
              <w:top w:val="nil"/>
              <w:left w:val="nil"/>
              <w:bottom w:val="nil"/>
              <w:right w:val="single" w:sz="8" w:space="0" w:color="auto"/>
            </w:tcBorders>
            <w:shd w:val="clear" w:color="auto" w:fill="auto"/>
            <w:noWrap/>
            <w:vAlign w:val="center"/>
            <w:hideMark/>
          </w:tcPr>
          <w:p w:rsidR="00C73CB8" w:rsidRPr="00C73CB8" w:rsidRDefault="00C73CB8" w:rsidP="00C73CB8">
            <w:pPr>
              <w:jc w:val="center"/>
              <w:rPr>
                <w:rFonts w:ascii="Calibri" w:hAnsi="Calibri"/>
                <w:color w:val="000000"/>
                <w:sz w:val="20"/>
                <w:szCs w:val="20"/>
              </w:rPr>
            </w:pPr>
            <w:r w:rsidRPr="00C73CB8">
              <w:rPr>
                <w:rFonts w:ascii="Calibri" w:hAnsi="Calibri"/>
                <w:color w:val="000000"/>
                <w:sz w:val="20"/>
                <w:szCs w:val="20"/>
              </w:rPr>
              <w:t>(2.4)%</w:t>
            </w:r>
          </w:p>
        </w:tc>
      </w:tr>
      <w:tr w:rsidR="00C73CB8" w:rsidRPr="00C73CB8" w:rsidTr="00C73CB8">
        <w:trPr>
          <w:trHeight w:val="315"/>
        </w:trPr>
        <w:tc>
          <w:tcPr>
            <w:tcW w:w="2960" w:type="dxa"/>
            <w:tcBorders>
              <w:top w:val="nil"/>
              <w:left w:val="single" w:sz="8" w:space="0" w:color="auto"/>
              <w:bottom w:val="single" w:sz="8" w:space="0" w:color="auto"/>
              <w:right w:val="nil"/>
            </w:tcBorders>
            <w:shd w:val="clear" w:color="000000" w:fill="365F91"/>
            <w:vAlign w:val="center"/>
            <w:hideMark/>
          </w:tcPr>
          <w:p w:rsidR="00C73CB8" w:rsidRPr="00C73CB8" w:rsidRDefault="00C73CB8" w:rsidP="00C73CB8">
            <w:pPr>
              <w:rPr>
                <w:rFonts w:ascii="Calibri" w:hAnsi="Calibri"/>
                <w:b/>
                <w:bCs/>
                <w:color w:val="FFFFFF"/>
                <w:sz w:val="20"/>
                <w:szCs w:val="20"/>
              </w:rPr>
            </w:pPr>
            <w:r w:rsidRPr="00C73CB8">
              <w:rPr>
                <w:rFonts w:ascii="Calibri" w:hAnsi="Calibri"/>
                <w:b/>
                <w:bCs/>
                <w:color w:val="FFFFFF"/>
                <w:sz w:val="20"/>
                <w:szCs w:val="20"/>
              </w:rPr>
              <w:t>Total Staff Costs</w:t>
            </w:r>
          </w:p>
        </w:tc>
        <w:tc>
          <w:tcPr>
            <w:tcW w:w="1300" w:type="dxa"/>
            <w:tcBorders>
              <w:top w:val="nil"/>
              <w:left w:val="nil"/>
              <w:bottom w:val="single" w:sz="8" w:space="0" w:color="auto"/>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2,989</w:t>
            </w:r>
          </w:p>
        </w:tc>
        <w:tc>
          <w:tcPr>
            <w:tcW w:w="1320" w:type="dxa"/>
            <w:tcBorders>
              <w:top w:val="nil"/>
              <w:left w:val="nil"/>
              <w:bottom w:val="single" w:sz="8" w:space="0" w:color="auto"/>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(83)</w:t>
            </w:r>
          </w:p>
        </w:tc>
        <w:tc>
          <w:tcPr>
            <w:tcW w:w="1420" w:type="dxa"/>
            <w:tcBorders>
              <w:top w:val="nil"/>
              <w:left w:val="nil"/>
              <w:bottom w:val="single" w:sz="8" w:space="0" w:color="auto"/>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2,906</w:t>
            </w:r>
          </w:p>
        </w:tc>
        <w:tc>
          <w:tcPr>
            <w:tcW w:w="1360" w:type="dxa"/>
            <w:tcBorders>
              <w:top w:val="nil"/>
              <w:left w:val="nil"/>
              <w:bottom w:val="single" w:sz="8" w:space="0" w:color="auto"/>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2,900</w:t>
            </w:r>
          </w:p>
        </w:tc>
        <w:tc>
          <w:tcPr>
            <w:tcW w:w="1120" w:type="dxa"/>
            <w:tcBorders>
              <w:top w:val="nil"/>
              <w:left w:val="nil"/>
              <w:bottom w:val="single" w:sz="8" w:space="0" w:color="auto"/>
              <w:right w:val="nil"/>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(7)</w:t>
            </w:r>
          </w:p>
        </w:tc>
        <w:tc>
          <w:tcPr>
            <w:tcW w:w="1120" w:type="dxa"/>
            <w:tcBorders>
              <w:top w:val="nil"/>
              <w:left w:val="nil"/>
              <w:bottom w:val="single" w:sz="8" w:space="0" w:color="auto"/>
              <w:right w:val="single" w:sz="8" w:space="0" w:color="auto"/>
            </w:tcBorders>
            <w:shd w:val="clear" w:color="000000" w:fill="365F91"/>
            <w:noWrap/>
            <w:vAlign w:val="center"/>
            <w:hideMark/>
          </w:tcPr>
          <w:p w:rsidR="00C73CB8" w:rsidRPr="00C73CB8" w:rsidRDefault="00C73CB8" w:rsidP="00C73CB8">
            <w:pPr>
              <w:jc w:val="center"/>
              <w:rPr>
                <w:rFonts w:ascii="Calibri" w:hAnsi="Calibri"/>
                <w:b/>
                <w:bCs/>
                <w:color w:val="FFFFFF"/>
                <w:sz w:val="20"/>
                <w:szCs w:val="20"/>
              </w:rPr>
            </w:pPr>
            <w:r w:rsidRPr="00C73CB8">
              <w:rPr>
                <w:rFonts w:ascii="Calibri" w:hAnsi="Calibri"/>
                <w:b/>
                <w:bCs/>
                <w:color w:val="FFFFFF"/>
                <w:sz w:val="20"/>
                <w:szCs w:val="20"/>
              </w:rPr>
              <w:t>(0.2)%</w:t>
            </w:r>
          </w:p>
        </w:tc>
      </w:tr>
    </w:tbl>
    <w:p w:rsidR="00644946" w:rsidRDefault="00644946" w:rsidP="0043174B">
      <w:pPr>
        <w:spacing w:after="200" w:line="276" w:lineRule="auto"/>
        <w:rPr>
          <w:rFonts w:ascii="Arial" w:hAnsi="Arial" w:cs="Arial"/>
          <w:sz w:val="22"/>
          <w:szCs w:val="22"/>
        </w:rPr>
      </w:pPr>
    </w:p>
    <w:p w:rsidR="00076DE4" w:rsidRPr="00DA139E" w:rsidRDefault="00076DE4" w:rsidP="0043174B">
      <w:pPr>
        <w:spacing w:after="200" w:line="276" w:lineRule="auto"/>
        <w:rPr>
          <w:rFonts w:ascii="Arial" w:hAnsi="Arial" w:cs="Arial"/>
          <w:sz w:val="22"/>
          <w:szCs w:val="22"/>
        </w:rPr>
      </w:pPr>
      <w:r w:rsidRPr="00DA139E">
        <w:rPr>
          <w:rFonts w:ascii="Arial" w:hAnsi="Arial" w:cs="Arial"/>
          <w:sz w:val="22"/>
          <w:szCs w:val="22"/>
        </w:rPr>
        <w:t>Staff</w:t>
      </w:r>
      <w:r w:rsidR="007006FE" w:rsidRPr="00DA139E">
        <w:rPr>
          <w:rFonts w:ascii="Arial" w:hAnsi="Arial" w:cs="Arial"/>
          <w:sz w:val="22"/>
          <w:szCs w:val="22"/>
        </w:rPr>
        <w:t xml:space="preserve"> costs</w:t>
      </w:r>
      <w:r w:rsidRPr="00DA139E">
        <w:rPr>
          <w:rFonts w:ascii="Arial" w:hAnsi="Arial" w:cs="Arial"/>
          <w:sz w:val="22"/>
          <w:szCs w:val="22"/>
        </w:rPr>
        <w:t xml:space="preserve"> are HRA’s </w:t>
      </w:r>
      <w:r w:rsidR="00535185" w:rsidRPr="00DA139E">
        <w:rPr>
          <w:rFonts w:ascii="Arial" w:hAnsi="Arial" w:cs="Arial"/>
          <w:sz w:val="22"/>
          <w:szCs w:val="22"/>
        </w:rPr>
        <w:t>most significant cost</w:t>
      </w:r>
      <w:r w:rsidR="00C73CB8" w:rsidRPr="00DA139E">
        <w:rPr>
          <w:rFonts w:ascii="Arial" w:hAnsi="Arial" w:cs="Arial"/>
          <w:sz w:val="22"/>
          <w:szCs w:val="22"/>
        </w:rPr>
        <w:t xml:space="preserve"> representing 72</w:t>
      </w:r>
      <w:r w:rsidRPr="00DA139E">
        <w:rPr>
          <w:rFonts w:ascii="Arial" w:hAnsi="Arial" w:cs="Arial"/>
          <w:sz w:val="22"/>
          <w:szCs w:val="22"/>
        </w:rPr>
        <w:t xml:space="preserve">% of total budgeted </w:t>
      </w:r>
      <w:r w:rsidR="00535185" w:rsidRPr="00DA139E">
        <w:rPr>
          <w:rFonts w:ascii="Arial" w:hAnsi="Arial" w:cs="Arial"/>
          <w:sz w:val="22"/>
          <w:szCs w:val="22"/>
        </w:rPr>
        <w:t>expenditure</w:t>
      </w:r>
      <w:r w:rsidR="00C73CB8" w:rsidRPr="00DA139E">
        <w:rPr>
          <w:rFonts w:ascii="Arial" w:hAnsi="Arial" w:cs="Arial"/>
          <w:sz w:val="22"/>
          <w:szCs w:val="22"/>
        </w:rPr>
        <w:t xml:space="preserve">. </w:t>
      </w:r>
      <w:r w:rsidR="00DA139E">
        <w:rPr>
          <w:rFonts w:ascii="Arial" w:hAnsi="Arial" w:cs="Arial"/>
          <w:sz w:val="22"/>
          <w:szCs w:val="22"/>
        </w:rPr>
        <w:t>Activity in the first 4 months of the year shows that overall the level of vacancy factor built into the budgeting process appears to be matching the level of ‘turn’ in the establishment</w:t>
      </w:r>
      <w:r w:rsidR="00296174">
        <w:rPr>
          <w:rFonts w:ascii="Arial" w:hAnsi="Arial" w:cs="Arial"/>
          <w:sz w:val="22"/>
          <w:szCs w:val="22"/>
        </w:rPr>
        <w:t>. Natural turnover of staff is providing the sufficient capacity to support the vacancy factor without any</w:t>
      </w:r>
      <w:r w:rsidR="00DA139E">
        <w:rPr>
          <w:rFonts w:ascii="Arial" w:hAnsi="Arial" w:cs="Arial"/>
          <w:sz w:val="22"/>
          <w:szCs w:val="22"/>
        </w:rPr>
        <w:t xml:space="preserve"> additional </w:t>
      </w:r>
      <w:r w:rsidR="00296174">
        <w:rPr>
          <w:rFonts w:ascii="Arial" w:hAnsi="Arial" w:cs="Arial"/>
          <w:sz w:val="22"/>
          <w:szCs w:val="22"/>
        </w:rPr>
        <w:t xml:space="preserve">measures being taken to achieve the adjustment. Recruitment panel and leadership team continue to monitor variances on budget combined with operational KPIs to ensure that our business as usual delivery remains strong. </w:t>
      </w:r>
      <w:r w:rsidR="00DA139E">
        <w:rPr>
          <w:rFonts w:ascii="Arial" w:hAnsi="Arial" w:cs="Arial"/>
          <w:sz w:val="22"/>
          <w:szCs w:val="22"/>
        </w:rPr>
        <w:t xml:space="preserve"> </w:t>
      </w:r>
    </w:p>
    <w:p w:rsidR="002E0A2A" w:rsidRPr="00471EAB" w:rsidRDefault="007315DF" w:rsidP="002E0A2A">
      <w:pPr>
        <w:spacing w:after="200" w:line="276" w:lineRule="auto"/>
        <w:rPr>
          <w:rFonts w:ascii="Arial" w:hAnsi="Arial" w:cs="Arial"/>
          <w:b/>
          <w:sz w:val="22"/>
          <w:szCs w:val="22"/>
        </w:rPr>
      </w:pPr>
      <w:r>
        <w:rPr>
          <w:rFonts w:ascii="Arial" w:hAnsi="Arial" w:cs="Arial"/>
          <w:b/>
          <w:sz w:val="22"/>
          <w:szCs w:val="22"/>
        </w:rPr>
        <w:t>Non-staff costs</w:t>
      </w:r>
      <w:r w:rsidR="00C73CB8">
        <w:rPr>
          <w:rFonts w:ascii="Arial" w:hAnsi="Arial" w:cs="Arial"/>
          <w:b/>
          <w:sz w:val="22"/>
          <w:szCs w:val="22"/>
        </w:rPr>
        <w:t xml:space="preserve"> (4 </w:t>
      </w:r>
      <w:proofErr w:type="spellStart"/>
      <w:r w:rsidR="00C73CB8">
        <w:rPr>
          <w:rFonts w:ascii="Arial" w:hAnsi="Arial" w:cs="Arial"/>
          <w:b/>
          <w:sz w:val="22"/>
          <w:szCs w:val="22"/>
        </w:rPr>
        <w:t>mths</w:t>
      </w:r>
      <w:proofErr w:type="spellEnd"/>
      <w:r w:rsidR="00C73CB8">
        <w:rPr>
          <w:rFonts w:ascii="Arial" w:hAnsi="Arial" w:cs="Arial"/>
          <w:b/>
          <w:sz w:val="22"/>
          <w:szCs w:val="22"/>
        </w:rPr>
        <w:t>-ended 31 July</w:t>
      </w:r>
      <w:r w:rsidR="002E0A2A">
        <w:rPr>
          <w:rFonts w:ascii="Arial" w:hAnsi="Arial" w:cs="Arial"/>
          <w:b/>
          <w:sz w:val="22"/>
          <w:szCs w:val="22"/>
        </w:rPr>
        <w:t xml:space="preserve"> 2017)</w:t>
      </w:r>
    </w:p>
    <w:tbl>
      <w:tblPr>
        <w:tblW w:w="7480" w:type="dxa"/>
        <w:tblInd w:w="93" w:type="dxa"/>
        <w:tblLook w:val="04A0" w:firstRow="1" w:lastRow="0" w:firstColumn="1" w:lastColumn="0" w:noHBand="0" w:noVBand="1"/>
      </w:tblPr>
      <w:tblGrid>
        <w:gridCol w:w="3313"/>
        <w:gridCol w:w="1230"/>
        <w:gridCol w:w="955"/>
        <w:gridCol w:w="991"/>
        <w:gridCol w:w="991"/>
      </w:tblGrid>
      <w:tr w:rsidR="00C73CB8" w:rsidRPr="00C73CB8" w:rsidTr="00C73CB8">
        <w:trPr>
          <w:trHeight w:val="300"/>
        </w:trPr>
        <w:tc>
          <w:tcPr>
            <w:tcW w:w="3360" w:type="dxa"/>
            <w:tcBorders>
              <w:top w:val="single" w:sz="4" w:space="0" w:color="auto"/>
              <w:left w:val="single" w:sz="4" w:space="0" w:color="auto"/>
              <w:bottom w:val="nil"/>
              <w:right w:val="nil"/>
            </w:tcBorders>
            <w:shd w:val="clear" w:color="000000" w:fill="95B3D7"/>
            <w:vAlign w:val="center"/>
            <w:hideMark/>
          </w:tcPr>
          <w:p w:rsidR="00C73CB8" w:rsidRPr="00C73CB8" w:rsidRDefault="00C73CB8" w:rsidP="00C73CB8">
            <w:pPr>
              <w:rPr>
                <w:rFonts w:ascii="Calibri" w:hAnsi="Calibri"/>
                <w:b/>
                <w:bCs/>
                <w:color w:val="FFFFFF"/>
                <w:sz w:val="22"/>
                <w:szCs w:val="22"/>
              </w:rPr>
            </w:pPr>
            <w:r w:rsidRPr="00C73CB8">
              <w:rPr>
                <w:rFonts w:ascii="Calibri" w:hAnsi="Calibri"/>
                <w:b/>
                <w:bCs/>
                <w:color w:val="FFFFFF"/>
                <w:sz w:val="22"/>
                <w:szCs w:val="22"/>
              </w:rPr>
              <w:t> </w:t>
            </w:r>
          </w:p>
        </w:tc>
        <w:tc>
          <w:tcPr>
            <w:tcW w:w="3160" w:type="dxa"/>
            <w:gridSpan w:val="3"/>
            <w:tcBorders>
              <w:top w:val="single" w:sz="4" w:space="0" w:color="auto"/>
              <w:left w:val="nil"/>
              <w:bottom w:val="nil"/>
              <w:right w:val="nil"/>
            </w:tcBorders>
            <w:shd w:val="clear" w:color="000000" w:fill="95B3D7"/>
            <w:vAlign w:val="center"/>
            <w:hideMark/>
          </w:tcPr>
          <w:p w:rsidR="00C73CB8" w:rsidRPr="00C73CB8" w:rsidRDefault="00C73CB8" w:rsidP="00C73CB8">
            <w:pPr>
              <w:jc w:val="center"/>
              <w:rPr>
                <w:rFonts w:ascii="Calibri" w:hAnsi="Calibri"/>
                <w:b/>
                <w:bCs/>
                <w:color w:val="FFFFFF"/>
                <w:sz w:val="22"/>
                <w:szCs w:val="22"/>
              </w:rPr>
            </w:pPr>
            <w:r w:rsidRPr="00C73CB8">
              <w:rPr>
                <w:rFonts w:ascii="Calibri" w:hAnsi="Calibri"/>
                <w:b/>
                <w:bCs/>
                <w:color w:val="FFFFFF"/>
                <w:sz w:val="22"/>
                <w:szCs w:val="22"/>
              </w:rPr>
              <w:t xml:space="preserve">4 </w:t>
            </w:r>
            <w:proofErr w:type="spellStart"/>
            <w:r w:rsidRPr="00C73CB8">
              <w:rPr>
                <w:rFonts w:ascii="Calibri" w:hAnsi="Calibri"/>
                <w:b/>
                <w:bCs/>
                <w:color w:val="FFFFFF"/>
                <w:sz w:val="22"/>
                <w:szCs w:val="22"/>
              </w:rPr>
              <w:t>mths</w:t>
            </w:r>
            <w:proofErr w:type="spellEnd"/>
            <w:r w:rsidRPr="00C73CB8">
              <w:rPr>
                <w:rFonts w:ascii="Calibri" w:hAnsi="Calibri"/>
                <w:b/>
                <w:bCs/>
                <w:color w:val="FFFFFF"/>
                <w:sz w:val="22"/>
                <w:szCs w:val="22"/>
              </w:rPr>
              <w:t xml:space="preserve"> to 31 July 2017</w:t>
            </w:r>
          </w:p>
        </w:tc>
        <w:tc>
          <w:tcPr>
            <w:tcW w:w="960" w:type="dxa"/>
            <w:tcBorders>
              <w:top w:val="single" w:sz="4" w:space="0" w:color="auto"/>
              <w:left w:val="nil"/>
              <w:bottom w:val="nil"/>
              <w:right w:val="single" w:sz="4" w:space="0" w:color="auto"/>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 </w:t>
            </w:r>
          </w:p>
        </w:tc>
      </w:tr>
      <w:tr w:rsidR="00C73CB8" w:rsidRPr="00C73CB8" w:rsidTr="00C73CB8">
        <w:trPr>
          <w:trHeight w:val="300"/>
        </w:trPr>
        <w:tc>
          <w:tcPr>
            <w:tcW w:w="3360" w:type="dxa"/>
            <w:vMerge w:val="restart"/>
            <w:tcBorders>
              <w:top w:val="nil"/>
              <w:left w:val="single" w:sz="4" w:space="0" w:color="auto"/>
              <w:bottom w:val="nil"/>
              <w:right w:val="nil"/>
            </w:tcBorders>
            <w:shd w:val="clear" w:color="000000" w:fill="95B3D7"/>
            <w:vAlign w:val="center"/>
            <w:hideMark/>
          </w:tcPr>
          <w:p w:rsidR="00C73CB8" w:rsidRPr="00C73CB8" w:rsidRDefault="00C73CB8" w:rsidP="00C73CB8">
            <w:pPr>
              <w:rPr>
                <w:rFonts w:ascii="Calibri" w:hAnsi="Calibri"/>
                <w:b/>
                <w:bCs/>
                <w:color w:val="FFFFFF"/>
                <w:sz w:val="22"/>
                <w:szCs w:val="22"/>
              </w:rPr>
            </w:pPr>
            <w:r w:rsidRPr="00C73CB8">
              <w:rPr>
                <w:rFonts w:ascii="Calibri" w:hAnsi="Calibri"/>
                <w:b/>
                <w:bCs/>
                <w:color w:val="FFFFFF"/>
                <w:sz w:val="22"/>
                <w:szCs w:val="22"/>
              </w:rPr>
              <w:t>Activity</w:t>
            </w:r>
          </w:p>
        </w:tc>
        <w:tc>
          <w:tcPr>
            <w:tcW w:w="1240" w:type="dxa"/>
            <w:tcBorders>
              <w:top w:val="nil"/>
              <w:left w:val="nil"/>
              <w:bottom w:val="nil"/>
              <w:right w:val="nil"/>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budget</w:t>
            </w:r>
          </w:p>
        </w:tc>
        <w:tc>
          <w:tcPr>
            <w:tcW w:w="960" w:type="dxa"/>
            <w:tcBorders>
              <w:top w:val="nil"/>
              <w:left w:val="nil"/>
              <w:bottom w:val="nil"/>
              <w:right w:val="nil"/>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actual</w:t>
            </w:r>
          </w:p>
        </w:tc>
        <w:tc>
          <w:tcPr>
            <w:tcW w:w="960" w:type="dxa"/>
            <w:tcBorders>
              <w:top w:val="nil"/>
              <w:left w:val="nil"/>
              <w:bottom w:val="nil"/>
              <w:right w:val="nil"/>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variance</w:t>
            </w:r>
          </w:p>
        </w:tc>
        <w:tc>
          <w:tcPr>
            <w:tcW w:w="960" w:type="dxa"/>
            <w:vMerge w:val="restart"/>
            <w:tcBorders>
              <w:top w:val="nil"/>
              <w:left w:val="nil"/>
              <w:bottom w:val="nil"/>
              <w:right w:val="single" w:sz="4" w:space="0" w:color="auto"/>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variance %</w:t>
            </w:r>
          </w:p>
        </w:tc>
      </w:tr>
      <w:tr w:rsidR="00C73CB8" w:rsidRPr="00C73CB8" w:rsidTr="00C73CB8">
        <w:trPr>
          <w:trHeight w:val="300"/>
        </w:trPr>
        <w:tc>
          <w:tcPr>
            <w:tcW w:w="3360" w:type="dxa"/>
            <w:vMerge/>
            <w:tcBorders>
              <w:top w:val="nil"/>
              <w:left w:val="single" w:sz="4" w:space="0" w:color="auto"/>
              <w:bottom w:val="nil"/>
              <w:right w:val="nil"/>
            </w:tcBorders>
            <w:vAlign w:val="center"/>
            <w:hideMark/>
          </w:tcPr>
          <w:p w:rsidR="00C73CB8" w:rsidRPr="00C73CB8" w:rsidRDefault="00C73CB8" w:rsidP="00C73CB8">
            <w:pPr>
              <w:rPr>
                <w:rFonts w:ascii="Calibri" w:hAnsi="Calibri"/>
                <w:b/>
                <w:bCs/>
                <w:color w:val="FFFFFF"/>
                <w:sz w:val="22"/>
                <w:szCs w:val="22"/>
              </w:rPr>
            </w:pPr>
          </w:p>
        </w:tc>
        <w:tc>
          <w:tcPr>
            <w:tcW w:w="1240" w:type="dxa"/>
            <w:tcBorders>
              <w:top w:val="nil"/>
              <w:left w:val="nil"/>
              <w:bottom w:val="nil"/>
              <w:right w:val="nil"/>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£000</w:t>
            </w:r>
          </w:p>
        </w:tc>
        <w:tc>
          <w:tcPr>
            <w:tcW w:w="960" w:type="dxa"/>
            <w:tcBorders>
              <w:top w:val="nil"/>
              <w:left w:val="nil"/>
              <w:bottom w:val="nil"/>
              <w:right w:val="nil"/>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£000</w:t>
            </w:r>
          </w:p>
        </w:tc>
        <w:tc>
          <w:tcPr>
            <w:tcW w:w="960" w:type="dxa"/>
            <w:tcBorders>
              <w:top w:val="nil"/>
              <w:left w:val="nil"/>
              <w:bottom w:val="nil"/>
              <w:right w:val="nil"/>
            </w:tcBorders>
            <w:shd w:val="clear" w:color="000000" w:fill="95B3D7"/>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£000</w:t>
            </w:r>
          </w:p>
        </w:tc>
        <w:tc>
          <w:tcPr>
            <w:tcW w:w="960" w:type="dxa"/>
            <w:vMerge/>
            <w:tcBorders>
              <w:top w:val="nil"/>
              <w:left w:val="nil"/>
              <w:bottom w:val="nil"/>
              <w:right w:val="single" w:sz="4" w:space="0" w:color="auto"/>
            </w:tcBorders>
            <w:vAlign w:val="center"/>
            <w:hideMark/>
          </w:tcPr>
          <w:p w:rsidR="00C73CB8" w:rsidRPr="00C73CB8" w:rsidRDefault="00C73CB8" w:rsidP="00C73CB8">
            <w:pPr>
              <w:rPr>
                <w:rFonts w:ascii="Calibri" w:hAnsi="Calibri"/>
                <w:b/>
                <w:bCs/>
                <w:color w:val="FFFFFF"/>
                <w:sz w:val="22"/>
                <w:szCs w:val="22"/>
              </w:rPr>
            </w:pP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 xml:space="preserve">HRA Approval </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40</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34</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(6)</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(14)%</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Research ethics service</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256</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243</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(13)</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(5)%</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Research systems</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290</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282</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(8)</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Confidentiality Advisory Service</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15</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10</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(6)</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(37)%</w:t>
            </w:r>
          </w:p>
        </w:tc>
      </w:tr>
      <w:tr w:rsidR="00C73CB8" w:rsidRPr="00C73CB8" w:rsidTr="00C73CB8">
        <w:trPr>
          <w:trHeight w:val="300"/>
        </w:trPr>
        <w:tc>
          <w:tcPr>
            <w:tcW w:w="3360" w:type="dxa"/>
            <w:tcBorders>
              <w:top w:val="nil"/>
              <w:left w:val="single" w:sz="4" w:space="0" w:color="auto"/>
              <w:bottom w:val="nil"/>
              <w:right w:val="nil"/>
            </w:tcBorders>
            <w:shd w:val="clear" w:color="000000" w:fill="365F91"/>
            <w:vAlign w:val="center"/>
            <w:hideMark/>
          </w:tcPr>
          <w:p w:rsidR="00C73CB8" w:rsidRPr="00C73CB8" w:rsidRDefault="00C73CB8" w:rsidP="00C73CB8">
            <w:pPr>
              <w:rPr>
                <w:rFonts w:ascii="Calibri" w:hAnsi="Calibri"/>
                <w:b/>
                <w:bCs/>
                <w:color w:val="FFFFFF"/>
                <w:sz w:val="22"/>
                <w:szCs w:val="22"/>
              </w:rPr>
            </w:pPr>
            <w:r w:rsidRPr="00C73CB8">
              <w:rPr>
                <w:rFonts w:ascii="Calibri" w:hAnsi="Calibri"/>
                <w:b/>
                <w:bCs/>
                <w:color w:val="FFFFFF"/>
                <w:sz w:val="22"/>
                <w:szCs w:val="22"/>
              </w:rPr>
              <w:t>Total services non-staff costs</w:t>
            </w:r>
          </w:p>
        </w:tc>
        <w:tc>
          <w:tcPr>
            <w:tcW w:w="1240" w:type="dxa"/>
            <w:tcBorders>
              <w:top w:val="nil"/>
              <w:left w:val="nil"/>
              <w:bottom w:val="nil"/>
              <w:right w:val="nil"/>
            </w:tcBorders>
            <w:shd w:val="clear" w:color="000000" w:fill="365F91"/>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601</w:t>
            </w:r>
          </w:p>
        </w:tc>
        <w:tc>
          <w:tcPr>
            <w:tcW w:w="960" w:type="dxa"/>
            <w:tcBorders>
              <w:top w:val="nil"/>
              <w:left w:val="nil"/>
              <w:bottom w:val="nil"/>
              <w:right w:val="nil"/>
            </w:tcBorders>
            <w:shd w:val="clear" w:color="000000" w:fill="365F91"/>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569</w:t>
            </w:r>
          </w:p>
        </w:tc>
        <w:tc>
          <w:tcPr>
            <w:tcW w:w="960" w:type="dxa"/>
            <w:tcBorders>
              <w:top w:val="nil"/>
              <w:left w:val="nil"/>
              <w:bottom w:val="nil"/>
              <w:right w:val="nil"/>
            </w:tcBorders>
            <w:shd w:val="clear" w:color="000000" w:fill="365F91"/>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(32)</w:t>
            </w:r>
          </w:p>
        </w:tc>
        <w:tc>
          <w:tcPr>
            <w:tcW w:w="960" w:type="dxa"/>
            <w:tcBorders>
              <w:top w:val="nil"/>
              <w:left w:val="nil"/>
              <w:bottom w:val="nil"/>
              <w:right w:val="single" w:sz="4" w:space="0" w:color="auto"/>
            </w:tcBorders>
            <w:shd w:val="clear" w:color="000000" w:fill="365F91"/>
            <w:noWrap/>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-5%</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 xml:space="preserve">Chief executive </w:t>
            </w:r>
            <w:proofErr w:type="spellStart"/>
            <w:r w:rsidRPr="00C73CB8">
              <w:rPr>
                <w:rFonts w:ascii="Calibri" w:hAnsi="Calibri"/>
                <w:color w:val="000000"/>
                <w:sz w:val="22"/>
                <w:szCs w:val="22"/>
              </w:rPr>
              <w:t>inc.</w:t>
            </w:r>
            <w:proofErr w:type="spellEnd"/>
            <w:r w:rsidRPr="00C73CB8">
              <w:rPr>
                <w:rFonts w:ascii="Calibri" w:hAnsi="Calibri"/>
                <w:color w:val="000000"/>
                <w:sz w:val="22"/>
                <w:szCs w:val="22"/>
              </w:rPr>
              <w:t xml:space="preserve"> governance</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19</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16</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(12)%</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Policy</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9</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9</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0</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Training</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35</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33</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(6)%</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Corporate services</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54</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56</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2</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Finance, procurement &amp; estates</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305</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314</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9</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3%</w:t>
            </w:r>
          </w:p>
        </w:tc>
      </w:tr>
      <w:tr w:rsidR="00C73CB8" w:rsidRPr="00C73CB8" w:rsidTr="00C73CB8">
        <w:trPr>
          <w:trHeight w:val="300"/>
        </w:trPr>
        <w:tc>
          <w:tcPr>
            <w:tcW w:w="3360" w:type="dxa"/>
            <w:tcBorders>
              <w:top w:val="nil"/>
              <w:left w:val="single" w:sz="4" w:space="0" w:color="auto"/>
              <w:bottom w:val="nil"/>
              <w:right w:val="nil"/>
            </w:tcBorders>
            <w:shd w:val="clear" w:color="auto" w:fill="auto"/>
            <w:vAlign w:val="center"/>
            <w:hideMark/>
          </w:tcPr>
          <w:p w:rsidR="00C73CB8" w:rsidRPr="00C73CB8" w:rsidRDefault="00C73CB8" w:rsidP="00C73CB8">
            <w:pPr>
              <w:rPr>
                <w:rFonts w:ascii="Calibri" w:hAnsi="Calibri"/>
                <w:color w:val="000000"/>
                <w:sz w:val="22"/>
                <w:szCs w:val="22"/>
              </w:rPr>
            </w:pPr>
            <w:r w:rsidRPr="00C73CB8">
              <w:rPr>
                <w:rFonts w:ascii="Calibri" w:hAnsi="Calibri"/>
                <w:color w:val="000000"/>
                <w:sz w:val="22"/>
                <w:szCs w:val="22"/>
              </w:rPr>
              <w:t>Depreciation</w:t>
            </w:r>
          </w:p>
        </w:tc>
        <w:tc>
          <w:tcPr>
            <w:tcW w:w="124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125</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125</w:t>
            </w:r>
          </w:p>
        </w:tc>
        <w:tc>
          <w:tcPr>
            <w:tcW w:w="960" w:type="dxa"/>
            <w:tcBorders>
              <w:top w:val="nil"/>
              <w:left w:val="nil"/>
              <w:bottom w:val="nil"/>
              <w:right w:val="nil"/>
            </w:tcBorders>
            <w:shd w:val="clear" w:color="auto" w:fill="auto"/>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0</w:t>
            </w:r>
          </w:p>
        </w:tc>
        <w:tc>
          <w:tcPr>
            <w:tcW w:w="960" w:type="dxa"/>
            <w:tcBorders>
              <w:top w:val="nil"/>
              <w:left w:val="nil"/>
              <w:bottom w:val="nil"/>
              <w:right w:val="single" w:sz="4" w:space="0" w:color="auto"/>
            </w:tcBorders>
            <w:shd w:val="clear" w:color="auto" w:fill="auto"/>
            <w:noWrap/>
            <w:vAlign w:val="center"/>
            <w:hideMark/>
          </w:tcPr>
          <w:p w:rsidR="00C73CB8" w:rsidRPr="00C73CB8" w:rsidRDefault="00C73CB8" w:rsidP="00C73CB8">
            <w:pPr>
              <w:jc w:val="right"/>
              <w:rPr>
                <w:rFonts w:ascii="Calibri" w:hAnsi="Calibri"/>
                <w:color w:val="000000"/>
                <w:sz w:val="22"/>
                <w:szCs w:val="22"/>
              </w:rPr>
            </w:pPr>
            <w:r w:rsidRPr="00C73CB8">
              <w:rPr>
                <w:rFonts w:ascii="Calibri" w:hAnsi="Calibri"/>
                <w:color w:val="000000"/>
                <w:sz w:val="22"/>
                <w:szCs w:val="22"/>
              </w:rPr>
              <w:t>0%</w:t>
            </w:r>
          </w:p>
        </w:tc>
      </w:tr>
      <w:tr w:rsidR="00C73CB8" w:rsidRPr="00C73CB8" w:rsidTr="00C73CB8">
        <w:trPr>
          <w:trHeight w:val="300"/>
        </w:trPr>
        <w:tc>
          <w:tcPr>
            <w:tcW w:w="3360" w:type="dxa"/>
            <w:tcBorders>
              <w:top w:val="nil"/>
              <w:left w:val="single" w:sz="4" w:space="0" w:color="auto"/>
              <w:bottom w:val="single" w:sz="4" w:space="0" w:color="auto"/>
              <w:right w:val="nil"/>
            </w:tcBorders>
            <w:shd w:val="clear" w:color="000000" w:fill="365F91"/>
            <w:vAlign w:val="center"/>
            <w:hideMark/>
          </w:tcPr>
          <w:p w:rsidR="00C73CB8" w:rsidRPr="00C73CB8" w:rsidRDefault="00C73CB8" w:rsidP="00C73CB8">
            <w:pPr>
              <w:rPr>
                <w:rFonts w:ascii="Calibri" w:hAnsi="Calibri"/>
                <w:b/>
                <w:bCs/>
                <w:color w:val="FFFFFF"/>
                <w:sz w:val="22"/>
                <w:szCs w:val="22"/>
              </w:rPr>
            </w:pPr>
            <w:r w:rsidRPr="00C73CB8">
              <w:rPr>
                <w:rFonts w:ascii="Calibri" w:hAnsi="Calibri"/>
                <w:b/>
                <w:bCs/>
                <w:color w:val="FFFFFF"/>
                <w:sz w:val="22"/>
                <w:szCs w:val="22"/>
              </w:rPr>
              <w:t>Total non-staff costs</w:t>
            </w:r>
          </w:p>
        </w:tc>
        <w:tc>
          <w:tcPr>
            <w:tcW w:w="1240" w:type="dxa"/>
            <w:tcBorders>
              <w:top w:val="nil"/>
              <w:left w:val="nil"/>
              <w:bottom w:val="single" w:sz="4" w:space="0" w:color="auto"/>
              <w:right w:val="nil"/>
            </w:tcBorders>
            <w:shd w:val="clear" w:color="000000" w:fill="365F91"/>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1,148</w:t>
            </w:r>
          </w:p>
        </w:tc>
        <w:tc>
          <w:tcPr>
            <w:tcW w:w="960" w:type="dxa"/>
            <w:tcBorders>
              <w:top w:val="nil"/>
              <w:left w:val="nil"/>
              <w:bottom w:val="single" w:sz="4" w:space="0" w:color="auto"/>
              <w:right w:val="nil"/>
            </w:tcBorders>
            <w:shd w:val="clear" w:color="000000" w:fill="365F91"/>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1,122</w:t>
            </w:r>
          </w:p>
        </w:tc>
        <w:tc>
          <w:tcPr>
            <w:tcW w:w="960" w:type="dxa"/>
            <w:tcBorders>
              <w:top w:val="nil"/>
              <w:left w:val="nil"/>
              <w:bottom w:val="nil"/>
              <w:right w:val="nil"/>
            </w:tcBorders>
            <w:shd w:val="clear" w:color="000000" w:fill="365F91"/>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(25)</w:t>
            </w:r>
          </w:p>
        </w:tc>
        <w:tc>
          <w:tcPr>
            <w:tcW w:w="960" w:type="dxa"/>
            <w:tcBorders>
              <w:top w:val="nil"/>
              <w:left w:val="nil"/>
              <w:bottom w:val="single" w:sz="4" w:space="0" w:color="auto"/>
              <w:right w:val="single" w:sz="4" w:space="0" w:color="auto"/>
            </w:tcBorders>
            <w:shd w:val="clear" w:color="000000" w:fill="365F91"/>
            <w:noWrap/>
            <w:vAlign w:val="center"/>
            <w:hideMark/>
          </w:tcPr>
          <w:p w:rsidR="00C73CB8" w:rsidRPr="00C73CB8" w:rsidRDefault="00C73CB8" w:rsidP="00C73CB8">
            <w:pPr>
              <w:jc w:val="right"/>
              <w:rPr>
                <w:rFonts w:ascii="Calibri" w:hAnsi="Calibri"/>
                <w:b/>
                <w:bCs/>
                <w:color w:val="FFFFFF"/>
                <w:sz w:val="22"/>
                <w:szCs w:val="22"/>
              </w:rPr>
            </w:pPr>
            <w:r w:rsidRPr="00C73CB8">
              <w:rPr>
                <w:rFonts w:ascii="Calibri" w:hAnsi="Calibri"/>
                <w:b/>
                <w:bCs/>
                <w:color w:val="FFFFFF"/>
                <w:sz w:val="22"/>
                <w:szCs w:val="22"/>
              </w:rPr>
              <w:t>(2)%</w:t>
            </w:r>
          </w:p>
        </w:tc>
      </w:tr>
    </w:tbl>
    <w:p w:rsidR="002E0A2A" w:rsidRDefault="002E0A2A" w:rsidP="007C5117">
      <w:pPr>
        <w:spacing w:after="200" w:line="276" w:lineRule="auto"/>
        <w:rPr>
          <w:rFonts w:ascii="Arial" w:hAnsi="Arial" w:cs="Arial"/>
          <w:b/>
          <w:sz w:val="22"/>
          <w:szCs w:val="22"/>
        </w:rPr>
      </w:pPr>
    </w:p>
    <w:p w:rsidR="007315DF" w:rsidRPr="007315DF" w:rsidRDefault="007315DF" w:rsidP="007C5117">
      <w:pPr>
        <w:spacing w:after="200" w:line="276" w:lineRule="auto"/>
        <w:rPr>
          <w:rFonts w:ascii="Arial" w:hAnsi="Arial" w:cs="Arial"/>
          <w:sz w:val="22"/>
          <w:szCs w:val="22"/>
        </w:rPr>
      </w:pPr>
      <w:r w:rsidRPr="00535185">
        <w:rPr>
          <w:rFonts w:ascii="Arial" w:hAnsi="Arial" w:cs="Arial"/>
          <w:b/>
          <w:sz w:val="22"/>
          <w:szCs w:val="22"/>
        </w:rPr>
        <w:lastRenderedPageBreak/>
        <w:t>No significant variances</w:t>
      </w:r>
      <w:r w:rsidRPr="007315DF">
        <w:rPr>
          <w:rFonts w:ascii="Arial" w:hAnsi="Arial" w:cs="Arial"/>
          <w:sz w:val="22"/>
          <w:szCs w:val="22"/>
        </w:rPr>
        <w:t xml:space="preserve"> to report at this stage of the year</w:t>
      </w:r>
      <w:r>
        <w:rPr>
          <w:rFonts w:ascii="Arial" w:hAnsi="Arial" w:cs="Arial"/>
          <w:sz w:val="22"/>
          <w:szCs w:val="22"/>
        </w:rPr>
        <w:t xml:space="preserve">. </w:t>
      </w:r>
      <w:r w:rsidR="002E0A2A">
        <w:rPr>
          <w:rFonts w:ascii="Arial" w:hAnsi="Arial" w:cs="Arial"/>
          <w:sz w:val="22"/>
          <w:szCs w:val="22"/>
        </w:rPr>
        <w:t xml:space="preserve">Travel </w:t>
      </w:r>
      <w:r w:rsidR="008D5232">
        <w:rPr>
          <w:rFonts w:ascii="Arial" w:hAnsi="Arial" w:cs="Arial"/>
          <w:sz w:val="22"/>
          <w:szCs w:val="22"/>
        </w:rPr>
        <w:t xml:space="preserve">costs </w:t>
      </w:r>
      <w:r w:rsidR="00062CA4">
        <w:rPr>
          <w:rFonts w:ascii="Arial" w:hAnsi="Arial" w:cs="Arial"/>
          <w:sz w:val="22"/>
          <w:szCs w:val="22"/>
        </w:rPr>
        <w:t>are slightly underspent (£2</w:t>
      </w:r>
      <w:r w:rsidR="002E0A2A">
        <w:rPr>
          <w:rFonts w:ascii="Arial" w:hAnsi="Arial" w:cs="Arial"/>
          <w:sz w:val="22"/>
          <w:szCs w:val="22"/>
        </w:rPr>
        <w:t xml:space="preserve">1k) but this is expected to be rectified </w:t>
      </w:r>
      <w:r w:rsidR="00296174">
        <w:rPr>
          <w:rFonts w:ascii="Arial" w:hAnsi="Arial" w:cs="Arial"/>
          <w:sz w:val="22"/>
          <w:szCs w:val="22"/>
        </w:rPr>
        <w:t xml:space="preserve">in part </w:t>
      </w:r>
      <w:r w:rsidR="002E0A2A">
        <w:rPr>
          <w:rFonts w:ascii="Arial" w:hAnsi="Arial" w:cs="Arial"/>
          <w:sz w:val="22"/>
          <w:szCs w:val="22"/>
        </w:rPr>
        <w:t>as our learning and development programme is rolled out</w:t>
      </w:r>
      <w:r w:rsidR="00296174">
        <w:rPr>
          <w:rFonts w:ascii="Arial" w:hAnsi="Arial" w:cs="Arial"/>
          <w:sz w:val="22"/>
          <w:szCs w:val="22"/>
        </w:rPr>
        <w:t xml:space="preserve"> towards the latter part of the year</w:t>
      </w:r>
      <w:r w:rsidR="002E0A2A">
        <w:rPr>
          <w:rFonts w:ascii="Arial" w:hAnsi="Arial" w:cs="Arial"/>
          <w:sz w:val="22"/>
          <w:szCs w:val="22"/>
        </w:rPr>
        <w:t xml:space="preserve">. </w:t>
      </w:r>
      <w:r w:rsidR="00296174">
        <w:rPr>
          <w:rFonts w:ascii="Arial" w:hAnsi="Arial" w:cs="Arial"/>
          <w:sz w:val="22"/>
          <w:szCs w:val="22"/>
        </w:rPr>
        <w:t xml:space="preserve">The decision taken to hold our all staff meeting in Apr / May 2018 will mean that some savings are expected on the </w:t>
      </w:r>
      <w:proofErr w:type="spellStart"/>
      <w:r w:rsidR="00296174">
        <w:rPr>
          <w:rFonts w:ascii="Arial" w:hAnsi="Arial" w:cs="Arial"/>
          <w:sz w:val="22"/>
          <w:szCs w:val="22"/>
        </w:rPr>
        <w:t>cost</w:t>
      </w:r>
      <w:proofErr w:type="spellEnd"/>
      <w:r w:rsidR="00296174">
        <w:rPr>
          <w:rFonts w:ascii="Arial" w:hAnsi="Arial" w:cs="Arial"/>
          <w:sz w:val="22"/>
          <w:szCs w:val="22"/>
        </w:rPr>
        <w:t xml:space="preserve"> </w:t>
      </w:r>
      <w:proofErr w:type="gramStart"/>
      <w:r w:rsidR="00296174">
        <w:rPr>
          <w:rFonts w:ascii="Arial" w:hAnsi="Arial" w:cs="Arial"/>
          <w:sz w:val="22"/>
          <w:szCs w:val="22"/>
        </w:rPr>
        <w:t>line,</w:t>
      </w:r>
      <w:proofErr w:type="gramEnd"/>
      <w:r w:rsidR="00296174">
        <w:rPr>
          <w:rFonts w:ascii="Arial" w:hAnsi="Arial" w:cs="Arial"/>
          <w:sz w:val="22"/>
          <w:szCs w:val="22"/>
        </w:rPr>
        <w:t xml:space="preserve"> however, additional costs for SIP workshops may balance these savings. </w:t>
      </w:r>
    </w:p>
    <w:p w:rsidR="002E0A2A" w:rsidRDefault="002E0A2A">
      <w:pPr>
        <w:spacing w:after="200" w:line="276" w:lineRule="auto"/>
        <w:rPr>
          <w:rFonts w:ascii="Arial" w:hAnsi="Arial" w:cs="Arial"/>
          <w:b/>
          <w:sz w:val="22"/>
          <w:szCs w:val="22"/>
        </w:rPr>
      </w:pP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t>Capital expenditure</w:t>
      </w:r>
    </w:p>
    <w:tbl>
      <w:tblPr>
        <w:tblW w:w="9700" w:type="dxa"/>
        <w:tblInd w:w="93" w:type="dxa"/>
        <w:tblLook w:val="04A0" w:firstRow="1" w:lastRow="0" w:firstColumn="1" w:lastColumn="0" w:noHBand="0" w:noVBand="1"/>
      </w:tblPr>
      <w:tblGrid>
        <w:gridCol w:w="3820"/>
        <w:gridCol w:w="260"/>
        <w:gridCol w:w="1280"/>
        <w:gridCol w:w="1460"/>
        <w:gridCol w:w="1400"/>
        <w:gridCol w:w="1480"/>
      </w:tblGrid>
      <w:tr w:rsidR="00BF31D1" w:rsidRPr="00BF31D1" w:rsidTr="00AE22B5">
        <w:trPr>
          <w:trHeight w:val="528"/>
        </w:trPr>
        <w:tc>
          <w:tcPr>
            <w:tcW w:w="3820" w:type="dxa"/>
            <w:vMerge w:val="restar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r w:rsidRPr="00BF31D1">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val="restart"/>
            <w:tcBorders>
              <w:top w:val="single" w:sz="8" w:space="0" w:color="FFFFFF"/>
              <w:left w:val="nil"/>
              <w:right w:val="single" w:sz="8" w:space="0" w:color="FFFFFF"/>
            </w:tcBorders>
            <w:shd w:val="clear" w:color="000000" w:fill="95B3D7" w:themeFill="accent1" w:themeFillTint="99"/>
            <w:vAlign w:val="center"/>
            <w:hideMark/>
          </w:tcPr>
          <w:p w:rsidR="00BF31D1" w:rsidRPr="00BF31D1" w:rsidRDefault="001B0713" w:rsidP="00BF31D1">
            <w:pPr>
              <w:jc w:val="center"/>
              <w:rPr>
                <w:rFonts w:ascii="Arial" w:hAnsi="Arial" w:cs="Arial"/>
                <w:b/>
                <w:bCs/>
                <w:color w:val="FFFFFF"/>
                <w:sz w:val="20"/>
                <w:szCs w:val="20"/>
              </w:rPr>
            </w:pPr>
            <w:r>
              <w:rPr>
                <w:rFonts w:ascii="Arial" w:hAnsi="Arial" w:cs="Arial"/>
                <w:b/>
                <w:bCs/>
                <w:color w:val="FFFFFF"/>
                <w:sz w:val="20"/>
                <w:szCs w:val="20"/>
              </w:rPr>
              <w:t>2017/18</w:t>
            </w:r>
            <w:r w:rsidR="00BF31D1" w:rsidRPr="00BF31D1">
              <w:rPr>
                <w:rFonts w:ascii="Arial" w:hAnsi="Arial" w:cs="Arial"/>
                <w:b/>
                <w:bCs/>
                <w:color w:val="FFFFFF"/>
                <w:sz w:val="20"/>
                <w:szCs w:val="20"/>
              </w:rPr>
              <w:t xml:space="preserve"> plan full year</w:t>
            </w:r>
          </w:p>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60" w:type="dxa"/>
            <w:tcBorders>
              <w:top w:val="single" w:sz="8" w:space="0" w:color="FFFFFF"/>
              <w:left w:val="nil"/>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budget </w:t>
            </w:r>
            <w:proofErr w:type="spellStart"/>
            <w:r w:rsidRPr="00BF31D1">
              <w:rPr>
                <w:rFonts w:ascii="Arial" w:hAnsi="Arial" w:cs="Arial"/>
                <w:b/>
                <w:bCs/>
                <w:color w:val="FFFFFF"/>
                <w:sz w:val="20"/>
                <w:szCs w:val="20"/>
              </w:rPr>
              <w:t>ytd</w:t>
            </w:r>
            <w:proofErr w:type="spellEnd"/>
          </w:p>
        </w:tc>
        <w:tc>
          <w:tcPr>
            <w:tcW w:w="140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actual </w:t>
            </w:r>
            <w:proofErr w:type="spellStart"/>
            <w:r w:rsidRPr="00BF31D1">
              <w:rPr>
                <w:rFonts w:ascii="Arial" w:hAnsi="Arial" w:cs="Arial"/>
                <w:b/>
                <w:bCs/>
                <w:color w:val="FFFFFF"/>
                <w:sz w:val="20"/>
                <w:szCs w:val="20"/>
              </w:rPr>
              <w:t>ytd</w:t>
            </w:r>
            <w:proofErr w:type="spellEnd"/>
          </w:p>
        </w:tc>
        <w:tc>
          <w:tcPr>
            <w:tcW w:w="148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variance </w:t>
            </w:r>
            <w:proofErr w:type="spellStart"/>
            <w:r w:rsidRPr="00BF31D1">
              <w:rPr>
                <w:rFonts w:ascii="Arial" w:hAnsi="Arial" w:cs="Arial"/>
                <w:b/>
                <w:bCs/>
                <w:color w:val="FFFFFF"/>
                <w:sz w:val="20"/>
                <w:szCs w:val="20"/>
              </w:rPr>
              <w:t>ytd</w:t>
            </w:r>
            <w:proofErr w:type="spellEnd"/>
          </w:p>
        </w:tc>
      </w:tr>
      <w:tr w:rsidR="00BF31D1" w:rsidRPr="00BF31D1" w:rsidTr="00AE22B5">
        <w:trPr>
          <w:trHeight w:val="300"/>
        </w:trPr>
        <w:tc>
          <w:tcPr>
            <w:tcW w:w="3820" w:type="dxa"/>
            <w:vMerge/>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tcBorders>
              <w:left w:val="nil"/>
              <w:bottom w:val="nil"/>
              <w:right w:val="single" w:sz="8" w:space="0" w:color="FFFFFF"/>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p>
        </w:tc>
        <w:tc>
          <w:tcPr>
            <w:tcW w:w="1460" w:type="dxa"/>
            <w:tcBorders>
              <w:top w:val="nil"/>
              <w:left w:val="nil"/>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0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8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215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E872B3" w:rsidP="002451D5">
            <w:pPr>
              <w:jc w:val="right"/>
              <w:rPr>
                <w:rFonts w:ascii="Arial" w:hAnsi="Arial" w:cs="Arial"/>
                <w:color w:val="000000"/>
                <w:sz w:val="18"/>
                <w:szCs w:val="18"/>
              </w:rPr>
            </w:pPr>
            <w:r>
              <w:rPr>
                <w:rFonts w:ascii="Arial" w:hAnsi="Arial" w:cs="Arial"/>
                <w:color w:val="000000"/>
                <w:sz w:val="18"/>
                <w:szCs w:val="18"/>
              </w:rPr>
              <w:t>72</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E872B3" w:rsidP="002451D5">
            <w:pPr>
              <w:jc w:val="right"/>
              <w:rPr>
                <w:rFonts w:ascii="Arial" w:hAnsi="Arial" w:cs="Arial"/>
                <w:color w:val="000000"/>
                <w:sz w:val="18"/>
                <w:szCs w:val="18"/>
              </w:rPr>
            </w:pPr>
            <w:r>
              <w:rPr>
                <w:rFonts w:ascii="Arial" w:hAnsi="Arial" w:cs="Arial"/>
                <w:color w:val="000000"/>
                <w:sz w:val="18"/>
                <w:szCs w:val="18"/>
              </w:rPr>
              <w:t>69</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362</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E872B3" w:rsidP="002451D5">
            <w:pPr>
              <w:jc w:val="right"/>
              <w:rPr>
                <w:rFonts w:ascii="Arial" w:hAnsi="Arial" w:cs="Arial"/>
                <w:color w:val="000000"/>
                <w:sz w:val="18"/>
                <w:szCs w:val="18"/>
              </w:rPr>
            </w:pPr>
            <w:r>
              <w:rPr>
                <w:rFonts w:ascii="Arial" w:hAnsi="Arial" w:cs="Arial"/>
                <w:color w:val="000000"/>
                <w:sz w:val="18"/>
                <w:szCs w:val="18"/>
              </w:rPr>
              <w:t>121</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E872B3" w:rsidP="002451D5">
            <w:pPr>
              <w:jc w:val="right"/>
              <w:rPr>
                <w:rFonts w:ascii="Arial" w:hAnsi="Arial" w:cs="Arial"/>
                <w:color w:val="000000"/>
                <w:sz w:val="18"/>
                <w:szCs w:val="18"/>
              </w:rPr>
            </w:pPr>
            <w:r>
              <w:rPr>
                <w:rFonts w:ascii="Arial" w:hAnsi="Arial" w:cs="Arial"/>
                <w:color w:val="000000"/>
                <w:sz w:val="18"/>
                <w:szCs w:val="18"/>
              </w:rPr>
              <w:t>118</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577</w:t>
            </w:r>
          </w:p>
        </w:tc>
        <w:tc>
          <w:tcPr>
            <w:tcW w:w="1460" w:type="dxa"/>
            <w:tcBorders>
              <w:top w:val="nil"/>
              <w:left w:val="nil"/>
              <w:bottom w:val="nil"/>
              <w:right w:val="single" w:sz="8" w:space="0" w:color="FFFFFF"/>
            </w:tcBorders>
            <w:shd w:val="clear" w:color="000000" w:fill="366092"/>
            <w:vAlign w:val="center"/>
          </w:tcPr>
          <w:p w:rsidR="002451D5" w:rsidRPr="00BF31D1" w:rsidRDefault="00E872B3" w:rsidP="002451D5">
            <w:pPr>
              <w:jc w:val="right"/>
              <w:rPr>
                <w:rFonts w:ascii="Arial" w:hAnsi="Arial" w:cs="Arial"/>
                <w:b/>
                <w:bCs/>
                <w:color w:val="FFFFFF"/>
                <w:sz w:val="18"/>
                <w:szCs w:val="18"/>
              </w:rPr>
            </w:pPr>
            <w:r>
              <w:rPr>
                <w:rFonts w:ascii="Arial" w:hAnsi="Arial" w:cs="Arial"/>
                <w:b/>
                <w:bCs/>
                <w:color w:val="FFFFFF"/>
                <w:sz w:val="18"/>
                <w:szCs w:val="18"/>
              </w:rPr>
              <w:t>193</w:t>
            </w:r>
          </w:p>
        </w:tc>
        <w:tc>
          <w:tcPr>
            <w:tcW w:w="1400" w:type="dxa"/>
            <w:tcBorders>
              <w:top w:val="nil"/>
              <w:left w:val="nil"/>
              <w:bottom w:val="nil"/>
              <w:right w:val="single" w:sz="8" w:space="0" w:color="FFFFFF"/>
            </w:tcBorders>
            <w:shd w:val="clear" w:color="000000" w:fill="366092"/>
            <w:vAlign w:val="center"/>
          </w:tcPr>
          <w:p w:rsidR="002451D5" w:rsidRPr="00BF31D1" w:rsidRDefault="00E872B3" w:rsidP="002451D5">
            <w:pPr>
              <w:jc w:val="right"/>
              <w:rPr>
                <w:rFonts w:ascii="Arial" w:hAnsi="Arial" w:cs="Arial"/>
                <w:b/>
                <w:bCs/>
                <w:color w:val="FFFFFF"/>
                <w:sz w:val="18"/>
                <w:szCs w:val="18"/>
              </w:rPr>
            </w:pPr>
            <w:r>
              <w:rPr>
                <w:rFonts w:ascii="Arial" w:hAnsi="Arial" w:cs="Arial"/>
                <w:b/>
                <w:bCs/>
                <w:color w:val="FFFFFF"/>
                <w:sz w:val="18"/>
                <w:szCs w:val="18"/>
              </w:rPr>
              <w:t>187</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w:t>
            </w:r>
            <w:r>
              <w:rPr>
                <w:rFonts w:ascii="Arial" w:hAnsi="Arial" w:cs="Arial"/>
                <w:b/>
                <w:bCs/>
                <w:color w:val="FFFFFF"/>
                <w:sz w:val="18"/>
                <w:szCs w:val="18"/>
              </w:rPr>
              <w:t>6</w:t>
            </w:r>
            <w:r w:rsidRPr="00BF31D1">
              <w:rPr>
                <w:rFonts w:ascii="Arial" w:hAnsi="Arial" w:cs="Arial"/>
                <w:b/>
                <w:bCs/>
                <w:color w:val="FFFFFF"/>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114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E872B3" w:rsidP="002451D5">
            <w:pPr>
              <w:jc w:val="right"/>
              <w:rPr>
                <w:rFonts w:ascii="Arial" w:hAnsi="Arial" w:cs="Arial"/>
                <w:color w:val="000000"/>
                <w:sz w:val="18"/>
                <w:szCs w:val="18"/>
              </w:rPr>
            </w:pPr>
            <w:r>
              <w:rPr>
                <w:rFonts w:ascii="Arial" w:hAnsi="Arial" w:cs="Arial"/>
                <w:color w:val="000000"/>
                <w:sz w:val="18"/>
                <w:szCs w:val="18"/>
              </w:rPr>
              <w:t>38</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E872B3" w:rsidP="002451D5">
            <w:pPr>
              <w:jc w:val="right"/>
              <w:rPr>
                <w:rFonts w:ascii="Arial" w:hAnsi="Arial" w:cs="Arial"/>
                <w:color w:val="000000"/>
                <w:sz w:val="18"/>
                <w:szCs w:val="18"/>
              </w:rPr>
            </w:pPr>
            <w:r>
              <w:rPr>
                <w:rFonts w:ascii="Arial" w:hAnsi="Arial" w:cs="Arial"/>
                <w:color w:val="000000"/>
                <w:sz w:val="18"/>
                <w:szCs w:val="18"/>
              </w:rPr>
              <w:t>37</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Pr>
                <w:rFonts w:ascii="Arial" w:hAnsi="Arial" w:cs="Arial"/>
                <w:color w:val="000000"/>
                <w:sz w:val="18"/>
                <w:szCs w:val="18"/>
              </w:rPr>
              <w:t>(1</w:t>
            </w:r>
            <w:r w:rsidRPr="00BF31D1">
              <w:rPr>
                <w:rFonts w:ascii="Arial" w:hAnsi="Arial" w:cs="Arial"/>
                <w:color w:val="000000"/>
                <w:sz w:val="18"/>
                <w:szCs w:val="18"/>
              </w:rPr>
              <w:t>)</w:t>
            </w:r>
          </w:p>
        </w:tc>
      </w:tr>
      <w:tr w:rsidR="002451D5" w:rsidRPr="00BF31D1" w:rsidTr="00CC45F4">
        <w:trPr>
          <w:trHeight w:val="480"/>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BGO Contract and Capitalised salaries position as at 30 June 2016</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691</w:t>
            </w:r>
          </w:p>
        </w:tc>
        <w:tc>
          <w:tcPr>
            <w:tcW w:w="1460" w:type="dxa"/>
            <w:tcBorders>
              <w:top w:val="nil"/>
              <w:left w:val="nil"/>
              <w:bottom w:val="nil"/>
              <w:right w:val="single" w:sz="8" w:space="0" w:color="FFFFFF"/>
            </w:tcBorders>
            <w:shd w:val="clear" w:color="000000" w:fill="366092"/>
            <w:vAlign w:val="center"/>
          </w:tcPr>
          <w:p w:rsidR="002451D5" w:rsidRPr="00BF31D1" w:rsidRDefault="00E872B3" w:rsidP="002451D5">
            <w:pPr>
              <w:jc w:val="right"/>
              <w:rPr>
                <w:rFonts w:ascii="Arial" w:hAnsi="Arial" w:cs="Arial"/>
                <w:b/>
                <w:bCs/>
                <w:color w:val="FFFFFF"/>
                <w:sz w:val="18"/>
                <w:szCs w:val="18"/>
              </w:rPr>
            </w:pPr>
            <w:r>
              <w:rPr>
                <w:rFonts w:ascii="Arial" w:hAnsi="Arial" w:cs="Arial"/>
                <w:b/>
                <w:bCs/>
                <w:color w:val="FFFFFF"/>
                <w:sz w:val="18"/>
                <w:szCs w:val="18"/>
              </w:rPr>
              <w:t>231</w:t>
            </w:r>
          </w:p>
        </w:tc>
        <w:tc>
          <w:tcPr>
            <w:tcW w:w="1400" w:type="dxa"/>
            <w:tcBorders>
              <w:top w:val="nil"/>
              <w:left w:val="nil"/>
              <w:bottom w:val="nil"/>
              <w:right w:val="single" w:sz="8" w:space="0" w:color="FFFFFF"/>
            </w:tcBorders>
            <w:shd w:val="clear" w:color="000000" w:fill="366092"/>
            <w:vAlign w:val="center"/>
          </w:tcPr>
          <w:p w:rsidR="002451D5" w:rsidRPr="00BF31D1" w:rsidRDefault="00E872B3" w:rsidP="002451D5">
            <w:pPr>
              <w:jc w:val="right"/>
              <w:rPr>
                <w:rFonts w:ascii="Arial" w:hAnsi="Arial" w:cs="Arial"/>
                <w:b/>
                <w:bCs/>
                <w:color w:val="FFFFFF"/>
                <w:sz w:val="18"/>
                <w:szCs w:val="18"/>
              </w:rPr>
            </w:pPr>
            <w:r>
              <w:rPr>
                <w:rFonts w:ascii="Arial" w:hAnsi="Arial" w:cs="Arial"/>
                <w:b/>
                <w:bCs/>
                <w:color w:val="FFFFFF"/>
                <w:sz w:val="18"/>
                <w:szCs w:val="18"/>
              </w:rPr>
              <w:t>224</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w:t>
            </w:r>
            <w:r>
              <w:rPr>
                <w:rFonts w:ascii="Arial" w:hAnsi="Arial" w:cs="Arial"/>
                <w:b/>
                <w:bCs/>
                <w:color w:val="FFFFFF"/>
                <w:sz w:val="18"/>
                <w:szCs w:val="18"/>
              </w:rPr>
              <w:t>7</w:t>
            </w:r>
            <w:r w:rsidRPr="00BF31D1">
              <w:rPr>
                <w:rFonts w:ascii="Arial" w:hAnsi="Arial" w:cs="Arial"/>
                <w:b/>
                <w:bCs/>
                <w:color w:val="FFFFFF"/>
                <w:sz w:val="18"/>
                <w:szCs w:val="18"/>
              </w:rPr>
              <w:t>)</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Estates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85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0</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800</w:t>
            </w:r>
          </w:p>
        </w:tc>
        <w:tc>
          <w:tcPr>
            <w:tcW w:w="1460" w:type="dxa"/>
            <w:tcBorders>
              <w:top w:val="nil"/>
              <w:left w:val="nil"/>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Pr>
                <w:rFonts w:ascii="Arial" w:hAnsi="Arial" w:cs="Arial"/>
                <w:b/>
                <w:bCs/>
                <w:color w:val="FFFFFF"/>
                <w:sz w:val="18"/>
                <w:szCs w:val="18"/>
              </w:rPr>
              <w:t>173</w:t>
            </w:r>
          </w:p>
        </w:tc>
        <w:tc>
          <w:tcPr>
            <w:tcW w:w="1400" w:type="dxa"/>
            <w:tcBorders>
              <w:top w:val="nil"/>
              <w:left w:val="nil"/>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Pr>
                <w:rFonts w:ascii="Arial" w:hAnsi="Arial" w:cs="Arial"/>
                <w:b/>
                <w:bCs/>
                <w:color w:val="FFFFFF"/>
                <w:sz w:val="18"/>
                <w:szCs w:val="18"/>
              </w:rPr>
              <w:t>166</w:t>
            </w:r>
          </w:p>
        </w:tc>
        <w:tc>
          <w:tcPr>
            <w:tcW w:w="1480" w:type="dxa"/>
            <w:tcBorders>
              <w:top w:val="nil"/>
              <w:left w:val="nil"/>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w:t>
            </w:r>
            <w:r>
              <w:rPr>
                <w:rFonts w:ascii="Arial" w:hAnsi="Arial" w:cs="Arial"/>
                <w:b/>
                <w:bCs/>
                <w:color w:val="FFFFFF"/>
                <w:sz w:val="18"/>
                <w:szCs w:val="18"/>
              </w:rPr>
              <w:t>7</w:t>
            </w:r>
            <w:r w:rsidRPr="00BF31D1">
              <w:rPr>
                <w:rFonts w:ascii="Arial" w:hAnsi="Arial" w:cs="Arial"/>
                <w:b/>
                <w:bCs/>
                <w:color w:val="FFFFFF"/>
                <w:sz w:val="18"/>
                <w:szCs w:val="18"/>
              </w:rPr>
              <w:t>)</w:t>
            </w:r>
          </w:p>
        </w:tc>
      </w:tr>
    </w:tbl>
    <w:p w:rsidR="00DB368B" w:rsidRDefault="00DB368B" w:rsidP="006E30B3">
      <w:pPr>
        <w:spacing w:after="200" w:line="276" w:lineRule="auto"/>
        <w:rPr>
          <w:rFonts w:ascii="Arial" w:hAnsi="Arial" w:cs="Arial"/>
          <w:sz w:val="22"/>
          <w:szCs w:val="22"/>
        </w:rPr>
      </w:pPr>
    </w:p>
    <w:p w:rsidR="00296174" w:rsidRDefault="00BF31D1" w:rsidP="006E30B3">
      <w:pPr>
        <w:spacing w:after="200" w:line="276" w:lineRule="auto"/>
        <w:rPr>
          <w:rFonts w:ascii="Arial" w:hAnsi="Arial" w:cs="Arial"/>
          <w:sz w:val="22"/>
          <w:szCs w:val="22"/>
        </w:rPr>
      </w:pPr>
      <w:r>
        <w:rPr>
          <w:rFonts w:ascii="Arial" w:hAnsi="Arial" w:cs="Arial"/>
          <w:sz w:val="22"/>
          <w:szCs w:val="22"/>
        </w:rPr>
        <w:t>86% of the capital budget is</w:t>
      </w:r>
      <w:r w:rsidR="004A71FD">
        <w:rPr>
          <w:rFonts w:ascii="Arial" w:hAnsi="Arial" w:cs="Arial"/>
          <w:sz w:val="22"/>
          <w:szCs w:val="22"/>
        </w:rPr>
        <w:t xml:space="preserve"> </w:t>
      </w:r>
      <w:r w:rsidR="00535185">
        <w:rPr>
          <w:rFonts w:ascii="Arial" w:hAnsi="Arial" w:cs="Arial"/>
          <w:sz w:val="22"/>
          <w:szCs w:val="22"/>
        </w:rPr>
        <w:t>c</w:t>
      </w:r>
      <w:r w:rsidR="004A71FD">
        <w:rPr>
          <w:rFonts w:ascii="Arial" w:hAnsi="Arial" w:cs="Arial"/>
          <w:sz w:val="22"/>
          <w:szCs w:val="22"/>
        </w:rPr>
        <w:t>ommitted</w:t>
      </w:r>
      <w:r w:rsidR="00535185">
        <w:rPr>
          <w:rFonts w:ascii="Arial" w:hAnsi="Arial" w:cs="Arial"/>
          <w:sz w:val="22"/>
          <w:szCs w:val="22"/>
        </w:rPr>
        <w:t>. The</w:t>
      </w:r>
      <w:r>
        <w:rPr>
          <w:rFonts w:ascii="Arial" w:hAnsi="Arial" w:cs="Arial"/>
          <w:sz w:val="22"/>
          <w:szCs w:val="22"/>
        </w:rPr>
        <w:t xml:space="preserve"> BGO contract delivering HARP and IRAS developments as well as the internal team working o</w:t>
      </w:r>
      <w:r w:rsidR="004A71FD">
        <w:rPr>
          <w:rFonts w:ascii="Arial" w:hAnsi="Arial" w:cs="Arial"/>
          <w:sz w:val="22"/>
          <w:szCs w:val="22"/>
        </w:rPr>
        <w:t>n</w:t>
      </w:r>
      <w:r>
        <w:rPr>
          <w:rFonts w:ascii="Arial" w:hAnsi="Arial" w:cs="Arial"/>
          <w:sz w:val="22"/>
          <w:szCs w:val="22"/>
        </w:rPr>
        <w:t xml:space="preserve"> improvements to the</w:t>
      </w:r>
      <w:r w:rsidR="004A71FD">
        <w:rPr>
          <w:rFonts w:ascii="Arial" w:hAnsi="Arial" w:cs="Arial"/>
          <w:sz w:val="22"/>
          <w:szCs w:val="22"/>
        </w:rPr>
        <w:t>se</w:t>
      </w:r>
      <w:r>
        <w:rPr>
          <w:rFonts w:ascii="Arial" w:hAnsi="Arial" w:cs="Arial"/>
          <w:sz w:val="22"/>
          <w:szCs w:val="22"/>
        </w:rPr>
        <w:t xml:space="preserve"> current system</w:t>
      </w:r>
      <w:r w:rsidR="004A71FD">
        <w:rPr>
          <w:rFonts w:ascii="Arial" w:hAnsi="Arial" w:cs="Arial"/>
          <w:sz w:val="22"/>
          <w:szCs w:val="22"/>
        </w:rPr>
        <w:t>s</w:t>
      </w:r>
      <w:r w:rsidR="00535185">
        <w:rPr>
          <w:rFonts w:ascii="Arial" w:hAnsi="Arial" w:cs="Arial"/>
          <w:sz w:val="22"/>
          <w:szCs w:val="22"/>
        </w:rPr>
        <w:t xml:space="preserve"> make up this amount</w:t>
      </w:r>
      <w:r>
        <w:rPr>
          <w:rFonts w:ascii="Arial" w:hAnsi="Arial" w:cs="Arial"/>
          <w:sz w:val="22"/>
          <w:szCs w:val="22"/>
        </w:rPr>
        <w:t xml:space="preserve">. </w:t>
      </w:r>
      <w:r w:rsidR="004A71FD">
        <w:rPr>
          <w:rFonts w:ascii="Arial" w:hAnsi="Arial" w:cs="Arial"/>
          <w:sz w:val="22"/>
          <w:szCs w:val="22"/>
        </w:rPr>
        <w:t>Department of Health have yet to confirm our capital cash limit for 2017/18 but have been fully informed of our requirements</w:t>
      </w:r>
      <w:r w:rsidR="007315DF">
        <w:rPr>
          <w:rFonts w:ascii="Arial" w:hAnsi="Arial" w:cs="Arial"/>
          <w:sz w:val="22"/>
          <w:szCs w:val="22"/>
        </w:rPr>
        <w:t>,</w:t>
      </w:r>
      <w:r w:rsidR="004A71FD">
        <w:rPr>
          <w:rFonts w:ascii="Arial" w:hAnsi="Arial" w:cs="Arial"/>
          <w:sz w:val="22"/>
          <w:szCs w:val="22"/>
        </w:rPr>
        <w:t xml:space="preserve"> understand that the vast majority of the expenditure is contractually committed</w:t>
      </w:r>
      <w:r w:rsidR="008D4CC9">
        <w:rPr>
          <w:rFonts w:ascii="Arial" w:hAnsi="Arial" w:cs="Arial"/>
          <w:sz w:val="22"/>
          <w:szCs w:val="22"/>
        </w:rPr>
        <w:t xml:space="preserve"> and have given no indications that the amounts will not be approved</w:t>
      </w:r>
      <w:r w:rsidR="004A71FD">
        <w:rPr>
          <w:rFonts w:ascii="Arial" w:hAnsi="Arial" w:cs="Arial"/>
          <w:sz w:val="22"/>
          <w:szCs w:val="22"/>
        </w:rPr>
        <w:t>.</w:t>
      </w:r>
      <w:r w:rsidR="007315DF">
        <w:rPr>
          <w:rFonts w:ascii="Arial" w:hAnsi="Arial" w:cs="Arial"/>
          <w:sz w:val="22"/>
          <w:szCs w:val="22"/>
        </w:rPr>
        <w:t xml:space="preserve"> </w:t>
      </w:r>
    </w:p>
    <w:p w:rsidR="004A71FD" w:rsidRDefault="004A71FD" w:rsidP="006E30B3">
      <w:pPr>
        <w:spacing w:after="200" w:line="276" w:lineRule="auto"/>
        <w:rPr>
          <w:rFonts w:ascii="Arial" w:hAnsi="Arial" w:cs="Arial"/>
          <w:sz w:val="22"/>
          <w:szCs w:val="22"/>
        </w:rPr>
      </w:pPr>
      <w:r>
        <w:rPr>
          <w:rFonts w:ascii="Arial" w:hAnsi="Arial" w:cs="Arial"/>
          <w:sz w:val="22"/>
          <w:szCs w:val="22"/>
        </w:rPr>
        <w:t xml:space="preserve">The remaining amounts are </w:t>
      </w:r>
      <w:r w:rsidR="002451D5">
        <w:rPr>
          <w:rFonts w:ascii="Arial" w:hAnsi="Arial" w:cs="Arial"/>
          <w:sz w:val="22"/>
          <w:szCs w:val="22"/>
        </w:rPr>
        <w:t>a</w:t>
      </w:r>
      <w:r>
        <w:rPr>
          <w:rFonts w:ascii="Arial" w:hAnsi="Arial" w:cs="Arial"/>
          <w:sz w:val="22"/>
          <w:szCs w:val="22"/>
        </w:rPr>
        <w:t xml:space="preserve">llocated to improvements to the air temperature Skipton House </w:t>
      </w:r>
      <w:r w:rsidR="00535185">
        <w:rPr>
          <w:rFonts w:ascii="Arial" w:hAnsi="Arial" w:cs="Arial"/>
          <w:sz w:val="22"/>
          <w:szCs w:val="22"/>
        </w:rPr>
        <w:t>(</w:t>
      </w:r>
      <w:r w:rsidR="00296174">
        <w:rPr>
          <w:rFonts w:ascii="Arial" w:hAnsi="Arial" w:cs="Arial"/>
          <w:sz w:val="22"/>
          <w:szCs w:val="22"/>
        </w:rPr>
        <w:t>implemented</w:t>
      </w:r>
      <w:r w:rsidR="00535185">
        <w:rPr>
          <w:rFonts w:ascii="Arial" w:hAnsi="Arial" w:cs="Arial"/>
          <w:sz w:val="22"/>
          <w:szCs w:val="22"/>
        </w:rPr>
        <w:t xml:space="preserve">) </w:t>
      </w:r>
      <w:r>
        <w:rPr>
          <w:rFonts w:ascii="Arial" w:hAnsi="Arial" w:cs="Arial"/>
          <w:sz w:val="22"/>
          <w:szCs w:val="22"/>
        </w:rPr>
        <w:t xml:space="preserve">and the </w:t>
      </w:r>
      <w:r w:rsidR="002451D5">
        <w:rPr>
          <w:rFonts w:ascii="Arial" w:hAnsi="Arial" w:cs="Arial"/>
          <w:sz w:val="22"/>
          <w:szCs w:val="22"/>
        </w:rPr>
        <w:t xml:space="preserve">costs related to the </w:t>
      </w:r>
      <w:r>
        <w:rPr>
          <w:rFonts w:ascii="Arial" w:hAnsi="Arial" w:cs="Arial"/>
          <w:sz w:val="22"/>
          <w:szCs w:val="22"/>
        </w:rPr>
        <w:t xml:space="preserve">relocation of our </w:t>
      </w:r>
      <w:r w:rsidR="002451D5">
        <w:rPr>
          <w:rFonts w:ascii="Arial" w:hAnsi="Arial" w:cs="Arial"/>
          <w:sz w:val="22"/>
          <w:szCs w:val="22"/>
        </w:rPr>
        <w:t xml:space="preserve">Northeast </w:t>
      </w:r>
      <w:r>
        <w:rPr>
          <w:rFonts w:ascii="Arial" w:hAnsi="Arial" w:cs="Arial"/>
          <w:sz w:val="22"/>
          <w:szCs w:val="22"/>
        </w:rPr>
        <w:t>office</w:t>
      </w:r>
      <w:r w:rsidR="00296174">
        <w:rPr>
          <w:rFonts w:ascii="Arial" w:hAnsi="Arial" w:cs="Arial"/>
          <w:sz w:val="22"/>
          <w:szCs w:val="22"/>
        </w:rPr>
        <w:t xml:space="preserve"> which are currently being worked up in more detail by NHS BSA (furniture quote) and Atos (our ICT service provider)</w:t>
      </w:r>
      <w:r w:rsidR="002451D5">
        <w:rPr>
          <w:rFonts w:ascii="Arial" w:hAnsi="Arial" w:cs="Arial"/>
          <w:sz w:val="22"/>
          <w:szCs w:val="22"/>
        </w:rPr>
        <w:t>.</w:t>
      </w:r>
      <w:r w:rsidR="00535185">
        <w:rPr>
          <w:rFonts w:ascii="Arial" w:hAnsi="Arial" w:cs="Arial"/>
          <w:sz w:val="22"/>
          <w:szCs w:val="22"/>
        </w:rPr>
        <w:t xml:space="preserve"> </w:t>
      </w:r>
      <w:r>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5E28EB" w:rsidP="002451D5">
            <w:pPr>
              <w:jc w:val="right"/>
              <w:rPr>
                <w:rFonts w:ascii="Calibri" w:hAnsi="Calibri" w:cs="Calibri"/>
                <w:b/>
                <w:sz w:val="22"/>
                <w:szCs w:val="22"/>
              </w:rPr>
            </w:pPr>
            <w:r>
              <w:rPr>
                <w:rFonts w:ascii="Calibri" w:hAnsi="Calibri" w:cs="Calibri"/>
                <w:b/>
                <w:sz w:val="22"/>
                <w:szCs w:val="22"/>
              </w:rPr>
              <w:t>100</w:t>
            </w:r>
            <w:r w:rsidR="00126C0D">
              <w:rPr>
                <w:rFonts w:ascii="Calibri" w:hAnsi="Calibri" w:cs="Calibri"/>
                <w:b/>
                <w:sz w:val="22"/>
                <w:szCs w:val="22"/>
              </w:rPr>
              <w:t>%</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535185" w:rsidRDefault="00535185" w:rsidP="0028079F">
      <w:pPr>
        <w:jc w:val="both"/>
        <w:rPr>
          <w:rFonts w:ascii="Arial" w:hAnsi="Arial" w:cs="Arial"/>
          <w:sz w:val="22"/>
          <w:szCs w:val="22"/>
        </w:rPr>
      </w:pPr>
    </w:p>
    <w:p w:rsidR="009742AB" w:rsidRDefault="009742AB" w:rsidP="0028079F">
      <w:pPr>
        <w:jc w:val="both"/>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B26329"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Board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062CA4">
        <w:rPr>
          <w:rFonts w:ascii="Arial" w:hAnsi="Arial" w:cs="Arial"/>
          <w:sz w:val="22"/>
          <w:szCs w:val="22"/>
        </w:rPr>
        <w:t>4</w:t>
      </w:r>
      <w:r w:rsidR="004A71FD">
        <w:rPr>
          <w:rFonts w:ascii="Arial" w:hAnsi="Arial" w:cs="Arial"/>
          <w:sz w:val="22"/>
          <w:szCs w:val="22"/>
        </w:rPr>
        <w:t xml:space="preserve"> months </w:t>
      </w:r>
      <w:r w:rsidR="00FD5EB4">
        <w:rPr>
          <w:rFonts w:ascii="Arial" w:hAnsi="Arial" w:cs="Arial"/>
          <w:sz w:val="22"/>
          <w:szCs w:val="22"/>
        </w:rPr>
        <w:t>to</w:t>
      </w:r>
      <w:r w:rsidR="004A71FD">
        <w:rPr>
          <w:rFonts w:ascii="Arial" w:hAnsi="Arial" w:cs="Arial"/>
          <w:sz w:val="22"/>
          <w:szCs w:val="22"/>
        </w:rPr>
        <w:t xml:space="preserve"> 3</w:t>
      </w:r>
      <w:r w:rsidR="00062CA4">
        <w:rPr>
          <w:rFonts w:ascii="Arial" w:hAnsi="Arial" w:cs="Arial"/>
          <w:sz w:val="22"/>
          <w:szCs w:val="22"/>
        </w:rPr>
        <w:t xml:space="preserve">1 July </w:t>
      </w:r>
      <w:r w:rsidR="004A71FD">
        <w:rPr>
          <w:rFonts w:ascii="Arial" w:hAnsi="Arial" w:cs="Arial"/>
          <w:sz w:val="22"/>
          <w:szCs w:val="22"/>
        </w:rPr>
        <w:t xml:space="preserve"> 2017</w:t>
      </w:r>
      <w:r w:rsidR="008D0C4A">
        <w:rPr>
          <w:rFonts w:ascii="Arial" w:hAnsi="Arial" w:cs="Arial"/>
          <w:sz w:val="22"/>
          <w:szCs w:val="22"/>
        </w:rPr>
        <w:t>.</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B40EA9" w:rsidRPr="00B40EA9" w:rsidRDefault="00296174" w:rsidP="00B40EA9">
      <w:pPr>
        <w:spacing w:line="276" w:lineRule="auto"/>
        <w:rPr>
          <w:rFonts w:ascii="Arial" w:hAnsi="Arial" w:cs="Arial"/>
          <w:b/>
          <w:sz w:val="22"/>
          <w:szCs w:val="22"/>
        </w:rPr>
      </w:pPr>
      <w:r>
        <w:rPr>
          <w:rFonts w:ascii="Arial" w:hAnsi="Arial" w:cs="Arial"/>
          <w:b/>
          <w:sz w:val="22"/>
          <w:szCs w:val="22"/>
        </w:rPr>
        <w:t xml:space="preserve">Sylvia Hazard and </w:t>
      </w:r>
      <w:r w:rsidR="00192D07">
        <w:rPr>
          <w:rFonts w:ascii="Arial" w:hAnsi="Arial" w:cs="Arial"/>
          <w:b/>
          <w:sz w:val="22"/>
          <w:szCs w:val="22"/>
        </w:rPr>
        <w:t>Karen Williams</w:t>
      </w:r>
    </w:p>
    <w:p w:rsidR="00296174" w:rsidRDefault="00296174" w:rsidP="00B34A94">
      <w:pPr>
        <w:spacing w:line="276" w:lineRule="auto"/>
        <w:rPr>
          <w:rFonts w:ascii="Arial" w:hAnsi="Arial" w:cs="Arial"/>
          <w:b/>
          <w:sz w:val="22"/>
          <w:szCs w:val="22"/>
        </w:rPr>
      </w:pPr>
      <w:r>
        <w:rPr>
          <w:rFonts w:ascii="Arial" w:hAnsi="Arial" w:cs="Arial"/>
          <w:b/>
          <w:sz w:val="22"/>
          <w:szCs w:val="22"/>
        </w:rPr>
        <w:t xml:space="preserve">Deputy Director of Finance and </w:t>
      </w:r>
      <w:r w:rsidR="0004137A">
        <w:rPr>
          <w:rFonts w:ascii="Arial" w:hAnsi="Arial" w:cs="Arial"/>
          <w:b/>
          <w:sz w:val="22"/>
          <w:szCs w:val="22"/>
        </w:rPr>
        <w:t xml:space="preserve">Director of </w:t>
      </w:r>
      <w:r w:rsidR="00B40EA9" w:rsidRPr="00B40EA9">
        <w:rPr>
          <w:rFonts w:ascii="Arial" w:hAnsi="Arial" w:cs="Arial"/>
          <w:b/>
          <w:sz w:val="22"/>
          <w:szCs w:val="22"/>
        </w:rPr>
        <w:t>Finance</w:t>
      </w:r>
    </w:p>
    <w:p w:rsidR="004D48AE" w:rsidRDefault="00296174" w:rsidP="00B34A94">
      <w:pPr>
        <w:spacing w:line="276" w:lineRule="auto"/>
        <w:rPr>
          <w:rFonts w:ascii="Arial" w:hAnsi="Arial" w:cs="Arial"/>
          <w:b/>
          <w:sz w:val="22"/>
          <w:szCs w:val="22"/>
        </w:rPr>
        <w:sectPr w:rsidR="004D48AE" w:rsidSect="006A228D">
          <w:headerReference w:type="default" r:id="rId10"/>
          <w:footerReference w:type="default" r:id="rId11"/>
          <w:pgSz w:w="11906" w:h="16838"/>
          <w:pgMar w:top="706" w:right="990" w:bottom="720" w:left="900" w:header="706" w:footer="706" w:gutter="0"/>
          <w:cols w:space="708"/>
          <w:docGrid w:linePitch="360"/>
        </w:sectPr>
      </w:pPr>
      <w:r>
        <w:rPr>
          <w:rFonts w:ascii="Arial" w:hAnsi="Arial" w:cs="Arial"/>
          <w:b/>
          <w:sz w:val="22"/>
          <w:szCs w:val="22"/>
        </w:rPr>
        <w:t>05</w:t>
      </w:r>
      <w:r w:rsidR="005D0B92">
        <w:rPr>
          <w:rFonts w:ascii="Arial" w:hAnsi="Arial" w:cs="Arial"/>
          <w:b/>
          <w:sz w:val="22"/>
          <w:szCs w:val="22"/>
        </w:rPr>
        <w:t xml:space="preserve"> </w:t>
      </w:r>
      <w:r>
        <w:rPr>
          <w:rFonts w:ascii="Arial" w:hAnsi="Arial" w:cs="Arial"/>
          <w:b/>
          <w:sz w:val="22"/>
          <w:szCs w:val="22"/>
        </w:rPr>
        <w:t>September</w:t>
      </w:r>
      <w:r w:rsidR="00791F63">
        <w:rPr>
          <w:rFonts w:ascii="Arial" w:hAnsi="Arial" w:cs="Arial"/>
          <w:b/>
          <w:sz w:val="22"/>
          <w:szCs w:val="22"/>
        </w:rPr>
        <w:t xml:space="preserve"> 2017</w:t>
      </w:r>
    </w:p>
    <w:p w:rsidR="004D48AE" w:rsidRDefault="00725AA5" w:rsidP="00B34A94">
      <w:pPr>
        <w:spacing w:line="276" w:lineRule="auto"/>
        <w:rPr>
          <w:rFonts w:ascii="Arial" w:hAnsi="Arial" w:cs="Arial"/>
          <w:b/>
          <w:sz w:val="22"/>
          <w:szCs w:val="22"/>
        </w:rPr>
      </w:pPr>
      <w:r>
        <w:rPr>
          <w:rFonts w:ascii="Arial" w:hAnsi="Arial" w:cs="Arial"/>
          <w:b/>
          <w:sz w:val="22"/>
          <w:szCs w:val="22"/>
        </w:rPr>
        <w:lastRenderedPageBreak/>
        <w:t>HRA n</w:t>
      </w:r>
      <w:r w:rsidR="004D48AE">
        <w:rPr>
          <w:rFonts w:ascii="Arial" w:hAnsi="Arial" w:cs="Arial"/>
          <w:b/>
          <w:sz w:val="22"/>
          <w:szCs w:val="22"/>
        </w:rPr>
        <w:t xml:space="preserve">on pay </w:t>
      </w:r>
      <w:r w:rsidR="004A71FD">
        <w:rPr>
          <w:rFonts w:ascii="Arial" w:hAnsi="Arial" w:cs="Arial"/>
          <w:b/>
          <w:sz w:val="22"/>
          <w:szCs w:val="22"/>
        </w:rPr>
        <w:t xml:space="preserve">functional </w:t>
      </w:r>
      <w:r w:rsidR="004D48AE">
        <w:rPr>
          <w:rFonts w:ascii="Arial" w:hAnsi="Arial" w:cs="Arial"/>
          <w:b/>
          <w:sz w:val="22"/>
          <w:szCs w:val="22"/>
        </w:rPr>
        <w:t>expenditure analysis</w:t>
      </w:r>
      <w:r>
        <w:rPr>
          <w:rFonts w:ascii="Arial" w:hAnsi="Arial" w:cs="Arial"/>
          <w:b/>
          <w:sz w:val="22"/>
          <w:szCs w:val="22"/>
        </w:rPr>
        <w:t xml:space="preserve"> </w:t>
      </w:r>
      <w:r w:rsidR="00062CA4">
        <w:rPr>
          <w:rFonts w:ascii="Arial" w:hAnsi="Arial" w:cs="Arial"/>
          <w:b/>
          <w:sz w:val="22"/>
          <w:szCs w:val="22"/>
        </w:rPr>
        <w:t>4</w:t>
      </w:r>
      <w:r w:rsidR="004A71FD">
        <w:rPr>
          <w:rFonts w:ascii="Arial" w:hAnsi="Arial" w:cs="Arial"/>
          <w:b/>
          <w:sz w:val="22"/>
          <w:szCs w:val="22"/>
        </w:rPr>
        <w:t xml:space="preserve"> </w:t>
      </w:r>
      <w:proofErr w:type="spellStart"/>
      <w:r w:rsidR="004A71FD">
        <w:rPr>
          <w:rFonts w:ascii="Arial" w:hAnsi="Arial" w:cs="Arial"/>
          <w:b/>
          <w:sz w:val="22"/>
          <w:szCs w:val="22"/>
        </w:rPr>
        <w:t>mths</w:t>
      </w:r>
      <w:proofErr w:type="spellEnd"/>
      <w:r w:rsidR="004A71FD">
        <w:rPr>
          <w:rFonts w:ascii="Arial" w:hAnsi="Arial" w:cs="Arial"/>
          <w:b/>
          <w:sz w:val="22"/>
          <w:szCs w:val="22"/>
        </w:rPr>
        <w:t>-ended 3</w:t>
      </w:r>
      <w:r w:rsidR="00062CA4">
        <w:rPr>
          <w:rFonts w:ascii="Arial" w:hAnsi="Arial" w:cs="Arial"/>
          <w:b/>
          <w:sz w:val="22"/>
          <w:szCs w:val="22"/>
        </w:rPr>
        <w:t>1 July</w:t>
      </w:r>
      <w:r w:rsidR="004A71FD">
        <w:rPr>
          <w:rFonts w:ascii="Arial" w:hAnsi="Arial" w:cs="Arial"/>
          <w:b/>
          <w:sz w:val="22"/>
          <w:szCs w:val="22"/>
        </w:rPr>
        <w:t xml:space="preserve"> 2017</w:t>
      </w:r>
    </w:p>
    <w:tbl>
      <w:tblPr>
        <w:tblW w:w="13100" w:type="dxa"/>
        <w:tblInd w:w="93" w:type="dxa"/>
        <w:tblLook w:val="04A0" w:firstRow="1" w:lastRow="0" w:firstColumn="1" w:lastColumn="0" w:noHBand="0" w:noVBand="1"/>
      </w:tblPr>
      <w:tblGrid>
        <w:gridCol w:w="13534"/>
        <w:gridCol w:w="222"/>
        <w:gridCol w:w="222"/>
        <w:gridCol w:w="222"/>
        <w:gridCol w:w="222"/>
        <w:gridCol w:w="222"/>
        <w:gridCol w:w="222"/>
        <w:gridCol w:w="222"/>
        <w:gridCol w:w="222"/>
        <w:gridCol w:w="222"/>
      </w:tblGrid>
      <w:tr w:rsidR="00C80EBC" w:rsidRPr="00C80EBC" w:rsidTr="00A30F13">
        <w:trPr>
          <w:trHeight w:val="300"/>
        </w:trPr>
        <w:tc>
          <w:tcPr>
            <w:tcW w:w="4460" w:type="dxa"/>
            <w:tcBorders>
              <w:top w:val="nil"/>
              <w:left w:val="nil"/>
              <w:bottom w:val="nil"/>
              <w:right w:val="nil"/>
            </w:tcBorders>
            <w:shd w:val="clear" w:color="auto" w:fill="auto"/>
            <w:noWrap/>
            <w:vAlign w:val="bottom"/>
          </w:tcPr>
          <w:p w:rsidR="00C80EBC" w:rsidRDefault="00C80EBC" w:rsidP="004A71FD">
            <w:pPr>
              <w:spacing w:after="200" w:line="276" w:lineRule="auto"/>
              <w:rPr>
                <w:rFonts w:ascii="Arial Narrow" w:hAnsi="Arial Narrow" w:cs="Calibri"/>
                <w:b/>
                <w:bCs/>
                <w:color w:val="000000"/>
                <w:sz w:val="16"/>
                <w:szCs w:val="16"/>
              </w:rPr>
            </w:pPr>
          </w:p>
          <w:tbl>
            <w:tblPr>
              <w:tblW w:w="13460" w:type="dxa"/>
              <w:tblLook w:val="04A0" w:firstRow="1" w:lastRow="0" w:firstColumn="1" w:lastColumn="0" w:noHBand="0" w:noVBand="1"/>
            </w:tblPr>
            <w:tblGrid>
              <w:gridCol w:w="5140"/>
              <w:gridCol w:w="1040"/>
              <w:gridCol w:w="1040"/>
              <w:gridCol w:w="1040"/>
              <w:gridCol w:w="1040"/>
              <w:gridCol w:w="1040"/>
              <w:gridCol w:w="1040"/>
              <w:gridCol w:w="1040"/>
              <w:gridCol w:w="1040"/>
            </w:tblGrid>
            <w:tr w:rsidR="00062CA4" w:rsidRPr="00062CA4" w:rsidTr="00062CA4">
              <w:trPr>
                <w:trHeight w:val="300"/>
              </w:trPr>
              <w:tc>
                <w:tcPr>
                  <w:tcW w:w="5140" w:type="dxa"/>
                  <w:tcBorders>
                    <w:top w:val="nil"/>
                    <w:left w:val="nil"/>
                    <w:bottom w:val="nil"/>
                    <w:right w:val="nil"/>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Subjective</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Annual</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Next year</w:t>
                  </w:r>
                </w:p>
              </w:tc>
              <w:tc>
                <w:tcPr>
                  <w:tcW w:w="3120" w:type="dxa"/>
                  <w:gridSpan w:val="3"/>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In month (£)</w:t>
                  </w:r>
                </w:p>
              </w:tc>
              <w:tc>
                <w:tcPr>
                  <w:tcW w:w="3120" w:type="dxa"/>
                  <w:gridSpan w:val="3"/>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Year to date (£)</w:t>
                  </w:r>
                </w:p>
              </w:tc>
            </w:tr>
            <w:tr w:rsidR="00062CA4" w:rsidRPr="00062CA4" w:rsidTr="00062CA4">
              <w:trPr>
                <w:trHeight w:val="675"/>
              </w:trPr>
              <w:tc>
                <w:tcPr>
                  <w:tcW w:w="51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Name</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budget (£)</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plan (£)</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Budget</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Actual</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Variance</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Budget</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Actual</w:t>
                  </w:r>
                </w:p>
              </w:tc>
              <w:tc>
                <w:tcPr>
                  <w:tcW w:w="1040" w:type="dxa"/>
                  <w:tcBorders>
                    <w:top w:val="nil"/>
                    <w:left w:val="nil"/>
                    <w:bottom w:val="nil"/>
                    <w:right w:val="single" w:sz="4" w:space="0" w:color="FFFFFF"/>
                  </w:tcBorders>
                  <w:shd w:val="clear" w:color="000000" w:fill="0070B9"/>
                  <w:hideMark/>
                </w:tcPr>
                <w:p w:rsidR="00062CA4" w:rsidRPr="00062CA4" w:rsidRDefault="00062CA4" w:rsidP="00062CA4">
                  <w:pPr>
                    <w:rPr>
                      <w:rFonts w:ascii="Calibri" w:hAnsi="Calibri"/>
                      <w:b/>
                      <w:bCs/>
                      <w:color w:val="FFFFFF"/>
                      <w:sz w:val="16"/>
                      <w:szCs w:val="16"/>
                    </w:rPr>
                  </w:pPr>
                  <w:r w:rsidRPr="00062CA4">
                    <w:rPr>
                      <w:rFonts w:ascii="Calibri" w:hAnsi="Calibri"/>
                      <w:b/>
                      <w:bCs/>
                      <w:color w:val="FFFFFF"/>
                      <w:sz w:val="16"/>
                      <w:szCs w:val="16"/>
                    </w:rPr>
                    <w:t>Variance</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Meeting Rooms/Catering</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210,077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199,077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21,454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7,114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(14,340)</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63,457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61,866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(1,591)</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Office equipment/Stationery/Furniture/Consumable</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55,331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54,937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3,244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2,531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(713)</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11,969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6,939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(5,030)</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Photocopying/Printing/Postage/Storage/Waste</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129,021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128,821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10,064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5,197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(4,867)</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41,508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36,111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(5,397)</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 xml:space="preserve">Premises - </w:t>
                  </w:r>
                  <w:proofErr w:type="spellStart"/>
                  <w:r w:rsidRPr="00062CA4">
                    <w:rPr>
                      <w:rFonts w:ascii="Arial Narrow" w:hAnsi="Arial Narrow"/>
                      <w:b/>
                      <w:bCs/>
                      <w:color w:val="000000"/>
                      <w:sz w:val="16"/>
                      <w:szCs w:val="16"/>
                    </w:rPr>
                    <w:t>inc</w:t>
                  </w:r>
                  <w:proofErr w:type="spellEnd"/>
                  <w:r w:rsidRPr="00062CA4">
                    <w:rPr>
                      <w:rFonts w:ascii="Arial Narrow" w:hAnsi="Arial Narrow"/>
                      <w:b/>
                      <w:bCs/>
                      <w:color w:val="000000"/>
                      <w:sz w:val="16"/>
                      <w:szCs w:val="16"/>
                    </w:rPr>
                    <w:t xml:space="preserve"> premise removal costs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801,313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801,023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35,560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38,130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2,570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232,151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236,793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4,642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Training Expenses - expenses/materials , conferences, workshops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162,250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191,250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(24,278)</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(1,610)</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22,668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6,005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8,317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2,312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Other Staff costs - Recruitment/adverts/redundancy/PILON</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70,500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5,500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Travel costs - include excess mileage/interview expenses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584,970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558,651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36,958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36,795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(163)</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184,652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163,489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(21,163)</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Chairs/Members/Participation - activity costs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271,927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271,427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19,450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20,283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833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87,299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85,017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(2,282)</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Publications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2,124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2,124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Mobile Phones/Mobile Data</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10,417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10,260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797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1,764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967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3,401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3,516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115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Statutory Costs - Health &amp; Safety/Legal/Audit Fees/Dep. &amp; Amort.</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665,000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665,000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3,345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8,786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5,441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139,722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137,152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(2,569)</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Computer Costs - Software/licences/system maintenance/purchases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323,853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310,753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29,602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27,555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(2,047)</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121,394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122,940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1,546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Other External Contracts - SLA's - Premises, SBS,BSA, DH IT</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764,852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729,476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67,068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35,833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(31,235)</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256,193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260,353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4,160 </w:t>
                  </w:r>
                </w:p>
              </w:tc>
            </w:tr>
            <w:tr w:rsidR="00062CA4" w:rsidRPr="00062CA4" w:rsidTr="00062CA4">
              <w:trPr>
                <w:trHeight w:val="300"/>
              </w:trPr>
              <w:tc>
                <w:tcPr>
                  <w:tcW w:w="5140" w:type="dxa"/>
                  <w:tcBorders>
                    <w:top w:val="nil"/>
                    <w:left w:val="nil"/>
                    <w:bottom w:val="nil"/>
                    <w:right w:val="nil"/>
                  </w:tcBorders>
                  <w:shd w:val="clear" w:color="auto" w:fill="auto"/>
                  <w:noWrap/>
                  <w:vAlign w:val="bottom"/>
                  <w:hideMark/>
                </w:tcPr>
                <w:p w:rsidR="00062CA4" w:rsidRPr="00062CA4" w:rsidRDefault="00062CA4" w:rsidP="00062CA4">
                  <w:pPr>
                    <w:outlineLvl w:val="0"/>
                    <w:rPr>
                      <w:rFonts w:ascii="Arial Narrow" w:hAnsi="Arial Narrow"/>
                      <w:b/>
                      <w:bCs/>
                      <w:color w:val="000000"/>
                      <w:sz w:val="16"/>
                      <w:szCs w:val="16"/>
                    </w:rPr>
                  </w:pPr>
                  <w:r w:rsidRPr="00062CA4">
                    <w:rPr>
                      <w:rFonts w:ascii="Arial Narrow" w:hAnsi="Arial Narrow"/>
                      <w:b/>
                      <w:bCs/>
                      <w:color w:val="000000"/>
                      <w:sz w:val="16"/>
                      <w:szCs w:val="16"/>
                    </w:rPr>
                    <w:t xml:space="preserve">Other - </w:t>
                  </w:r>
                  <w:proofErr w:type="spellStart"/>
                  <w:r w:rsidRPr="00062CA4">
                    <w:rPr>
                      <w:rFonts w:ascii="Arial Narrow" w:hAnsi="Arial Narrow"/>
                      <w:b/>
                      <w:bCs/>
                      <w:color w:val="000000"/>
                      <w:sz w:val="16"/>
                      <w:szCs w:val="16"/>
                    </w:rPr>
                    <w:t>Misc</w:t>
                  </w:r>
                  <w:proofErr w:type="spellEnd"/>
                  <w:r w:rsidRPr="00062CA4">
                    <w:rPr>
                      <w:rFonts w:ascii="Arial Narrow" w:hAnsi="Arial Narrow"/>
                      <w:b/>
                      <w:bCs/>
                      <w:color w:val="000000"/>
                      <w:sz w:val="16"/>
                      <w:szCs w:val="16"/>
                    </w:rPr>
                    <w:t>/Reserves</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184,355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123,668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610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610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 xml:space="preserve">0 </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(4)</w:t>
                  </w:r>
                </w:p>
              </w:tc>
              <w:tc>
                <w:tcPr>
                  <w:tcW w:w="1040" w:type="dxa"/>
                  <w:tcBorders>
                    <w:top w:val="nil"/>
                    <w:left w:val="nil"/>
                    <w:bottom w:val="nil"/>
                    <w:right w:val="nil"/>
                  </w:tcBorders>
                  <w:shd w:val="clear" w:color="auto" w:fill="auto"/>
                  <w:hideMark/>
                </w:tcPr>
                <w:p w:rsidR="00062CA4" w:rsidRPr="00062CA4" w:rsidRDefault="00062CA4" w:rsidP="00062CA4">
                  <w:pPr>
                    <w:jc w:val="right"/>
                    <w:outlineLvl w:val="0"/>
                    <w:rPr>
                      <w:rFonts w:ascii="Calibri" w:hAnsi="Calibri"/>
                      <w:color w:val="000000"/>
                      <w:sz w:val="16"/>
                      <w:szCs w:val="16"/>
                    </w:rPr>
                  </w:pPr>
                  <w:r w:rsidRPr="00062CA4">
                    <w:rPr>
                      <w:rFonts w:ascii="Calibri" w:hAnsi="Calibri"/>
                      <w:color w:val="000000"/>
                      <w:sz w:val="16"/>
                      <w:szCs w:val="16"/>
                    </w:rPr>
                    <w:t>(4)</w:t>
                  </w:r>
                </w:p>
              </w:tc>
            </w:tr>
            <w:tr w:rsidR="00062CA4" w:rsidRPr="00062CA4" w:rsidTr="00062CA4">
              <w:trPr>
                <w:trHeight w:val="300"/>
              </w:trPr>
              <w:tc>
                <w:tcPr>
                  <w:tcW w:w="5140" w:type="dxa"/>
                  <w:tcBorders>
                    <w:top w:val="nil"/>
                    <w:left w:val="nil"/>
                    <w:bottom w:val="nil"/>
                    <w:right w:val="nil"/>
                  </w:tcBorders>
                  <w:shd w:val="clear" w:color="000000" w:fill="99C6E3"/>
                  <w:hideMark/>
                </w:tcPr>
                <w:p w:rsidR="00062CA4" w:rsidRPr="00062CA4" w:rsidRDefault="00062CA4" w:rsidP="00062CA4">
                  <w:pPr>
                    <w:rPr>
                      <w:rFonts w:ascii="Calibri" w:hAnsi="Calibri"/>
                      <w:b/>
                      <w:bCs/>
                      <w:color w:val="000000"/>
                      <w:sz w:val="16"/>
                      <w:szCs w:val="16"/>
                    </w:rPr>
                  </w:pPr>
                  <w:r w:rsidRPr="00062CA4">
                    <w:rPr>
                      <w:rFonts w:ascii="Calibri" w:hAnsi="Calibri"/>
                      <w:b/>
                      <w:bCs/>
                      <w:color w:val="000000"/>
                      <w:sz w:val="16"/>
                      <w:szCs w:val="16"/>
                    </w:rPr>
                    <w:t>Grand Total</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 xml:space="preserve">4,235,990 </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 xml:space="preserve">4,051,967 </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 xml:space="preserve">203,264 </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 xml:space="preserve">182,988 </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(20,276)</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 xml:space="preserve">1,147,751 </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 xml:space="preserve">1,122,490 </w:t>
                  </w:r>
                </w:p>
              </w:tc>
              <w:tc>
                <w:tcPr>
                  <w:tcW w:w="1040" w:type="dxa"/>
                  <w:tcBorders>
                    <w:top w:val="nil"/>
                    <w:left w:val="nil"/>
                    <w:bottom w:val="nil"/>
                    <w:right w:val="single" w:sz="4" w:space="0" w:color="FFFFFF"/>
                  </w:tcBorders>
                  <w:shd w:val="clear" w:color="000000" w:fill="99C6E3"/>
                  <w:hideMark/>
                </w:tcPr>
                <w:p w:rsidR="00062CA4" w:rsidRPr="00062CA4" w:rsidRDefault="00062CA4" w:rsidP="00062CA4">
                  <w:pPr>
                    <w:jc w:val="right"/>
                    <w:rPr>
                      <w:rFonts w:ascii="Calibri" w:hAnsi="Calibri"/>
                      <w:b/>
                      <w:bCs/>
                      <w:color w:val="000000"/>
                      <w:sz w:val="16"/>
                      <w:szCs w:val="16"/>
                    </w:rPr>
                  </w:pPr>
                  <w:r w:rsidRPr="00062CA4">
                    <w:rPr>
                      <w:rFonts w:ascii="Calibri" w:hAnsi="Calibri"/>
                      <w:b/>
                      <w:bCs/>
                      <w:color w:val="000000"/>
                      <w:sz w:val="16"/>
                      <w:szCs w:val="16"/>
                    </w:rPr>
                    <w:t>(25,261)</w:t>
                  </w:r>
                </w:p>
              </w:tc>
            </w:tr>
          </w:tbl>
          <w:p w:rsidR="00E426E0" w:rsidRPr="00C80EBC" w:rsidRDefault="00E426E0" w:rsidP="004A71FD">
            <w:pPr>
              <w:spacing w:after="200" w:line="276" w:lineRule="auto"/>
              <w:rPr>
                <w:rFonts w:ascii="Arial Narrow" w:hAnsi="Arial Narrow" w:cs="Calibri"/>
                <w:b/>
                <w:bCs/>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r>
      <w:tr w:rsidR="00C80EBC" w:rsidRPr="00C80EBC" w:rsidTr="00A30F13">
        <w:trPr>
          <w:trHeight w:val="300"/>
        </w:trPr>
        <w:tc>
          <w:tcPr>
            <w:tcW w:w="4460" w:type="dxa"/>
            <w:tcBorders>
              <w:top w:val="nil"/>
              <w:left w:val="nil"/>
              <w:bottom w:val="nil"/>
              <w:right w:val="nil"/>
            </w:tcBorders>
            <w:shd w:val="clear" w:color="auto" w:fill="auto"/>
            <w:noWrap/>
            <w:vAlign w:val="bottom"/>
          </w:tcPr>
          <w:p w:rsidR="00C80EBC" w:rsidRPr="00C80EBC" w:rsidRDefault="00C80EBC" w:rsidP="00C80EBC">
            <w:pPr>
              <w:outlineLvl w:val="0"/>
              <w:rPr>
                <w:rFonts w:ascii="Arial Narrow" w:hAnsi="Arial Narrow" w:cs="Calibri"/>
                <w:b/>
                <w:bCs/>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tcPr>
          <w:p w:rsidR="00C80EBC" w:rsidRPr="00C80EBC" w:rsidRDefault="00C80EBC" w:rsidP="00C80EBC">
            <w:pPr>
              <w:jc w:val="right"/>
              <w:outlineLvl w:val="0"/>
              <w:rPr>
                <w:rFonts w:ascii="Calibri" w:hAnsi="Calibri" w:cs="Calibri"/>
                <w:color w:val="000000"/>
                <w:sz w:val="16"/>
                <w:szCs w:val="16"/>
              </w:rPr>
            </w:pPr>
          </w:p>
        </w:tc>
      </w:tr>
    </w:tbl>
    <w:p w:rsidR="00B14ACE" w:rsidRDefault="00B14ACE" w:rsidP="00B34A94">
      <w:pPr>
        <w:spacing w:line="276" w:lineRule="auto"/>
        <w:rPr>
          <w:rFonts w:ascii="Arial" w:hAnsi="Arial" w:cs="Arial"/>
          <w:b/>
          <w:sz w:val="22"/>
          <w:szCs w:val="22"/>
        </w:rPr>
      </w:pPr>
    </w:p>
    <w:p w:rsidR="00B14ACE" w:rsidRDefault="00B14ACE">
      <w:pPr>
        <w:spacing w:after="200" w:line="276" w:lineRule="auto"/>
        <w:rPr>
          <w:rFonts w:ascii="Arial" w:hAnsi="Arial" w:cs="Arial"/>
          <w:b/>
          <w:sz w:val="22"/>
          <w:szCs w:val="22"/>
        </w:rPr>
      </w:pPr>
    </w:p>
    <w:sectPr w:rsidR="00B14ACE" w:rsidSect="006A228D">
      <w:pgSz w:w="16838" w:h="11906" w:orient="landscape"/>
      <w:pgMar w:top="902" w:right="709" w:bottom="99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18" w:rsidRDefault="00461F18" w:rsidP="00412C00">
      <w:r>
        <w:separator/>
      </w:r>
    </w:p>
  </w:endnote>
  <w:endnote w:type="continuationSeparator" w:id="0">
    <w:p w:rsidR="00461F18" w:rsidRDefault="00461F18"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461F18" w:rsidRPr="00195D4C" w:rsidRDefault="00461F18">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D26F22">
          <w:rPr>
            <w:rFonts w:ascii="Arial" w:hAnsi="Arial"/>
            <w:noProof/>
            <w:sz w:val="16"/>
          </w:rPr>
          <w:t>1</w:t>
        </w:r>
        <w:r w:rsidRPr="00195D4C">
          <w:rPr>
            <w:rFonts w:ascii="Arial" w:hAnsi="Arial"/>
            <w:noProof/>
            <w:sz w:val="16"/>
          </w:rPr>
          <w:fldChar w:fldCharType="end"/>
        </w:r>
      </w:p>
    </w:sdtContent>
  </w:sdt>
  <w:p w:rsidR="00461F18" w:rsidRDefault="0046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18" w:rsidRDefault="00461F18" w:rsidP="00412C00">
      <w:r>
        <w:separator/>
      </w:r>
    </w:p>
  </w:footnote>
  <w:footnote w:type="continuationSeparator" w:id="0">
    <w:p w:rsidR="00461F18" w:rsidRDefault="00461F18"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461F18" w:rsidRDefault="00D26F2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8">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8147F9"/>
    <w:multiLevelType w:val="hybridMultilevel"/>
    <w:tmpl w:val="D328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7D6FD7"/>
    <w:multiLevelType w:val="hybridMultilevel"/>
    <w:tmpl w:val="A5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
  </w:num>
  <w:num w:numId="3">
    <w:abstractNumId w:val="12"/>
  </w:num>
  <w:num w:numId="4">
    <w:abstractNumId w:val="40"/>
  </w:num>
  <w:num w:numId="5">
    <w:abstractNumId w:val="25"/>
  </w:num>
  <w:num w:numId="6">
    <w:abstractNumId w:val="4"/>
  </w:num>
  <w:num w:numId="7">
    <w:abstractNumId w:val="5"/>
  </w:num>
  <w:num w:numId="8">
    <w:abstractNumId w:val="31"/>
  </w:num>
  <w:num w:numId="9">
    <w:abstractNumId w:val="18"/>
  </w:num>
  <w:num w:numId="10">
    <w:abstractNumId w:val="13"/>
  </w:num>
  <w:num w:numId="11">
    <w:abstractNumId w:val="11"/>
  </w:num>
  <w:num w:numId="12">
    <w:abstractNumId w:val="0"/>
  </w:num>
  <w:num w:numId="13">
    <w:abstractNumId w:val="6"/>
  </w:num>
  <w:num w:numId="14">
    <w:abstractNumId w:val="17"/>
  </w:num>
  <w:num w:numId="15">
    <w:abstractNumId w:val="3"/>
  </w:num>
  <w:num w:numId="16">
    <w:abstractNumId w:val="32"/>
  </w:num>
  <w:num w:numId="17">
    <w:abstractNumId w:val="38"/>
  </w:num>
  <w:num w:numId="18">
    <w:abstractNumId w:val="27"/>
  </w:num>
  <w:num w:numId="19">
    <w:abstractNumId w:val="19"/>
  </w:num>
  <w:num w:numId="20">
    <w:abstractNumId w:val="29"/>
  </w:num>
  <w:num w:numId="21">
    <w:abstractNumId w:val="28"/>
  </w:num>
  <w:num w:numId="22">
    <w:abstractNumId w:val="10"/>
  </w:num>
  <w:num w:numId="23">
    <w:abstractNumId w:val="23"/>
  </w:num>
  <w:num w:numId="24">
    <w:abstractNumId w:val="37"/>
  </w:num>
  <w:num w:numId="25">
    <w:abstractNumId w:val="34"/>
  </w:num>
  <w:num w:numId="26">
    <w:abstractNumId w:val="14"/>
  </w:num>
  <w:num w:numId="27">
    <w:abstractNumId w:val="26"/>
  </w:num>
  <w:num w:numId="28">
    <w:abstractNumId w:val="41"/>
  </w:num>
  <w:num w:numId="29">
    <w:abstractNumId w:val="22"/>
  </w:num>
  <w:num w:numId="30">
    <w:abstractNumId w:val="30"/>
  </w:num>
  <w:num w:numId="31">
    <w:abstractNumId w:val="15"/>
  </w:num>
  <w:num w:numId="32">
    <w:abstractNumId w:val="24"/>
  </w:num>
  <w:num w:numId="33">
    <w:abstractNumId w:val="1"/>
  </w:num>
  <w:num w:numId="34">
    <w:abstractNumId w:val="35"/>
  </w:num>
  <w:num w:numId="35">
    <w:abstractNumId w:val="8"/>
  </w:num>
  <w:num w:numId="36">
    <w:abstractNumId w:val="21"/>
  </w:num>
  <w:num w:numId="37">
    <w:abstractNumId w:val="9"/>
  </w:num>
  <w:num w:numId="38">
    <w:abstractNumId w:val="16"/>
  </w:num>
  <w:num w:numId="39">
    <w:abstractNumId w:val="20"/>
  </w:num>
  <w:num w:numId="40">
    <w:abstractNumId w:val="7"/>
  </w:num>
  <w:num w:numId="41">
    <w:abstractNumId w:val="3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6C8"/>
    <w:rsid w:val="00011FDF"/>
    <w:rsid w:val="00012A71"/>
    <w:rsid w:val="000140FE"/>
    <w:rsid w:val="00015D1D"/>
    <w:rsid w:val="0001646D"/>
    <w:rsid w:val="00016856"/>
    <w:rsid w:val="00017760"/>
    <w:rsid w:val="000200FA"/>
    <w:rsid w:val="00020483"/>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5EF8"/>
    <w:rsid w:val="00056576"/>
    <w:rsid w:val="0006158F"/>
    <w:rsid w:val="00062CA4"/>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AC3"/>
    <w:rsid w:val="00091B76"/>
    <w:rsid w:val="00091F54"/>
    <w:rsid w:val="00092A9E"/>
    <w:rsid w:val="000949D1"/>
    <w:rsid w:val="000958EB"/>
    <w:rsid w:val="0009591A"/>
    <w:rsid w:val="00096422"/>
    <w:rsid w:val="0009793E"/>
    <w:rsid w:val="000A0F37"/>
    <w:rsid w:val="000A469D"/>
    <w:rsid w:val="000A5374"/>
    <w:rsid w:val="000B1B00"/>
    <w:rsid w:val="000B2EF8"/>
    <w:rsid w:val="000B483A"/>
    <w:rsid w:val="000B729D"/>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71A"/>
    <w:rsid w:val="000E7FD2"/>
    <w:rsid w:val="000F0C7B"/>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22DA1"/>
    <w:rsid w:val="00123FF0"/>
    <w:rsid w:val="00124893"/>
    <w:rsid w:val="00124AA3"/>
    <w:rsid w:val="00124E28"/>
    <w:rsid w:val="00126C0D"/>
    <w:rsid w:val="00127B75"/>
    <w:rsid w:val="00127C34"/>
    <w:rsid w:val="00130783"/>
    <w:rsid w:val="00132DB0"/>
    <w:rsid w:val="001339A4"/>
    <w:rsid w:val="00135C17"/>
    <w:rsid w:val="00136DAB"/>
    <w:rsid w:val="0013718B"/>
    <w:rsid w:val="001415A5"/>
    <w:rsid w:val="00143415"/>
    <w:rsid w:val="00143E29"/>
    <w:rsid w:val="00145DEA"/>
    <w:rsid w:val="001504B0"/>
    <w:rsid w:val="00150CE4"/>
    <w:rsid w:val="001516FA"/>
    <w:rsid w:val="001528FE"/>
    <w:rsid w:val="0015351D"/>
    <w:rsid w:val="00153A62"/>
    <w:rsid w:val="00153E82"/>
    <w:rsid w:val="001540D4"/>
    <w:rsid w:val="00154E36"/>
    <w:rsid w:val="00156315"/>
    <w:rsid w:val="0016044C"/>
    <w:rsid w:val="001609ED"/>
    <w:rsid w:val="00160F9B"/>
    <w:rsid w:val="0016158F"/>
    <w:rsid w:val="00161C29"/>
    <w:rsid w:val="00162CB2"/>
    <w:rsid w:val="00163364"/>
    <w:rsid w:val="00163A5A"/>
    <w:rsid w:val="00165567"/>
    <w:rsid w:val="00165D47"/>
    <w:rsid w:val="00166209"/>
    <w:rsid w:val="001677C5"/>
    <w:rsid w:val="001679C3"/>
    <w:rsid w:val="00167A33"/>
    <w:rsid w:val="00167B08"/>
    <w:rsid w:val="00167EFA"/>
    <w:rsid w:val="00171C23"/>
    <w:rsid w:val="001721FC"/>
    <w:rsid w:val="00172DD0"/>
    <w:rsid w:val="00181165"/>
    <w:rsid w:val="00181BB8"/>
    <w:rsid w:val="00182577"/>
    <w:rsid w:val="00182D5E"/>
    <w:rsid w:val="001839DD"/>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E04"/>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4F68"/>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51D5"/>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0FFE"/>
    <w:rsid w:val="002914D3"/>
    <w:rsid w:val="0029266C"/>
    <w:rsid w:val="00292E08"/>
    <w:rsid w:val="0029462A"/>
    <w:rsid w:val="00296174"/>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C75E3"/>
    <w:rsid w:val="002D1079"/>
    <w:rsid w:val="002D19A0"/>
    <w:rsid w:val="002D2375"/>
    <w:rsid w:val="002D25C2"/>
    <w:rsid w:val="002D34F7"/>
    <w:rsid w:val="002D3762"/>
    <w:rsid w:val="002D3FD2"/>
    <w:rsid w:val="002D4299"/>
    <w:rsid w:val="002E0613"/>
    <w:rsid w:val="002E0A2A"/>
    <w:rsid w:val="002E2A25"/>
    <w:rsid w:val="002E2D66"/>
    <w:rsid w:val="002E3A3E"/>
    <w:rsid w:val="002E488E"/>
    <w:rsid w:val="002E5EDF"/>
    <w:rsid w:val="002E68D4"/>
    <w:rsid w:val="002E7A27"/>
    <w:rsid w:val="002E7DBF"/>
    <w:rsid w:val="002F0239"/>
    <w:rsid w:val="002F0DFF"/>
    <w:rsid w:val="002F2264"/>
    <w:rsid w:val="002F3A55"/>
    <w:rsid w:val="002F4277"/>
    <w:rsid w:val="002F5E6A"/>
    <w:rsid w:val="002F75F6"/>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4BDB"/>
    <w:rsid w:val="0031502B"/>
    <w:rsid w:val="00315375"/>
    <w:rsid w:val="0031644E"/>
    <w:rsid w:val="00316468"/>
    <w:rsid w:val="00316BE4"/>
    <w:rsid w:val="003171A7"/>
    <w:rsid w:val="003179D5"/>
    <w:rsid w:val="00320F7E"/>
    <w:rsid w:val="00322070"/>
    <w:rsid w:val="00323ABE"/>
    <w:rsid w:val="003249BF"/>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A6DA1"/>
    <w:rsid w:val="003B135C"/>
    <w:rsid w:val="003B2F1E"/>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263"/>
    <w:rsid w:val="003D76E0"/>
    <w:rsid w:val="003E0E56"/>
    <w:rsid w:val="003E1E48"/>
    <w:rsid w:val="003E2D72"/>
    <w:rsid w:val="003E2F76"/>
    <w:rsid w:val="003E3D23"/>
    <w:rsid w:val="003E70FC"/>
    <w:rsid w:val="003F3BB4"/>
    <w:rsid w:val="003F57C1"/>
    <w:rsid w:val="00401265"/>
    <w:rsid w:val="00403E01"/>
    <w:rsid w:val="00405763"/>
    <w:rsid w:val="00406C23"/>
    <w:rsid w:val="0040751E"/>
    <w:rsid w:val="00411FE9"/>
    <w:rsid w:val="00412C00"/>
    <w:rsid w:val="00412F67"/>
    <w:rsid w:val="00413148"/>
    <w:rsid w:val="00413357"/>
    <w:rsid w:val="004139A0"/>
    <w:rsid w:val="004159BE"/>
    <w:rsid w:val="00416EA8"/>
    <w:rsid w:val="0042029E"/>
    <w:rsid w:val="00421288"/>
    <w:rsid w:val="0042146B"/>
    <w:rsid w:val="004226F6"/>
    <w:rsid w:val="00422BCD"/>
    <w:rsid w:val="00423AEF"/>
    <w:rsid w:val="00425BAC"/>
    <w:rsid w:val="00425DFA"/>
    <w:rsid w:val="00426314"/>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61A11"/>
    <w:rsid w:val="00461E1B"/>
    <w:rsid w:val="00461F18"/>
    <w:rsid w:val="004639EE"/>
    <w:rsid w:val="00467605"/>
    <w:rsid w:val="00467624"/>
    <w:rsid w:val="00467649"/>
    <w:rsid w:val="0047014D"/>
    <w:rsid w:val="004703C6"/>
    <w:rsid w:val="004704FD"/>
    <w:rsid w:val="00470CB0"/>
    <w:rsid w:val="0047125F"/>
    <w:rsid w:val="004717CC"/>
    <w:rsid w:val="00471EAB"/>
    <w:rsid w:val="0047213E"/>
    <w:rsid w:val="004721D5"/>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5414"/>
    <w:rsid w:val="004A5F70"/>
    <w:rsid w:val="004A71FD"/>
    <w:rsid w:val="004B1A43"/>
    <w:rsid w:val="004B1C3A"/>
    <w:rsid w:val="004B249E"/>
    <w:rsid w:val="004B455E"/>
    <w:rsid w:val="004B5487"/>
    <w:rsid w:val="004B57FB"/>
    <w:rsid w:val="004B5BD8"/>
    <w:rsid w:val="004B5C87"/>
    <w:rsid w:val="004B6C9A"/>
    <w:rsid w:val="004C1D2E"/>
    <w:rsid w:val="004C3A2F"/>
    <w:rsid w:val="004C504E"/>
    <w:rsid w:val="004C536A"/>
    <w:rsid w:val="004C5CF8"/>
    <w:rsid w:val="004C68B2"/>
    <w:rsid w:val="004C6AF2"/>
    <w:rsid w:val="004C7812"/>
    <w:rsid w:val="004D1652"/>
    <w:rsid w:val="004D2387"/>
    <w:rsid w:val="004D3744"/>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F1024"/>
    <w:rsid w:val="004F1E1A"/>
    <w:rsid w:val="004F3A45"/>
    <w:rsid w:val="004F4030"/>
    <w:rsid w:val="004F646F"/>
    <w:rsid w:val="005001D2"/>
    <w:rsid w:val="005009CA"/>
    <w:rsid w:val="00500E52"/>
    <w:rsid w:val="005030CD"/>
    <w:rsid w:val="005064E8"/>
    <w:rsid w:val="0050664B"/>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998"/>
    <w:rsid w:val="00561B03"/>
    <w:rsid w:val="00562279"/>
    <w:rsid w:val="00563BB5"/>
    <w:rsid w:val="0056428E"/>
    <w:rsid w:val="005642DD"/>
    <w:rsid w:val="005645DC"/>
    <w:rsid w:val="00564FF5"/>
    <w:rsid w:val="0057009C"/>
    <w:rsid w:val="00574331"/>
    <w:rsid w:val="005743EE"/>
    <w:rsid w:val="00575DD6"/>
    <w:rsid w:val="00577406"/>
    <w:rsid w:val="00577CC7"/>
    <w:rsid w:val="005810CF"/>
    <w:rsid w:val="005836C1"/>
    <w:rsid w:val="0058476E"/>
    <w:rsid w:val="00584F18"/>
    <w:rsid w:val="00584FC2"/>
    <w:rsid w:val="00585FFC"/>
    <w:rsid w:val="00590197"/>
    <w:rsid w:val="0059044A"/>
    <w:rsid w:val="00590D64"/>
    <w:rsid w:val="00592E36"/>
    <w:rsid w:val="00592F9B"/>
    <w:rsid w:val="00594040"/>
    <w:rsid w:val="00594AE3"/>
    <w:rsid w:val="00596556"/>
    <w:rsid w:val="00596802"/>
    <w:rsid w:val="0059723D"/>
    <w:rsid w:val="00597AF4"/>
    <w:rsid w:val="005A096F"/>
    <w:rsid w:val="005A2A17"/>
    <w:rsid w:val="005A3E19"/>
    <w:rsid w:val="005B0FDB"/>
    <w:rsid w:val="005B16B1"/>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229"/>
    <w:rsid w:val="005C76AA"/>
    <w:rsid w:val="005D0B92"/>
    <w:rsid w:val="005D36D6"/>
    <w:rsid w:val="005D3876"/>
    <w:rsid w:val="005D3904"/>
    <w:rsid w:val="005E07FE"/>
    <w:rsid w:val="005E103E"/>
    <w:rsid w:val="005E10A2"/>
    <w:rsid w:val="005E28EB"/>
    <w:rsid w:val="005E4465"/>
    <w:rsid w:val="005E5369"/>
    <w:rsid w:val="005E6832"/>
    <w:rsid w:val="005E6B5C"/>
    <w:rsid w:val="005E6D18"/>
    <w:rsid w:val="005E6E81"/>
    <w:rsid w:val="005E715B"/>
    <w:rsid w:val="005F05D0"/>
    <w:rsid w:val="005F1569"/>
    <w:rsid w:val="005F1D45"/>
    <w:rsid w:val="005F2504"/>
    <w:rsid w:val="005F5FBB"/>
    <w:rsid w:val="005F6484"/>
    <w:rsid w:val="006006D4"/>
    <w:rsid w:val="0060330C"/>
    <w:rsid w:val="00603D40"/>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D6C"/>
    <w:rsid w:val="00634E33"/>
    <w:rsid w:val="00635141"/>
    <w:rsid w:val="00635AA6"/>
    <w:rsid w:val="00635B3F"/>
    <w:rsid w:val="00636D90"/>
    <w:rsid w:val="00637E98"/>
    <w:rsid w:val="0064012C"/>
    <w:rsid w:val="00641123"/>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1394"/>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28D"/>
    <w:rsid w:val="006A2367"/>
    <w:rsid w:val="006A2789"/>
    <w:rsid w:val="006A2923"/>
    <w:rsid w:val="006A29F0"/>
    <w:rsid w:val="006A2EF1"/>
    <w:rsid w:val="006A4B31"/>
    <w:rsid w:val="006A67BA"/>
    <w:rsid w:val="006A71A9"/>
    <w:rsid w:val="006A777C"/>
    <w:rsid w:val="006B165D"/>
    <w:rsid w:val="006B17CD"/>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E2E"/>
    <w:rsid w:val="006F53B9"/>
    <w:rsid w:val="007006FE"/>
    <w:rsid w:val="007024E6"/>
    <w:rsid w:val="0070253B"/>
    <w:rsid w:val="00703BA7"/>
    <w:rsid w:val="00704323"/>
    <w:rsid w:val="007053F1"/>
    <w:rsid w:val="007055AB"/>
    <w:rsid w:val="00706F89"/>
    <w:rsid w:val="00707D4B"/>
    <w:rsid w:val="007136E5"/>
    <w:rsid w:val="0071467F"/>
    <w:rsid w:val="00714994"/>
    <w:rsid w:val="00714DBE"/>
    <w:rsid w:val="00714E4B"/>
    <w:rsid w:val="007162EA"/>
    <w:rsid w:val="00716AC4"/>
    <w:rsid w:val="007228B1"/>
    <w:rsid w:val="0072331F"/>
    <w:rsid w:val="00724C5B"/>
    <w:rsid w:val="00725AA5"/>
    <w:rsid w:val="00725C43"/>
    <w:rsid w:val="00727B9F"/>
    <w:rsid w:val="00727F62"/>
    <w:rsid w:val="00731002"/>
    <w:rsid w:val="007315DF"/>
    <w:rsid w:val="007326AA"/>
    <w:rsid w:val="00732803"/>
    <w:rsid w:val="0073688F"/>
    <w:rsid w:val="00736CB7"/>
    <w:rsid w:val="00736D5A"/>
    <w:rsid w:val="00740CAA"/>
    <w:rsid w:val="007414C0"/>
    <w:rsid w:val="00743670"/>
    <w:rsid w:val="007438F2"/>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C30"/>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1F63"/>
    <w:rsid w:val="00792336"/>
    <w:rsid w:val="00793A2C"/>
    <w:rsid w:val="00794745"/>
    <w:rsid w:val="007948D4"/>
    <w:rsid w:val="00796309"/>
    <w:rsid w:val="007A03AB"/>
    <w:rsid w:val="007A1E4C"/>
    <w:rsid w:val="007A3B4E"/>
    <w:rsid w:val="007A585B"/>
    <w:rsid w:val="007A5B29"/>
    <w:rsid w:val="007A7AB7"/>
    <w:rsid w:val="007B0DBE"/>
    <w:rsid w:val="007B0F30"/>
    <w:rsid w:val="007B2EE0"/>
    <w:rsid w:val="007B31F5"/>
    <w:rsid w:val="007B50A8"/>
    <w:rsid w:val="007B5BC7"/>
    <w:rsid w:val="007B759B"/>
    <w:rsid w:val="007B7FEB"/>
    <w:rsid w:val="007C1562"/>
    <w:rsid w:val="007C1E31"/>
    <w:rsid w:val="007C3356"/>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4B51"/>
    <w:rsid w:val="008506B4"/>
    <w:rsid w:val="00850AB1"/>
    <w:rsid w:val="00852088"/>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0C4A"/>
    <w:rsid w:val="008D1162"/>
    <w:rsid w:val="008D1704"/>
    <w:rsid w:val="008D2A86"/>
    <w:rsid w:val="008D3436"/>
    <w:rsid w:val="008D3E73"/>
    <w:rsid w:val="008D435D"/>
    <w:rsid w:val="008D4CC9"/>
    <w:rsid w:val="008D5232"/>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2AB"/>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6CC"/>
    <w:rsid w:val="009C6E35"/>
    <w:rsid w:val="009C7573"/>
    <w:rsid w:val="009D1B59"/>
    <w:rsid w:val="009D2B26"/>
    <w:rsid w:val="009D2B6A"/>
    <w:rsid w:val="009D48D2"/>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35D52"/>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6C3F"/>
    <w:rsid w:val="00A7799B"/>
    <w:rsid w:val="00A86A0C"/>
    <w:rsid w:val="00A86E7C"/>
    <w:rsid w:val="00A86F0C"/>
    <w:rsid w:val="00A87591"/>
    <w:rsid w:val="00A91714"/>
    <w:rsid w:val="00AA06F0"/>
    <w:rsid w:val="00AA2997"/>
    <w:rsid w:val="00AA2FF1"/>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ACE"/>
    <w:rsid w:val="00B14BF6"/>
    <w:rsid w:val="00B1511E"/>
    <w:rsid w:val="00B17169"/>
    <w:rsid w:val="00B2011F"/>
    <w:rsid w:val="00B21BB6"/>
    <w:rsid w:val="00B25826"/>
    <w:rsid w:val="00B26329"/>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803BF"/>
    <w:rsid w:val="00B80995"/>
    <w:rsid w:val="00B80F37"/>
    <w:rsid w:val="00B81659"/>
    <w:rsid w:val="00B84970"/>
    <w:rsid w:val="00B85394"/>
    <w:rsid w:val="00B85A40"/>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C6D"/>
    <w:rsid w:val="00C62877"/>
    <w:rsid w:val="00C62D4B"/>
    <w:rsid w:val="00C62E72"/>
    <w:rsid w:val="00C64441"/>
    <w:rsid w:val="00C64C09"/>
    <w:rsid w:val="00C67B11"/>
    <w:rsid w:val="00C70F53"/>
    <w:rsid w:val="00C71064"/>
    <w:rsid w:val="00C71DF6"/>
    <w:rsid w:val="00C722B6"/>
    <w:rsid w:val="00C73B95"/>
    <w:rsid w:val="00C73CB8"/>
    <w:rsid w:val="00C755B1"/>
    <w:rsid w:val="00C75C3C"/>
    <w:rsid w:val="00C76FF6"/>
    <w:rsid w:val="00C8038E"/>
    <w:rsid w:val="00C80EBC"/>
    <w:rsid w:val="00C82BA9"/>
    <w:rsid w:val="00C875DA"/>
    <w:rsid w:val="00C90E5A"/>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45F4"/>
    <w:rsid w:val="00CC740F"/>
    <w:rsid w:val="00CC757F"/>
    <w:rsid w:val="00CC7BEE"/>
    <w:rsid w:val="00CD10AB"/>
    <w:rsid w:val="00CD439E"/>
    <w:rsid w:val="00CD540D"/>
    <w:rsid w:val="00CD5D5C"/>
    <w:rsid w:val="00CD7E6D"/>
    <w:rsid w:val="00CE1147"/>
    <w:rsid w:val="00CE23F1"/>
    <w:rsid w:val="00CE2BA7"/>
    <w:rsid w:val="00CE4D6A"/>
    <w:rsid w:val="00CE6394"/>
    <w:rsid w:val="00CE7343"/>
    <w:rsid w:val="00CF2087"/>
    <w:rsid w:val="00CF3EC2"/>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26F22"/>
    <w:rsid w:val="00D30586"/>
    <w:rsid w:val="00D31211"/>
    <w:rsid w:val="00D33070"/>
    <w:rsid w:val="00D33CFD"/>
    <w:rsid w:val="00D36331"/>
    <w:rsid w:val="00D363C2"/>
    <w:rsid w:val="00D363E9"/>
    <w:rsid w:val="00D37596"/>
    <w:rsid w:val="00D37753"/>
    <w:rsid w:val="00D427CB"/>
    <w:rsid w:val="00D428E3"/>
    <w:rsid w:val="00D429DF"/>
    <w:rsid w:val="00D42DDE"/>
    <w:rsid w:val="00D442A5"/>
    <w:rsid w:val="00D4475B"/>
    <w:rsid w:val="00D46677"/>
    <w:rsid w:val="00D4764A"/>
    <w:rsid w:val="00D50BFA"/>
    <w:rsid w:val="00D51DEC"/>
    <w:rsid w:val="00D52847"/>
    <w:rsid w:val="00D552C4"/>
    <w:rsid w:val="00D55330"/>
    <w:rsid w:val="00D55E1F"/>
    <w:rsid w:val="00D55F0C"/>
    <w:rsid w:val="00D6177B"/>
    <w:rsid w:val="00D62F91"/>
    <w:rsid w:val="00D64655"/>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139E"/>
    <w:rsid w:val="00DA595A"/>
    <w:rsid w:val="00DA70FE"/>
    <w:rsid w:val="00DA7186"/>
    <w:rsid w:val="00DA7558"/>
    <w:rsid w:val="00DA758A"/>
    <w:rsid w:val="00DA7DA5"/>
    <w:rsid w:val="00DB1038"/>
    <w:rsid w:val="00DB1BB3"/>
    <w:rsid w:val="00DB1FC5"/>
    <w:rsid w:val="00DB275A"/>
    <w:rsid w:val="00DB368B"/>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7207"/>
    <w:rsid w:val="00E31839"/>
    <w:rsid w:val="00E31CA4"/>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ADF"/>
    <w:rsid w:val="00E85298"/>
    <w:rsid w:val="00E872B3"/>
    <w:rsid w:val="00E87571"/>
    <w:rsid w:val="00E87F9E"/>
    <w:rsid w:val="00E9014E"/>
    <w:rsid w:val="00E904C3"/>
    <w:rsid w:val="00E93BF0"/>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F32"/>
    <w:rsid w:val="00EB55F2"/>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00">
      <w:bodyDiv w:val="1"/>
      <w:marLeft w:val="0"/>
      <w:marRight w:val="0"/>
      <w:marTop w:val="0"/>
      <w:marBottom w:val="0"/>
      <w:divBdr>
        <w:top w:val="none" w:sz="0" w:space="0" w:color="auto"/>
        <w:left w:val="none" w:sz="0" w:space="0" w:color="auto"/>
        <w:bottom w:val="none" w:sz="0" w:space="0" w:color="auto"/>
        <w:right w:val="none" w:sz="0" w:space="0" w:color="auto"/>
      </w:divBdr>
    </w:div>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2018388">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435501">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45222442">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4689096">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0170768">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AE69-73CA-467B-BE24-9359E1E7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3</cp:revision>
  <cp:lastPrinted>2015-04-24T15:52:00Z</cp:lastPrinted>
  <dcterms:created xsi:type="dcterms:W3CDTF">2017-09-05T14:00:00Z</dcterms:created>
  <dcterms:modified xsi:type="dcterms:W3CDTF">2017-09-07T08:40:00Z</dcterms:modified>
</cp:coreProperties>
</file>