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84" w:rsidRPr="00207C9F" w:rsidRDefault="009C32F0" w:rsidP="00DF1C04">
      <w:pPr>
        <w:pStyle w:val="RouteTitle"/>
        <w:spacing w:before="60" w:after="60" w:line="276" w:lineRule="auto"/>
        <w:ind w:left="2517" w:right="390"/>
        <w:jc w:val="right"/>
        <w:rPr>
          <w:rFonts w:ascii="Arial" w:hAnsi="Arial"/>
          <w:b w:val="0"/>
          <w:sz w:val="22"/>
        </w:rPr>
      </w:pPr>
      <w:r>
        <w:rPr>
          <w:noProof/>
        </w:rPr>
        <w:drawing>
          <wp:anchor distT="0" distB="0" distL="114300" distR="114300" simplePos="0" relativeHeight="251660288" behindDoc="1" locked="0" layoutInCell="1" allowOverlap="1" wp14:anchorId="573C8F83" wp14:editId="495A8548">
            <wp:simplePos x="0" y="0"/>
            <wp:positionH relativeFrom="column">
              <wp:posOffset>3268980</wp:posOffset>
            </wp:positionH>
            <wp:positionV relativeFrom="paragraph">
              <wp:posOffset>-1270</wp:posOffset>
            </wp:positionV>
            <wp:extent cx="3133725" cy="619125"/>
            <wp:effectExtent l="19050" t="0" r="9525" b="0"/>
            <wp:wrapTight wrapText="bothSides">
              <wp:wrapPolygon edited="0">
                <wp:start x="-131" y="0"/>
                <wp:lineTo x="-131" y="21268"/>
                <wp:lineTo x="21666" y="21268"/>
                <wp:lineTo x="21666" y="0"/>
                <wp:lineTo x="-131" y="0"/>
              </wp:wrapPolygon>
            </wp:wrapTight>
            <wp:docPr id="124" name="Picture 124" descr="x:\My Documents\Logotypes\Health Research Authority Nat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x:\My Documents\Logotypes\Health Research Authority NatCOL.jpg"/>
                    <pic:cNvPicPr>
                      <a:picLocks noChangeAspect="1" noChangeArrowheads="1"/>
                    </pic:cNvPicPr>
                  </pic:nvPicPr>
                  <pic:blipFill>
                    <a:blip r:embed="rId10" cstate="print"/>
                    <a:srcRect/>
                    <a:stretch>
                      <a:fillRect/>
                    </a:stretch>
                  </pic:blipFill>
                  <pic:spPr bwMode="auto">
                    <a:xfrm>
                      <a:off x="0" y="0"/>
                      <a:ext cx="3133725" cy="619125"/>
                    </a:xfrm>
                    <a:prstGeom prst="rect">
                      <a:avLst/>
                    </a:prstGeom>
                    <a:noFill/>
                    <a:ln w="9525">
                      <a:noFill/>
                      <a:miter lim="800000"/>
                      <a:headEnd/>
                      <a:tailEnd/>
                    </a:ln>
                  </pic:spPr>
                </pic:pic>
              </a:graphicData>
            </a:graphic>
          </wp:anchor>
        </w:drawing>
      </w:r>
    </w:p>
    <w:p w:rsidR="00207C9F" w:rsidRPr="00207C9F" w:rsidRDefault="00207C9F" w:rsidP="00DF1C04">
      <w:pPr>
        <w:pStyle w:val="RouteTitle"/>
        <w:tabs>
          <w:tab w:val="left" w:pos="5220"/>
          <w:tab w:val="left" w:pos="6820"/>
          <w:tab w:val="left" w:pos="8560"/>
          <w:tab w:val="left" w:pos="8820"/>
          <w:tab w:val="left" w:pos="10800"/>
          <w:tab w:val="right" w:pos="13778"/>
        </w:tabs>
        <w:spacing w:before="60" w:after="60" w:line="276" w:lineRule="auto"/>
        <w:ind w:left="2517"/>
        <w:rPr>
          <w:b w:val="0"/>
          <w:sz w:val="22"/>
          <w:szCs w:val="22"/>
        </w:rPr>
      </w:pPr>
      <w:r w:rsidRPr="00207C9F">
        <w:rPr>
          <w:b w:val="0"/>
          <w:sz w:val="22"/>
          <w:szCs w:val="22"/>
        </w:rPr>
        <w:tab/>
      </w:r>
    </w:p>
    <w:p w:rsidR="00207C9F" w:rsidRPr="00545FDA" w:rsidRDefault="00207C9F" w:rsidP="00DF1C04">
      <w:pPr>
        <w:pStyle w:val="Subtitle"/>
        <w:spacing w:before="60" w:after="60" w:line="276" w:lineRule="auto"/>
        <w:rPr>
          <w:rFonts w:ascii="Arial" w:hAnsi="Arial"/>
          <w:b w:val="0"/>
          <w:sz w:val="22"/>
          <w:szCs w:val="22"/>
        </w:rPr>
      </w:pPr>
    </w:p>
    <w:p w:rsidR="00250178" w:rsidRDefault="00250178" w:rsidP="00DF1C04">
      <w:pPr>
        <w:pStyle w:val="RouteTitle"/>
        <w:spacing w:before="60" w:after="60" w:line="276" w:lineRule="auto"/>
        <w:rPr>
          <w:rFonts w:ascii="Arial" w:hAnsi="Arial"/>
          <w:b w:val="0"/>
          <w:sz w:val="32"/>
          <w:szCs w:val="32"/>
        </w:rPr>
      </w:pPr>
    </w:p>
    <w:sdt>
      <w:sdtPr>
        <w:rPr>
          <w:rFonts w:ascii="Arial" w:hAnsi="Arial"/>
          <w:color w:val="000000" w:themeColor="text1"/>
          <w:sz w:val="28"/>
        </w:rPr>
        <w:alias w:val="Title"/>
        <w:tag w:val=""/>
        <w:id w:val="-1857871539"/>
        <w:placeholder>
          <w:docPart w:val="06D5663F6D644E78A6C76E5A2190951B"/>
        </w:placeholder>
        <w:dataBinding w:prefixMappings="xmlns:ns0='http://purl.org/dc/elements/1.1/' xmlns:ns1='http://schemas.openxmlformats.org/package/2006/metadata/core-properties' " w:xpath="/ns1:coreProperties[1]/ns0:title[1]" w:storeItemID="{6C3C8BC8-F283-45AE-878A-BAB7291924A1}"/>
        <w:text/>
      </w:sdtPr>
      <w:sdtEndPr/>
      <w:sdtContent>
        <w:p w:rsidR="00545FDA" w:rsidRPr="00CD618D" w:rsidRDefault="00DA7B63" w:rsidP="00DF1C04">
          <w:pPr>
            <w:pStyle w:val="Title"/>
            <w:spacing w:before="60" w:after="60" w:line="276" w:lineRule="auto"/>
            <w:ind w:left="0"/>
            <w:jc w:val="center"/>
            <w:rPr>
              <w:rFonts w:ascii="Arial" w:hAnsi="Arial"/>
              <w:color w:val="000000" w:themeColor="text1"/>
              <w:sz w:val="28"/>
            </w:rPr>
          </w:pPr>
          <w:r>
            <w:rPr>
              <w:rFonts w:ascii="Arial" w:hAnsi="Arial"/>
              <w:color w:val="000000" w:themeColor="text1"/>
              <w:sz w:val="28"/>
            </w:rPr>
            <w:t xml:space="preserve">The Health Service (Control of Patient </w:t>
          </w:r>
          <w:r w:rsidR="00444DA5">
            <w:rPr>
              <w:rFonts w:ascii="Arial" w:hAnsi="Arial"/>
              <w:color w:val="000000" w:themeColor="text1"/>
              <w:sz w:val="28"/>
            </w:rPr>
            <w:t>Information) Regulations 2002: r</w:t>
          </w:r>
          <w:r>
            <w:rPr>
              <w:rFonts w:ascii="Arial" w:hAnsi="Arial"/>
              <w:color w:val="000000" w:themeColor="text1"/>
              <w:sz w:val="28"/>
            </w:rPr>
            <w:t xml:space="preserve">egulation 5 </w:t>
          </w:r>
          <w:r w:rsidR="00444DA5">
            <w:rPr>
              <w:rFonts w:ascii="Arial" w:hAnsi="Arial"/>
              <w:color w:val="000000" w:themeColor="text1"/>
              <w:sz w:val="28"/>
            </w:rPr>
            <w:t>decision p</w:t>
          </w:r>
          <w:r>
            <w:rPr>
              <w:rFonts w:ascii="Arial" w:hAnsi="Arial"/>
              <w:color w:val="000000" w:themeColor="text1"/>
              <w:sz w:val="28"/>
            </w:rPr>
            <w:t>rocedure</w:t>
          </w:r>
        </w:p>
      </w:sdtContent>
    </w:sdt>
    <w:p w:rsidR="00545FDA" w:rsidRDefault="00545FDA" w:rsidP="00DF1C04">
      <w:pPr>
        <w:pStyle w:val="BodyText"/>
        <w:tabs>
          <w:tab w:val="left" w:pos="3420"/>
        </w:tabs>
        <w:spacing w:before="60" w:after="60" w:line="276" w:lineRule="auto"/>
        <w:ind w:firstLine="693"/>
      </w:pPr>
    </w:p>
    <w:p w:rsidR="00545FDA" w:rsidRDefault="00545FDA" w:rsidP="00DF1C04">
      <w:pPr>
        <w:pStyle w:val="BodyText"/>
        <w:tabs>
          <w:tab w:val="left" w:pos="3420"/>
        </w:tabs>
        <w:spacing w:before="60" w:after="60" w:line="276" w:lineRule="auto"/>
        <w:ind w:firstLine="693"/>
      </w:pPr>
    </w:p>
    <w:p w:rsidR="005F3437" w:rsidRPr="00B03465" w:rsidRDefault="005F3437" w:rsidP="00DF1C04">
      <w:pPr>
        <w:pStyle w:val="BodyText"/>
        <w:tabs>
          <w:tab w:val="left" w:pos="3420"/>
        </w:tabs>
        <w:spacing w:before="60" w:after="60" w:line="276" w:lineRule="auto"/>
        <w:ind w:left="3420" w:hanging="2853"/>
        <w:rPr>
          <w:i/>
        </w:rPr>
      </w:pPr>
      <w:r>
        <w:rPr>
          <w:b/>
        </w:rPr>
        <w:t>Author</w:t>
      </w:r>
      <w:r w:rsidRPr="00B03465">
        <w:rPr>
          <w:b/>
        </w:rPr>
        <w:t xml:space="preserve">: </w:t>
      </w:r>
      <w:r w:rsidRPr="00B03465">
        <w:rPr>
          <w:b/>
        </w:rPr>
        <w:tab/>
      </w:r>
      <w:r>
        <w:rPr>
          <w:b/>
        </w:rPr>
        <w:t>HRA Policy Projects Lead</w:t>
      </w:r>
      <w:r w:rsidRPr="00CD618D">
        <w:rPr>
          <w:i/>
          <w:color w:val="BFBFBF" w:themeColor="background1" w:themeShade="BF"/>
        </w:rPr>
        <w:t xml:space="preserve"> </w:t>
      </w:r>
    </w:p>
    <w:p w:rsidR="005F3437" w:rsidRPr="00B03465" w:rsidRDefault="005F3437" w:rsidP="00DF1C04">
      <w:pPr>
        <w:pStyle w:val="BodyText"/>
        <w:tabs>
          <w:tab w:val="left" w:pos="3420"/>
        </w:tabs>
        <w:spacing w:before="60" w:after="60" w:line="276" w:lineRule="auto"/>
        <w:ind w:left="3420" w:hanging="2853"/>
      </w:pPr>
      <w:r w:rsidRPr="00B03465">
        <w:rPr>
          <w:b/>
        </w:rPr>
        <w:t>Date of Release:</w:t>
      </w:r>
      <w:r w:rsidRPr="00B03465">
        <w:tab/>
      </w:r>
      <w:r w:rsidR="003B72D5">
        <w:rPr>
          <w:b/>
        </w:rPr>
        <w:t>tbc</w:t>
      </w:r>
      <w:r w:rsidRPr="00CD618D">
        <w:rPr>
          <w:color w:val="BFBFBF" w:themeColor="background1" w:themeShade="BF"/>
        </w:rPr>
        <w:t xml:space="preserve"> </w:t>
      </w:r>
    </w:p>
    <w:p w:rsidR="005F3437" w:rsidRPr="00D8361C" w:rsidRDefault="005F3437" w:rsidP="00DF1C04">
      <w:pPr>
        <w:pStyle w:val="BodyText"/>
        <w:tabs>
          <w:tab w:val="left" w:pos="3420"/>
        </w:tabs>
        <w:spacing w:before="60" w:after="60" w:line="276" w:lineRule="auto"/>
        <w:ind w:left="3420" w:hanging="2853"/>
        <w:rPr>
          <w:i/>
          <w:color w:val="BFBFBF" w:themeColor="background1" w:themeShade="BF"/>
        </w:rPr>
      </w:pPr>
      <w:r w:rsidRPr="00B03465">
        <w:rPr>
          <w:b/>
        </w:rPr>
        <w:t>Version No</w:t>
      </w:r>
      <w:r>
        <w:rPr>
          <w:b/>
        </w:rPr>
        <w:t>,</w:t>
      </w:r>
      <w:r w:rsidRPr="00B03465">
        <w:rPr>
          <w:b/>
        </w:rPr>
        <w:t xml:space="preserve"> </w:t>
      </w:r>
      <w:r>
        <w:rPr>
          <w:b/>
        </w:rPr>
        <w:t>S</w:t>
      </w:r>
      <w:r w:rsidRPr="00B03465">
        <w:rPr>
          <w:b/>
        </w:rPr>
        <w:t>tatus</w:t>
      </w:r>
      <w:r>
        <w:rPr>
          <w:b/>
        </w:rPr>
        <w:t xml:space="preserve"> &amp; Date</w:t>
      </w:r>
      <w:r w:rsidRPr="00B03465">
        <w:rPr>
          <w:b/>
        </w:rPr>
        <w:t>:</w:t>
      </w:r>
      <w:r w:rsidRPr="00B03465">
        <w:rPr>
          <w:b/>
        </w:rPr>
        <w:tab/>
      </w:r>
      <w:r>
        <w:rPr>
          <w:b/>
        </w:rPr>
        <w:t>v0.</w:t>
      </w:r>
      <w:r w:rsidR="00B339FF">
        <w:rPr>
          <w:b/>
        </w:rPr>
        <w:t>4</w:t>
      </w:r>
      <w:r>
        <w:rPr>
          <w:b/>
        </w:rPr>
        <w:t xml:space="preserve"> DRAFT 2016 0</w:t>
      </w:r>
      <w:r w:rsidR="00B339FF">
        <w:rPr>
          <w:b/>
        </w:rPr>
        <w:t>4</w:t>
      </w:r>
      <w:r>
        <w:rPr>
          <w:b/>
        </w:rPr>
        <w:t xml:space="preserve"> </w:t>
      </w:r>
      <w:r w:rsidR="00B339FF">
        <w:rPr>
          <w:b/>
        </w:rPr>
        <w:t>05</w:t>
      </w:r>
    </w:p>
    <w:p w:rsidR="005F3437" w:rsidRPr="00B03465" w:rsidRDefault="005F3437" w:rsidP="00DF1C04">
      <w:pPr>
        <w:pStyle w:val="BodyText"/>
        <w:tabs>
          <w:tab w:val="left" w:pos="3420"/>
        </w:tabs>
        <w:spacing w:before="60" w:after="60" w:line="276" w:lineRule="auto"/>
        <w:ind w:left="3420" w:hanging="2853"/>
      </w:pPr>
      <w:r w:rsidRPr="00B03465">
        <w:rPr>
          <w:b/>
        </w:rPr>
        <w:t>Approved By:</w:t>
      </w:r>
      <w:r w:rsidRPr="00B03465">
        <w:t xml:space="preserve">  </w:t>
      </w:r>
      <w:r w:rsidRPr="00B03465">
        <w:tab/>
      </w:r>
      <w:r w:rsidRPr="005F3437">
        <w:rPr>
          <w:b/>
        </w:rPr>
        <w:t xml:space="preserve">HRA </w:t>
      </w:r>
      <w:r w:rsidR="00444DA5">
        <w:rPr>
          <w:b/>
        </w:rPr>
        <w:t>b</w:t>
      </w:r>
      <w:r w:rsidRPr="005F3437">
        <w:rPr>
          <w:b/>
        </w:rPr>
        <w:t>oard</w:t>
      </w:r>
      <w:r w:rsidRPr="00CD618D">
        <w:rPr>
          <w:color w:val="BFBFBF" w:themeColor="background1" w:themeShade="BF"/>
        </w:rPr>
        <w:t xml:space="preserve"> </w:t>
      </w:r>
    </w:p>
    <w:p w:rsidR="005F3437" w:rsidRPr="00B03465" w:rsidRDefault="005F3437" w:rsidP="00DF1C04">
      <w:pPr>
        <w:pStyle w:val="BodyText"/>
        <w:tabs>
          <w:tab w:val="left" w:pos="3420"/>
        </w:tabs>
        <w:spacing w:before="60" w:after="60" w:line="276" w:lineRule="auto"/>
        <w:ind w:left="3420" w:hanging="2853"/>
      </w:pPr>
      <w:r w:rsidRPr="00B03465">
        <w:rPr>
          <w:b/>
        </w:rPr>
        <w:t xml:space="preserve">Supersedes Version:  </w:t>
      </w:r>
      <w:r w:rsidRPr="00B03465">
        <w:t xml:space="preserve"> </w:t>
      </w:r>
      <w:r>
        <w:tab/>
      </w:r>
      <w:proofErr w:type="gramStart"/>
      <w:r w:rsidRPr="005F3437">
        <w:rPr>
          <w:b/>
        </w:rPr>
        <w:t>n/a</w:t>
      </w:r>
      <w:proofErr w:type="gramEnd"/>
    </w:p>
    <w:p w:rsidR="005F3437" w:rsidRPr="00B03465" w:rsidRDefault="005F3437" w:rsidP="00DF1C04">
      <w:pPr>
        <w:pStyle w:val="BodyText"/>
        <w:tabs>
          <w:tab w:val="left" w:pos="3420"/>
        </w:tabs>
        <w:spacing w:before="60" w:after="60" w:line="276" w:lineRule="auto"/>
        <w:ind w:left="3420" w:hanging="2853"/>
      </w:pPr>
      <w:r w:rsidRPr="00B03465">
        <w:rPr>
          <w:b/>
        </w:rPr>
        <w:t>Review Date:</w:t>
      </w:r>
      <w:r w:rsidRPr="00B03465">
        <w:t xml:space="preserve"> </w:t>
      </w:r>
      <w:r w:rsidRPr="00B03465">
        <w:tab/>
      </w:r>
      <w:r w:rsidR="003B72D5">
        <w:rPr>
          <w:b/>
        </w:rPr>
        <w:t>tbc</w:t>
      </w:r>
      <w:r w:rsidR="009814C8">
        <w:rPr>
          <w:b/>
        </w:rPr>
        <w:t xml:space="preserve"> (one year from date of release)</w:t>
      </w:r>
      <w:r w:rsidRPr="00CD618D">
        <w:rPr>
          <w:color w:val="BFBFBF" w:themeColor="background1" w:themeShade="BF"/>
        </w:rPr>
        <w:t xml:space="preserve"> </w:t>
      </w:r>
    </w:p>
    <w:p w:rsidR="005F3437" w:rsidRPr="004129DC" w:rsidRDefault="005F3437" w:rsidP="00DF1C04">
      <w:pPr>
        <w:pStyle w:val="BodyText"/>
        <w:tabs>
          <w:tab w:val="left" w:pos="3420"/>
        </w:tabs>
        <w:spacing w:before="60" w:after="60" w:line="276" w:lineRule="auto"/>
        <w:ind w:left="3420" w:hanging="2853"/>
      </w:pPr>
      <w:r w:rsidRPr="004129DC">
        <w:rPr>
          <w:b/>
        </w:rPr>
        <w:t>Owner:</w:t>
      </w:r>
      <w:r w:rsidRPr="004129DC">
        <w:tab/>
      </w:r>
      <w:r w:rsidR="00FF71EF" w:rsidRPr="004129DC">
        <w:rPr>
          <w:b/>
        </w:rPr>
        <w:t>HRA Chief Executive</w:t>
      </w:r>
      <w:r w:rsidRPr="004129DC">
        <w:t xml:space="preserve"> </w:t>
      </w:r>
    </w:p>
    <w:p w:rsidR="005F3437" w:rsidRPr="00CD618D" w:rsidRDefault="005F3437" w:rsidP="00DF1C04">
      <w:pPr>
        <w:pStyle w:val="BodyText"/>
        <w:tabs>
          <w:tab w:val="left" w:pos="3420"/>
        </w:tabs>
        <w:spacing w:before="60" w:after="60" w:line="276" w:lineRule="auto"/>
        <w:ind w:left="3420" w:hanging="2853"/>
        <w:rPr>
          <w:color w:val="BFBFBF" w:themeColor="background1" w:themeShade="BF"/>
        </w:rPr>
      </w:pPr>
      <w:r w:rsidRPr="00B03465">
        <w:rPr>
          <w:b/>
        </w:rPr>
        <w:t xml:space="preserve">Scope of </w:t>
      </w:r>
      <w:r>
        <w:rPr>
          <w:b/>
        </w:rPr>
        <w:t>Document</w:t>
      </w:r>
      <w:r w:rsidRPr="00B03465">
        <w:rPr>
          <w:b/>
        </w:rPr>
        <w:t>:</w:t>
      </w:r>
      <w:r w:rsidRPr="00B03465">
        <w:tab/>
      </w:r>
      <w:r w:rsidRPr="005F3437">
        <w:rPr>
          <w:b/>
        </w:rPr>
        <w:t>HRA</w:t>
      </w:r>
      <w:r>
        <w:rPr>
          <w:b/>
        </w:rPr>
        <w:t xml:space="preserve"> corporate</w:t>
      </w:r>
      <w:r>
        <w:rPr>
          <w:i/>
          <w:color w:val="BFBFBF" w:themeColor="background1" w:themeShade="BF"/>
        </w:rPr>
        <w:t xml:space="preserve"> </w:t>
      </w:r>
    </w:p>
    <w:p w:rsidR="00BB5784" w:rsidRPr="00B03465" w:rsidRDefault="00BB5784" w:rsidP="00DF1C04">
      <w:pPr>
        <w:pStyle w:val="BodyText"/>
        <w:spacing w:before="60" w:after="60" w:line="276" w:lineRule="auto"/>
        <w:rPr>
          <w:sz w:val="24"/>
        </w:rPr>
      </w:pPr>
    </w:p>
    <w:p w:rsidR="00B17ED8" w:rsidRPr="007350FA" w:rsidRDefault="00B17ED8" w:rsidP="00DF1C04">
      <w:pPr>
        <w:pStyle w:val="BodyText"/>
        <w:spacing w:before="60" w:after="60" w:line="276" w:lineRule="auto"/>
      </w:pPr>
      <w:bookmarkStart w:id="0" w:name="_Toc181522100"/>
      <w:bookmarkStart w:id="1" w:name="_Toc45088285"/>
      <w:bookmarkStart w:id="2" w:name="_Toc106689789"/>
    </w:p>
    <w:p w:rsidR="00F559D6" w:rsidRDefault="00F559D6" w:rsidP="00DF1C04">
      <w:pPr>
        <w:spacing w:before="60" w:after="60" w:line="276" w:lineRule="auto"/>
        <w:rPr>
          <w:rFonts w:ascii="Arial" w:hAnsi="Arial"/>
          <w:i/>
          <w:color w:val="A6A6A6" w:themeColor="background1" w:themeShade="A6"/>
          <w:sz w:val="22"/>
          <w:szCs w:val="22"/>
        </w:rPr>
      </w:pPr>
      <w:r>
        <w:rPr>
          <w:b/>
          <w:i/>
          <w:color w:val="A6A6A6" w:themeColor="background1" w:themeShade="A6"/>
          <w:sz w:val="22"/>
          <w:szCs w:val="22"/>
        </w:rPr>
        <w:br w:type="page"/>
      </w:r>
    </w:p>
    <w:bookmarkEnd w:id="0"/>
    <w:p w:rsidR="003C6D49" w:rsidRDefault="003C6D49" w:rsidP="00DF1C04">
      <w:pPr>
        <w:pStyle w:val="Heading1"/>
        <w:spacing w:before="60" w:after="60" w:line="276" w:lineRule="auto"/>
        <w:ind w:left="0"/>
      </w:pPr>
      <w:r>
        <w:lastRenderedPageBreak/>
        <w:t>Polic</w:t>
      </w:r>
      <w:r w:rsidR="00CF1279">
        <w:t>y</w:t>
      </w:r>
    </w:p>
    <w:p w:rsidR="00F559D6" w:rsidRPr="00F559D6" w:rsidRDefault="00F559D6" w:rsidP="00DF1C04">
      <w:pPr>
        <w:pStyle w:val="BodyText"/>
        <w:spacing w:before="60" w:after="60" w:line="276" w:lineRule="auto"/>
      </w:pPr>
    </w:p>
    <w:p w:rsidR="00297138" w:rsidRPr="00F559D6" w:rsidRDefault="00297138" w:rsidP="00DF1C04">
      <w:pPr>
        <w:pStyle w:val="BodyText"/>
        <w:spacing w:before="60" w:after="60" w:line="276" w:lineRule="auto"/>
        <w:ind w:left="0"/>
      </w:pPr>
      <w:r w:rsidRPr="00EB13C6">
        <w:t>This policy and procedure has been developed with consideration</w:t>
      </w:r>
      <w:r>
        <w:t xml:space="preserve"> to the HRA’s six core values: Inspiring Leadership, </w:t>
      </w:r>
      <w:r w:rsidRPr="00EB13C6">
        <w:t>Integrity,</w:t>
      </w:r>
      <w:r>
        <w:t xml:space="preserve"> Trusted,</w:t>
      </w:r>
      <w:r w:rsidRPr="00EB13C6">
        <w:t xml:space="preserve"> Transparent</w:t>
      </w:r>
      <w:r>
        <w:t>, Collaborative and Empowering.</w:t>
      </w:r>
      <w:r w:rsidRPr="00EB13C6">
        <w:t xml:space="preserve"> Further information on our values is available on the </w:t>
      </w:r>
      <w:r>
        <w:t xml:space="preserve">HRA </w:t>
      </w:r>
      <w:r w:rsidR="009814C8">
        <w:t>w</w:t>
      </w:r>
      <w:r>
        <w:t>eb</w:t>
      </w:r>
      <w:r w:rsidR="009814C8">
        <w:t xml:space="preserve"> </w:t>
      </w:r>
      <w:r>
        <w:t xml:space="preserve">site. </w:t>
      </w:r>
    </w:p>
    <w:p w:rsidR="00297138" w:rsidRPr="00297138" w:rsidRDefault="00297138" w:rsidP="00DF1C04">
      <w:pPr>
        <w:pStyle w:val="BodyText"/>
        <w:spacing w:before="60" w:after="60" w:line="276" w:lineRule="auto"/>
      </w:pPr>
    </w:p>
    <w:p w:rsidR="003C6D49" w:rsidRDefault="003C6D49" w:rsidP="00DF1C04">
      <w:pPr>
        <w:pStyle w:val="Heading1"/>
        <w:spacing w:before="60" w:after="60" w:line="276" w:lineRule="auto"/>
        <w:ind w:left="0"/>
      </w:pPr>
      <w:r>
        <w:t>Procedure</w:t>
      </w:r>
    </w:p>
    <w:p w:rsidR="00F559D6" w:rsidRPr="00F559D6" w:rsidRDefault="00F559D6" w:rsidP="00DF1C04">
      <w:pPr>
        <w:pStyle w:val="BodyText"/>
        <w:spacing w:before="60" w:after="60" w:line="276" w:lineRule="auto"/>
      </w:pPr>
    </w:p>
    <w:p w:rsidR="006F5E7F" w:rsidRDefault="006F5E7F" w:rsidP="00DF1C04">
      <w:pPr>
        <w:pStyle w:val="Heading1"/>
        <w:numPr>
          <w:ilvl w:val="0"/>
          <w:numId w:val="25"/>
        </w:numPr>
        <w:spacing w:before="60" w:after="60" w:line="276" w:lineRule="auto"/>
        <w:ind w:left="567" w:hanging="501"/>
        <w:rPr>
          <w:sz w:val="28"/>
        </w:rPr>
      </w:pPr>
      <w:r>
        <w:rPr>
          <w:sz w:val="28"/>
        </w:rPr>
        <w:t>Background</w:t>
      </w:r>
    </w:p>
    <w:p w:rsidR="006F5E7F" w:rsidRPr="00F559D6" w:rsidRDefault="006F5E7F" w:rsidP="00DF1C04">
      <w:pPr>
        <w:pStyle w:val="BodyText"/>
        <w:spacing w:before="60" w:after="60" w:line="276" w:lineRule="auto"/>
      </w:pPr>
    </w:p>
    <w:p w:rsidR="00265007" w:rsidRDefault="000A6302" w:rsidP="00DF1C04">
      <w:pPr>
        <w:pStyle w:val="BodyText"/>
        <w:spacing w:before="60" w:after="60" w:line="276" w:lineRule="auto"/>
      </w:pPr>
      <w:r>
        <w:t>T</w:t>
      </w:r>
      <w:r w:rsidR="006F5E7F">
        <w:t>he Health Service (Control of Patient Information Regulations) 2002 (S.I. 2002/1438)</w:t>
      </w:r>
      <w:r w:rsidR="001D0150">
        <w:t xml:space="preserve">, </w:t>
      </w:r>
      <w:r w:rsidR="006F5E7F">
        <w:t>as amended by Section 117 of the Care Act 2014</w:t>
      </w:r>
      <w:r w:rsidR="001D0150">
        <w:t xml:space="preserve"> (hereinafter ‘the Regulations’)</w:t>
      </w:r>
      <w:r w:rsidR="00265007">
        <w:t xml:space="preserve">, make provisions for confidential patient information </w:t>
      </w:r>
      <w:r w:rsidR="008B79C2">
        <w:t xml:space="preserve">in England and Wales </w:t>
      </w:r>
      <w:r w:rsidR="00265007">
        <w:t xml:space="preserve">to be processed </w:t>
      </w:r>
      <w:r w:rsidR="00D62D1F">
        <w:t xml:space="preserve">without consent </w:t>
      </w:r>
      <w:r w:rsidR="00265007">
        <w:t>for medical purposes, including medical research</w:t>
      </w:r>
      <w:r w:rsidR="001A6C7A">
        <w:t xml:space="preserve">, where </w:t>
      </w:r>
      <w:r w:rsidR="001A6C7A" w:rsidRPr="001A6C7A">
        <w:t xml:space="preserve">it would </w:t>
      </w:r>
      <w:r w:rsidR="001A6C7A">
        <w:t xml:space="preserve">not </w:t>
      </w:r>
      <w:r w:rsidR="001A6C7A" w:rsidRPr="001A6C7A">
        <w:t>be reasonably practicable to achieve that purpose otherwise, having regard to the cost of and the technology available for achieving that purpose</w:t>
      </w:r>
      <w:r w:rsidR="00DF1C04">
        <w:t>:</w:t>
      </w:r>
    </w:p>
    <w:p w:rsidR="00265007" w:rsidRPr="00265007" w:rsidRDefault="006F5E7F" w:rsidP="00DF1C04">
      <w:pPr>
        <w:pStyle w:val="BodyText"/>
        <w:numPr>
          <w:ilvl w:val="0"/>
          <w:numId w:val="28"/>
        </w:numPr>
        <w:spacing w:before="60" w:after="60" w:line="276" w:lineRule="auto"/>
        <w:rPr>
          <w:i/>
        </w:rPr>
      </w:pPr>
      <w:r w:rsidRPr="00265007">
        <w:t>Regulation 5(1)(a) provides for confidential patient information to be processed in the circumstance</w:t>
      </w:r>
      <w:r w:rsidR="00265007">
        <w:t>s set out in the Schedule to th</w:t>
      </w:r>
      <w:r w:rsidRPr="00265007">
        <w:t>e Regulations, provided that the processing has been approved</w:t>
      </w:r>
      <w:r w:rsidR="00265007">
        <w:t>,</w:t>
      </w:r>
      <w:r w:rsidRPr="00265007">
        <w:t xml:space="preserve"> in the case of medical research</w:t>
      </w:r>
      <w:r w:rsidR="00265007">
        <w:t>, by the HRA.</w:t>
      </w:r>
    </w:p>
    <w:p w:rsidR="00265007" w:rsidRPr="00265007" w:rsidRDefault="006F5E7F" w:rsidP="00DF1C04">
      <w:pPr>
        <w:pStyle w:val="BodyText"/>
        <w:numPr>
          <w:ilvl w:val="0"/>
          <w:numId w:val="28"/>
        </w:numPr>
        <w:spacing w:before="60" w:after="60" w:line="276" w:lineRule="auto"/>
        <w:rPr>
          <w:i/>
        </w:rPr>
      </w:pPr>
      <w:r w:rsidRPr="00265007">
        <w:t xml:space="preserve">Regulation 5(2) prohibits the HRA from approving the processing unless a </w:t>
      </w:r>
      <w:r w:rsidR="00581939">
        <w:t>research ethics committee (</w:t>
      </w:r>
      <w:r w:rsidRPr="00265007">
        <w:t>REC</w:t>
      </w:r>
      <w:r w:rsidR="00581939">
        <w:t>)</w:t>
      </w:r>
      <w:r w:rsidRPr="00265007">
        <w:t xml:space="preserve"> has approved </w:t>
      </w:r>
      <w:r w:rsidR="00265007">
        <w:t>the medical research concerned.</w:t>
      </w:r>
    </w:p>
    <w:p w:rsidR="001A6C7A" w:rsidRPr="001A6C7A" w:rsidRDefault="006F5E7F" w:rsidP="00DF1C04">
      <w:pPr>
        <w:pStyle w:val="BodyText"/>
        <w:numPr>
          <w:ilvl w:val="0"/>
          <w:numId w:val="28"/>
        </w:numPr>
        <w:spacing w:before="60" w:after="60" w:line="276" w:lineRule="auto"/>
        <w:rPr>
          <w:i/>
        </w:rPr>
      </w:pPr>
      <w:r w:rsidRPr="00265007">
        <w:t>Regulation 5(3) requires the HRA to put in place and operate a system for reviewing the decisions it makes under Regulation 5(1</w:t>
      </w:r>
      <w:proofErr w:type="gramStart"/>
      <w:r w:rsidRPr="00265007">
        <w:t>)(</w:t>
      </w:r>
      <w:proofErr w:type="gramEnd"/>
      <w:r w:rsidRPr="00265007">
        <w:t>a).</w:t>
      </w:r>
    </w:p>
    <w:p w:rsidR="006F5E7F" w:rsidRPr="00265007" w:rsidRDefault="000A6302" w:rsidP="00DF1C04">
      <w:pPr>
        <w:pStyle w:val="BodyText"/>
        <w:numPr>
          <w:ilvl w:val="0"/>
          <w:numId w:val="28"/>
        </w:numPr>
        <w:spacing w:before="60" w:after="60" w:line="276" w:lineRule="auto"/>
        <w:rPr>
          <w:i/>
        </w:rPr>
      </w:pPr>
      <w:r>
        <w:t>Regulation 4 requires that a</w:t>
      </w:r>
      <w:r w:rsidRPr="000A6302">
        <w:t xml:space="preserve">nything done by a person that is necessary for the purpose of processing confidential patient information in accordance with the Regulations </w:t>
      </w:r>
      <w:r>
        <w:t xml:space="preserve">is </w:t>
      </w:r>
      <w:r w:rsidRPr="000A6302">
        <w:t>taken to be lawfully done</w:t>
      </w:r>
      <w:r>
        <w:t>,</w:t>
      </w:r>
      <w:r w:rsidRPr="000A6302">
        <w:t xml:space="preserve"> despite any obligation of confidence owed by that person in respect of it.</w:t>
      </w:r>
    </w:p>
    <w:p w:rsidR="006F5E7F" w:rsidRDefault="006F5E7F" w:rsidP="00DF1C04">
      <w:pPr>
        <w:pStyle w:val="BodyText"/>
        <w:spacing w:before="60" w:after="60" w:line="276" w:lineRule="auto"/>
      </w:pPr>
    </w:p>
    <w:p w:rsidR="00F7334E" w:rsidRDefault="00914474" w:rsidP="00DF1C04">
      <w:pPr>
        <w:pStyle w:val="Heading1"/>
        <w:numPr>
          <w:ilvl w:val="0"/>
          <w:numId w:val="25"/>
        </w:numPr>
        <w:spacing w:before="60" w:after="60" w:line="276" w:lineRule="auto"/>
        <w:ind w:left="567" w:hanging="501"/>
        <w:rPr>
          <w:sz w:val="28"/>
        </w:rPr>
      </w:pPr>
      <w:r w:rsidRPr="00B03465">
        <w:rPr>
          <w:sz w:val="28"/>
        </w:rPr>
        <w:t>Purpose</w:t>
      </w:r>
    </w:p>
    <w:p w:rsidR="00F559D6" w:rsidRPr="00F559D6" w:rsidRDefault="00F559D6" w:rsidP="00DF1C04">
      <w:pPr>
        <w:pStyle w:val="BodyText"/>
        <w:spacing w:before="60" w:after="60" w:line="276" w:lineRule="auto"/>
      </w:pPr>
    </w:p>
    <w:p w:rsidR="00914474" w:rsidRPr="0040162F" w:rsidRDefault="006F5E7F" w:rsidP="00DF1C04">
      <w:pPr>
        <w:pStyle w:val="BodyText"/>
        <w:spacing w:before="60" w:after="60" w:line="276" w:lineRule="auto"/>
        <w:rPr>
          <w:i/>
          <w:color w:val="A6A6A6" w:themeColor="background1" w:themeShade="A6"/>
        </w:rPr>
      </w:pPr>
      <w:r>
        <w:t xml:space="preserve">This document sets out the procedure for HRA </w:t>
      </w:r>
      <w:r w:rsidR="001D0150">
        <w:t xml:space="preserve">decisions </w:t>
      </w:r>
      <w:r>
        <w:t>in accordance with regulation 5</w:t>
      </w:r>
      <w:r w:rsidR="001D0150">
        <w:t>(1</w:t>
      </w:r>
      <w:proofErr w:type="gramStart"/>
      <w:r w:rsidR="001D0150">
        <w:t>)(</w:t>
      </w:r>
      <w:proofErr w:type="gramEnd"/>
      <w:r w:rsidR="001D0150">
        <w:t>a), (2) and (3)</w:t>
      </w:r>
      <w:r>
        <w:t xml:space="preserve"> of the Regulations.</w:t>
      </w:r>
    </w:p>
    <w:p w:rsidR="003C6D49" w:rsidRDefault="003C6D49" w:rsidP="00DF1C04">
      <w:pPr>
        <w:pStyle w:val="BodyText"/>
        <w:spacing w:before="60" w:after="60" w:line="276" w:lineRule="auto"/>
      </w:pPr>
    </w:p>
    <w:p w:rsidR="00914474" w:rsidRDefault="00914474" w:rsidP="00DF1C04">
      <w:pPr>
        <w:pStyle w:val="Heading1"/>
        <w:numPr>
          <w:ilvl w:val="0"/>
          <w:numId w:val="25"/>
        </w:numPr>
        <w:spacing w:before="60" w:after="60" w:line="276" w:lineRule="auto"/>
        <w:ind w:left="567" w:hanging="567"/>
        <w:rPr>
          <w:sz w:val="28"/>
        </w:rPr>
      </w:pPr>
      <w:r w:rsidRPr="00B03465">
        <w:rPr>
          <w:sz w:val="28"/>
        </w:rPr>
        <w:t>Scope</w:t>
      </w:r>
    </w:p>
    <w:p w:rsidR="00F559D6" w:rsidRDefault="00F559D6" w:rsidP="00DF1C04">
      <w:pPr>
        <w:pStyle w:val="BodyText"/>
        <w:spacing w:before="60" w:after="60" w:line="276" w:lineRule="auto"/>
      </w:pPr>
    </w:p>
    <w:p w:rsidR="00864E77" w:rsidRPr="00FA1AEA" w:rsidRDefault="001D0150" w:rsidP="00DF1C04">
      <w:pPr>
        <w:pStyle w:val="BodyText"/>
        <w:spacing w:before="60" w:after="60" w:line="276" w:lineRule="auto"/>
        <w:rPr>
          <w:i/>
          <w:color w:val="A6A6A6" w:themeColor="background1" w:themeShade="A6"/>
        </w:rPr>
      </w:pPr>
      <w:r>
        <w:t>This procedure applies to HRA employees with decision-making responsibilities on behalf of the HRA under regulation 5 of the Regulations.</w:t>
      </w:r>
      <w:r w:rsidR="00864E77" w:rsidRPr="00FA1AEA">
        <w:rPr>
          <w:i/>
          <w:color w:val="A6A6A6" w:themeColor="background1" w:themeShade="A6"/>
        </w:rPr>
        <w:t xml:space="preserve"> </w:t>
      </w:r>
    </w:p>
    <w:p w:rsidR="00D33140" w:rsidRDefault="00D33140" w:rsidP="00DF1C04">
      <w:pPr>
        <w:pStyle w:val="BodyText"/>
        <w:spacing w:before="60" w:after="60" w:line="276" w:lineRule="auto"/>
      </w:pPr>
    </w:p>
    <w:p w:rsidR="00261F98" w:rsidRDefault="00261F98" w:rsidP="00DF1C04">
      <w:pPr>
        <w:pStyle w:val="Heading1"/>
        <w:numPr>
          <w:ilvl w:val="0"/>
          <w:numId w:val="25"/>
        </w:numPr>
        <w:spacing w:before="60" w:after="60" w:line="276" w:lineRule="auto"/>
        <w:ind w:left="567" w:hanging="567"/>
        <w:rPr>
          <w:sz w:val="28"/>
        </w:rPr>
      </w:pPr>
      <w:r w:rsidRPr="00B03465">
        <w:rPr>
          <w:sz w:val="28"/>
        </w:rPr>
        <w:t>Reference Documents</w:t>
      </w:r>
    </w:p>
    <w:p w:rsidR="00F559D6" w:rsidRPr="00F559D6" w:rsidRDefault="00F559D6" w:rsidP="00DF1C04">
      <w:pPr>
        <w:pStyle w:val="BodyText"/>
        <w:spacing w:before="60" w:after="60" w:line="276" w:lineRule="auto"/>
      </w:pPr>
    </w:p>
    <w:p w:rsidR="001C2493" w:rsidRDefault="001C2493" w:rsidP="00DF1C04">
      <w:pPr>
        <w:pStyle w:val="BodyText"/>
        <w:numPr>
          <w:ilvl w:val="0"/>
          <w:numId w:val="29"/>
        </w:numPr>
        <w:spacing w:before="60" w:after="60" w:line="276" w:lineRule="auto"/>
      </w:pPr>
      <w:r>
        <w:t>T</w:t>
      </w:r>
      <w:r w:rsidRPr="001C2493">
        <w:t>he Health Service (Control of Patient Information Regulations) 2002 (S.I. 2002/1438)</w:t>
      </w:r>
    </w:p>
    <w:p w:rsidR="001C2493" w:rsidRDefault="001C2493" w:rsidP="00DF1C04">
      <w:pPr>
        <w:pStyle w:val="BodyText"/>
        <w:numPr>
          <w:ilvl w:val="0"/>
          <w:numId w:val="29"/>
        </w:numPr>
        <w:spacing w:before="60" w:after="60" w:line="276" w:lineRule="auto"/>
      </w:pPr>
      <w:r>
        <w:t>Care Act 2014</w:t>
      </w:r>
      <w:r w:rsidR="000A6302">
        <w:t xml:space="preserve"> – Sections 110(1)(d) and 117 and Schedule 7(8)(1)(a)</w:t>
      </w:r>
    </w:p>
    <w:p w:rsidR="001C2493" w:rsidRDefault="001C2493" w:rsidP="00DF1C04">
      <w:pPr>
        <w:pStyle w:val="BodyText"/>
        <w:numPr>
          <w:ilvl w:val="0"/>
          <w:numId w:val="29"/>
        </w:numPr>
        <w:spacing w:before="60" w:after="60" w:line="276" w:lineRule="auto"/>
      </w:pPr>
      <w:r w:rsidRPr="001C2493">
        <w:t>National Health Service Act 2006</w:t>
      </w:r>
      <w:r w:rsidR="000A6302">
        <w:t xml:space="preserve"> – Sections 251 and 272(6)(a)</w:t>
      </w:r>
    </w:p>
    <w:p w:rsidR="001D0150" w:rsidRDefault="001D0150" w:rsidP="00DF1C04">
      <w:pPr>
        <w:pStyle w:val="BodyText"/>
        <w:numPr>
          <w:ilvl w:val="0"/>
          <w:numId w:val="29"/>
        </w:numPr>
        <w:spacing w:before="60" w:after="60" w:line="276" w:lineRule="auto"/>
      </w:pPr>
      <w:r>
        <w:lastRenderedPageBreak/>
        <w:t>Governance Arrangements for the Confidentiality Advisory Group</w:t>
      </w:r>
    </w:p>
    <w:p w:rsidR="001C2493" w:rsidRDefault="001C2493" w:rsidP="00DF1C04">
      <w:pPr>
        <w:pStyle w:val="BodyText"/>
        <w:numPr>
          <w:ilvl w:val="0"/>
          <w:numId w:val="29"/>
        </w:numPr>
        <w:spacing w:before="60" w:after="60" w:line="276" w:lineRule="auto"/>
      </w:pPr>
      <w:r w:rsidRPr="001C2493">
        <w:t>Confidentiality Advisory Group Standard Operating Procedures</w:t>
      </w:r>
    </w:p>
    <w:p w:rsidR="00D160F7" w:rsidRPr="001C2493" w:rsidRDefault="00D160F7" w:rsidP="00DF1C04">
      <w:pPr>
        <w:pStyle w:val="BodyText"/>
        <w:numPr>
          <w:ilvl w:val="0"/>
          <w:numId w:val="29"/>
        </w:numPr>
        <w:spacing w:before="60" w:after="60" w:line="276" w:lineRule="auto"/>
      </w:pPr>
      <w:r>
        <w:t>HRA Complaints Policy and Procedure</w:t>
      </w:r>
    </w:p>
    <w:p w:rsidR="00914474" w:rsidRDefault="00914474" w:rsidP="00DF1C04">
      <w:pPr>
        <w:pStyle w:val="BodyText"/>
        <w:spacing w:before="60" w:after="60" w:line="276" w:lineRule="auto"/>
      </w:pPr>
    </w:p>
    <w:p w:rsidR="00914474" w:rsidRDefault="00914474" w:rsidP="00DF1C04">
      <w:pPr>
        <w:pStyle w:val="Heading1"/>
        <w:numPr>
          <w:ilvl w:val="0"/>
          <w:numId w:val="25"/>
        </w:numPr>
        <w:spacing w:before="60" w:after="60" w:line="276" w:lineRule="auto"/>
        <w:ind w:left="567" w:hanging="567"/>
        <w:rPr>
          <w:sz w:val="28"/>
        </w:rPr>
      </w:pPr>
      <w:r w:rsidRPr="00B03465">
        <w:rPr>
          <w:sz w:val="28"/>
        </w:rPr>
        <w:t>Responsibilities</w:t>
      </w:r>
    </w:p>
    <w:p w:rsidR="00F559D6" w:rsidRPr="00F559D6" w:rsidRDefault="00F559D6" w:rsidP="00DF1C04">
      <w:pPr>
        <w:pStyle w:val="BodyText"/>
        <w:spacing w:before="60" w:after="60" w:line="276" w:lineRule="auto"/>
      </w:pPr>
    </w:p>
    <w:p w:rsidR="00914474" w:rsidRPr="00FA1AEA" w:rsidRDefault="00E90D94" w:rsidP="00DF1C04">
      <w:pPr>
        <w:pStyle w:val="BodyText"/>
        <w:spacing w:before="60" w:after="60" w:line="276" w:lineRule="auto"/>
        <w:rPr>
          <w:i/>
          <w:color w:val="A6A6A6" w:themeColor="background1" w:themeShade="A6"/>
        </w:rPr>
      </w:pPr>
      <w:r>
        <w:t xml:space="preserve">The HRA is responsible for exercising functions under the Regulations. </w:t>
      </w:r>
      <w:r w:rsidR="00D160F7">
        <w:t xml:space="preserve">As provided by </w:t>
      </w:r>
      <w:r>
        <w:t xml:space="preserve">Schedule 7(13) of the Care Act 2014, the HRA’s regulation 5 functions are performed on behalf of </w:t>
      </w:r>
      <w:r w:rsidR="00D160F7">
        <w:t xml:space="preserve">the </w:t>
      </w:r>
      <w:r>
        <w:t xml:space="preserve">HRA by the Corporate Secretary </w:t>
      </w:r>
      <w:r w:rsidR="00D160F7">
        <w:t>or</w:t>
      </w:r>
      <w:r>
        <w:t xml:space="preserve">, in his absence, </w:t>
      </w:r>
      <w:r w:rsidR="00D160F7">
        <w:t xml:space="preserve">by </w:t>
      </w:r>
      <w:r>
        <w:t>the HRA Policy Projects Lead (hereinafter ‘the approver’).</w:t>
      </w:r>
      <w:r w:rsidR="008C63C4">
        <w:rPr>
          <w:i/>
          <w:color w:val="A6A6A6" w:themeColor="background1" w:themeShade="A6"/>
        </w:rPr>
        <w:t xml:space="preserve"> </w:t>
      </w:r>
    </w:p>
    <w:p w:rsidR="00890C0B" w:rsidRDefault="00890C0B" w:rsidP="00DF1C04">
      <w:pPr>
        <w:pStyle w:val="BodyText"/>
        <w:spacing w:before="60" w:after="60" w:line="276" w:lineRule="auto"/>
      </w:pPr>
    </w:p>
    <w:p w:rsidR="00F559D6" w:rsidRDefault="00890C0B" w:rsidP="00DF1C04">
      <w:pPr>
        <w:pStyle w:val="Heading1"/>
        <w:numPr>
          <w:ilvl w:val="0"/>
          <w:numId w:val="25"/>
        </w:numPr>
        <w:spacing w:before="60" w:after="60" w:line="276" w:lineRule="auto"/>
        <w:ind w:left="567" w:hanging="567"/>
        <w:rPr>
          <w:sz w:val="28"/>
        </w:rPr>
      </w:pPr>
      <w:r w:rsidRPr="00B03465">
        <w:rPr>
          <w:sz w:val="28"/>
        </w:rPr>
        <w:t xml:space="preserve">Breakdown of </w:t>
      </w:r>
      <w:r w:rsidR="00075A56" w:rsidRPr="00B03465">
        <w:rPr>
          <w:sz w:val="28"/>
        </w:rPr>
        <w:t>a</w:t>
      </w:r>
      <w:r w:rsidRPr="00B03465">
        <w:rPr>
          <w:sz w:val="28"/>
        </w:rPr>
        <w:t xml:space="preserve">ctivities covered by the </w:t>
      </w:r>
      <w:r w:rsidR="007E10D6" w:rsidRPr="00B03465">
        <w:rPr>
          <w:sz w:val="28"/>
        </w:rPr>
        <w:t>p</w:t>
      </w:r>
      <w:r w:rsidRPr="00B03465">
        <w:rPr>
          <w:sz w:val="28"/>
        </w:rPr>
        <w:t>roce</w:t>
      </w:r>
      <w:r w:rsidR="007E10D6" w:rsidRPr="00B03465">
        <w:rPr>
          <w:sz w:val="28"/>
        </w:rPr>
        <w:t>dure</w:t>
      </w:r>
    </w:p>
    <w:p w:rsidR="00890C0B" w:rsidRPr="00B03465" w:rsidRDefault="007E10D6" w:rsidP="00DF1C04">
      <w:pPr>
        <w:pStyle w:val="Heading1"/>
        <w:spacing w:before="60" w:after="60" w:line="276" w:lineRule="auto"/>
        <w:ind w:left="0"/>
        <w:rPr>
          <w:sz w:val="28"/>
        </w:rPr>
      </w:pPr>
      <w:r w:rsidRPr="00B03465">
        <w:rPr>
          <w:sz w:val="28"/>
        </w:rPr>
        <w:t xml:space="preserve"> </w:t>
      </w:r>
    </w:p>
    <w:p w:rsidR="00DF1C04" w:rsidRDefault="00DF1C04" w:rsidP="00DF1C04">
      <w:pPr>
        <w:pStyle w:val="BodyText"/>
        <w:numPr>
          <w:ilvl w:val="1"/>
          <w:numId w:val="25"/>
        </w:numPr>
        <w:spacing w:before="60" w:after="60" w:line="276" w:lineRule="auto"/>
        <w:rPr>
          <w:b/>
        </w:rPr>
      </w:pPr>
      <w:r>
        <w:rPr>
          <w:b/>
        </w:rPr>
        <w:t>Overview</w:t>
      </w:r>
    </w:p>
    <w:p w:rsidR="00524BB3" w:rsidRDefault="00524BB3" w:rsidP="00524BB3">
      <w:pPr>
        <w:pStyle w:val="BodyText"/>
        <w:numPr>
          <w:ilvl w:val="2"/>
          <w:numId w:val="25"/>
        </w:numPr>
        <w:spacing w:before="60" w:after="60" w:line="276" w:lineRule="auto"/>
      </w:pPr>
      <w:r>
        <w:t xml:space="preserve">The HRA operates a transparent process in documenting how it reaches its approval decisions on </w:t>
      </w:r>
      <w:r w:rsidR="00914889">
        <w:t>processing of</w:t>
      </w:r>
      <w:r>
        <w:t xml:space="preserve"> confidential patient information without consent. A statement on the approver decision and whether it differed from CAG advice is published in the CAG minutes. </w:t>
      </w:r>
    </w:p>
    <w:p w:rsidR="00524BB3" w:rsidRDefault="00524BB3" w:rsidP="00524BB3">
      <w:pPr>
        <w:pStyle w:val="BodyText"/>
        <w:numPr>
          <w:ilvl w:val="2"/>
          <w:numId w:val="25"/>
        </w:numPr>
        <w:spacing w:before="60" w:after="60" w:line="276" w:lineRule="auto"/>
      </w:pPr>
      <w:r>
        <w:t xml:space="preserve">The HRA will designate a named senior lead from HRA management to take the approval decisions. The approver will not have any direct management responsibility for the CAG secretariat. Where feasible, the approver will be present for the CAG meetings where research applications are discussed. </w:t>
      </w:r>
    </w:p>
    <w:p w:rsidR="00524BB3" w:rsidRDefault="00524BB3" w:rsidP="00524BB3">
      <w:pPr>
        <w:pStyle w:val="BodyText"/>
        <w:numPr>
          <w:ilvl w:val="2"/>
          <w:numId w:val="25"/>
        </w:numPr>
        <w:spacing w:before="60" w:after="60" w:line="276" w:lineRule="auto"/>
      </w:pPr>
      <w:r>
        <w:t>The approv</w:t>
      </w:r>
      <w:r w:rsidR="00914889">
        <w:t>er</w:t>
      </w:r>
      <w:r>
        <w:t xml:space="preserve"> will use the CAG advice as a basis for the </w:t>
      </w:r>
      <w:r w:rsidR="00914889">
        <w:t>HRA</w:t>
      </w:r>
      <w:r>
        <w:t xml:space="preserve"> decision. The HRA has discretion to take into account other factors when reaching its decision. The HRA has confidence in the expertise and independent advice provided by the CAG and expects to rely upon the advice provided.</w:t>
      </w:r>
    </w:p>
    <w:p w:rsidR="00524BB3" w:rsidRDefault="00524BB3" w:rsidP="00524BB3">
      <w:pPr>
        <w:pStyle w:val="BodyText"/>
        <w:numPr>
          <w:ilvl w:val="2"/>
          <w:numId w:val="25"/>
        </w:numPr>
        <w:spacing w:before="60" w:after="60" w:line="276" w:lineRule="auto"/>
      </w:pPr>
      <w:r>
        <w:t>The following will apply when taking an approval decision:</w:t>
      </w:r>
    </w:p>
    <w:p w:rsidR="00524BB3" w:rsidRDefault="00524BB3" w:rsidP="00855183">
      <w:pPr>
        <w:pStyle w:val="BodyText"/>
        <w:numPr>
          <w:ilvl w:val="2"/>
          <w:numId w:val="35"/>
        </w:numPr>
        <w:spacing w:before="60" w:after="60" w:line="276" w:lineRule="auto"/>
        <w:ind w:left="1642" w:hanging="360"/>
      </w:pPr>
      <w:r>
        <w:t>When the HRA takes a decision in line with CAG advice, there will be a simple record to confirm acceptance of the advice.</w:t>
      </w:r>
    </w:p>
    <w:p w:rsidR="00524BB3" w:rsidRDefault="00524BB3" w:rsidP="00855183">
      <w:pPr>
        <w:pStyle w:val="BodyText"/>
        <w:numPr>
          <w:ilvl w:val="2"/>
          <w:numId w:val="35"/>
        </w:numPr>
        <w:spacing w:before="60" w:after="60" w:line="276" w:lineRule="auto"/>
        <w:ind w:left="1642" w:hanging="360"/>
      </w:pPr>
      <w:r>
        <w:t xml:space="preserve">Where the HRA is minded, for reasons </w:t>
      </w:r>
      <w:r w:rsidRPr="00524BB3">
        <w:rPr>
          <w:u w:val="single"/>
        </w:rPr>
        <w:t>within</w:t>
      </w:r>
      <w:r>
        <w:t xml:space="preserve"> the CAG remit, to take a decision that differs from the CAG advice recommendation, it will refer issues back to the CAG for further consideration</w:t>
      </w:r>
      <w:r w:rsidR="00F12C51">
        <w:t>,</w:t>
      </w:r>
      <w:r>
        <w:t xml:space="preserve"> documenting the reasons for further consideration. If the HRA identifies that further expert support is required for CAG, it will arrange for it to be provided. If the HRA is unable to accept the advice from CAG</w:t>
      </w:r>
      <w:r w:rsidR="00F12C51">
        <w:t>,</w:t>
      </w:r>
      <w:r>
        <w:t xml:space="preserve"> it will explain and document the reasons why. This will be published in the CAG minutes.</w:t>
      </w:r>
    </w:p>
    <w:p w:rsidR="00524BB3" w:rsidRDefault="00524BB3" w:rsidP="00855183">
      <w:pPr>
        <w:pStyle w:val="BodyText"/>
        <w:numPr>
          <w:ilvl w:val="2"/>
          <w:numId w:val="35"/>
        </w:numPr>
        <w:spacing w:before="60" w:after="60" w:line="276" w:lineRule="auto"/>
        <w:ind w:left="1642" w:hanging="360"/>
      </w:pPr>
      <w:r>
        <w:t xml:space="preserve">The HRA expects that CAG will support the HRA in looking at wider issues of policy. Where the HRA is minded, for reasons </w:t>
      </w:r>
      <w:r w:rsidRPr="00524BB3">
        <w:rPr>
          <w:u w:val="single"/>
        </w:rPr>
        <w:t>outside</w:t>
      </w:r>
      <w:r>
        <w:t xml:space="preserve"> the CAG remit, to take a decision that differs from the CAG advice, it will discuss these issues with the CAG.</w:t>
      </w:r>
    </w:p>
    <w:p w:rsidR="00855183" w:rsidRDefault="00855183" w:rsidP="00855183">
      <w:pPr>
        <w:pStyle w:val="BodyText"/>
        <w:spacing w:before="60" w:after="60" w:line="276" w:lineRule="auto"/>
      </w:pPr>
    </w:p>
    <w:p w:rsidR="00E90D94" w:rsidRDefault="00E90D94" w:rsidP="00DF1C04">
      <w:pPr>
        <w:pStyle w:val="BodyText"/>
        <w:numPr>
          <w:ilvl w:val="1"/>
          <w:numId w:val="25"/>
        </w:numPr>
        <w:spacing w:before="60" w:after="60" w:line="276" w:lineRule="auto"/>
        <w:rPr>
          <w:b/>
        </w:rPr>
      </w:pPr>
      <w:r w:rsidRPr="00AE1F50">
        <w:rPr>
          <w:b/>
        </w:rPr>
        <w:t>Making decisions</w:t>
      </w:r>
    </w:p>
    <w:p w:rsidR="00524BB3" w:rsidRPr="00524BB3" w:rsidRDefault="00524BB3" w:rsidP="00524BB3">
      <w:pPr>
        <w:pStyle w:val="BodyText"/>
        <w:numPr>
          <w:ilvl w:val="2"/>
          <w:numId w:val="25"/>
        </w:numPr>
        <w:spacing w:before="60" w:after="60" w:line="276" w:lineRule="auto"/>
      </w:pPr>
      <w:r w:rsidRPr="00524BB3">
        <w:t>The approver makes decisions with advice from the Confidentiality Advisory Group (CAG), in accordance with Schedule 7(8</w:t>
      </w:r>
      <w:proofErr w:type="gramStart"/>
      <w:r w:rsidRPr="00524BB3">
        <w:t>)(</w:t>
      </w:r>
      <w:proofErr w:type="gramEnd"/>
      <w:r w:rsidRPr="00524BB3">
        <w:t>1)(a) of the Care Act 2014.</w:t>
      </w:r>
    </w:p>
    <w:p w:rsidR="00524BB3" w:rsidRPr="00524BB3" w:rsidRDefault="00524BB3" w:rsidP="00524BB3">
      <w:pPr>
        <w:pStyle w:val="BodyText"/>
        <w:numPr>
          <w:ilvl w:val="2"/>
          <w:numId w:val="25"/>
        </w:numPr>
        <w:spacing w:before="60" w:after="60" w:line="276" w:lineRule="auto"/>
      </w:pPr>
      <w:r w:rsidRPr="00524BB3">
        <w:lastRenderedPageBreak/>
        <w:t xml:space="preserve">The CAG receives and reviews applications </w:t>
      </w:r>
      <w:r w:rsidR="00914889">
        <w:t xml:space="preserve">(i.e. new applications and amendments to previous applications) </w:t>
      </w:r>
      <w:r w:rsidRPr="00524BB3">
        <w:t>to process confidential patient information and passes its advice to the approver to make a decision. The CAG's advice is presented to the approver in the form of a draft HRA decision letter that sets out the CAG's opinion of the application, having taken into account the public interest in the processing, the practicability of alternatives and other relevant considerations in accordance with the law, the Governance Arrangements for the CAG and its SOPs.</w:t>
      </w:r>
    </w:p>
    <w:p w:rsidR="00524BB3" w:rsidRPr="00524BB3" w:rsidRDefault="00524BB3" w:rsidP="00524BB3">
      <w:pPr>
        <w:pStyle w:val="BodyText"/>
        <w:numPr>
          <w:ilvl w:val="2"/>
          <w:numId w:val="25"/>
        </w:numPr>
        <w:spacing w:before="60" w:after="60" w:line="276" w:lineRule="auto"/>
      </w:pPr>
      <w:r w:rsidRPr="00524BB3">
        <w:t xml:space="preserve">The approver should normally have attended the CAG meeting at which the application was discussed. The approver has access to the application and supporting documents, including the REC opinion of the medical research concerned. The approver reviews this information and considers the CAG advice in light of it in order to arrive at a decision, which should be communicated to the CAG secretariat within </w:t>
      </w:r>
      <w:r w:rsidR="00B339FF">
        <w:t>three</w:t>
      </w:r>
      <w:r w:rsidR="009814C8" w:rsidRPr="00524BB3">
        <w:t xml:space="preserve"> </w:t>
      </w:r>
      <w:r w:rsidRPr="00524BB3">
        <w:t>working days of receiving the CAG's advice. If the approver has any questions about the information or advice, these should be communicated to the CAG secretariat before a decision is reached and as early as possible within the turnaround</w:t>
      </w:r>
      <w:r w:rsidR="009814C8">
        <w:t xml:space="preserve"> time</w:t>
      </w:r>
      <w:r w:rsidRPr="00524BB3">
        <w:t>.</w:t>
      </w:r>
    </w:p>
    <w:p w:rsidR="00524BB3" w:rsidRPr="00524BB3" w:rsidRDefault="00524BB3" w:rsidP="00524BB3">
      <w:pPr>
        <w:pStyle w:val="BodyText"/>
        <w:numPr>
          <w:ilvl w:val="2"/>
          <w:numId w:val="25"/>
        </w:numPr>
        <w:spacing w:before="60" w:after="60" w:line="276" w:lineRule="auto"/>
      </w:pPr>
      <w:r w:rsidRPr="00524BB3">
        <w:t>If the approver's decision is consistent with the draft HRA decision letter, the approver confirms this in writing to the CAG secretariat, which then issues the decision letter.</w:t>
      </w:r>
    </w:p>
    <w:p w:rsidR="00524BB3" w:rsidRPr="00524BB3" w:rsidRDefault="00524BB3" w:rsidP="00524BB3">
      <w:pPr>
        <w:pStyle w:val="BodyText"/>
        <w:numPr>
          <w:ilvl w:val="2"/>
          <w:numId w:val="25"/>
        </w:numPr>
        <w:spacing w:before="60" w:after="60" w:line="276" w:lineRule="auto"/>
      </w:pPr>
      <w:r w:rsidRPr="00524BB3">
        <w:t xml:space="preserve">If the approver's decision is not consistent with the draft HRA decision letter, the approver communicates this in writing to the CAG secretariat with an explanation, so that the CAG can understand the reasons and have the opportunity to comment and so that the draft HRA decision can be revised accordingly. The approver reviews the revised HRA decision letter and should confirm to the CAG secretariat within </w:t>
      </w:r>
      <w:r w:rsidR="009814C8">
        <w:t>the remaining turnaround time (see 6.2.3)</w:t>
      </w:r>
      <w:r w:rsidRPr="00524BB3">
        <w:t xml:space="preserve"> that it should be issued.</w:t>
      </w:r>
    </w:p>
    <w:p w:rsidR="00524BB3" w:rsidRDefault="00524BB3" w:rsidP="00524BB3">
      <w:pPr>
        <w:pStyle w:val="BodyText"/>
        <w:numPr>
          <w:ilvl w:val="2"/>
          <w:numId w:val="25"/>
        </w:numPr>
        <w:spacing w:before="60" w:after="60" w:line="276" w:lineRule="auto"/>
      </w:pPr>
      <w:r w:rsidRPr="00524BB3">
        <w:t>A statement of the approver's decision and whether it differed from the CAG's advice is published in the minutes of the relevant CAG meeting.</w:t>
      </w:r>
    </w:p>
    <w:p w:rsidR="00855183" w:rsidRPr="00524BB3" w:rsidRDefault="00855183" w:rsidP="00855183">
      <w:pPr>
        <w:pStyle w:val="BodyText"/>
        <w:spacing w:before="60" w:after="60" w:line="276" w:lineRule="auto"/>
      </w:pPr>
    </w:p>
    <w:p w:rsidR="00E90D94" w:rsidRDefault="00E90D94" w:rsidP="00DF1C04">
      <w:pPr>
        <w:pStyle w:val="BodyText"/>
        <w:numPr>
          <w:ilvl w:val="1"/>
          <w:numId w:val="25"/>
        </w:numPr>
        <w:spacing w:before="60" w:after="60" w:line="276" w:lineRule="auto"/>
        <w:rPr>
          <w:b/>
        </w:rPr>
      </w:pPr>
      <w:r w:rsidRPr="00AE1F50">
        <w:rPr>
          <w:b/>
        </w:rPr>
        <w:t>Reviewing decisions made</w:t>
      </w:r>
    </w:p>
    <w:p w:rsidR="00524BB3" w:rsidRPr="00855183" w:rsidRDefault="00524BB3" w:rsidP="00855183">
      <w:pPr>
        <w:pStyle w:val="BodyText"/>
        <w:spacing w:before="60" w:after="60" w:line="276" w:lineRule="auto"/>
        <w:rPr>
          <w:i/>
        </w:rPr>
      </w:pPr>
      <w:r w:rsidRPr="00855183">
        <w:rPr>
          <w:i/>
        </w:rPr>
        <w:t>The application:</w:t>
      </w:r>
    </w:p>
    <w:p w:rsidR="00524BB3" w:rsidRPr="00524BB3" w:rsidRDefault="00524BB3" w:rsidP="00524BB3">
      <w:pPr>
        <w:pStyle w:val="BodyText"/>
        <w:numPr>
          <w:ilvl w:val="2"/>
          <w:numId w:val="25"/>
        </w:numPr>
        <w:spacing w:before="60" w:after="60" w:line="276" w:lineRule="auto"/>
      </w:pPr>
      <w:r w:rsidRPr="00524BB3">
        <w:t>If applicants wish to address issues raised in the decision letter in order to seek a different decision, they may do so in the form of a resubmission.</w:t>
      </w:r>
    </w:p>
    <w:p w:rsidR="00524BB3" w:rsidRPr="00855183" w:rsidRDefault="00524BB3" w:rsidP="00855183">
      <w:pPr>
        <w:pStyle w:val="BodyText"/>
        <w:spacing w:before="60" w:after="60" w:line="276" w:lineRule="auto"/>
        <w:rPr>
          <w:i/>
        </w:rPr>
      </w:pPr>
      <w:r w:rsidRPr="00855183">
        <w:rPr>
          <w:i/>
        </w:rPr>
        <w:t>The decision-making process:</w:t>
      </w:r>
    </w:p>
    <w:p w:rsidR="00524BB3" w:rsidRPr="00524BB3" w:rsidRDefault="00524BB3" w:rsidP="002A15FE">
      <w:pPr>
        <w:pStyle w:val="BodyText"/>
        <w:numPr>
          <w:ilvl w:val="2"/>
          <w:numId w:val="25"/>
        </w:numPr>
        <w:spacing w:before="60" w:after="60" w:line="276" w:lineRule="auto"/>
      </w:pPr>
      <w:r w:rsidRPr="00524BB3">
        <w:t xml:space="preserve">If applicants or third parties make a complaint </w:t>
      </w:r>
      <w:r w:rsidR="002A15FE">
        <w:t xml:space="preserve">about divergence from </w:t>
      </w:r>
      <w:r w:rsidR="00457F39">
        <w:t xml:space="preserve">this </w:t>
      </w:r>
      <w:r w:rsidR="002A15FE">
        <w:t>procedure</w:t>
      </w:r>
      <w:r w:rsidRPr="00524BB3">
        <w:t xml:space="preserve">, this will be </w:t>
      </w:r>
      <w:r w:rsidR="002A15FE">
        <w:t>handled</w:t>
      </w:r>
      <w:r w:rsidRPr="00524BB3">
        <w:t xml:space="preserve"> in accordance with the HRA Complaints Policy and Procedure.</w:t>
      </w:r>
    </w:p>
    <w:p w:rsidR="00524BB3" w:rsidRPr="00855183" w:rsidRDefault="00524BB3" w:rsidP="00855183">
      <w:pPr>
        <w:pStyle w:val="BodyText"/>
        <w:spacing w:before="60" w:after="60" w:line="276" w:lineRule="auto"/>
        <w:rPr>
          <w:i/>
        </w:rPr>
      </w:pPr>
      <w:r w:rsidRPr="00855183">
        <w:rPr>
          <w:i/>
        </w:rPr>
        <w:t>The decision itself:</w:t>
      </w:r>
    </w:p>
    <w:p w:rsidR="00524BB3" w:rsidRPr="00524BB3" w:rsidRDefault="00524BB3" w:rsidP="00524BB3">
      <w:pPr>
        <w:pStyle w:val="BodyText"/>
        <w:numPr>
          <w:ilvl w:val="2"/>
          <w:numId w:val="25"/>
        </w:numPr>
        <w:spacing w:before="60" w:after="60" w:line="276" w:lineRule="auto"/>
      </w:pPr>
      <w:r w:rsidRPr="00524BB3">
        <w:t>If applicants or third parties are dissatisfied with the outcome of the HRA decision-making process, they can request, within 14 calendar days of the decision being issued, that the HRA reviews its decision. The request should set out the grounds for review and present any other relevant information.</w:t>
      </w:r>
    </w:p>
    <w:p w:rsidR="00524BB3" w:rsidRPr="00524BB3" w:rsidRDefault="00524BB3" w:rsidP="00524BB3">
      <w:pPr>
        <w:pStyle w:val="BodyText"/>
        <w:numPr>
          <w:ilvl w:val="2"/>
          <w:numId w:val="25"/>
        </w:numPr>
        <w:spacing w:before="60" w:after="60" w:line="276" w:lineRule="auto"/>
      </w:pPr>
      <w:r w:rsidRPr="00524BB3">
        <w:t>The CAG considers the request at its next meeting. The CAG may either reaffirm its previous advice or modify its advice.</w:t>
      </w:r>
    </w:p>
    <w:p w:rsidR="00524BB3" w:rsidRPr="00524BB3" w:rsidRDefault="00524BB3" w:rsidP="00524BB3">
      <w:pPr>
        <w:pStyle w:val="BodyText"/>
        <w:numPr>
          <w:ilvl w:val="2"/>
          <w:numId w:val="25"/>
        </w:numPr>
        <w:spacing w:before="60" w:after="60" w:line="276" w:lineRule="auto"/>
      </w:pPr>
      <w:r w:rsidRPr="00524BB3">
        <w:t>The approver reviews the decision following the CAG's consideration of the request, foll</w:t>
      </w:r>
      <w:r w:rsidR="00550609">
        <w:t>owing the process set out in 6.2</w:t>
      </w:r>
      <w:r w:rsidRPr="00524BB3">
        <w:t>.</w:t>
      </w:r>
    </w:p>
    <w:p w:rsidR="00524BB3" w:rsidRPr="00524BB3" w:rsidRDefault="00524BB3" w:rsidP="00524BB3">
      <w:pPr>
        <w:pStyle w:val="BodyText"/>
        <w:numPr>
          <w:ilvl w:val="2"/>
          <w:numId w:val="25"/>
        </w:numPr>
        <w:spacing w:before="60" w:after="60" w:line="276" w:lineRule="auto"/>
      </w:pPr>
      <w:r w:rsidRPr="00524BB3">
        <w:t>The decision in relation to the request for review is final. There is no appeal process against this decision.</w:t>
      </w:r>
    </w:p>
    <w:p w:rsidR="001C2E78" w:rsidRPr="00890C0B" w:rsidRDefault="001C2E78" w:rsidP="00DF1C04">
      <w:pPr>
        <w:pStyle w:val="BodyText"/>
        <w:spacing w:before="60" w:after="60" w:line="276" w:lineRule="auto"/>
      </w:pPr>
    </w:p>
    <w:p w:rsidR="00F559D6" w:rsidRDefault="00890C0B" w:rsidP="00DF1C04">
      <w:pPr>
        <w:pStyle w:val="Heading1"/>
        <w:numPr>
          <w:ilvl w:val="0"/>
          <w:numId w:val="25"/>
        </w:numPr>
        <w:spacing w:before="60" w:after="60" w:line="276" w:lineRule="auto"/>
        <w:ind w:left="567" w:hanging="567"/>
        <w:rPr>
          <w:sz w:val="28"/>
        </w:rPr>
      </w:pPr>
      <w:r w:rsidRPr="00B03465">
        <w:rPr>
          <w:sz w:val="28"/>
        </w:rPr>
        <w:lastRenderedPageBreak/>
        <w:t>Monitoring of activities covered by the proc</w:t>
      </w:r>
      <w:r w:rsidR="007E10D6" w:rsidRPr="00B03465">
        <w:rPr>
          <w:sz w:val="28"/>
        </w:rPr>
        <w:t>edure</w:t>
      </w:r>
    </w:p>
    <w:p w:rsidR="004129DC" w:rsidRDefault="004129DC" w:rsidP="004129DC">
      <w:pPr>
        <w:pStyle w:val="BodyText"/>
        <w:spacing w:before="60" w:after="60" w:line="276" w:lineRule="auto"/>
        <w:rPr>
          <w:b/>
        </w:rPr>
      </w:pPr>
    </w:p>
    <w:p w:rsidR="00F12C51" w:rsidRDefault="00F12C51" w:rsidP="00F12C51">
      <w:pPr>
        <w:pStyle w:val="BodyText"/>
        <w:numPr>
          <w:ilvl w:val="1"/>
          <w:numId w:val="25"/>
        </w:numPr>
        <w:spacing w:before="60" w:after="60" w:line="276" w:lineRule="auto"/>
        <w:rPr>
          <w:b/>
        </w:rPr>
      </w:pPr>
      <w:r w:rsidRPr="00F12C51">
        <w:rPr>
          <w:b/>
        </w:rPr>
        <w:t>Compliance with the requirement for REC approval</w:t>
      </w:r>
    </w:p>
    <w:p w:rsidR="00F12C51" w:rsidRDefault="00F12C51" w:rsidP="00F12C51">
      <w:pPr>
        <w:pStyle w:val="BodyText"/>
        <w:numPr>
          <w:ilvl w:val="2"/>
          <w:numId w:val="25"/>
        </w:numPr>
        <w:spacing w:before="60" w:after="60" w:line="276" w:lineRule="auto"/>
      </w:pPr>
      <w:r>
        <w:t>To ensure that the HRA does not approve processing for medical research without REC approval, the CAG secretariat checks whether the medical research concerned already has REC approval before passing the CAG’s advice to the approver. Where the medical research concerned has an unfavourable REC opinion, the processing cannot be approved by the HRA, so there is no action for the approver. Where the medical research does not yet have a REC opinion, the procedure is as normal (see 6.2) except that the CAG secretariat issues the HRA decision letter only once the REC opinion is known.</w:t>
      </w:r>
    </w:p>
    <w:p w:rsidR="004129DC" w:rsidRDefault="004129DC" w:rsidP="004129DC">
      <w:pPr>
        <w:pStyle w:val="BodyText"/>
        <w:spacing w:before="60" w:after="60" w:line="276" w:lineRule="auto"/>
      </w:pPr>
    </w:p>
    <w:p w:rsidR="00F12C51" w:rsidRDefault="00F12C51" w:rsidP="00F12C51">
      <w:pPr>
        <w:pStyle w:val="BodyText"/>
        <w:numPr>
          <w:ilvl w:val="1"/>
          <w:numId w:val="25"/>
        </w:numPr>
        <w:spacing w:before="60" w:after="60" w:line="276" w:lineRule="auto"/>
        <w:rPr>
          <w:b/>
        </w:rPr>
      </w:pPr>
      <w:r w:rsidRPr="00F12C51">
        <w:rPr>
          <w:b/>
        </w:rPr>
        <w:t>Monitoring timelines for HRA decisions</w:t>
      </w:r>
    </w:p>
    <w:p w:rsidR="00F12C51" w:rsidRPr="00524BB3" w:rsidRDefault="00F12C51" w:rsidP="00F12C51">
      <w:pPr>
        <w:pStyle w:val="BodyText"/>
        <w:numPr>
          <w:ilvl w:val="2"/>
          <w:numId w:val="25"/>
        </w:numPr>
        <w:spacing w:before="60" w:after="60" w:line="276" w:lineRule="auto"/>
      </w:pPr>
      <w:r>
        <w:t>The HRA publishes key performance indicators, including the number and proportion of applications meeting the target processing time</w:t>
      </w:r>
      <w:r w:rsidR="00B339FF">
        <w:t>,</w:t>
      </w:r>
      <w:r>
        <w:t xml:space="preserve"> </w:t>
      </w:r>
      <w:r w:rsidR="00B339FF">
        <w:t xml:space="preserve">from receipt to issuing decision letter, </w:t>
      </w:r>
      <w:r>
        <w:t>of 60 days for new applications (30 days</w:t>
      </w:r>
      <w:r w:rsidR="009814C8">
        <w:t xml:space="preserve"> for applications</w:t>
      </w:r>
      <w:r>
        <w:t xml:space="preserve"> where a precedent has been set) and 30 days for amendments.</w:t>
      </w:r>
    </w:p>
    <w:p w:rsidR="00C43D9C" w:rsidRPr="00890C0B" w:rsidRDefault="00C43D9C" w:rsidP="00DF1C04">
      <w:pPr>
        <w:spacing w:before="60" w:after="60" w:line="276" w:lineRule="auto"/>
        <w:rPr>
          <w:rFonts w:ascii="Arial" w:hAnsi="Arial" w:cs="Arial"/>
          <w:sz w:val="24"/>
          <w:szCs w:val="24"/>
        </w:rPr>
      </w:pPr>
    </w:p>
    <w:p w:rsidR="00F559D6" w:rsidRDefault="00890C0B" w:rsidP="00DF1C04">
      <w:pPr>
        <w:pStyle w:val="Heading1"/>
        <w:numPr>
          <w:ilvl w:val="0"/>
          <w:numId w:val="25"/>
        </w:numPr>
        <w:spacing w:before="60" w:after="60" w:line="276" w:lineRule="auto"/>
        <w:ind w:left="567" w:hanging="567"/>
        <w:rPr>
          <w:sz w:val="28"/>
        </w:rPr>
      </w:pPr>
      <w:r w:rsidRPr="00B03465">
        <w:rPr>
          <w:sz w:val="28"/>
        </w:rPr>
        <w:t xml:space="preserve">How lessons </w:t>
      </w:r>
      <w:r w:rsidR="00BC03BC" w:rsidRPr="00B03465">
        <w:rPr>
          <w:sz w:val="28"/>
        </w:rPr>
        <w:t xml:space="preserve">are </w:t>
      </w:r>
      <w:r w:rsidRPr="00B03465">
        <w:rPr>
          <w:sz w:val="28"/>
        </w:rPr>
        <w:t>l</w:t>
      </w:r>
      <w:r w:rsidR="00AF0127" w:rsidRPr="00B03465">
        <w:rPr>
          <w:sz w:val="28"/>
        </w:rPr>
        <w:t xml:space="preserve">earnt and incorporated into the </w:t>
      </w:r>
      <w:r w:rsidRPr="00B03465">
        <w:rPr>
          <w:sz w:val="28"/>
        </w:rPr>
        <w:t>proc</w:t>
      </w:r>
      <w:r w:rsidR="007E10D6" w:rsidRPr="00B03465">
        <w:rPr>
          <w:sz w:val="28"/>
        </w:rPr>
        <w:t>edure</w:t>
      </w:r>
    </w:p>
    <w:p w:rsidR="004129DC" w:rsidRDefault="004129DC" w:rsidP="00FF71EF">
      <w:pPr>
        <w:pStyle w:val="Heading1"/>
        <w:spacing w:before="60" w:after="60" w:line="276" w:lineRule="auto"/>
        <w:ind w:left="562"/>
        <w:rPr>
          <w:b w:val="0"/>
          <w:sz w:val="22"/>
          <w:szCs w:val="22"/>
        </w:rPr>
      </w:pPr>
    </w:p>
    <w:p w:rsidR="00890C0B" w:rsidRPr="00AE7B97" w:rsidRDefault="00AE7B97" w:rsidP="00FF71EF">
      <w:pPr>
        <w:pStyle w:val="Heading1"/>
        <w:spacing w:before="60" w:after="60" w:line="276" w:lineRule="auto"/>
        <w:ind w:left="562"/>
        <w:rPr>
          <w:b w:val="0"/>
          <w:sz w:val="22"/>
          <w:szCs w:val="22"/>
        </w:rPr>
      </w:pPr>
      <w:r w:rsidRPr="00AE7B97">
        <w:rPr>
          <w:b w:val="0"/>
          <w:sz w:val="22"/>
          <w:szCs w:val="22"/>
        </w:rPr>
        <w:t>The HRA will incorporate into this procedure lessons learnt from any complaints made about the decision-making process.</w:t>
      </w:r>
    </w:p>
    <w:p w:rsidR="001C2E78" w:rsidRPr="007226F3" w:rsidRDefault="001C2E78" w:rsidP="00DF1C04">
      <w:pPr>
        <w:pStyle w:val="BodyText"/>
        <w:spacing w:before="60" w:after="60" w:line="276" w:lineRule="auto"/>
      </w:pPr>
    </w:p>
    <w:p w:rsidR="001C2E78" w:rsidRPr="00B03465" w:rsidRDefault="003C6D49" w:rsidP="00DF1C04">
      <w:pPr>
        <w:pStyle w:val="Heading1"/>
        <w:spacing w:before="60" w:after="60" w:line="276" w:lineRule="auto"/>
        <w:ind w:hanging="567"/>
        <w:rPr>
          <w:sz w:val="28"/>
        </w:rPr>
      </w:pPr>
      <w:r w:rsidRPr="00B03465">
        <w:rPr>
          <w:sz w:val="28"/>
        </w:rPr>
        <w:t>9</w:t>
      </w:r>
      <w:r w:rsidR="00890C0B" w:rsidRPr="00B03465">
        <w:rPr>
          <w:sz w:val="28"/>
        </w:rPr>
        <w:t xml:space="preserve">. </w:t>
      </w:r>
      <w:r w:rsidR="00F559D6">
        <w:rPr>
          <w:sz w:val="28"/>
        </w:rPr>
        <w:tab/>
      </w:r>
      <w:r w:rsidR="001C2E78" w:rsidRPr="00B03465">
        <w:rPr>
          <w:sz w:val="28"/>
        </w:rPr>
        <w:t xml:space="preserve">Management of </w:t>
      </w:r>
      <w:r w:rsidR="00F3123C" w:rsidRPr="00B03465">
        <w:rPr>
          <w:sz w:val="28"/>
        </w:rPr>
        <w:t xml:space="preserve">Documents and </w:t>
      </w:r>
      <w:r w:rsidR="001C2E78" w:rsidRPr="00B03465">
        <w:rPr>
          <w:sz w:val="28"/>
        </w:rPr>
        <w:t>Records</w:t>
      </w:r>
    </w:p>
    <w:p w:rsidR="00F559D6" w:rsidRDefault="00F559D6" w:rsidP="00DF1C04">
      <w:pPr>
        <w:pStyle w:val="BodyText"/>
        <w:spacing w:before="60" w:after="60" w:line="276" w:lineRule="auto"/>
        <w:ind w:left="540"/>
        <w:rPr>
          <w:i/>
          <w:color w:val="A6A6A6" w:themeColor="background1" w:themeShade="A6"/>
        </w:rPr>
      </w:pPr>
    </w:p>
    <w:p w:rsidR="00FF71EF" w:rsidRDefault="004E17F3" w:rsidP="00DF1C04">
      <w:pPr>
        <w:pStyle w:val="BodyText"/>
        <w:spacing w:before="60" w:after="60" w:line="276" w:lineRule="auto"/>
        <w:ind w:left="540"/>
      </w:pPr>
      <w:r>
        <w:t>This procedure will be</w:t>
      </w:r>
      <w:r w:rsidRPr="004E17F3">
        <w:t xml:space="preserve"> </w:t>
      </w:r>
      <w:r w:rsidR="00AE7B97">
        <w:t>logged on the HRA Document Control System. It will be reviewed in light of relevant legislation</w:t>
      </w:r>
      <w:r w:rsidR="00FF71EF">
        <w:t xml:space="preserve"> and otherwise annually</w:t>
      </w:r>
      <w:r w:rsidR="00AE7B97">
        <w:t>.</w:t>
      </w:r>
      <w:r w:rsidR="00FF71EF">
        <w:t xml:space="preserve"> Superseded versions will not be archived.</w:t>
      </w:r>
    </w:p>
    <w:p w:rsidR="001C2E78" w:rsidRPr="00B03465" w:rsidRDefault="001C2E78" w:rsidP="00DF1C04">
      <w:pPr>
        <w:pStyle w:val="Heading1"/>
        <w:spacing w:before="60" w:after="60" w:line="276" w:lineRule="auto"/>
        <w:rPr>
          <w:sz w:val="28"/>
        </w:rPr>
      </w:pPr>
    </w:p>
    <w:p w:rsidR="00890C0B" w:rsidRPr="00B03465" w:rsidRDefault="00261F98" w:rsidP="00DF1C04">
      <w:pPr>
        <w:pStyle w:val="Heading1"/>
        <w:spacing w:before="60" w:after="60" w:line="276" w:lineRule="auto"/>
        <w:ind w:hanging="567"/>
        <w:rPr>
          <w:sz w:val="28"/>
        </w:rPr>
      </w:pPr>
      <w:r w:rsidRPr="00B03465">
        <w:rPr>
          <w:sz w:val="28"/>
        </w:rPr>
        <w:t>1</w:t>
      </w:r>
      <w:r w:rsidR="003C6D49" w:rsidRPr="00B03465">
        <w:rPr>
          <w:sz w:val="28"/>
        </w:rPr>
        <w:t>0</w:t>
      </w:r>
      <w:r w:rsidR="00074C01" w:rsidRPr="00B03465">
        <w:rPr>
          <w:sz w:val="28"/>
        </w:rPr>
        <w:t xml:space="preserve">. </w:t>
      </w:r>
      <w:r w:rsidR="00F559D6">
        <w:rPr>
          <w:sz w:val="28"/>
        </w:rPr>
        <w:tab/>
      </w:r>
      <w:r w:rsidR="00890C0B" w:rsidRPr="00B03465">
        <w:rPr>
          <w:sz w:val="28"/>
        </w:rPr>
        <w:t>Supporting paperwork/forms</w:t>
      </w:r>
    </w:p>
    <w:p w:rsidR="00EB13C6" w:rsidRDefault="00EB13C6" w:rsidP="00DF1C04">
      <w:pPr>
        <w:pStyle w:val="BodyText"/>
        <w:spacing w:before="60" w:after="60" w:line="276" w:lineRule="auto"/>
        <w:rPr>
          <w:i/>
          <w:color w:val="A6A6A6" w:themeColor="background1" w:themeShade="A6"/>
        </w:rPr>
      </w:pPr>
    </w:p>
    <w:p w:rsidR="00AE7B97" w:rsidRPr="004129DC" w:rsidRDefault="00AE7B97" w:rsidP="00DF1C04">
      <w:pPr>
        <w:pStyle w:val="BodyText"/>
        <w:spacing w:before="60" w:after="60" w:line="276" w:lineRule="auto"/>
      </w:pPr>
      <w:proofErr w:type="gramStart"/>
      <w:r w:rsidRPr="004129DC">
        <w:t>None.</w:t>
      </w:r>
      <w:proofErr w:type="gramEnd"/>
    </w:p>
    <w:p w:rsidR="00805C2B" w:rsidRDefault="00805C2B" w:rsidP="00DF1C04">
      <w:pPr>
        <w:pStyle w:val="BodyText"/>
        <w:spacing w:before="60" w:after="60" w:line="276" w:lineRule="auto"/>
        <w:ind w:left="0"/>
      </w:pPr>
    </w:p>
    <w:p w:rsidR="00805C2B" w:rsidRPr="00B03465" w:rsidRDefault="00805C2B" w:rsidP="00DF1C04">
      <w:pPr>
        <w:pStyle w:val="BodyText"/>
        <w:spacing w:before="60" w:after="60" w:line="276" w:lineRule="auto"/>
        <w:ind w:hanging="567"/>
        <w:rPr>
          <w:rFonts w:cs="Times New Roman"/>
          <w:b/>
          <w:sz w:val="28"/>
          <w:szCs w:val="16"/>
        </w:rPr>
      </w:pPr>
      <w:r w:rsidRPr="00B03465">
        <w:rPr>
          <w:rFonts w:cs="Times New Roman"/>
          <w:b/>
          <w:sz w:val="28"/>
          <w:szCs w:val="16"/>
        </w:rPr>
        <w:t>1</w:t>
      </w:r>
      <w:r w:rsidR="003C6D49" w:rsidRPr="00B03465">
        <w:rPr>
          <w:rFonts w:cs="Times New Roman"/>
          <w:b/>
          <w:sz w:val="28"/>
          <w:szCs w:val="16"/>
        </w:rPr>
        <w:t>1</w:t>
      </w:r>
      <w:r w:rsidRPr="00B03465">
        <w:rPr>
          <w:rFonts w:cs="Times New Roman"/>
          <w:b/>
          <w:sz w:val="28"/>
          <w:szCs w:val="16"/>
        </w:rPr>
        <w:t xml:space="preserve">. </w:t>
      </w:r>
      <w:r w:rsidR="00F559D6">
        <w:rPr>
          <w:rFonts w:cs="Times New Roman"/>
          <w:b/>
          <w:sz w:val="28"/>
          <w:szCs w:val="16"/>
        </w:rPr>
        <w:tab/>
      </w:r>
      <w:r w:rsidR="007956B6" w:rsidRPr="00B03465">
        <w:rPr>
          <w:rFonts w:cs="Times New Roman"/>
          <w:b/>
          <w:sz w:val="28"/>
          <w:szCs w:val="16"/>
        </w:rPr>
        <w:t xml:space="preserve">Dissemination and publication of the </w:t>
      </w:r>
      <w:r w:rsidR="00583F59">
        <w:rPr>
          <w:rFonts w:cs="Times New Roman"/>
          <w:b/>
          <w:sz w:val="28"/>
          <w:szCs w:val="16"/>
        </w:rPr>
        <w:t>document</w:t>
      </w:r>
    </w:p>
    <w:p w:rsidR="007956B6" w:rsidRPr="003C3051" w:rsidRDefault="007956B6" w:rsidP="00DF1C04">
      <w:pPr>
        <w:pStyle w:val="BodyText"/>
        <w:spacing w:before="60" w:after="60" w:line="276" w:lineRule="auto"/>
        <w:ind w:left="0"/>
        <w:rPr>
          <w:b/>
          <w:sz w:val="24"/>
          <w:szCs w:val="24"/>
        </w:rPr>
      </w:pPr>
    </w:p>
    <w:p w:rsidR="00FF71EF" w:rsidRPr="004129DC" w:rsidRDefault="00AE7B97" w:rsidP="00F33299">
      <w:pPr>
        <w:pStyle w:val="BodyText"/>
        <w:spacing w:before="60" w:after="60" w:line="276" w:lineRule="auto"/>
        <w:rPr>
          <w:iCs/>
        </w:rPr>
      </w:pPr>
      <w:r w:rsidRPr="004129DC">
        <w:rPr>
          <w:iCs/>
        </w:rPr>
        <w:t>This document will be released onto the HRA web site</w:t>
      </w:r>
      <w:r w:rsidR="00FF71EF" w:rsidRPr="004129DC">
        <w:rPr>
          <w:iCs/>
        </w:rPr>
        <w:t xml:space="preserve"> at </w:t>
      </w:r>
      <w:hyperlink r:id="rId11" w:history="1">
        <w:r w:rsidR="00FF71EF" w:rsidRPr="00FF71EF">
          <w:rPr>
            <w:rStyle w:val="Hyperlink"/>
            <w:iCs/>
          </w:rPr>
          <w:t>www.hra.nhs.uk/about-the-hra/our-committees/section-251</w:t>
        </w:r>
      </w:hyperlink>
      <w:r w:rsidR="00FF71EF" w:rsidRPr="004129DC">
        <w:rPr>
          <w:iCs/>
        </w:rPr>
        <w:t xml:space="preserve"> </w:t>
      </w:r>
      <w:r w:rsidR="00F33299" w:rsidRPr="004129DC">
        <w:rPr>
          <w:iCs/>
        </w:rPr>
        <w:t xml:space="preserve">with a link titled ‘HRA decision procedure’ </w:t>
      </w:r>
      <w:r w:rsidR="00FF71EF" w:rsidRPr="004129DC">
        <w:rPr>
          <w:iCs/>
        </w:rPr>
        <w:t xml:space="preserve">under the </w:t>
      </w:r>
      <w:r w:rsidR="00F33299" w:rsidRPr="004129DC">
        <w:rPr>
          <w:iCs/>
        </w:rPr>
        <w:t xml:space="preserve">first paragraph of the </w:t>
      </w:r>
      <w:r w:rsidR="00FF71EF" w:rsidRPr="004129DC">
        <w:rPr>
          <w:iCs/>
        </w:rPr>
        <w:t xml:space="preserve">section headed </w:t>
      </w:r>
      <w:r w:rsidR="00F33299" w:rsidRPr="004129DC">
        <w:rPr>
          <w:iCs/>
        </w:rPr>
        <w:t>‘Research and non-research applications’.</w:t>
      </w:r>
      <w:r w:rsidR="00FF71EF" w:rsidRPr="004129DC">
        <w:rPr>
          <w:iCs/>
        </w:rPr>
        <w:t xml:space="preserve"> </w:t>
      </w:r>
      <w:r w:rsidRPr="004129DC">
        <w:rPr>
          <w:iCs/>
        </w:rPr>
        <w:t>It need not be communicated through HRA News.</w:t>
      </w:r>
    </w:p>
    <w:p w:rsidR="004129DC" w:rsidRDefault="004129DC">
      <w:pPr>
        <w:rPr>
          <w:rFonts w:ascii="Arial" w:hAnsi="Arial" w:cs="Arial"/>
          <w:sz w:val="22"/>
          <w:szCs w:val="22"/>
        </w:rPr>
      </w:pPr>
      <w:r>
        <w:br w:type="page"/>
      </w:r>
    </w:p>
    <w:p w:rsidR="00F7334E" w:rsidRPr="00E27FF4" w:rsidRDefault="00E27FF4" w:rsidP="00DF1C04">
      <w:pPr>
        <w:pStyle w:val="BodyText"/>
        <w:spacing w:before="60" w:after="60" w:line="276" w:lineRule="auto"/>
        <w:ind w:left="0"/>
        <w:rPr>
          <w:b/>
        </w:rPr>
      </w:pPr>
      <w:r w:rsidRPr="00612B5C">
        <w:rPr>
          <w:b/>
          <w:sz w:val="28"/>
          <w:szCs w:val="20"/>
        </w:rPr>
        <w:lastRenderedPageBreak/>
        <w:t>12.</w:t>
      </w:r>
      <w:r w:rsidRPr="00E27FF4">
        <w:rPr>
          <w:b/>
          <w:sz w:val="20"/>
          <w:szCs w:val="20"/>
        </w:rPr>
        <w:tab/>
      </w:r>
      <w:r w:rsidRPr="00612B5C">
        <w:rPr>
          <w:rFonts w:cs="Times New Roman"/>
          <w:b/>
          <w:sz w:val="28"/>
          <w:szCs w:val="16"/>
        </w:rPr>
        <w:t xml:space="preserve">Screening Questions - HRA Equality Analysis and Privacy Impact </w:t>
      </w:r>
      <w:r w:rsidR="006B2C67">
        <w:rPr>
          <w:rFonts w:cs="Times New Roman"/>
          <w:b/>
          <w:sz w:val="28"/>
          <w:szCs w:val="16"/>
        </w:rPr>
        <w:tab/>
      </w:r>
      <w:r w:rsidRPr="00612B5C">
        <w:rPr>
          <w:rFonts w:cs="Times New Roman"/>
          <w:b/>
          <w:sz w:val="28"/>
          <w:szCs w:val="16"/>
        </w:rPr>
        <w:t>Assessment</w:t>
      </w:r>
      <w:r>
        <w:rPr>
          <w:b/>
          <w:sz w:val="20"/>
          <w:szCs w:val="20"/>
        </w:rPr>
        <w:t xml:space="preserve"> </w:t>
      </w:r>
    </w:p>
    <w:p w:rsidR="00F7334E" w:rsidRDefault="00F7334E" w:rsidP="00DF1C04">
      <w:pPr>
        <w:pStyle w:val="BodyText"/>
        <w:spacing w:before="60" w:after="60" w:line="276" w:lineRule="auto"/>
        <w:ind w:left="0"/>
      </w:pPr>
    </w:p>
    <w:tbl>
      <w:tblPr>
        <w:tblW w:w="0" w:type="auto"/>
        <w:tblInd w:w="108" w:type="dxa"/>
        <w:tblCellMar>
          <w:left w:w="0" w:type="dxa"/>
          <w:right w:w="0" w:type="dxa"/>
        </w:tblCellMar>
        <w:tblLook w:val="04A0" w:firstRow="1" w:lastRow="0" w:firstColumn="1" w:lastColumn="0" w:noHBand="0" w:noVBand="1"/>
      </w:tblPr>
      <w:tblGrid>
        <w:gridCol w:w="1560"/>
        <w:gridCol w:w="4819"/>
        <w:gridCol w:w="851"/>
        <w:gridCol w:w="2409"/>
      </w:tblGrid>
      <w:tr w:rsidR="000E0992" w:rsidRPr="00A32FE9" w:rsidTr="00DA7B63">
        <w:tc>
          <w:tcPr>
            <w:tcW w:w="963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992" w:rsidRPr="00A32FE9" w:rsidRDefault="000E0992" w:rsidP="00DF1C04">
            <w:pPr>
              <w:pStyle w:val="BodyText"/>
              <w:spacing w:before="60" w:after="60" w:line="276" w:lineRule="auto"/>
              <w:ind w:left="0"/>
              <w:rPr>
                <w:sz w:val="20"/>
                <w:szCs w:val="20"/>
              </w:rPr>
            </w:pPr>
            <w:r w:rsidRPr="00A32FE9">
              <w:rPr>
                <w:sz w:val="20"/>
                <w:szCs w:val="20"/>
              </w:rPr>
              <w:t>EQUALITY AND PRIVACY SCREENING QUESTIONS</w:t>
            </w:r>
          </w:p>
        </w:tc>
      </w:tr>
      <w:tr w:rsidR="000E0992" w:rsidRPr="00A32FE9" w:rsidTr="00DA7B63">
        <w:tc>
          <w:tcPr>
            <w:tcW w:w="63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992" w:rsidRPr="00A32FE9" w:rsidRDefault="000E0992" w:rsidP="00DF1C04">
            <w:pPr>
              <w:pStyle w:val="BodyText"/>
              <w:spacing w:before="60" w:after="60" w:line="276" w:lineRule="auto"/>
              <w:ind w:left="0"/>
              <w:rPr>
                <w:sz w:val="20"/>
                <w:szCs w:val="20"/>
              </w:rPr>
            </w:pPr>
            <w:r w:rsidRPr="00A32FE9">
              <w:rPr>
                <w:sz w:val="20"/>
                <w:szCs w:val="20"/>
              </w:rPr>
              <w:t>FOR EVERY HRA POLICY (</w:t>
            </w:r>
            <w:r w:rsidRPr="00A32FE9">
              <w:rPr>
                <w:i/>
                <w:iCs/>
                <w:sz w:val="20"/>
                <w:szCs w:val="20"/>
              </w:rPr>
              <w:t>defined by the Equality and Human Rights Commission (EHRC) as a function, strategy, procedure, practice, project, or decision</w:t>
            </w:r>
            <w:r w:rsidRPr="00A32FE9">
              <w:rPr>
                <w:sz w:val="20"/>
                <w:szCs w:val="20"/>
              </w:rPr>
              <w:t>) PLEASE ANSWER THE QUESTIONS BELOW TO DETERMINE WHETHER FURTHER ANALYSIS IS REQUIRED.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992" w:rsidRPr="00A32FE9" w:rsidRDefault="000E0992" w:rsidP="00DF1C04">
            <w:pPr>
              <w:pStyle w:val="BodyText"/>
              <w:spacing w:before="60" w:after="60" w:line="276" w:lineRule="auto"/>
              <w:ind w:left="0"/>
              <w:jc w:val="center"/>
              <w:rPr>
                <w:sz w:val="20"/>
                <w:szCs w:val="20"/>
              </w:rPr>
            </w:pPr>
            <w:r w:rsidRPr="00A32FE9">
              <w:rPr>
                <w:b/>
                <w:bCs/>
                <w:sz w:val="20"/>
                <w:szCs w:val="20"/>
              </w:rPr>
              <w:t>YES / NO</w:t>
            </w:r>
          </w:p>
        </w:tc>
        <w:tc>
          <w:tcPr>
            <w:tcW w:w="24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992" w:rsidRPr="00A32FE9" w:rsidRDefault="000E0992" w:rsidP="00DF1C04">
            <w:pPr>
              <w:pStyle w:val="BodyText"/>
              <w:spacing w:before="60" w:after="60" w:line="276" w:lineRule="auto"/>
              <w:ind w:left="0"/>
              <w:rPr>
                <w:sz w:val="20"/>
                <w:szCs w:val="20"/>
              </w:rPr>
            </w:pPr>
            <w:r w:rsidRPr="00A32FE9">
              <w:rPr>
                <w:sz w:val="20"/>
                <w:szCs w:val="20"/>
              </w:rPr>
              <w:t xml:space="preserve">If yes, please complete </w:t>
            </w:r>
            <w:r>
              <w:rPr>
                <w:sz w:val="20"/>
                <w:szCs w:val="20"/>
              </w:rPr>
              <w:t xml:space="preserve">as required </w:t>
            </w:r>
            <w:proofErr w:type="gramStart"/>
            <w:r w:rsidRPr="00A32FE9">
              <w:rPr>
                <w:sz w:val="20"/>
                <w:szCs w:val="20"/>
              </w:rPr>
              <w:t>either the</w:t>
            </w:r>
            <w:proofErr w:type="gramEnd"/>
            <w:r w:rsidRPr="00A32FE9">
              <w:rPr>
                <w:sz w:val="20"/>
                <w:szCs w:val="20"/>
              </w:rPr>
              <w:t xml:space="preserve"> HRA Initial Equality Analysis and / or Initial Privacy Impact Assessment Template </w:t>
            </w:r>
            <w:r w:rsidR="00E27FF4">
              <w:rPr>
                <w:sz w:val="20"/>
                <w:szCs w:val="20"/>
              </w:rPr>
              <w:t xml:space="preserve">and copy and paste the completed assessment (s) below. </w:t>
            </w:r>
            <w:r w:rsidRPr="00A32FE9">
              <w:rPr>
                <w:sz w:val="20"/>
                <w:szCs w:val="20"/>
              </w:rPr>
              <w:t>This one document can be found on the Intranet.</w:t>
            </w:r>
            <w:r w:rsidR="00E27FF4">
              <w:rPr>
                <w:sz w:val="20"/>
                <w:szCs w:val="20"/>
              </w:rPr>
              <w:t xml:space="preserve"> </w:t>
            </w:r>
          </w:p>
        </w:tc>
      </w:tr>
      <w:tr w:rsidR="000E0992" w:rsidRPr="00A32FE9" w:rsidTr="00DA7B6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992" w:rsidRPr="00A32FE9" w:rsidRDefault="000E0992" w:rsidP="00DF1C04">
            <w:pPr>
              <w:pStyle w:val="BodyText"/>
              <w:spacing w:before="60" w:after="60" w:line="276" w:lineRule="auto"/>
              <w:ind w:left="0"/>
              <w:jc w:val="center"/>
              <w:rPr>
                <w:sz w:val="20"/>
                <w:szCs w:val="20"/>
              </w:rPr>
            </w:pPr>
            <w:r w:rsidRPr="00A32FE9">
              <w:rPr>
                <w:b/>
                <w:bCs/>
                <w:sz w:val="20"/>
                <w:szCs w:val="20"/>
              </w:rPr>
              <w:t>Equality</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0E0992" w:rsidRPr="00A32FE9" w:rsidRDefault="000E0992" w:rsidP="00DF1C04">
            <w:pPr>
              <w:pStyle w:val="BodyText"/>
              <w:spacing w:before="60" w:after="60" w:line="276" w:lineRule="auto"/>
              <w:ind w:left="0"/>
              <w:rPr>
                <w:sz w:val="20"/>
                <w:szCs w:val="20"/>
              </w:rPr>
            </w:pPr>
            <w:r w:rsidRPr="00A32FE9">
              <w:rPr>
                <w:sz w:val="20"/>
                <w:szCs w:val="20"/>
              </w:rPr>
              <w:t>With due regard to our Equality Duty, could this policy have the potential to have a detrimental impact on anyone with a protected characteristic?</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E0992" w:rsidRPr="00A32FE9" w:rsidRDefault="000E0992" w:rsidP="00DF1C04">
            <w:pPr>
              <w:pStyle w:val="BodyText"/>
              <w:spacing w:before="60" w:after="60" w:line="276" w:lineRule="auto"/>
              <w:ind w:left="0"/>
              <w:rPr>
                <w:sz w:val="20"/>
                <w:szCs w:val="20"/>
              </w:rPr>
            </w:pPr>
            <w:r w:rsidRPr="00A32FE9">
              <w:rPr>
                <w:sz w:val="20"/>
                <w:szCs w:val="20"/>
              </w:rPr>
              <w:t> </w:t>
            </w:r>
            <w:r w:rsidR="00855183">
              <w:rPr>
                <w:sz w:val="20"/>
                <w:szCs w:val="20"/>
              </w:rPr>
              <w:t>No</w:t>
            </w:r>
          </w:p>
        </w:tc>
        <w:tc>
          <w:tcPr>
            <w:tcW w:w="2409" w:type="dxa"/>
            <w:vMerge/>
            <w:tcBorders>
              <w:top w:val="nil"/>
              <w:left w:val="nil"/>
              <w:bottom w:val="single" w:sz="8" w:space="0" w:color="auto"/>
              <w:right w:val="single" w:sz="8" w:space="0" w:color="auto"/>
            </w:tcBorders>
            <w:vAlign w:val="center"/>
            <w:hideMark/>
          </w:tcPr>
          <w:p w:rsidR="000E0992" w:rsidRPr="00A32FE9" w:rsidRDefault="000E0992" w:rsidP="00DF1C04">
            <w:pPr>
              <w:spacing w:before="60" w:after="60" w:line="276" w:lineRule="auto"/>
              <w:rPr>
                <w:rFonts w:ascii="Arial" w:eastAsia="Calibri" w:hAnsi="Arial" w:cs="Arial"/>
                <w:sz w:val="20"/>
                <w:szCs w:val="20"/>
              </w:rPr>
            </w:pPr>
          </w:p>
        </w:tc>
      </w:tr>
      <w:tr w:rsidR="000E0992" w:rsidRPr="00A32FE9" w:rsidTr="00DA7B6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992" w:rsidRPr="00A32FE9" w:rsidRDefault="000E0992" w:rsidP="00DF1C04">
            <w:pPr>
              <w:pStyle w:val="BodyText"/>
              <w:spacing w:before="60" w:after="60" w:line="276" w:lineRule="auto"/>
              <w:ind w:left="0"/>
              <w:jc w:val="center"/>
              <w:rPr>
                <w:sz w:val="20"/>
                <w:szCs w:val="20"/>
              </w:rPr>
            </w:pPr>
            <w:r w:rsidRPr="00A32FE9">
              <w:rPr>
                <w:b/>
                <w:bCs/>
                <w:sz w:val="20"/>
                <w:szCs w:val="20"/>
              </w:rPr>
              <w:t>Privacy</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0E0992" w:rsidRPr="00A32FE9" w:rsidRDefault="000E0992" w:rsidP="00DF1C04">
            <w:pPr>
              <w:pStyle w:val="BodyText"/>
              <w:spacing w:before="60" w:after="60" w:line="276" w:lineRule="auto"/>
              <w:ind w:left="0"/>
              <w:rPr>
                <w:sz w:val="20"/>
                <w:szCs w:val="20"/>
              </w:rPr>
            </w:pPr>
            <w:r w:rsidRPr="00A32FE9">
              <w:rPr>
                <w:sz w:val="20"/>
                <w:szCs w:val="20"/>
              </w:rPr>
              <w:t>With due regard to the Data Protection Act, does this policy involve the use of Personal Information?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E0992" w:rsidRPr="00A32FE9" w:rsidRDefault="000E0992" w:rsidP="00855183">
            <w:pPr>
              <w:pStyle w:val="BodyText"/>
              <w:spacing w:before="60" w:after="60" w:line="276" w:lineRule="auto"/>
              <w:ind w:left="0"/>
              <w:rPr>
                <w:sz w:val="20"/>
                <w:szCs w:val="20"/>
              </w:rPr>
            </w:pPr>
            <w:r w:rsidRPr="00A32FE9">
              <w:rPr>
                <w:sz w:val="20"/>
                <w:szCs w:val="20"/>
              </w:rPr>
              <w:t> </w:t>
            </w:r>
            <w:r w:rsidR="00855183">
              <w:rPr>
                <w:sz w:val="20"/>
                <w:szCs w:val="20"/>
              </w:rPr>
              <w:t>Yes</w:t>
            </w:r>
          </w:p>
        </w:tc>
        <w:tc>
          <w:tcPr>
            <w:tcW w:w="2409" w:type="dxa"/>
            <w:vMerge/>
            <w:tcBorders>
              <w:top w:val="nil"/>
              <w:left w:val="nil"/>
              <w:bottom w:val="single" w:sz="8" w:space="0" w:color="auto"/>
              <w:right w:val="single" w:sz="8" w:space="0" w:color="auto"/>
            </w:tcBorders>
            <w:vAlign w:val="center"/>
            <w:hideMark/>
          </w:tcPr>
          <w:p w:rsidR="000E0992" w:rsidRPr="00A32FE9" w:rsidRDefault="000E0992" w:rsidP="00DF1C04">
            <w:pPr>
              <w:spacing w:before="60" w:after="60" w:line="276" w:lineRule="auto"/>
              <w:rPr>
                <w:rFonts w:ascii="Arial" w:eastAsia="Calibri" w:hAnsi="Arial" w:cs="Arial"/>
                <w:sz w:val="20"/>
                <w:szCs w:val="20"/>
              </w:rPr>
            </w:pPr>
          </w:p>
        </w:tc>
      </w:tr>
    </w:tbl>
    <w:p w:rsidR="003D4BF9" w:rsidRDefault="003D4BF9" w:rsidP="003D4BF9">
      <w:pPr>
        <w:rPr>
          <w:rFonts w:ascii="Arial" w:hAnsi="Arial" w:cs="Arial"/>
          <w:b/>
          <w:caps/>
          <w:sz w:val="22"/>
          <w:szCs w:val="22"/>
          <w:u w:val="single"/>
        </w:rPr>
      </w:pPr>
    </w:p>
    <w:p w:rsidR="003D4BF9" w:rsidRPr="007F42D3" w:rsidRDefault="003D4BF9" w:rsidP="003D4BF9">
      <w:pPr>
        <w:rPr>
          <w:rFonts w:ascii="Arial" w:hAnsi="Arial" w:cs="Arial"/>
          <w:b/>
          <w:caps/>
          <w:sz w:val="22"/>
          <w:szCs w:val="22"/>
          <w:u w:val="single"/>
        </w:rPr>
      </w:pPr>
      <w:r>
        <w:rPr>
          <w:rFonts w:ascii="Arial" w:hAnsi="Arial" w:cs="Arial"/>
          <w:b/>
          <w:caps/>
          <w:sz w:val="22"/>
          <w:szCs w:val="22"/>
          <w:u w:val="single"/>
        </w:rPr>
        <w:t>INITIAL Privacy IMPACT ASSESSMENT</w:t>
      </w:r>
    </w:p>
    <w:p w:rsidR="003D4BF9" w:rsidRPr="0086047C" w:rsidRDefault="003D4BF9" w:rsidP="003D4BF9">
      <w:pPr>
        <w:rPr>
          <w:rFonts w:ascii="Arial" w:hAnsi="Arial" w:cs="Arial"/>
          <w:sz w:val="22"/>
          <w:szCs w:val="22"/>
        </w:rPr>
      </w:pPr>
    </w:p>
    <w:p w:rsidR="003D4BF9" w:rsidRPr="0086047C" w:rsidRDefault="003D4BF9" w:rsidP="003D4BF9">
      <w:pPr>
        <w:autoSpaceDE w:val="0"/>
        <w:autoSpaceDN w:val="0"/>
        <w:adjustRightInd w:val="0"/>
        <w:outlineLvl w:val="0"/>
        <w:rPr>
          <w:rFonts w:ascii="Arial" w:hAnsi="Arial" w:cs="Arial"/>
          <w:b/>
          <w:iCs/>
          <w:sz w:val="22"/>
          <w:szCs w:val="22"/>
        </w:rPr>
      </w:pPr>
      <w:r w:rsidRPr="0086047C">
        <w:rPr>
          <w:rFonts w:ascii="Arial" w:hAnsi="Arial" w:cs="Arial"/>
          <w:b/>
          <w:iCs/>
          <w:sz w:val="22"/>
          <w:szCs w:val="22"/>
        </w:rPr>
        <w:t>What is Privacy</w:t>
      </w:r>
      <w:r>
        <w:rPr>
          <w:rFonts w:ascii="Arial" w:hAnsi="Arial" w:cs="Arial"/>
          <w:b/>
          <w:iCs/>
          <w:sz w:val="22"/>
          <w:szCs w:val="22"/>
        </w:rPr>
        <w:t>?</w:t>
      </w:r>
    </w:p>
    <w:p w:rsidR="003D4BF9" w:rsidRPr="0086047C" w:rsidRDefault="003D4BF9" w:rsidP="003D4BF9">
      <w:pPr>
        <w:rPr>
          <w:rFonts w:ascii="Arial" w:hAnsi="Arial" w:cs="Arial"/>
          <w:sz w:val="22"/>
          <w:szCs w:val="22"/>
        </w:rPr>
      </w:pPr>
    </w:p>
    <w:p w:rsidR="003D4BF9" w:rsidRPr="0086047C" w:rsidRDefault="003D4BF9" w:rsidP="003D4BF9">
      <w:pPr>
        <w:jc w:val="both"/>
        <w:rPr>
          <w:rFonts w:ascii="Arial" w:hAnsi="Arial" w:cs="Arial"/>
          <w:sz w:val="22"/>
          <w:szCs w:val="22"/>
        </w:rPr>
      </w:pPr>
      <w:r w:rsidRPr="0086047C">
        <w:rPr>
          <w:rFonts w:ascii="Arial" w:hAnsi="Arial" w:cs="Arial"/>
          <w:sz w:val="22"/>
          <w:szCs w:val="22"/>
        </w:rPr>
        <w:t>Privacy refers to freedom from intrusion and relates to all information that is personal or sensitive in nature to an individual</w:t>
      </w:r>
    </w:p>
    <w:p w:rsidR="003D4BF9" w:rsidRPr="0086047C" w:rsidRDefault="003D4BF9" w:rsidP="003D4BF9">
      <w:pPr>
        <w:autoSpaceDE w:val="0"/>
        <w:autoSpaceDN w:val="0"/>
        <w:adjustRightInd w:val="0"/>
        <w:rPr>
          <w:rFonts w:ascii="Arial" w:hAnsi="Arial" w:cs="Arial"/>
          <w:i/>
          <w:iC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4"/>
        <w:gridCol w:w="1224"/>
        <w:gridCol w:w="1113"/>
      </w:tblGrid>
      <w:tr w:rsidR="003D4BF9" w:rsidRPr="0086047C" w:rsidTr="00906B50">
        <w:tc>
          <w:tcPr>
            <w:tcW w:w="8364" w:type="dxa"/>
            <w:shd w:val="clear" w:color="auto" w:fill="auto"/>
          </w:tcPr>
          <w:p w:rsidR="003D4BF9" w:rsidRPr="0086047C" w:rsidRDefault="003D4BF9" w:rsidP="00906B50">
            <w:pPr>
              <w:spacing w:before="60" w:after="60"/>
              <w:ind w:left="360"/>
              <w:rPr>
                <w:rFonts w:ascii="Arial" w:hAnsi="Arial" w:cs="Arial"/>
                <w:sz w:val="22"/>
                <w:szCs w:val="22"/>
              </w:rPr>
            </w:pPr>
          </w:p>
        </w:tc>
        <w:tc>
          <w:tcPr>
            <w:tcW w:w="708" w:type="dxa"/>
            <w:shd w:val="clear" w:color="auto" w:fill="C6D9F1"/>
          </w:tcPr>
          <w:p w:rsidR="003D4BF9" w:rsidRPr="00DB6ED4" w:rsidRDefault="003D4BF9" w:rsidP="00906B50">
            <w:pPr>
              <w:spacing w:before="60" w:after="60"/>
              <w:rPr>
                <w:rFonts w:ascii="Arial" w:hAnsi="Arial" w:cs="Arial"/>
                <w:b/>
                <w:sz w:val="22"/>
                <w:szCs w:val="22"/>
              </w:rPr>
            </w:pPr>
            <w:r w:rsidRPr="00DB6ED4">
              <w:rPr>
                <w:rFonts w:ascii="Arial" w:hAnsi="Arial" w:cs="Arial"/>
                <w:b/>
                <w:sz w:val="22"/>
                <w:szCs w:val="22"/>
              </w:rPr>
              <w:t>YES</w:t>
            </w:r>
          </w:p>
        </w:tc>
        <w:tc>
          <w:tcPr>
            <w:tcW w:w="709" w:type="dxa"/>
            <w:shd w:val="clear" w:color="auto" w:fill="C6D9F1"/>
          </w:tcPr>
          <w:p w:rsidR="003D4BF9" w:rsidRPr="00DB6ED4" w:rsidRDefault="003D4BF9" w:rsidP="00906B50">
            <w:pPr>
              <w:spacing w:before="60" w:after="60"/>
              <w:rPr>
                <w:rFonts w:ascii="Arial" w:hAnsi="Arial" w:cs="Arial"/>
                <w:b/>
                <w:sz w:val="22"/>
                <w:szCs w:val="22"/>
              </w:rPr>
            </w:pPr>
            <w:r w:rsidRPr="00DB6ED4">
              <w:rPr>
                <w:rFonts w:ascii="Arial" w:hAnsi="Arial" w:cs="Arial"/>
                <w:b/>
                <w:sz w:val="22"/>
                <w:szCs w:val="22"/>
              </w:rPr>
              <w:t>NO</w:t>
            </w:r>
          </w:p>
        </w:tc>
      </w:tr>
      <w:tr w:rsidR="003D4BF9" w:rsidRPr="0086047C" w:rsidTr="00906B50">
        <w:tc>
          <w:tcPr>
            <w:tcW w:w="8364" w:type="dxa"/>
            <w:shd w:val="clear" w:color="auto" w:fill="auto"/>
          </w:tcPr>
          <w:p w:rsidR="003D4BF9" w:rsidRPr="0086047C" w:rsidRDefault="003D4BF9" w:rsidP="00906B50">
            <w:pPr>
              <w:spacing w:before="60" w:after="60"/>
              <w:rPr>
                <w:rFonts w:ascii="Arial" w:hAnsi="Arial" w:cs="Arial"/>
                <w:sz w:val="22"/>
                <w:szCs w:val="22"/>
              </w:rPr>
            </w:pPr>
            <w:r>
              <w:rPr>
                <w:rFonts w:ascii="Arial" w:hAnsi="Arial" w:cs="Arial"/>
                <w:sz w:val="22"/>
                <w:szCs w:val="22"/>
              </w:rPr>
              <w:t xml:space="preserve">Does the </w:t>
            </w:r>
            <w:r w:rsidRPr="0086047C">
              <w:rPr>
                <w:rFonts w:ascii="Arial" w:hAnsi="Arial" w:cs="Arial"/>
                <w:sz w:val="22"/>
                <w:szCs w:val="22"/>
              </w:rPr>
              <w:t xml:space="preserve">policy or </w:t>
            </w:r>
            <w:r>
              <w:rPr>
                <w:rFonts w:ascii="Arial" w:hAnsi="Arial" w:cs="Arial"/>
                <w:sz w:val="22"/>
                <w:szCs w:val="22"/>
              </w:rPr>
              <w:t xml:space="preserve">procedure have any </w:t>
            </w:r>
            <w:r w:rsidRPr="0086047C">
              <w:rPr>
                <w:rFonts w:ascii="Arial" w:hAnsi="Arial" w:cs="Arial"/>
                <w:sz w:val="22"/>
                <w:szCs w:val="22"/>
              </w:rPr>
              <w:t xml:space="preserve">impact </w:t>
            </w:r>
            <w:r>
              <w:rPr>
                <w:rFonts w:ascii="Arial" w:hAnsi="Arial" w:cs="Arial"/>
                <w:sz w:val="22"/>
                <w:szCs w:val="22"/>
              </w:rPr>
              <w:t>on privacy</w:t>
            </w:r>
            <w:r w:rsidRPr="0086047C">
              <w:rPr>
                <w:rFonts w:ascii="Arial" w:hAnsi="Arial" w:cs="Arial"/>
                <w:sz w:val="22"/>
                <w:szCs w:val="22"/>
              </w:rPr>
              <w:t xml:space="preserve">? </w:t>
            </w:r>
          </w:p>
        </w:tc>
        <w:tc>
          <w:tcPr>
            <w:tcW w:w="708" w:type="dxa"/>
          </w:tcPr>
          <w:p w:rsidR="003D4BF9" w:rsidRPr="00DB6ED4" w:rsidRDefault="003D4BF9" w:rsidP="00906B50">
            <w:pPr>
              <w:spacing w:before="60" w:after="60"/>
              <w:rPr>
                <w:rFonts w:ascii="Arial" w:hAnsi="Arial" w:cs="Arial"/>
                <w:b/>
                <w:sz w:val="22"/>
                <w:szCs w:val="22"/>
              </w:rPr>
            </w:pPr>
            <w:r>
              <w:rPr>
                <w:rFonts w:ascii="Arial" w:hAnsi="Arial" w:cs="Arial"/>
                <w:b/>
                <w:sz w:val="22"/>
                <w:szCs w:val="22"/>
              </w:rPr>
              <w:t>Yes</w:t>
            </w:r>
          </w:p>
        </w:tc>
        <w:tc>
          <w:tcPr>
            <w:tcW w:w="709" w:type="dxa"/>
          </w:tcPr>
          <w:p w:rsidR="003D4BF9" w:rsidRPr="00DB6ED4" w:rsidRDefault="003D4BF9" w:rsidP="00906B50">
            <w:pPr>
              <w:spacing w:before="60" w:after="60"/>
              <w:rPr>
                <w:rFonts w:ascii="Arial" w:hAnsi="Arial" w:cs="Arial"/>
                <w:b/>
                <w:sz w:val="22"/>
                <w:szCs w:val="22"/>
              </w:rPr>
            </w:pPr>
          </w:p>
        </w:tc>
      </w:tr>
      <w:tr w:rsidR="003D4BF9" w:rsidRPr="0086047C" w:rsidTr="00906B50">
        <w:trPr>
          <w:trHeight w:val="981"/>
        </w:trPr>
        <w:tc>
          <w:tcPr>
            <w:tcW w:w="9781" w:type="dxa"/>
            <w:gridSpan w:val="3"/>
            <w:shd w:val="clear" w:color="auto" w:fill="auto"/>
          </w:tcPr>
          <w:p w:rsidR="003D4BF9" w:rsidRDefault="003D4BF9" w:rsidP="00906B50">
            <w:pPr>
              <w:spacing w:before="60" w:after="60"/>
              <w:rPr>
                <w:rFonts w:ascii="Arial" w:hAnsi="Arial" w:cs="Arial"/>
                <w:sz w:val="22"/>
                <w:szCs w:val="22"/>
              </w:rPr>
            </w:pPr>
            <w:r w:rsidRPr="0086047C">
              <w:rPr>
                <w:rFonts w:ascii="Arial" w:hAnsi="Arial" w:cs="Arial"/>
                <w:sz w:val="22"/>
                <w:szCs w:val="22"/>
              </w:rPr>
              <w:t>If Yes please give details below of the impact and the actions being taken to address any adverse impact.</w:t>
            </w:r>
          </w:p>
          <w:p w:rsidR="003D4BF9" w:rsidRDefault="003D4BF9" w:rsidP="00906B50">
            <w:pPr>
              <w:spacing w:before="60" w:after="60"/>
              <w:rPr>
                <w:rFonts w:ascii="Arial" w:hAnsi="Arial" w:cs="Arial"/>
                <w:sz w:val="22"/>
                <w:szCs w:val="22"/>
              </w:rPr>
            </w:pPr>
            <w:r>
              <w:rPr>
                <w:rFonts w:ascii="Arial" w:hAnsi="Arial" w:cs="Arial"/>
                <w:sz w:val="22"/>
                <w:szCs w:val="22"/>
              </w:rPr>
              <w:t xml:space="preserve">This procedure involves the sharing of personal information between specified employees within the HRA, i.e. the CAG secretariat shows applicants’ contact details to the HRA approver. The privacy safeguards in place are that the information containing applicants’ contact details is only accessed electronically, through secure internal systems, and that no personal information is printed out or forwarded internally or externally by the HRA approver. Consequently there is no expected </w:t>
            </w:r>
            <w:r w:rsidR="00F33299">
              <w:rPr>
                <w:rFonts w:ascii="Arial" w:hAnsi="Arial" w:cs="Arial"/>
                <w:sz w:val="22"/>
                <w:szCs w:val="22"/>
              </w:rPr>
              <w:t xml:space="preserve">material </w:t>
            </w:r>
            <w:r>
              <w:rPr>
                <w:rFonts w:ascii="Arial" w:hAnsi="Arial" w:cs="Arial"/>
                <w:sz w:val="22"/>
                <w:szCs w:val="22"/>
              </w:rPr>
              <w:t>adverse impact on privacy.</w:t>
            </w:r>
          </w:p>
          <w:p w:rsidR="003D4BF9" w:rsidRPr="0086047C" w:rsidRDefault="003D4BF9" w:rsidP="00906B50">
            <w:pPr>
              <w:spacing w:before="60" w:after="60"/>
              <w:rPr>
                <w:rFonts w:ascii="Arial" w:hAnsi="Arial" w:cs="Arial"/>
                <w:sz w:val="22"/>
                <w:szCs w:val="22"/>
              </w:rPr>
            </w:pPr>
          </w:p>
        </w:tc>
      </w:tr>
    </w:tbl>
    <w:p w:rsidR="003D4BF9" w:rsidRDefault="003D4BF9" w:rsidP="003D4BF9">
      <w:pPr>
        <w:rPr>
          <w:rFonts w:ascii="Arial" w:hAnsi="Arial" w:cs="Arial"/>
          <w:sz w:val="22"/>
          <w:szCs w:val="22"/>
        </w:rPr>
      </w:pPr>
    </w:p>
    <w:p w:rsidR="003D4BF9" w:rsidRDefault="003D4BF9" w:rsidP="003D4BF9">
      <w:pPr>
        <w:rPr>
          <w:rFonts w:ascii="Arial" w:hAnsi="Arial" w:cs="Arial"/>
          <w:sz w:val="22"/>
          <w:szCs w:val="22"/>
        </w:rPr>
      </w:pPr>
      <w:r>
        <w:rPr>
          <w:rFonts w:ascii="Arial" w:hAnsi="Arial" w:cs="Arial"/>
          <w:sz w:val="22"/>
          <w:szCs w:val="22"/>
        </w:rPr>
        <w:t xml:space="preserve">If you have answered YES to the questions above and the answers do not mitigate and adequately address the adverse impact, you may need to complete a full PIA. </w:t>
      </w:r>
    </w:p>
    <w:p w:rsidR="003D4BF9" w:rsidRDefault="003D4BF9" w:rsidP="003D4BF9">
      <w:pPr>
        <w:rPr>
          <w:rFonts w:ascii="Arial" w:hAnsi="Arial" w:cs="Arial"/>
          <w:sz w:val="22"/>
          <w:szCs w:val="22"/>
        </w:rPr>
      </w:pPr>
      <w:r>
        <w:rPr>
          <w:rFonts w:ascii="Arial" w:hAnsi="Arial" w:cs="Arial"/>
          <w:sz w:val="22"/>
          <w:szCs w:val="22"/>
        </w:rPr>
        <w:t>Please consult the Corporate Secretary.</w:t>
      </w:r>
    </w:p>
    <w:p w:rsidR="003D4BF9" w:rsidRDefault="003D4BF9" w:rsidP="003D4BF9">
      <w:pPr>
        <w:rPr>
          <w:rFonts w:ascii="Arial" w:hAnsi="Arial" w:cs="Arial"/>
          <w:sz w:val="22"/>
          <w:szCs w:val="22"/>
        </w:rPr>
      </w:pPr>
    </w:p>
    <w:p w:rsidR="003D4BF9" w:rsidRDefault="003D4BF9" w:rsidP="003D4BF9">
      <w:pPr>
        <w:rPr>
          <w:rFonts w:ascii="Arial" w:hAnsi="Arial" w:cs="Arial"/>
          <w:sz w:val="22"/>
          <w:szCs w:val="22"/>
        </w:rPr>
      </w:pPr>
      <w:r>
        <w:rPr>
          <w:rFonts w:ascii="Arial" w:hAnsi="Arial" w:cs="Arial"/>
          <w:sz w:val="22"/>
          <w:szCs w:val="22"/>
        </w:rPr>
        <w:t>Full Privacy Impact Assessment required?   NO</w:t>
      </w:r>
    </w:p>
    <w:p w:rsidR="003D4BF9" w:rsidRPr="0086047C" w:rsidRDefault="003D4BF9" w:rsidP="003D4BF9">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5504"/>
      </w:tblGrid>
      <w:tr w:rsidR="003D4BF9" w:rsidRPr="0086047C" w:rsidTr="00906B50">
        <w:tc>
          <w:tcPr>
            <w:tcW w:w="4320" w:type="dxa"/>
          </w:tcPr>
          <w:p w:rsidR="003D4BF9" w:rsidRPr="0086047C" w:rsidRDefault="003D4BF9" w:rsidP="00906B50">
            <w:pPr>
              <w:rPr>
                <w:rFonts w:ascii="Arial" w:hAnsi="Arial" w:cs="Arial"/>
                <w:sz w:val="22"/>
                <w:szCs w:val="22"/>
              </w:rPr>
            </w:pPr>
          </w:p>
          <w:p w:rsidR="003D4BF9" w:rsidRDefault="003D4BF9" w:rsidP="00906B50">
            <w:pPr>
              <w:rPr>
                <w:rFonts w:ascii="Arial" w:hAnsi="Arial" w:cs="Arial"/>
                <w:sz w:val="22"/>
                <w:szCs w:val="22"/>
              </w:rPr>
            </w:pPr>
            <w:r>
              <w:rPr>
                <w:rFonts w:ascii="Arial" w:hAnsi="Arial" w:cs="Arial"/>
                <w:sz w:val="22"/>
                <w:szCs w:val="22"/>
              </w:rPr>
              <w:t>Author to type in name and date to verify analysis.</w:t>
            </w:r>
          </w:p>
          <w:p w:rsidR="003D4BF9" w:rsidRDefault="003D4BF9" w:rsidP="00906B50">
            <w:pPr>
              <w:rPr>
                <w:rFonts w:ascii="Arial" w:hAnsi="Arial" w:cs="Arial"/>
                <w:sz w:val="22"/>
                <w:szCs w:val="22"/>
              </w:rPr>
            </w:pPr>
          </w:p>
          <w:p w:rsidR="003D4BF9" w:rsidRPr="0086047C" w:rsidRDefault="003D4BF9" w:rsidP="00906B50">
            <w:pPr>
              <w:rPr>
                <w:rFonts w:ascii="Arial" w:hAnsi="Arial" w:cs="Arial"/>
                <w:sz w:val="22"/>
                <w:szCs w:val="22"/>
              </w:rPr>
            </w:pPr>
            <w:r>
              <w:rPr>
                <w:rFonts w:ascii="Arial" w:hAnsi="Arial" w:cs="Arial"/>
                <w:sz w:val="22"/>
                <w:szCs w:val="22"/>
              </w:rPr>
              <w:t>(If further analysis is required, the Corporate Secretary must be informed).</w:t>
            </w:r>
          </w:p>
        </w:tc>
        <w:tc>
          <w:tcPr>
            <w:tcW w:w="5760" w:type="dxa"/>
          </w:tcPr>
          <w:p w:rsidR="003D4BF9" w:rsidRPr="0086047C" w:rsidRDefault="003D4BF9" w:rsidP="00906B50">
            <w:pPr>
              <w:spacing w:before="120" w:after="120"/>
              <w:rPr>
                <w:rFonts w:ascii="Arial" w:hAnsi="Arial" w:cs="Arial"/>
                <w:sz w:val="22"/>
                <w:szCs w:val="22"/>
              </w:rPr>
            </w:pPr>
            <w:r>
              <w:rPr>
                <w:rFonts w:ascii="Arial" w:hAnsi="Arial" w:cs="Arial"/>
                <w:sz w:val="22"/>
                <w:szCs w:val="22"/>
              </w:rPr>
              <w:t>NAME: Bill Davidson</w:t>
            </w:r>
          </w:p>
          <w:p w:rsidR="003D4BF9" w:rsidRPr="0086047C" w:rsidRDefault="003D4BF9" w:rsidP="00906B50">
            <w:pPr>
              <w:spacing w:before="120" w:after="120"/>
              <w:rPr>
                <w:rFonts w:ascii="Arial" w:hAnsi="Arial" w:cs="Arial"/>
                <w:sz w:val="22"/>
                <w:szCs w:val="22"/>
              </w:rPr>
            </w:pPr>
          </w:p>
          <w:p w:rsidR="003D4BF9" w:rsidRPr="0086047C" w:rsidRDefault="003D4BF9" w:rsidP="00906B50">
            <w:pPr>
              <w:spacing w:before="120" w:after="120"/>
              <w:rPr>
                <w:rFonts w:ascii="Arial" w:hAnsi="Arial" w:cs="Arial"/>
                <w:sz w:val="22"/>
                <w:szCs w:val="22"/>
              </w:rPr>
            </w:pPr>
          </w:p>
          <w:p w:rsidR="003D4BF9" w:rsidRPr="0086047C" w:rsidRDefault="003D4BF9" w:rsidP="00906B50">
            <w:pPr>
              <w:spacing w:before="120" w:after="120"/>
              <w:rPr>
                <w:rFonts w:ascii="Arial" w:hAnsi="Arial" w:cs="Arial"/>
                <w:sz w:val="22"/>
                <w:szCs w:val="22"/>
              </w:rPr>
            </w:pPr>
            <w:r>
              <w:rPr>
                <w:rFonts w:ascii="Arial" w:hAnsi="Arial" w:cs="Arial"/>
                <w:sz w:val="22"/>
                <w:szCs w:val="22"/>
              </w:rPr>
              <w:t>DATE: 17</w:t>
            </w:r>
            <w:r w:rsidRPr="00821119">
              <w:rPr>
                <w:rFonts w:ascii="Arial" w:hAnsi="Arial" w:cs="Arial"/>
                <w:sz w:val="22"/>
                <w:szCs w:val="22"/>
                <w:vertAlign w:val="superscript"/>
              </w:rPr>
              <w:t>th</w:t>
            </w:r>
            <w:r>
              <w:rPr>
                <w:rFonts w:ascii="Arial" w:hAnsi="Arial" w:cs="Arial"/>
                <w:sz w:val="22"/>
                <w:szCs w:val="22"/>
              </w:rPr>
              <w:t xml:space="preserve"> February 2016</w:t>
            </w:r>
          </w:p>
        </w:tc>
      </w:tr>
    </w:tbl>
    <w:p w:rsidR="003D4BF9" w:rsidRPr="006C731F" w:rsidRDefault="003D4BF9" w:rsidP="003D4BF9">
      <w:pPr>
        <w:pStyle w:val="Heading1"/>
      </w:pPr>
    </w:p>
    <w:p w:rsidR="0008751B" w:rsidRPr="0008751B" w:rsidRDefault="0008751B" w:rsidP="00DF1C04">
      <w:pPr>
        <w:pStyle w:val="BodyText"/>
        <w:spacing w:before="60" w:after="60" w:line="276" w:lineRule="auto"/>
        <w:sectPr w:rsidR="0008751B" w:rsidRPr="0008751B" w:rsidSect="00F559D6">
          <w:headerReference w:type="default" r:id="rId12"/>
          <w:footerReference w:type="default" r:id="rId13"/>
          <w:headerReference w:type="first" r:id="rId14"/>
          <w:footerReference w:type="first" r:id="rId15"/>
          <w:pgSz w:w="11907" w:h="16834" w:code="9"/>
          <w:pgMar w:top="902" w:right="1275" w:bottom="1077" w:left="720" w:header="431" w:footer="431" w:gutter="357"/>
          <w:cols w:space="720"/>
          <w:docGrid w:linePitch="218"/>
        </w:sectPr>
      </w:pPr>
    </w:p>
    <w:p w:rsidR="00AC5F8E" w:rsidRDefault="00AC5F8E" w:rsidP="00DF1C04">
      <w:pPr>
        <w:pStyle w:val="Heading1"/>
        <w:spacing w:before="60" w:after="60" w:line="276" w:lineRule="auto"/>
        <w:ind w:left="0"/>
      </w:pPr>
      <w:bookmarkStart w:id="3" w:name="_Toc181522117"/>
      <w:bookmarkEnd w:id="1"/>
      <w:bookmarkEnd w:id="2"/>
      <w:r>
        <w:lastRenderedPageBreak/>
        <w:t>Document Control</w:t>
      </w:r>
      <w:bookmarkEnd w:id="3"/>
    </w:p>
    <w:p w:rsidR="006905F5" w:rsidRPr="006905F5" w:rsidRDefault="006905F5" w:rsidP="00DF1C04">
      <w:pPr>
        <w:keepNext/>
        <w:keepLines/>
        <w:overflowPunct w:val="0"/>
        <w:autoSpaceDE w:val="0"/>
        <w:autoSpaceDN w:val="0"/>
        <w:adjustRightInd w:val="0"/>
        <w:spacing w:before="60" w:after="60" w:line="276" w:lineRule="auto"/>
        <w:ind w:left="0"/>
        <w:textAlignment w:val="baseline"/>
        <w:rPr>
          <w:rFonts w:ascii="Arial" w:hAnsi="Arial"/>
          <w:b/>
          <w:sz w:val="22"/>
        </w:rPr>
      </w:pPr>
      <w:r w:rsidRPr="006905F5">
        <w:rPr>
          <w:rFonts w:ascii="Arial" w:hAnsi="Arial"/>
          <w:b/>
          <w:sz w:val="22"/>
        </w:rPr>
        <w:t>Change Record</w:t>
      </w:r>
    </w:p>
    <w:tbl>
      <w:tblPr>
        <w:tblW w:w="1008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410"/>
        <w:gridCol w:w="2126"/>
        <w:gridCol w:w="5544"/>
      </w:tblGrid>
      <w:tr w:rsidR="006905F5" w:rsidRPr="006905F5" w:rsidTr="006905F5">
        <w:trPr>
          <w:cantSplit/>
          <w:tblHeader/>
        </w:trPr>
        <w:tc>
          <w:tcPr>
            <w:tcW w:w="2410" w:type="dxa"/>
            <w:tcBorders>
              <w:top w:val="single" w:sz="12" w:space="0" w:color="auto"/>
              <w:left w:val="single" w:sz="12" w:space="0" w:color="auto"/>
              <w:bottom w:val="single" w:sz="6" w:space="0" w:color="auto"/>
              <w:right w:val="single" w:sz="4" w:space="0" w:color="auto"/>
            </w:tcBorders>
            <w:shd w:val="pct10" w:color="auto" w:fill="auto"/>
          </w:tcPr>
          <w:p w:rsidR="006905F5" w:rsidRPr="006905F5" w:rsidRDefault="006905F5" w:rsidP="00DF1C04">
            <w:pPr>
              <w:keepLines/>
              <w:overflowPunct w:val="0"/>
              <w:autoSpaceDE w:val="0"/>
              <w:autoSpaceDN w:val="0"/>
              <w:adjustRightInd w:val="0"/>
              <w:spacing w:before="60" w:after="60" w:line="276" w:lineRule="auto"/>
              <w:ind w:left="0"/>
              <w:jc w:val="center"/>
              <w:textAlignment w:val="baseline"/>
              <w:rPr>
                <w:rFonts w:ascii="Arial" w:hAnsi="Arial"/>
                <w:b/>
                <w:sz w:val="22"/>
              </w:rPr>
            </w:pPr>
            <w:r w:rsidRPr="006905F5">
              <w:rPr>
                <w:rFonts w:ascii="Arial" w:hAnsi="Arial"/>
                <w:b/>
                <w:sz w:val="22"/>
              </w:rPr>
              <w:t>Version</w:t>
            </w:r>
            <w:r>
              <w:rPr>
                <w:rFonts w:ascii="Arial" w:hAnsi="Arial"/>
                <w:b/>
                <w:sz w:val="22"/>
              </w:rPr>
              <w:t xml:space="preserve"> Number &amp;</w:t>
            </w:r>
            <w:r w:rsidRPr="006905F5">
              <w:rPr>
                <w:rFonts w:ascii="Arial" w:hAnsi="Arial"/>
                <w:b/>
                <w:sz w:val="22"/>
              </w:rPr>
              <w:t xml:space="preserve"> Status</w:t>
            </w:r>
          </w:p>
        </w:tc>
        <w:tc>
          <w:tcPr>
            <w:tcW w:w="2126" w:type="dxa"/>
            <w:tcBorders>
              <w:top w:val="single" w:sz="12" w:space="0" w:color="auto"/>
              <w:left w:val="single" w:sz="4" w:space="0" w:color="auto"/>
              <w:bottom w:val="single" w:sz="6" w:space="0" w:color="auto"/>
              <w:right w:val="single" w:sz="4" w:space="0" w:color="auto"/>
            </w:tcBorders>
            <w:shd w:val="pct10" w:color="auto" w:fill="auto"/>
          </w:tcPr>
          <w:p w:rsidR="006905F5" w:rsidRPr="006905F5" w:rsidRDefault="006905F5" w:rsidP="00DF1C04">
            <w:pPr>
              <w:keepLines/>
              <w:overflowPunct w:val="0"/>
              <w:autoSpaceDE w:val="0"/>
              <w:autoSpaceDN w:val="0"/>
              <w:adjustRightInd w:val="0"/>
              <w:spacing w:before="60" w:after="60" w:line="276" w:lineRule="auto"/>
              <w:ind w:left="0"/>
              <w:jc w:val="center"/>
              <w:textAlignment w:val="baseline"/>
              <w:rPr>
                <w:rFonts w:ascii="Arial" w:hAnsi="Arial"/>
                <w:b/>
                <w:sz w:val="22"/>
              </w:rPr>
            </w:pPr>
            <w:r w:rsidRPr="006905F5">
              <w:rPr>
                <w:rFonts w:ascii="Arial" w:hAnsi="Arial"/>
                <w:b/>
                <w:sz w:val="22"/>
              </w:rPr>
              <w:t>Date of Change</w:t>
            </w:r>
          </w:p>
        </w:tc>
        <w:tc>
          <w:tcPr>
            <w:tcW w:w="5544" w:type="dxa"/>
            <w:tcBorders>
              <w:top w:val="single" w:sz="12" w:space="0" w:color="auto"/>
              <w:left w:val="single" w:sz="4" w:space="0" w:color="auto"/>
              <w:bottom w:val="nil"/>
              <w:right w:val="single" w:sz="12" w:space="0" w:color="auto"/>
            </w:tcBorders>
            <w:shd w:val="pct10" w:color="auto" w:fill="auto"/>
          </w:tcPr>
          <w:p w:rsidR="006905F5" w:rsidRPr="006905F5" w:rsidRDefault="006905F5" w:rsidP="00DF1C04">
            <w:pPr>
              <w:keepLines/>
              <w:overflowPunct w:val="0"/>
              <w:autoSpaceDE w:val="0"/>
              <w:autoSpaceDN w:val="0"/>
              <w:adjustRightInd w:val="0"/>
              <w:spacing w:before="60" w:after="60" w:line="276" w:lineRule="auto"/>
              <w:ind w:left="0"/>
              <w:jc w:val="center"/>
              <w:textAlignment w:val="baseline"/>
              <w:rPr>
                <w:rFonts w:ascii="Arial" w:hAnsi="Arial"/>
                <w:b/>
                <w:sz w:val="22"/>
              </w:rPr>
            </w:pPr>
            <w:r w:rsidRPr="006905F5">
              <w:rPr>
                <w:rFonts w:ascii="Arial" w:hAnsi="Arial"/>
                <w:b/>
                <w:sz w:val="22"/>
              </w:rPr>
              <w:t>Reason for Change</w:t>
            </w:r>
          </w:p>
        </w:tc>
      </w:tr>
      <w:tr w:rsidR="006905F5" w:rsidRPr="006905F5" w:rsidTr="006905F5">
        <w:trPr>
          <w:cantSplit/>
          <w:trHeight w:hRule="exact" w:val="60"/>
          <w:tblHeader/>
        </w:trPr>
        <w:tc>
          <w:tcPr>
            <w:tcW w:w="2410" w:type="dxa"/>
            <w:tcBorders>
              <w:top w:val="single" w:sz="6" w:space="0" w:color="auto"/>
              <w:left w:val="nil"/>
              <w:bottom w:val="single" w:sz="6" w:space="0" w:color="auto"/>
              <w:right w:val="nil"/>
            </w:tcBorders>
            <w:shd w:val="pct50" w:color="auto" w:fill="auto"/>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2"/>
              </w:rPr>
            </w:pPr>
          </w:p>
        </w:tc>
        <w:tc>
          <w:tcPr>
            <w:tcW w:w="2126" w:type="dxa"/>
            <w:tcBorders>
              <w:top w:val="single" w:sz="6" w:space="0" w:color="auto"/>
              <w:left w:val="nil"/>
              <w:bottom w:val="single" w:sz="6" w:space="0" w:color="auto"/>
              <w:right w:val="nil"/>
            </w:tcBorders>
            <w:shd w:val="pct50" w:color="auto" w:fill="auto"/>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2"/>
              </w:rPr>
            </w:pPr>
          </w:p>
        </w:tc>
        <w:tc>
          <w:tcPr>
            <w:tcW w:w="5544" w:type="dxa"/>
            <w:tcBorders>
              <w:top w:val="single" w:sz="6" w:space="0" w:color="auto"/>
              <w:left w:val="nil"/>
              <w:bottom w:val="single" w:sz="6" w:space="0" w:color="auto"/>
              <w:right w:val="nil"/>
            </w:tcBorders>
            <w:shd w:val="pct50" w:color="auto" w:fill="auto"/>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2"/>
              </w:rPr>
            </w:pPr>
          </w:p>
        </w:tc>
      </w:tr>
      <w:tr w:rsidR="004129DC" w:rsidRPr="004129DC" w:rsidTr="006905F5">
        <w:trPr>
          <w:cantSplit/>
        </w:trPr>
        <w:tc>
          <w:tcPr>
            <w:tcW w:w="2410" w:type="dxa"/>
            <w:tcBorders>
              <w:top w:val="nil"/>
              <w:left w:val="single" w:sz="12" w:space="0" w:color="auto"/>
              <w:bottom w:val="single" w:sz="6" w:space="0" w:color="auto"/>
              <w:right w:val="single" w:sz="6" w:space="0" w:color="auto"/>
            </w:tcBorders>
          </w:tcPr>
          <w:p w:rsidR="006905F5" w:rsidRPr="004129DC" w:rsidRDefault="003D4BF9"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sidRPr="004129DC">
              <w:rPr>
                <w:rFonts w:ascii="Arial" w:hAnsi="Arial" w:cs="Arial"/>
                <w:sz w:val="20"/>
                <w:szCs w:val="20"/>
              </w:rPr>
              <w:t>0.1</w:t>
            </w:r>
          </w:p>
        </w:tc>
        <w:tc>
          <w:tcPr>
            <w:tcW w:w="2126" w:type="dxa"/>
            <w:tcBorders>
              <w:top w:val="nil"/>
              <w:left w:val="single" w:sz="6" w:space="0" w:color="auto"/>
              <w:bottom w:val="single" w:sz="6" w:space="0" w:color="auto"/>
              <w:right w:val="single" w:sz="6" w:space="0" w:color="auto"/>
            </w:tcBorders>
          </w:tcPr>
          <w:p w:rsidR="006905F5" w:rsidRPr="004129DC" w:rsidRDefault="003D4BF9"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sidRPr="004129DC">
              <w:rPr>
                <w:rFonts w:ascii="Arial" w:hAnsi="Arial" w:cs="Arial"/>
                <w:sz w:val="20"/>
                <w:szCs w:val="20"/>
              </w:rPr>
              <w:t>17/02/16</w:t>
            </w:r>
          </w:p>
        </w:tc>
        <w:tc>
          <w:tcPr>
            <w:tcW w:w="5544" w:type="dxa"/>
            <w:tcBorders>
              <w:top w:val="nil"/>
              <w:left w:val="single" w:sz="6" w:space="0" w:color="auto"/>
              <w:bottom w:val="single" w:sz="6" w:space="0" w:color="auto"/>
              <w:right w:val="single" w:sz="12" w:space="0" w:color="auto"/>
            </w:tcBorders>
          </w:tcPr>
          <w:p w:rsidR="006905F5" w:rsidRPr="004129DC" w:rsidRDefault="003D4BF9"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sidRPr="004129DC">
              <w:rPr>
                <w:rFonts w:ascii="Arial" w:hAnsi="Arial" w:cs="Arial"/>
                <w:sz w:val="20"/>
                <w:szCs w:val="20"/>
              </w:rPr>
              <w:t>New document</w:t>
            </w:r>
          </w:p>
        </w:tc>
      </w:tr>
      <w:tr w:rsidR="004129DC" w:rsidRPr="004129DC" w:rsidTr="006905F5">
        <w:trPr>
          <w:cantSplit/>
        </w:trPr>
        <w:tc>
          <w:tcPr>
            <w:tcW w:w="2410" w:type="dxa"/>
            <w:tcBorders>
              <w:top w:val="single" w:sz="6" w:space="0" w:color="auto"/>
              <w:left w:val="single" w:sz="12" w:space="0" w:color="auto"/>
              <w:bottom w:val="single" w:sz="6" w:space="0" w:color="auto"/>
              <w:right w:val="single" w:sz="6" w:space="0" w:color="auto"/>
            </w:tcBorders>
          </w:tcPr>
          <w:p w:rsidR="006905F5" w:rsidRPr="004129DC" w:rsidRDefault="00F33299"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sidRPr="004129DC">
              <w:rPr>
                <w:rFonts w:ascii="Arial" w:hAnsi="Arial" w:cs="Arial"/>
                <w:sz w:val="20"/>
                <w:szCs w:val="20"/>
              </w:rPr>
              <w:t>0.2</w:t>
            </w:r>
          </w:p>
        </w:tc>
        <w:tc>
          <w:tcPr>
            <w:tcW w:w="2126" w:type="dxa"/>
            <w:tcBorders>
              <w:top w:val="single" w:sz="6" w:space="0" w:color="auto"/>
              <w:left w:val="single" w:sz="6" w:space="0" w:color="auto"/>
              <w:bottom w:val="single" w:sz="6" w:space="0" w:color="auto"/>
              <w:right w:val="single" w:sz="6" w:space="0" w:color="auto"/>
            </w:tcBorders>
          </w:tcPr>
          <w:p w:rsidR="006905F5" w:rsidRPr="004129DC" w:rsidRDefault="00F33299" w:rsidP="00F33299">
            <w:pPr>
              <w:keepLines/>
              <w:overflowPunct w:val="0"/>
              <w:autoSpaceDE w:val="0"/>
              <w:autoSpaceDN w:val="0"/>
              <w:adjustRightInd w:val="0"/>
              <w:spacing w:before="60" w:after="60" w:line="276" w:lineRule="auto"/>
              <w:ind w:left="0"/>
              <w:textAlignment w:val="baseline"/>
              <w:rPr>
                <w:rFonts w:ascii="Arial" w:hAnsi="Arial" w:cs="Arial"/>
                <w:sz w:val="20"/>
                <w:szCs w:val="20"/>
              </w:rPr>
            </w:pPr>
            <w:r w:rsidRPr="004129DC">
              <w:rPr>
                <w:rFonts w:ascii="Arial" w:hAnsi="Arial" w:cs="Arial"/>
                <w:sz w:val="20"/>
                <w:szCs w:val="20"/>
              </w:rPr>
              <w:t>23/03/16</w:t>
            </w:r>
          </w:p>
        </w:tc>
        <w:tc>
          <w:tcPr>
            <w:tcW w:w="5544" w:type="dxa"/>
            <w:tcBorders>
              <w:top w:val="single" w:sz="6" w:space="0" w:color="auto"/>
              <w:left w:val="single" w:sz="6" w:space="0" w:color="auto"/>
              <w:bottom w:val="single" w:sz="6" w:space="0" w:color="auto"/>
              <w:right w:val="single" w:sz="12" w:space="0" w:color="auto"/>
            </w:tcBorders>
          </w:tcPr>
          <w:p w:rsidR="006905F5" w:rsidRPr="004129DC" w:rsidRDefault="00F33299"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sidRPr="004129DC">
              <w:rPr>
                <w:rFonts w:ascii="Arial" w:hAnsi="Arial" w:cs="Arial"/>
                <w:sz w:val="20"/>
                <w:szCs w:val="20"/>
              </w:rPr>
              <w:t>Comments received from Corporate Secretary</w:t>
            </w:r>
          </w:p>
        </w:tc>
      </w:tr>
      <w:tr w:rsidR="004129DC" w:rsidRPr="004129DC" w:rsidTr="006905F5">
        <w:trPr>
          <w:cantSplit/>
        </w:trPr>
        <w:tc>
          <w:tcPr>
            <w:tcW w:w="2410" w:type="dxa"/>
            <w:tcBorders>
              <w:top w:val="single" w:sz="6" w:space="0" w:color="auto"/>
              <w:left w:val="single" w:sz="12" w:space="0" w:color="auto"/>
              <w:bottom w:val="single" w:sz="6" w:space="0" w:color="auto"/>
              <w:right w:val="single" w:sz="6" w:space="0" w:color="auto"/>
            </w:tcBorders>
          </w:tcPr>
          <w:p w:rsidR="006905F5" w:rsidRPr="004129DC" w:rsidRDefault="009814C8"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sidRPr="004129DC">
              <w:rPr>
                <w:rFonts w:ascii="Arial" w:hAnsi="Arial" w:cs="Arial"/>
                <w:sz w:val="20"/>
                <w:szCs w:val="20"/>
              </w:rPr>
              <w:t>0.3</w:t>
            </w:r>
          </w:p>
        </w:tc>
        <w:tc>
          <w:tcPr>
            <w:tcW w:w="2126" w:type="dxa"/>
            <w:tcBorders>
              <w:top w:val="single" w:sz="6" w:space="0" w:color="auto"/>
              <w:left w:val="single" w:sz="6" w:space="0" w:color="auto"/>
              <w:bottom w:val="single" w:sz="6" w:space="0" w:color="auto"/>
              <w:right w:val="single" w:sz="6" w:space="0" w:color="auto"/>
            </w:tcBorders>
          </w:tcPr>
          <w:p w:rsidR="006905F5" w:rsidRPr="004129DC" w:rsidRDefault="009814C8"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sidRPr="004129DC">
              <w:rPr>
                <w:rFonts w:ascii="Arial" w:hAnsi="Arial" w:cs="Arial"/>
                <w:sz w:val="20"/>
                <w:szCs w:val="20"/>
              </w:rPr>
              <w:t>23/03/16</w:t>
            </w:r>
          </w:p>
        </w:tc>
        <w:tc>
          <w:tcPr>
            <w:tcW w:w="5544" w:type="dxa"/>
            <w:tcBorders>
              <w:top w:val="single" w:sz="6" w:space="0" w:color="auto"/>
              <w:left w:val="single" w:sz="6" w:space="0" w:color="auto"/>
              <w:bottom w:val="single" w:sz="6" w:space="0" w:color="auto"/>
              <w:right w:val="single" w:sz="12" w:space="0" w:color="auto"/>
            </w:tcBorders>
          </w:tcPr>
          <w:p w:rsidR="006905F5" w:rsidRPr="004129DC" w:rsidRDefault="009814C8"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sidRPr="004129DC">
              <w:rPr>
                <w:rFonts w:ascii="Arial" w:hAnsi="Arial" w:cs="Arial"/>
                <w:sz w:val="20"/>
                <w:szCs w:val="20"/>
              </w:rPr>
              <w:t>Comments received from Confidentiality Advisor</w:t>
            </w:r>
          </w:p>
        </w:tc>
      </w:tr>
      <w:tr w:rsidR="00E87B7C" w:rsidRPr="00E87B7C" w:rsidTr="006905F5">
        <w:trPr>
          <w:cantSplit/>
        </w:trPr>
        <w:tc>
          <w:tcPr>
            <w:tcW w:w="2410" w:type="dxa"/>
            <w:tcBorders>
              <w:top w:val="single" w:sz="6" w:space="0" w:color="auto"/>
              <w:left w:val="single" w:sz="12" w:space="0" w:color="auto"/>
              <w:bottom w:val="single" w:sz="6" w:space="0" w:color="auto"/>
              <w:right w:val="single" w:sz="6" w:space="0" w:color="auto"/>
            </w:tcBorders>
          </w:tcPr>
          <w:p w:rsidR="006905F5" w:rsidRPr="00E87B7C" w:rsidRDefault="00E92469"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sidRPr="00E87B7C">
              <w:rPr>
                <w:rFonts w:ascii="Arial" w:hAnsi="Arial" w:cs="Arial"/>
                <w:sz w:val="20"/>
                <w:szCs w:val="20"/>
              </w:rPr>
              <w:t>0.4</w:t>
            </w:r>
          </w:p>
        </w:tc>
        <w:tc>
          <w:tcPr>
            <w:tcW w:w="2126" w:type="dxa"/>
            <w:tcBorders>
              <w:top w:val="single" w:sz="6" w:space="0" w:color="auto"/>
              <w:left w:val="single" w:sz="6" w:space="0" w:color="auto"/>
              <w:bottom w:val="single" w:sz="6" w:space="0" w:color="auto"/>
              <w:right w:val="single" w:sz="6" w:space="0" w:color="auto"/>
            </w:tcBorders>
          </w:tcPr>
          <w:p w:rsidR="006905F5" w:rsidRPr="00E87B7C" w:rsidRDefault="00E92469"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sidRPr="00E87B7C">
              <w:rPr>
                <w:rFonts w:ascii="Arial" w:hAnsi="Arial" w:cs="Arial"/>
                <w:sz w:val="20"/>
                <w:szCs w:val="20"/>
              </w:rPr>
              <w:t>05/04/16</w:t>
            </w:r>
          </w:p>
        </w:tc>
        <w:tc>
          <w:tcPr>
            <w:tcW w:w="5544" w:type="dxa"/>
            <w:tcBorders>
              <w:top w:val="single" w:sz="6" w:space="0" w:color="auto"/>
              <w:left w:val="single" w:sz="6" w:space="0" w:color="auto"/>
              <w:bottom w:val="single" w:sz="6" w:space="0" w:color="auto"/>
              <w:right w:val="single" w:sz="12" w:space="0" w:color="auto"/>
            </w:tcBorders>
          </w:tcPr>
          <w:p w:rsidR="006905F5" w:rsidRPr="00E87B7C" w:rsidRDefault="00E92469"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sidRPr="00E87B7C">
              <w:rPr>
                <w:rFonts w:ascii="Arial" w:hAnsi="Arial" w:cs="Arial"/>
                <w:sz w:val="20"/>
                <w:szCs w:val="20"/>
              </w:rPr>
              <w:t>Comments received from EMT</w:t>
            </w:r>
            <w:r w:rsidR="00E87B7C" w:rsidRPr="00E87B7C">
              <w:rPr>
                <w:rFonts w:ascii="Arial" w:hAnsi="Arial" w:cs="Arial"/>
                <w:sz w:val="20"/>
                <w:szCs w:val="20"/>
              </w:rPr>
              <w:t xml:space="preserve"> and Senior Confidentiality Advisor</w:t>
            </w:r>
          </w:p>
        </w:tc>
      </w:tr>
      <w:tr w:rsidR="006905F5" w:rsidRPr="006905F5" w:rsidTr="006905F5">
        <w:trPr>
          <w:cantSplit/>
        </w:trPr>
        <w:tc>
          <w:tcPr>
            <w:tcW w:w="2410" w:type="dxa"/>
            <w:tcBorders>
              <w:top w:val="single" w:sz="6" w:space="0" w:color="auto"/>
              <w:left w:val="single" w:sz="12" w:space="0" w:color="auto"/>
              <w:bottom w:val="single" w:sz="6"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color w:val="999999"/>
                <w:sz w:val="20"/>
                <w:szCs w:val="20"/>
              </w:rPr>
            </w:pPr>
          </w:p>
        </w:tc>
        <w:tc>
          <w:tcPr>
            <w:tcW w:w="2126" w:type="dxa"/>
            <w:tcBorders>
              <w:top w:val="single" w:sz="6" w:space="0" w:color="auto"/>
              <w:left w:val="single" w:sz="6" w:space="0" w:color="auto"/>
              <w:bottom w:val="single" w:sz="6"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color w:val="999999"/>
                <w:sz w:val="20"/>
                <w:szCs w:val="20"/>
              </w:rPr>
            </w:pPr>
          </w:p>
        </w:tc>
        <w:tc>
          <w:tcPr>
            <w:tcW w:w="5544" w:type="dxa"/>
            <w:tcBorders>
              <w:top w:val="single" w:sz="6" w:space="0" w:color="auto"/>
              <w:left w:val="single" w:sz="6" w:space="0" w:color="auto"/>
              <w:bottom w:val="single" w:sz="6" w:space="0" w:color="auto"/>
              <w:right w:val="single" w:sz="12"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color w:val="999999"/>
                <w:sz w:val="20"/>
                <w:szCs w:val="20"/>
              </w:rPr>
            </w:pPr>
          </w:p>
        </w:tc>
      </w:tr>
      <w:tr w:rsidR="006905F5" w:rsidRPr="006905F5" w:rsidTr="006905F5">
        <w:trPr>
          <w:cantSplit/>
        </w:trPr>
        <w:tc>
          <w:tcPr>
            <w:tcW w:w="2410" w:type="dxa"/>
            <w:tcBorders>
              <w:top w:val="single" w:sz="6" w:space="0" w:color="auto"/>
              <w:left w:val="single" w:sz="12" w:space="0" w:color="auto"/>
              <w:bottom w:val="single" w:sz="4"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2126" w:type="dxa"/>
            <w:tcBorders>
              <w:top w:val="single" w:sz="6" w:space="0" w:color="auto"/>
              <w:left w:val="single" w:sz="6" w:space="0" w:color="auto"/>
              <w:bottom w:val="single" w:sz="4"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5544" w:type="dxa"/>
            <w:tcBorders>
              <w:top w:val="single" w:sz="6" w:space="0" w:color="auto"/>
              <w:left w:val="single" w:sz="6" w:space="0" w:color="auto"/>
              <w:bottom w:val="single" w:sz="4" w:space="0" w:color="auto"/>
              <w:right w:val="single" w:sz="12"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r>
      <w:tr w:rsidR="006905F5" w:rsidRPr="006905F5" w:rsidTr="006905F5">
        <w:trPr>
          <w:cantSplit/>
        </w:trPr>
        <w:tc>
          <w:tcPr>
            <w:tcW w:w="2410" w:type="dxa"/>
            <w:tcBorders>
              <w:top w:val="single" w:sz="4" w:space="0" w:color="auto"/>
              <w:left w:val="single" w:sz="12" w:space="0" w:color="auto"/>
              <w:bottom w:val="single" w:sz="12"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2126" w:type="dxa"/>
            <w:tcBorders>
              <w:top w:val="single" w:sz="4" w:space="0" w:color="auto"/>
              <w:left w:val="single" w:sz="6" w:space="0" w:color="auto"/>
              <w:bottom w:val="single" w:sz="12"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5544" w:type="dxa"/>
            <w:tcBorders>
              <w:top w:val="single" w:sz="4" w:space="0" w:color="auto"/>
              <w:left w:val="single" w:sz="6" w:space="0" w:color="auto"/>
              <w:bottom w:val="single" w:sz="12" w:space="0" w:color="auto"/>
              <w:right w:val="single" w:sz="12"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r>
    </w:tbl>
    <w:p w:rsidR="006905F5" w:rsidRPr="006905F5" w:rsidRDefault="006905F5" w:rsidP="00DF1C04">
      <w:pPr>
        <w:keepNext/>
        <w:keepLines/>
        <w:overflowPunct w:val="0"/>
        <w:autoSpaceDE w:val="0"/>
        <w:autoSpaceDN w:val="0"/>
        <w:adjustRightInd w:val="0"/>
        <w:spacing w:before="60" w:after="60" w:line="276" w:lineRule="auto"/>
        <w:ind w:left="0"/>
        <w:textAlignment w:val="baseline"/>
        <w:rPr>
          <w:rFonts w:ascii="Arial" w:hAnsi="Arial"/>
          <w:b/>
          <w:sz w:val="22"/>
        </w:rPr>
      </w:pPr>
    </w:p>
    <w:p w:rsidR="006905F5" w:rsidRPr="006905F5" w:rsidRDefault="006905F5" w:rsidP="00DF1C04">
      <w:pPr>
        <w:keepNext/>
        <w:keepLines/>
        <w:overflowPunct w:val="0"/>
        <w:autoSpaceDE w:val="0"/>
        <w:autoSpaceDN w:val="0"/>
        <w:adjustRightInd w:val="0"/>
        <w:spacing w:before="60" w:after="60" w:line="276" w:lineRule="auto"/>
        <w:ind w:left="0"/>
        <w:textAlignment w:val="baseline"/>
        <w:rPr>
          <w:rFonts w:ascii="Arial" w:hAnsi="Arial"/>
          <w:b/>
          <w:sz w:val="22"/>
        </w:rPr>
      </w:pPr>
      <w:r w:rsidRPr="006905F5">
        <w:rPr>
          <w:rFonts w:ascii="Arial" w:hAnsi="Arial"/>
          <w:b/>
          <w:sz w:val="22"/>
        </w:rPr>
        <w:t>Reviewers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6905F5" w:rsidRPr="006905F5" w:rsidTr="00DA7B63">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6905F5" w:rsidRPr="006905F5" w:rsidRDefault="006905F5" w:rsidP="00DF1C04">
            <w:pPr>
              <w:keepLines/>
              <w:overflowPunct w:val="0"/>
              <w:autoSpaceDE w:val="0"/>
              <w:autoSpaceDN w:val="0"/>
              <w:adjustRightInd w:val="0"/>
              <w:spacing w:before="60" w:after="60" w:line="276" w:lineRule="auto"/>
              <w:ind w:left="0"/>
              <w:jc w:val="center"/>
              <w:textAlignment w:val="baseline"/>
              <w:rPr>
                <w:rFonts w:ascii="Arial" w:hAnsi="Arial"/>
                <w:b/>
                <w:sz w:val="22"/>
              </w:rPr>
            </w:pPr>
            <w:r w:rsidRPr="006905F5">
              <w:rPr>
                <w:rFonts w:ascii="Arial" w:hAnsi="Arial"/>
                <w:b/>
                <w:sz w:val="22"/>
              </w:rPr>
              <w:t>Name</w:t>
            </w:r>
            <w:r w:rsidRPr="006905F5">
              <w:rPr>
                <w:rFonts w:ascii="Arial" w:hAnsi="Arial"/>
                <w:sz w:val="22"/>
              </w:rPr>
              <w:t xml:space="preserve"> (name of reviewer and/or management group reviewing) </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6905F5" w:rsidRPr="006905F5" w:rsidRDefault="006905F5" w:rsidP="00DF1C04">
            <w:pPr>
              <w:keepLines/>
              <w:overflowPunct w:val="0"/>
              <w:autoSpaceDE w:val="0"/>
              <w:autoSpaceDN w:val="0"/>
              <w:adjustRightInd w:val="0"/>
              <w:spacing w:before="60" w:after="60" w:line="276" w:lineRule="auto"/>
              <w:ind w:left="0"/>
              <w:jc w:val="center"/>
              <w:textAlignment w:val="baseline"/>
              <w:rPr>
                <w:rFonts w:ascii="Arial" w:hAnsi="Arial"/>
                <w:b/>
                <w:sz w:val="22"/>
              </w:rPr>
            </w:pPr>
            <w:r w:rsidRPr="006905F5">
              <w:rPr>
                <w:rFonts w:ascii="Arial" w:hAnsi="Arial"/>
                <w:b/>
                <w:sz w:val="22"/>
              </w:rPr>
              <w:t xml:space="preserve">Date </w:t>
            </w:r>
            <w:r>
              <w:rPr>
                <w:rFonts w:ascii="Arial" w:hAnsi="Arial"/>
                <w:b/>
                <w:sz w:val="22"/>
              </w:rPr>
              <w:t>Reviewed</w:t>
            </w:r>
          </w:p>
        </w:tc>
        <w:tc>
          <w:tcPr>
            <w:tcW w:w="3420" w:type="dxa"/>
            <w:tcBorders>
              <w:top w:val="single" w:sz="12" w:space="0" w:color="auto"/>
              <w:left w:val="single" w:sz="4" w:space="0" w:color="auto"/>
              <w:bottom w:val="nil"/>
              <w:right w:val="single" w:sz="12" w:space="0" w:color="auto"/>
            </w:tcBorders>
            <w:shd w:val="pct10" w:color="auto" w:fill="auto"/>
          </w:tcPr>
          <w:p w:rsidR="006905F5" w:rsidRPr="006905F5" w:rsidRDefault="006905F5" w:rsidP="00DF1C04">
            <w:pPr>
              <w:keepLines/>
              <w:overflowPunct w:val="0"/>
              <w:autoSpaceDE w:val="0"/>
              <w:autoSpaceDN w:val="0"/>
              <w:adjustRightInd w:val="0"/>
              <w:spacing w:before="60" w:after="60" w:line="276" w:lineRule="auto"/>
              <w:ind w:left="0"/>
              <w:jc w:val="center"/>
              <w:textAlignment w:val="baseline"/>
              <w:rPr>
                <w:rFonts w:ascii="Arial" w:hAnsi="Arial"/>
                <w:b/>
                <w:sz w:val="22"/>
              </w:rPr>
            </w:pPr>
            <w:r w:rsidRPr="006905F5">
              <w:rPr>
                <w:rFonts w:ascii="Arial" w:hAnsi="Arial"/>
                <w:b/>
                <w:sz w:val="22"/>
              </w:rPr>
              <w:t>Version Reviewed</w:t>
            </w:r>
          </w:p>
        </w:tc>
      </w:tr>
      <w:tr w:rsidR="006905F5" w:rsidRPr="006905F5" w:rsidTr="00DA7B63">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2"/>
              </w:rPr>
            </w:pPr>
          </w:p>
        </w:tc>
        <w:tc>
          <w:tcPr>
            <w:tcW w:w="2974" w:type="dxa"/>
            <w:tcBorders>
              <w:top w:val="single" w:sz="6" w:space="0" w:color="auto"/>
              <w:left w:val="nil"/>
              <w:bottom w:val="single" w:sz="6" w:space="0" w:color="auto"/>
              <w:right w:val="single" w:sz="4" w:space="0" w:color="auto"/>
            </w:tcBorders>
            <w:shd w:val="pct50" w:color="auto" w:fill="auto"/>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2"/>
              </w:rPr>
            </w:pPr>
          </w:p>
        </w:tc>
        <w:tc>
          <w:tcPr>
            <w:tcW w:w="3420" w:type="dxa"/>
            <w:tcBorders>
              <w:top w:val="single" w:sz="6" w:space="0" w:color="auto"/>
              <w:left w:val="single" w:sz="4" w:space="0" w:color="auto"/>
              <w:bottom w:val="single" w:sz="6" w:space="0" w:color="auto"/>
              <w:right w:val="nil"/>
            </w:tcBorders>
            <w:shd w:val="pct50" w:color="auto" w:fill="auto"/>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2"/>
              </w:rPr>
            </w:pPr>
          </w:p>
        </w:tc>
      </w:tr>
      <w:tr w:rsidR="006905F5" w:rsidRPr="006905F5" w:rsidTr="00DA7B63">
        <w:trPr>
          <w:cantSplit/>
        </w:trPr>
        <w:tc>
          <w:tcPr>
            <w:tcW w:w="3686" w:type="dxa"/>
            <w:tcBorders>
              <w:top w:val="nil"/>
              <w:left w:val="single" w:sz="12" w:space="0" w:color="auto"/>
              <w:bottom w:val="single" w:sz="6" w:space="0" w:color="auto"/>
              <w:right w:val="single" w:sz="6" w:space="0" w:color="auto"/>
            </w:tcBorders>
          </w:tcPr>
          <w:p w:rsidR="006905F5" w:rsidRPr="006905F5" w:rsidRDefault="003D4BF9"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Corporate Secretary</w:t>
            </w:r>
          </w:p>
        </w:tc>
        <w:tc>
          <w:tcPr>
            <w:tcW w:w="2974" w:type="dxa"/>
            <w:tcBorders>
              <w:top w:val="single" w:sz="6" w:space="0" w:color="auto"/>
              <w:left w:val="single" w:sz="6" w:space="0" w:color="auto"/>
              <w:bottom w:val="single" w:sz="6" w:space="0" w:color="auto"/>
              <w:right w:val="single" w:sz="4" w:space="0" w:color="auto"/>
            </w:tcBorders>
          </w:tcPr>
          <w:p w:rsidR="006905F5" w:rsidRPr="006905F5" w:rsidRDefault="00F33299"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03/03/16</w:t>
            </w:r>
          </w:p>
        </w:tc>
        <w:tc>
          <w:tcPr>
            <w:tcW w:w="3420" w:type="dxa"/>
            <w:tcBorders>
              <w:top w:val="nil"/>
              <w:left w:val="single" w:sz="4" w:space="0" w:color="auto"/>
              <w:bottom w:val="single" w:sz="6" w:space="0" w:color="auto"/>
              <w:right w:val="single" w:sz="12" w:space="0" w:color="auto"/>
            </w:tcBorders>
          </w:tcPr>
          <w:p w:rsidR="006905F5" w:rsidRPr="006905F5" w:rsidRDefault="003D4BF9"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0.1</w:t>
            </w:r>
          </w:p>
        </w:tc>
      </w:tr>
      <w:tr w:rsidR="006905F5" w:rsidRPr="006905F5" w:rsidTr="00DA7B63">
        <w:trPr>
          <w:cantSplit/>
        </w:trPr>
        <w:tc>
          <w:tcPr>
            <w:tcW w:w="3686" w:type="dxa"/>
            <w:tcBorders>
              <w:top w:val="single" w:sz="6" w:space="0" w:color="auto"/>
              <w:left w:val="single" w:sz="12" w:space="0" w:color="auto"/>
              <w:bottom w:val="single" w:sz="6" w:space="0" w:color="auto"/>
              <w:right w:val="single" w:sz="6" w:space="0" w:color="auto"/>
            </w:tcBorders>
          </w:tcPr>
          <w:p w:rsidR="006905F5" w:rsidRPr="006905F5" w:rsidRDefault="00F33299" w:rsidP="009814C8">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 xml:space="preserve">Confidentiality </w:t>
            </w:r>
            <w:r w:rsidR="009814C8">
              <w:rPr>
                <w:rFonts w:ascii="Arial" w:hAnsi="Arial" w:cs="Arial"/>
                <w:sz w:val="20"/>
                <w:szCs w:val="20"/>
              </w:rPr>
              <w:t>Advisor</w:t>
            </w:r>
          </w:p>
        </w:tc>
        <w:tc>
          <w:tcPr>
            <w:tcW w:w="2974" w:type="dxa"/>
            <w:tcBorders>
              <w:top w:val="single" w:sz="6" w:space="0" w:color="auto"/>
              <w:left w:val="single" w:sz="6" w:space="0" w:color="auto"/>
              <w:bottom w:val="single" w:sz="6" w:space="0" w:color="auto"/>
              <w:right w:val="single" w:sz="4" w:space="0" w:color="auto"/>
            </w:tcBorders>
          </w:tcPr>
          <w:p w:rsidR="006905F5" w:rsidRPr="006905F5" w:rsidRDefault="009814C8"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23/03/16</w:t>
            </w:r>
          </w:p>
        </w:tc>
        <w:tc>
          <w:tcPr>
            <w:tcW w:w="3420" w:type="dxa"/>
            <w:tcBorders>
              <w:top w:val="single" w:sz="6" w:space="0" w:color="auto"/>
              <w:left w:val="single" w:sz="4" w:space="0" w:color="auto"/>
              <w:bottom w:val="single" w:sz="6" w:space="0" w:color="auto"/>
              <w:right w:val="single" w:sz="12" w:space="0" w:color="auto"/>
            </w:tcBorders>
          </w:tcPr>
          <w:p w:rsidR="006905F5" w:rsidRPr="006905F5" w:rsidRDefault="00F33299"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0.2</w:t>
            </w:r>
          </w:p>
        </w:tc>
      </w:tr>
      <w:tr w:rsidR="006905F5" w:rsidRPr="006905F5" w:rsidTr="00DA7B63">
        <w:trPr>
          <w:cantSplit/>
        </w:trPr>
        <w:tc>
          <w:tcPr>
            <w:tcW w:w="3686" w:type="dxa"/>
            <w:tcBorders>
              <w:top w:val="single" w:sz="6" w:space="0" w:color="auto"/>
              <w:left w:val="single" w:sz="12" w:space="0" w:color="auto"/>
              <w:bottom w:val="single" w:sz="6" w:space="0" w:color="auto"/>
              <w:right w:val="single" w:sz="6" w:space="0" w:color="auto"/>
            </w:tcBorders>
          </w:tcPr>
          <w:p w:rsidR="006905F5" w:rsidRPr="006905F5" w:rsidRDefault="00E87B7C"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EMT</w:t>
            </w:r>
          </w:p>
        </w:tc>
        <w:tc>
          <w:tcPr>
            <w:tcW w:w="2974" w:type="dxa"/>
            <w:tcBorders>
              <w:top w:val="single" w:sz="6" w:space="0" w:color="auto"/>
              <w:left w:val="single" w:sz="6" w:space="0" w:color="auto"/>
              <w:bottom w:val="single" w:sz="6" w:space="0" w:color="auto"/>
              <w:right w:val="single" w:sz="4" w:space="0" w:color="auto"/>
            </w:tcBorders>
          </w:tcPr>
          <w:p w:rsidR="006905F5" w:rsidRPr="006905F5" w:rsidRDefault="00E87B7C"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30/03/16</w:t>
            </w:r>
          </w:p>
        </w:tc>
        <w:tc>
          <w:tcPr>
            <w:tcW w:w="3420" w:type="dxa"/>
            <w:tcBorders>
              <w:top w:val="single" w:sz="6" w:space="0" w:color="auto"/>
              <w:left w:val="single" w:sz="4" w:space="0" w:color="auto"/>
              <w:bottom w:val="single" w:sz="6" w:space="0" w:color="auto"/>
              <w:right w:val="single" w:sz="12" w:space="0" w:color="auto"/>
            </w:tcBorders>
          </w:tcPr>
          <w:p w:rsidR="006905F5" w:rsidRPr="006905F5" w:rsidRDefault="00E87B7C"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0.3</w:t>
            </w:r>
          </w:p>
        </w:tc>
      </w:tr>
      <w:tr w:rsidR="006905F5" w:rsidRPr="006905F5" w:rsidTr="00DA7B63">
        <w:trPr>
          <w:cantSplit/>
        </w:trPr>
        <w:tc>
          <w:tcPr>
            <w:tcW w:w="3686" w:type="dxa"/>
            <w:tcBorders>
              <w:top w:val="single" w:sz="6" w:space="0" w:color="auto"/>
              <w:left w:val="single" w:sz="12" w:space="0" w:color="auto"/>
              <w:bottom w:val="single" w:sz="6" w:space="0" w:color="auto"/>
              <w:right w:val="single" w:sz="6" w:space="0" w:color="auto"/>
            </w:tcBorders>
          </w:tcPr>
          <w:p w:rsidR="006905F5" w:rsidRPr="006905F5" w:rsidRDefault="00E87B7C"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Senior Confidentiality Advisor</w:t>
            </w:r>
            <w:bookmarkStart w:id="4" w:name="_GoBack"/>
            <w:bookmarkEnd w:id="4"/>
          </w:p>
        </w:tc>
        <w:tc>
          <w:tcPr>
            <w:tcW w:w="2974" w:type="dxa"/>
            <w:tcBorders>
              <w:top w:val="single" w:sz="6" w:space="0" w:color="auto"/>
              <w:left w:val="single" w:sz="6" w:space="0" w:color="auto"/>
              <w:bottom w:val="single" w:sz="6" w:space="0" w:color="auto"/>
              <w:right w:val="single" w:sz="4" w:space="0" w:color="auto"/>
            </w:tcBorders>
          </w:tcPr>
          <w:p w:rsidR="006905F5" w:rsidRPr="006905F5" w:rsidRDefault="00E87B7C"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01/04/16</w:t>
            </w:r>
          </w:p>
        </w:tc>
        <w:tc>
          <w:tcPr>
            <w:tcW w:w="3420" w:type="dxa"/>
            <w:tcBorders>
              <w:top w:val="single" w:sz="6" w:space="0" w:color="auto"/>
              <w:left w:val="single" w:sz="4" w:space="0" w:color="auto"/>
              <w:bottom w:val="single" w:sz="6" w:space="0" w:color="auto"/>
              <w:right w:val="single" w:sz="12" w:space="0" w:color="auto"/>
            </w:tcBorders>
          </w:tcPr>
          <w:p w:rsidR="006905F5" w:rsidRPr="006905F5" w:rsidRDefault="00E87B7C"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0.3</w:t>
            </w:r>
          </w:p>
        </w:tc>
      </w:tr>
      <w:tr w:rsidR="006905F5" w:rsidRPr="006905F5" w:rsidTr="00DA7B63">
        <w:trPr>
          <w:cantSplit/>
        </w:trPr>
        <w:tc>
          <w:tcPr>
            <w:tcW w:w="3686" w:type="dxa"/>
            <w:tcBorders>
              <w:top w:val="single" w:sz="6" w:space="0" w:color="auto"/>
              <w:left w:val="single" w:sz="12" w:space="0" w:color="auto"/>
              <w:bottom w:val="single" w:sz="6"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2974" w:type="dxa"/>
            <w:tcBorders>
              <w:top w:val="single" w:sz="6" w:space="0" w:color="auto"/>
              <w:left w:val="single" w:sz="6" w:space="0" w:color="auto"/>
              <w:bottom w:val="single" w:sz="6" w:space="0" w:color="auto"/>
              <w:right w:val="single" w:sz="4"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3420" w:type="dxa"/>
            <w:tcBorders>
              <w:top w:val="single" w:sz="6" w:space="0" w:color="auto"/>
              <w:left w:val="single" w:sz="4" w:space="0" w:color="auto"/>
              <w:bottom w:val="single" w:sz="6" w:space="0" w:color="auto"/>
              <w:right w:val="single" w:sz="12"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r>
      <w:tr w:rsidR="006905F5" w:rsidRPr="006905F5" w:rsidTr="00DA7B63">
        <w:trPr>
          <w:cantSplit/>
        </w:trPr>
        <w:tc>
          <w:tcPr>
            <w:tcW w:w="3686" w:type="dxa"/>
            <w:tcBorders>
              <w:top w:val="single" w:sz="6" w:space="0" w:color="auto"/>
              <w:left w:val="single" w:sz="12" w:space="0" w:color="auto"/>
              <w:bottom w:val="single" w:sz="6"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2974" w:type="dxa"/>
            <w:tcBorders>
              <w:top w:val="single" w:sz="6" w:space="0" w:color="auto"/>
              <w:left w:val="single" w:sz="6" w:space="0" w:color="auto"/>
              <w:bottom w:val="single" w:sz="6" w:space="0" w:color="auto"/>
              <w:right w:val="single" w:sz="4"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3420" w:type="dxa"/>
            <w:tcBorders>
              <w:top w:val="single" w:sz="6" w:space="0" w:color="auto"/>
              <w:left w:val="single" w:sz="4" w:space="0" w:color="auto"/>
              <w:bottom w:val="single" w:sz="6" w:space="0" w:color="auto"/>
              <w:right w:val="single" w:sz="12"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r>
      <w:tr w:rsidR="006905F5" w:rsidRPr="006905F5" w:rsidTr="00DA7B63">
        <w:trPr>
          <w:cantSplit/>
        </w:trPr>
        <w:tc>
          <w:tcPr>
            <w:tcW w:w="3686" w:type="dxa"/>
            <w:tcBorders>
              <w:top w:val="single" w:sz="6" w:space="0" w:color="auto"/>
              <w:left w:val="single" w:sz="12" w:space="0" w:color="auto"/>
              <w:bottom w:val="single" w:sz="12"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2974" w:type="dxa"/>
            <w:tcBorders>
              <w:top w:val="single" w:sz="6" w:space="0" w:color="auto"/>
              <w:left w:val="single" w:sz="6" w:space="0" w:color="auto"/>
              <w:bottom w:val="single" w:sz="12" w:space="0" w:color="auto"/>
              <w:right w:val="single" w:sz="4"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3420" w:type="dxa"/>
            <w:tcBorders>
              <w:top w:val="single" w:sz="6" w:space="0" w:color="auto"/>
              <w:left w:val="single" w:sz="4" w:space="0" w:color="auto"/>
              <w:bottom w:val="single" w:sz="12" w:space="0" w:color="auto"/>
              <w:right w:val="single" w:sz="12"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r>
    </w:tbl>
    <w:p w:rsidR="006905F5" w:rsidRPr="006905F5" w:rsidRDefault="006905F5" w:rsidP="00DF1C04">
      <w:pPr>
        <w:keepNext/>
        <w:keepLines/>
        <w:overflowPunct w:val="0"/>
        <w:autoSpaceDE w:val="0"/>
        <w:autoSpaceDN w:val="0"/>
        <w:adjustRightInd w:val="0"/>
        <w:spacing w:before="60" w:after="60" w:line="276" w:lineRule="auto"/>
        <w:ind w:left="0"/>
        <w:textAlignment w:val="baseline"/>
        <w:rPr>
          <w:rFonts w:ascii="Arial" w:hAnsi="Arial"/>
          <w:b/>
          <w:sz w:val="22"/>
        </w:rPr>
      </w:pPr>
    </w:p>
    <w:p w:rsidR="006905F5" w:rsidRPr="006905F5" w:rsidRDefault="006905F5" w:rsidP="00DF1C04">
      <w:pPr>
        <w:keepNext/>
        <w:keepLines/>
        <w:overflowPunct w:val="0"/>
        <w:autoSpaceDE w:val="0"/>
        <w:autoSpaceDN w:val="0"/>
        <w:adjustRightInd w:val="0"/>
        <w:spacing w:before="60" w:after="60" w:line="276" w:lineRule="auto"/>
        <w:ind w:left="0"/>
        <w:textAlignment w:val="baseline"/>
        <w:rPr>
          <w:rFonts w:ascii="Arial" w:hAnsi="Arial"/>
          <w:b/>
          <w:sz w:val="22"/>
        </w:rPr>
      </w:pPr>
      <w:r w:rsidRPr="006905F5">
        <w:rPr>
          <w:rFonts w:ascii="Arial" w:hAnsi="Arial"/>
          <w:b/>
          <w:sz w:val="22"/>
        </w:rPr>
        <w:t>Distribution of Approved Versions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6905F5" w:rsidRPr="006905F5" w:rsidTr="00DA7B63">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6905F5" w:rsidRPr="006905F5" w:rsidRDefault="006905F5" w:rsidP="00DF1C04">
            <w:pPr>
              <w:keepLines/>
              <w:overflowPunct w:val="0"/>
              <w:autoSpaceDE w:val="0"/>
              <w:autoSpaceDN w:val="0"/>
              <w:adjustRightInd w:val="0"/>
              <w:spacing w:before="60" w:after="60" w:line="276" w:lineRule="auto"/>
              <w:ind w:left="0"/>
              <w:jc w:val="center"/>
              <w:textAlignment w:val="baseline"/>
              <w:rPr>
                <w:rFonts w:ascii="Arial" w:hAnsi="Arial"/>
                <w:b/>
                <w:sz w:val="22"/>
              </w:rPr>
            </w:pPr>
            <w:r w:rsidRPr="006905F5">
              <w:rPr>
                <w:rFonts w:ascii="Arial" w:hAnsi="Arial"/>
                <w:b/>
                <w:sz w:val="22"/>
              </w:rPr>
              <w:t>Platform (</w:t>
            </w:r>
            <w:r w:rsidR="00550609" w:rsidRPr="006905F5">
              <w:rPr>
                <w:rFonts w:ascii="Arial" w:hAnsi="Arial"/>
                <w:b/>
                <w:sz w:val="22"/>
              </w:rPr>
              <w:t>e.g. HRA</w:t>
            </w:r>
            <w:r w:rsidRPr="006905F5">
              <w:rPr>
                <w:rFonts w:ascii="Arial" w:hAnsi="Arial"/>
                <w:b/>
                <w:sz w:val="22"/>
              </w:rPr>
              <w:t xml:space="preserve"> intranet or website)</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6905F5" w:rsidRPr="006905F5" w:rsidRDefault="006905F5" w:rsidP="00DF1C04">
            <w:pPr>
              <w:keepLines/>
              <w:overflowPunct w:val="0"/>
              <w:autoSpaceDE w:val="0"/>
              <w:autoSpaceDN w:val="0"/>
              <w:adjustRightInd w:val="0"/>
              <w:spacing w:before="60" w:after="60" w:line="276" w:lineRule="auto"/>
              <w:ind w:left="0"/>
              <w:jc w:val="center"/>
              <w:textAlignment w:val="baseline"/>
              <w:rPr>
                <w:rFonts w:ascii="Arial" w:hAnsi="Arial"/>
                <w:b/>
                <w:sz w:val="22"/>
              </w:rPr>
            </w:pPr>
            <w:r w:rsidRPr="006905F5">
              <w:rPr>
                <w:rFonts w:ascii="Arial" w:hAnsi="Arial"/>
                <w:b/>
                <w:sz w:val="22"/>
              </w:rPr>
              <w:t xml:space="preserve">Date of Publication </w:t>
            </w:r>
          </w:p>
        </w:tc>
        <w:tc>
          <w:tcPr>
            <w:tcW w:w="3420" w:type="dxa"/>
            <w:tcBorders>
              <w:top w:val="single" w:sz="12" w:space="0" w:color="auto"/>
              <w:left w:val="single" w:sz="4" w:space="0" w:color="auto"/>
              <w:bottom w:val="nil"/>
              <w:right w:val="single" w:sz="12" w:space="0" w:color="auto"/>
            </w:tcBorders>
            <w:shd w:val="pct10" w:color="auto" w:fill="auto"/>
          </w:tcPr>
          <w:p w:rsidR="006905F5" w:rsidRPr="006905F5" w:rsidRDefault="006905F5" w:rsidP="00DF1C04">
            <w:pPr>
              <w:keepLines/>
              <w:overflowPunct w:val="0"/>
              <w:autoSpaceDE w:val="0"/>
              <w:autoSpaceDN w:val="0"/>
              <w:adjustRightInd w:val="0"/>
              <w:spacing w:before="60" w:after="60" w:line="276" w:lineRule="auto"/>
              <w:ind w:left="0"/>
              <w:jc w:val="center"/>
              <w:textAlignment w:val="baseline"/>
              <w:rPr>
                <w:rFonts w:ascii="Arial" w:hAnsi="Arial"/>
                <w:b/>
                <w:sz w:val="22"/>
              </w:rPr>
            </w:pPr>
            <w:r w:rsidRPr="006905F5">
              <w:rPr>
                <w:rFonts w:ascii="Arial" w:hAnsi="Arial"/>
                <w:b/>
                <w:sz w:val="22"/>
              </w:rPr>
              <w:t>Version Released</w:t>
            </w:r>
          </w:p>
        </w:tc>
      </w:tr>
      <w:tr w:rsidR="006905F5" w:rsidRPr="006905F5" w:rsidTr="00DA7B63">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2"/>
              </w:rPr>
            </w:pPr>
          </w:p>
        </w:tc>
        <w:tc>
          <w:tcPr>
            <w:tcW w:w="2974" w:type="dxa"/>
            <w:tcBorders>
              <w:top w:val="single" w:sz="6" w:space="0" w:color="auto"/>
              <w:left w:val="nil"/>
              <w:bottom w:val="single" w:sz="6" w:space="0" w:color="auto"/>
              <w:right w:val="single" w:sz="4" w:space="0" w:color="auto"/>
            </w:tcBorders>
            <w:shd w:val="pct50" w:color="auto" w:fill="auto"/>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2"/>
              </w:rPr>
            </w:pPr>
          </w:p>
        </w:tc>
        <w:tc>
          <w:tcPr>
            <w:tcW w:w="3420" w:type="dxa"/>
            <w:tcBorders>
              <w:top w:val="single" w:sz="6" w:space="0" w:color="auto"/>
              <w:left w:val="single" w:sz="4" w:space="0" w:color="auto"/>
              <w:bottom w:val="single" w:sz="6" w:space="0" w:color="auto"/>
              <w:right w:val="nil"/>
            </w:tcBorders>
            <w:shd w:val="pct50" w:color="auto" w:fill="auto"/>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2"/>
              </w:rPr>
            </w:pPr>
          </w:p>
        </w:tc>
      </w:tr>
      <w:tr w:rsidR="006905F5" w:rsidRPr="006905F5" w:rsidTr="00DA7B63">
        <w:trPr>
          <w:cantSplit/>
        </w:trPr>
        <w:tc>
          <w:tcPr>
            <w:tcW w:w="3686" w:type="dxa"/>
            <w:tcBorders>
              <w:top w:val="nil"/>
              <w:left w:val="single" w:sz="12" w:space="0" w:color="auto"/>
              <w:bottom w:val="single" w:sz="6" w:space="0" w:color="auto"/>
              <w:right w:val="single" w:sz="6" w:space="0" w:color="auto"/>
            </w:tcBorders>
          </w:tcPr>
          <w:p w:rsidR="006905F5" w:rsidRPr="006905F5" w:rsidRDefault="003B72D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HRA web site</w:t>
            </w:r>
          </w:p>
        </w:tc>
        <w:tc>
          <w:tcPr>
            <w:tcW w:w="2974" w:type="dxa"/>
            <w:tcBorders>
              <w:top w:val="single" w:sz="6" w:space="0" w:color="auto"/>
              <w:left w:val="single" w:sz="6" w:space="0" w:color="auto"/>
              <w:bottom w:val="single" w:sz="6" w:space="0" w:color="auto"/>
              <w:right w:val="single" w:sz="4" w:space="0" w:color="auto"/>
            </w:tcBorders>
          </w:tcPr>
          <w:p w:rsidR="006905F5" w:rsidRPr="006905F5" w:rsidRDefault="003B72D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tbc</w:t>
            </w:r>
          </w:p>
        </w:tc>
        <w:tc>
          <w:tcPr>
            <w:tcW w:w="3420" w:type="dxa"/>
            <w:tcBorders>
              <w:top w:val="nil"/>
              <w:left w:val="single" w:sz="4" w:space="0" w:color="auto"/>
              <w:bottom w:val="single" w:sz="6" w:space="0" w:color="auto"/>
              <w:right w:val="single" w:sz="12" w:space="0" w:color="auto"/>
            </w:tcBorders>
          </w:tcPr>
          <w:p w:rsidR="006905F5" w:rsidRPr="006905F5" w:rsidRDefault="003B72D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r>
              <w:rPr>
                <w:rFonts w:ascii="Arial" w:hAnsi="Arial" w:cs="Arial"/>
                <w:sz w:val="20"/>
                <w:szCs w:val="20"/>
              </w:rPr>
              <w:t>tbc</w:t>
            </w:r>
          </w:p>
        </w:tc>
      </w:tr>
      <w:tr w:rsidR="006905F5" w:rsidRPr="006905F5" w:rsidTr="00DA7B63">
        <w:trPr>
          <w:cantSplit/>
        </w:trPr>
        <w:tc>
          <w:tcPr>
            <w:tcW w:w="3686" w:type="dxa"/>
            <w:tcBorders>
              <w:top w:val="single" w:sz="6" w:space="0" w:color="auto"/>
              <w:left w:val="single" w:sz="12" w:space="0" w:color="auto"/>
              <w:bottom w:val="single" w:sz="6"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2974" w:type="dxa"/>
            <w:tcBorders>
              <w:top w:val="single" w:sz="6" w:space="0" w:color="auto"/>
              <w:left w:val="single" w:sz="6" w:space="0" w:color="auto"/>
              <w:bottom w:val="single" w:sz="6" w:space="0" w:color="auto"/>
              <w:right w:val="single" w:sz="4"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3420" w:type="dxa"/>
            <w:tcBorders>
              <w:top w:val="single" w:sz="6" w:space="0" w:color="auto"/>
              <w:left w:val="single" w:sz="4" w:space="0" w:color="auto"/>
              <w:bottom w:val="single" w:sz="6" w:space="0" w:color="auto"/>
              <w:right w:val="single" w:sz="12"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r>
      <w:tr w:rsidR="006905F5" w:rsidRPr="006905F5" w:rsidTr="00DA7B63">
        <w:trPr>
          <w:cantSplit/>
        </w:trPr>
        <w:tc>
          <w:tcPr>
            <w:tcW w:w="3686" w:type="dxa"/>
            <w:tcBorders>
              <w:top w:val="single" w:sz="6" w:space="0" w:color="auto"/>
              <w:left w:val="single" w:sz="12" w:space="0" w:color="auto"/>
              <w:bottom w:val="single" w:sz="6"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2974" w:type="dxa"/>
            <w:tcBorders>
              <w:top w:val="single" w:sz="6" w:space="0" w:color="auto"/>
              <w:left w:val="single" w:sz="6" w:space="0" w:color="auto"/>
              <w:bottom w:val="single" w:sz="6" w:space="0" w:color="auto"/>
              <w:right w:val="single" w:sz="4"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3420" w:type="dxa"/>
            <w:tcBorders>
              <w:top w:val="single" w:sz="6" w:space="0" w:color="auto"/>
              <w:left w:val="single" w:sz="4" w:space="0" w:color="auto"/>
              <w:bottom w:val="single" w:sz="6" w:space="0" w:color="auto"/>
              <w:right w:val="single" w:sz="12"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r>
      <w:tr w:rsidR="006905F5" w:rsidRPr="006905F5" w:rsidTr="00DA7B63">
        <w:trPr>
          <w:cantSplit/>
        </w:trPr>
        <w:tc>
          <w:tcPr>
            <w:tcW w:w="3686" w:type="dxa"/>
            <w:tcBorders>
              <w:top w:val="single" w:sz="6" w:space="0" w:color="auto"/>
              <w:left w:val="single" w:sz="12" w:space="0" w:color="auto"/>
              <w:bottom w:val="single" w:sz="6"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2974" w:type="dxa"/>
            <w:tcBorders>
              <w:top w:val="single" w:sz="6" w:space="0" w:color="auto"/>
              <w:left w:val="single" w:sz="6" w:space="0" w:color="auto"/>
              <w:bottom w:val="single" w:sz="6" w:space="0" w:color="auto"/>
              <w:right w:val="single" w:sz="4"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3420" w:type="dxa"/>
            <w:tcBorders>
              <w:top w:val="single" w:sz="6" w:space="0" w:color="auto"/>
              <w:left w:val="single" w:sz="4" w:space="0" w:color="auto"/>
              <w:bottom w:val="single" w:sz="6" w:space="0" w:color="auto"/>
              <w:right w:val="single" w:sz="12"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r>
      <w:tr w:rsidR="006905F5" w:rsidRPr="006905F5" w:rsidTr="00DA7B63">
        <w:trPr>
          <w:cantSplit/>
        </w:trPr>
        <w:tc>
          <w:tcPr>
            <w:tcW w:w="3686" w:type="dxa"/>
            <w:tcBorders>
              <w:top w:val="single" w:sz="6" w:space="0" w:color="auto"/>
              <w:left w:val="single" w:sz="12" w:space="0" w:color="auto"/>
              <w:bottom w:val="single" w:sz="6"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2974" w:type="dxa"/>
            <w:tcBorders>
              <w:top w:val="single" w:sz="6" w:space="0" w:color="auto"/>
              <w:left w:val="single" w:sz="6" w:space="0" w:color="auto"/>
              <w:bottom w:val="single" w:sz="6" w:space="0" w:color="auto"/>
              <w:right w:val="single" w:sz="4"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3420" w:type="dxa"/>
            <w:tcBorders>
              <w:top w:val="single" w:sz="6" w:space="0" w:color="auto"/>
              <w:left w:val="single" w:sz="4" w:space="0" w:color="auto"/>
              <w:bottom w:val="single" w:sz="6" w:space="0" w:color="auto"/>
              <w:right w:val="single" w:sz="12"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r>
      <w:tr w:rsidR="006905F5" w:rsidRPr="006905F5" w:rsidTr="00DA7B63">
        <w:trPr>
          <w:cantSplit/>
        </w:trPr>
        <w:tc>
          <w:tcPr>
            <w:tcW w:w="3686" w:type="dxa"/>
            <w:tcBorders>
              <w:top w:val="single" w:sz="6" w:space="0" w:color="auto"/>
              <w:left w:val="single" w:sz="12" w:space="0" w:color="auto"/>
              <w:bottom w:val="single" w:sz="6"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2974" w:type="dxa"/>
            <w:tcBorders>
              <w:top w:val="single" w:sz="6" w:space="0" w:color="auto"/>
              <w:left w:val="single" w:sz="6" w:space="0" w:color="auto"/>
              <w:bottom w:val="single" w:sz="6" w:space="0" w:color="auto"/>
              <w:right w:val="single" w:sz="4"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3420" w:type="dxa"/>
            <w:tcBorders>
              <w:top w:val="single" w:sz="6" w:space="0" w:color="auto"/>
              <w:left w:val="single" w:sz="4" w:space="0" w:color="auto"/>
              <w:bottom w:val="single" w:sz="6" w:space="0" w:color="auto"/>
              <w:right w:val="single" w:sz="12"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r>
      <w:tr w:rsidR="006905F5" w:rsidRPr="006905F5" w:rsidTr="00DA7B63">
        <w:trPr>
          <w:cantSplit/>
        </w:trPr>
        <w:tc>
          <w:tcPr>
            <w:tcW w:w="3686" w:type="dxa"/>
            <w:tcBorders>
              <w:top w:val="single" w:sz="6" w:space="0" w:color="auto"/>
              <w:left w:val="single" w:sz="12" w:space="0" w:color="auto"/>
              <w:bottom w:val="single" w:sz="12" w:space="0" w:color="auto"/>
              <w:right w:val="single" w:sz="6"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2974" w:type="dxa"/>
            <w:tcBorders>
              <w:top w:val="single" w:sz="6" w:space="0" w:color="auto"/>
              <w:left w:val="single" w:sz="6" w:space="0" w:color="auto"/>
              <w:bottom w:val="single" w:sz="12" w:space="0" w:color="auto"/>
              <w:right w:val="single" w:sz="4"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c>
          <w:tcPr>
            <w:tcW w:w="3420" w:type="dxa"/>
            <w:tcBorders>
              <w:top w:val="single" w:sz="6" w:space="0" w:color="auto"/>
              <w:left w:val="single" w:sz="4" w:space="0" w:color="auto"/>
              <w:bottom w:val="single" w:sz="12" w:space="0" w:color="auto"/>
              <w:right w:val="single" w:sz="12" w:space="0" w:color="auto"/>
            </w:tcBorders>
          </w:tcPr>
          <w:p w:rsidR="006905F5" w:rsidRPr="006905F5" w:rsidRDefault="006905F5" w:rsidP="00DF1C04">
            <w:pPr>
              <w:keepLines/>
              <w:overflowPunct w:val="0"/>
              <w:autoSpaceDE w:val="0"/>
              <w:autoSpaceDN w:val="0"/>
              <w:adjustRightInd w:val="0"/>
              <w:spacing w:before="60" w:after="60" w:line="276" w:lineRule="auto"/>
              <w:ind w:left="0"/>
              <w:textAlignment w:val="baseline"/>
              <w:rPr>
                <w:rFonts w:ascii="Arial" w:hAnsi="Arial" w:cs="Arial"/>
                <w:sz w:val="20"/>
                <w:szCs w:val="20"/>
              </w:rPr>
            </w:pPr>
          </w:p>
        </w:tc>
      </w:tr>
    </w:tbl>
    <w:p w:rsidR="006905F5" w:rsidRPr="006905F5" w:rsidRDefault="006905F5" w:rsidP="00DF1C04">
      <w:pPr>
        <w:pStyle w:val="BodyText"/>
        <w:spacing w:before="60" w:after="60" w:line="276" w:lineRule="auto"/>
        <w:ind w:left="0"/>
      </w:pPr>
    </w:p>
    <w:p w:rsidR="00120371" w:rsidRPr="00120371" w:rsidRDefault="00120371" w:rsidP="00DF1C04">
      <w:pPr>
        <w:pStyle w:val="BodyText"/>
        <w:spacing w:before="60" w:after="60" w:line="276" w:lineRule="auto"/>
        <w:jc w:val="right"/>
        <w:rPr>
          <w:sz w:val="12"/>
          <w:szCs w:val="12"/>
        </w:rPr>
      </w:pPr>
    </w:p>
    <w:sectPr w:rsidR="00120371" w:rsidRPr="00120371" w:rsidSect="006B6596">
      <w:footerReference w:type="first" r:id="rId16"/>
      <w:pgSz w:w="11907" w:h="16834" w:code="9"/>
      <w:pgMar w:top="902" w:right="720" w:bottom="1077" w:left="720" w:header="431" w:footer="431" w:gutter="3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F3" w:rsidRDefault="002C24F3">
      <w:r>
        <w:separator/>
      </w:r>
    </w:p>
  </w:endnote>
  <w:endnote w:type="continuationSeparator" w:id="0">
    <w:p w:rsidR="002C24F3" w:rsidRDefault="002C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F3" w:rsidRDefault="002C24F3">
    <w:pPr>
      <w:pStyle w:val="Footer"/>
    </w:pPr>
    <w:r w:rsidRPr="00B84B02">
      <w:rPr>
        <w:rFonts w:ascii="Arial" w:hAnsi="Arial"/>
        <w:noProof/>
      </w:rPr>
      <w:t>Note: This document is uncontrolled when printed</w:t>
    </w:r>
    <w:r>
      <w:rPr>
        <w:rFonts w:ascii="Arial" w:hAnsi="Arial"/>
      </w:rPr>
      <w:t xml:space="preserve">                                                                                                   Page </w:t>
    </w:r>
    <w:r w:rsidRPr="00D16A5E">
      <w:rPr>
        <w:rStyle w:val="PageNumber"/>
        <w:rFonts w:ascii="Arial" w:hAnsi="Arial" w:cs="Arial"/>
      </w:rPr>
      <w:fldChar w:fldCharType="begin"/>
    </w:r>
    <w:r w:rsidRPr="00D16A5E">
      <w:rPr>
        <w:rStyle w:val="PageNumber"/>
        <w:rFonts w:ascii="Arial" w:hAnsi="Arial" w:cs="Arial"/>
      </w:rPr>
      <w:instrText xml:space="preserve"> PAGE </w:instrText>
    </w:r>
    <w:r w:rsidRPr="00D16A5E">
      <w:rPr>
        <w:rStyle w:val="PageNumber"/>
        <w:rFonts w:ascii="Arial" w:hAnsi="Arial" w:cs="Arial"/>
      </w:rPr>
      <w:fldChar w:fldCharType="separate"/>
    </w:r>
    <w:r w:rsidR="00E87B7C">
      <w:rPr>
        <w:rStyle w:val="PageNumber"/>
        <w:rFonts w:ascii="Arial" w:hAnsi="Arial" w:cs="Arial"/>
        <w:noProof/>
      </w:rPr>
      <w:t>1</w:t>
    </w:r>
    <w:r w:rsidRPr="00D16A5E">
      <w:rPr>
        <w:rStyle w:val="PageNumber"/>
        <w:rFonts w:ascii="Arial" w:hAnsi="Arial" w:cs="Arial"/>
      </w:rPr>
      <w:fldChar w:fldCharType="end"/>
    </w:r>
    <w:r w:rsidRPr="00D16A5E">
      <w:rPr>
        <w:rStyle w:val="PageNumber"/>
        <w:rFonts w:ascii="Arial" w:hAnsi="Arial" w:cs="Arial"/>
      </w:rPr>
      <w:t xml:space="preserve"> of </w:t>
    </w:r>
    <w:r w:rsidRPr="00D16A5E">
      <w:rPr>
        <w:rStyle w:val="PageNumber"/>
        <w:rFonts w:ascii="Arial" w:hAnsi="Arial" w:cs="Arial"/>
      </w:rPr>
      <w:fldChar w:fldCharType="begin"/>
    </w:r>
    <w:r w:rsidRPr="00D16A5E">
      <w:rPr>
        <w:rStyle w:val="PageNumber"/>
        <w:rFonts w:ascii="Arial" w:hAnsi="Arial" w:cs="Arial"/>
      </w:rPr>
      <w:instrText xml:space="preserve"> NUMPAGES </w:instrText>
    </w:r>
    <w:r w:rsidRPr="00D16A5E">
      <w:rPr>
        <w:rStyle w:val="PageNumber"/>
        <w:rFonts w:ascii="Arial" w:hAnsi="Arial" w:cs="Arial"/>
      </w:rPr>
      <w:fldChar w:fldCharType="separate"/>
    </w:r>
    <w:r w:rsidR="00E87B7C">
      <w:rPr>
        <w:rStyle w:val="PageNumber"/>
        <w:rFonts w:ascii="Arial" w:hAnsi="Arial" w:cs="Arial"/>
        <w:noProof/>
      </w:rPr>
      <w:t>7</w:t>
    </w:r>
    <w:r w:rsidRPr="00D16A5E">
      <w:rPr>
        <w:rStyle w:val="PageNumber"/>
        <w:rFonts w:ascii="Arial" w:hAnsi="Arial" w:cs="Arial"/>
      </w:rPr>
      <w:fldChar w:fldCharType="end"/>
    </w:r>
    <w:r>
      <w:rPr>
        <w:rFonts w:ascii="Arial" w:hAnsi="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F3" w:rsidRDefault="002C24F3" w:rsidP="006B6596">
    <w:pPr>
      <w:pStyle w:val="Footer"/>
      <w:pBdr>
        <w:top w:val="single" w:sz="4" w:space="1" w:color="auto"/>
      </w:pBdr>
      <w:tabs>
        <w:tab w:val="clear" w:pos="10080"/>
        <w:tab w:val="right" w:pos="14400"/>
      </w:tabs>
      <w:rPr>
        <w:rFonts w:ascii="Arial" w:hAnsi="Arial"/>
      </w:rPr>
    </w:pPr>
    <w:r>
      <w:rPr>
        <w:rFonts w:ascii="Arial" w:hAnsi="Arial"/>
      </w:rPr>
      <w:fldChar w:fldCharType="begin"/>
    </w:r>
    <w:r>
      <w:rPr>
        <w:rFonts w:ascii="Arial" w:hAnsi="Arial"/>
      </w:rPr>
      <w:instrText xml:space="preserve"> if "</w:instrText>
    </w:r>
    <w:r>
      <w:rPr>
        <w:rFonts w:ascii="Arial" w:hAnsi="Arial"/>
      </w:rPr>
      <w:fldChar w:fldCharType="begin"/>
    </w:r>
    <w:r>
      <w:rPr>
        <w:rFonts w:ascii="Arial" w:hAnsi="Arial"/>
      </w:rPr>
      <w:instrText xml:space="preserve"> REF DocVersion  \* MERGEFORMAT </w:instrText>
    </w:r>
    <w:r>
      <w:rPr>
        <w:rFonts w:ascii="Arial" w:hAnsi="Arial"/>
      </w:rPr>
      <w:fldChar w:fldCharType="separate"/>
    </w:r>
    <w:r w:rsidR="002F3AD0">
      <w:rPr>
        <w:rFonts w:ascii="Arial" w:hAnsi="Arial"/>
        <w:b/>
        <w:bCs/>
        <w:lang w:val="en-US"/>
      </w:rPr>
      <w:instrText>Error! Reference source not found.</w:instrText>
    </w:r>
    <w:r>
      <w:rPr>
        <w:rFonts w:ascii="Arial" w:hAnsi="Arial"/>
      </w:rPr>
      <w:fldChar w:fldCharType="end"/>
    </w:r>
    <w:r>
      <w:rPr>
        <w:rFonts w:ascii="Arial" w:hAnsi="Arial"/>
      </w:rPr>
      <w:instrText>" = "Error! Reference source not found." ""</w:instrText>
    </w:r>
    <w:r>
      <w:rPr>
        <w:rFonts w:ascii="Arial" w:hAnsi="Arial"/>
        <w:b/>
      </w:rPr>
      <w:instrText xml:space="preserve"> </w:instrText>
    </w:r>
    <w:r>
      <w:rPr>
        <w:rFonts w:ascii="Arial" w:hAnsi="Arial"/>
      </w:rPr>
      <w:instrText xml:space="preserve"> "(v. </w:instrText>
    </w:r>
    <w:fldSimple w:instr=" REF DocVersion  \* MERGEFORMAT ">
      <w:r>
        <w:rPr>
          <w:rFonts w:ascii="Arial" w:hAnsi="Arial"/>
        </w:rPr>
        <w:instrText xml:space="preserve">1 </w:instrText>
      </w:r>
    </w:fldSimple>
    <w:r>
      <w:rPr>
        <w:rFonts w:ascii="Arial" w:hAnsi="Arial"/>
      </w:rPr>
      <w:instrText xml:space="preserve">)" </w:instrText>
    </w:r>
    <w:r>
      <w:rPr>
        <w:rFonts w:ascii="Arial" w:hAnsi="Arial"/>
      </w:rPr>
      <w:fldChar w:fldCharType="end"/>
    </w:r>
    <w:r w:rsidRPr="00B84B02">
      <w:rPr>
        <w:rFonts w:ascii="Arial" w:hAnsi="Arial"/>
        <w:noProof/>
      </w:rPr>
      <w:t>Note: This document is uncontrolled when printed</w:t>
    </w:r>
    <w:r>
      <w:rPr>
        <w:rFonts w:ascii="Arial" w:hAnsi="Arial"/>
      </w:rPr>
      <w:t xml:space="preserve">                                                                                                                                Page </w:t>
    </w:r>
    <w:r w:rsidRPr="00D16A5E">
      <w:rPr>
        <w:rStyle w:val="PageNumber"/>
        <w:rFonts w:ascii="Arial" w:hAnsi="Arial" w:cs="Arial"/>
      </w:rPr>
      <w:fldChar w:fldCharType="begin"/>
    </w:r>
    <w:r w:rsidRPr="00D16A5E">
      <w:rPr>
        <w:rStyle w:val="PageNumber"/>
        <w:rFonts w:ascii="Arial" w:hAnsi="Arial" w:cs="Arial"/>
      </w:rPr>
      <w:instrText xml:space="preserve"> PAGE </w:instrText>
    </w:r>
    <w:r w:rsidRPr="00D16A5E">
      <w:rPr>
        <w:rStyle w:val="PageNumber"/>
        <w:rFonts w:ascii="Arial" w:hAnsi="Arial" w:cs="Arial"/>
      </w:rPr>
      <w:fldChar w:fldCharType="separate"/>
    </w:r>
    <w:r>
      <w:rPr>
        <w:rStyle w:val="PageNumber"/>
        <w:rFonts w:ascii="Arial" w:hAnsi="Arial" w:cs="Arial"/>
        <w:noProof/>
      </w:rPr>
      <w:t>1</w:t>
    </w:r>
    <w:r w:rsidRPr="00D16A5E">
      <w:rPr>
        <w:rStyle w:val="PageNumber"/>
        <w:rFonts w:ascii="Arial" w:hAnsi="Arial" w:cs="Arial"/>
      </w:rPr>
      <w:fldChar w:fldCharType="end"/>
    </w:r>
    <w:r w:rsidRPr="00D16A5E">
      <w:rPr>
        <w:rStyle w:val="PageNumber"/>
        <w:rFonts w:ascii="Arial" w:hAnsi="Arial" w:cs="Arial"/>
      </w:rPr>
      <w:t xml:space="preserve"> of </w:t>
    </w:r>
    <w:r w:rsidRPr="00D16A5E">
      <w:rPr>
        <w:rStyle w:val="PageNumber"/>
        <w:rFonts w:ascii="Arial" w:hAnsi="Arial" w:cs="Arial"/>
      </w:rPr>
      <w:fldChar w:fldCharType="begin"/>
    </w:r>
    <w:r w:rsidRPr="00D16A5E">
      <w:rPr>
        <w:rStyle w:val="PageNumber"/>
        <w:rFonts w:ascii="Arial" w:hAnsi="Arial" w:cs="Arial"/>
      </w:rPr>
      <w:instrText xml:space="preserve"> NUMPAGES </w:instrText>
    </w:r>
    <w:r w:rsidRPr="00D16A5E">
      <w:rPr>
        <w:rStyle w:val="PageNumber"/>
        <w:rFonts w:ascii="Arial" w:hAnsi="Arial" w:cs="Arial"/>
      </w:rPr>
      <w:fldChar w:fldCharType="separate"/>
    </w:r>
    <w:r w:rsidR="002F3AD0">
      <w:rPr>
        <w:rStyle w:val="PageNumber"/>
        <w:rFonts w:ascii="Arial" w:hAnsi="Arial" w:cs="Arial"/>
        <w:noProof/>
      </w:rPr>
      <w:t>9</w:t>
    </w:r>
    <w:r w:rsidRPr="00D16A5E">
      <w:rPr>
        <w:rStyle w:val="PageNumber"/>
        <w:rFonts w:ascii="Arial" w:hAnsi="Arial" w:cs="Arial"/>
      </w:rPr>
      <w:fldChar w:fldCharType="end"/>
    </w:r>
    <w:r>
      <w:rPr>
        <w:rFonts w:ascii="Arial" w:hAnsi="Arial"/>
      </w:rPr>
      <w:t xml:space="preserve">                                                                                                                                       </w:t>
    </w:r>
    <w:r>
      <w:rPr>
        <w:rFonts w:ascii="Arial" w:hAnsi="Arial"/>
      </w:rPr>
      <w:tab/>
    </w:r>
    <w:r w:rsidRPr="00FC5C04">
      <w:rPr>
        <w:rFonts w:ascii="Arial" w:hAnsi="Arial"/>
      </w:rPr>
      <w:t xml:space="preserve">Page </w:t>
    </w:r>
    <w:r w:rsidRPr="00FC5C04">
      <w:rPr>
        <w:rFonts w:ascii="Arial" w:hAnsi="Arial"/>
      </w:rPr>
      <w:fldChar w:fldCharType="begin"/>
    </w:r>
    <w:r w:rsidRPr="00FC5C04">
      <w:rPr>
        <w:rFonts w:ascii="Arial" w:hAnsi="Arial"/>
      </w:rPr>
      <w:instrText xml:space="preserve"> PAGE </w:instrText>
    </w:r>
    <w:r w:rsidRPr="00FC5C04">
      <w:rPr>
        <w:rFonts w:ascii="Arial" w:hAnsi="Arial"/>
      </w:rPr>
      <w:fldChar w:fldCharType="separate"/>
    </w:r>
    <w:r>
      <w:rPr>
        <w:rFonts w:ascii="Arial" w:hAnsi="Arial"/>
        <w:noProof/>
      </w:rPr>
      <w:t>1</w:t>
    </w:r>
    <w:r w:rsidRPr="00FC5C04">
      <w:rPr>
        <w:rFonts w:ascii="Arial" w:hAnsi="Arial"/>
      </w:rPr>
      <w:fldChar w:fldCharType="end"/>
    </w:r>
    <w:r w:rsidRPr="00FC5C04">
      <w:rPr>
        <w:rFonts w:ascii="Arial" w:hAnsi="Arial"/>
      </w:rPr>
      <w:t xml:space="preserve"> of </w:t>
    </w:r>
    <w:r w:rsidRPr="00FC5C04">
      <w:rPr>
        <w:rFonts w:ascii="Arial" w:hAnsi="Arial"/>
      </w:rPr>
      <w:fldChar w:fldCharType="begin"/>
    </w:r>
    <w:r w:rsidRPr="00FC5C04">
      <w:rPr>
        <w:rFonts w:ascii="Arial" w:hAnsi="Arial"/>
      </w:rPr>
      <w:instrText xml:space="preserve"> NUMPAGES </w:instrText>
    </w:r>
    <w:r w:rsidRPr="00FC5C04">
      <w:rPr>
        <w:rFonts w:ascii="Arial" w:hAnsi="Arial"/>
      </w:rPr>
      <w:fldChar w:fldCharType="separate"/>
    </w:r>
    <w:r w:rsidR="002F3AD0">
      <w:rPr>
        <w:rFonts w:ascii="Arial" w:hAnsi="Arial"/>
        <w:noProof/>
      </w:rPr>
      <w:t>9</w:t>
    </w:r>
    <w:r w:rsidRPr="00FC5C04">
      <w:rPr>
        <w:rFonts w:ascii="Arial" w:hAnsi="Arial"/>
      </w:rPr>
      <w:fldChar w:fldCharType="end"/>
    </w:r>
  </w:p>
  <w:p w:rsidR="002C24F3" w:rsidRDefault="002C24F3" w:rsidP="006B6596">
    <w:pPr>
      <w:pStyle w:val="Footer"/>
      <w:jc w:val="center"/>
      <w:rPr>
        <w:rFonts w:ascii="Arial" w:hAnsi="Arial"/>
      </w:rPr>
    </w:pPr>
    <w:r>
      <w:rPr>
        <w:rFonts w:ascii="Arial" w:hAnsi="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F3" w:rsidRDefault="002C24F3">
    <w:pPr>
      <w:pStyle w:val="Footer"/>
      <w:tabs>
        <w:tab w:val="right" w:pos="10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F3" w:rsidRDefault="002C24F3">
      <w:r>
        <w:separator/>
      </w:r>
    </w:p>
  </w:footnote>
  <w:footnote w:type="continuationSeparator" w:id="0">
    <w:p w:rsidR="002C24F3" w:rsidRDefault="002C2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F3" w:rsidRDefault="00E87B7C" w:rsidP="007F5889">
    <w:pPr>
      <w:pStyle w:val="Header"/>
      <w:ind w:left="0"/>
    </w:pPr>
    <w:sdt>
      <w:sdtPr>
        <w:rPr>
          <w:rFonts w:ascii="Arial" w:hAnsi="Arial" w:cs="Arial"/>
          <w:color w:val="808080"/>
        </w:rPr>
        <w:alias w:val="Title"/>
        <w:tag w:val=""/>
        <w:id w:val="-518696323"/>
        <w:placeholder>
          <w:docPart w:val="2D0EAEAD778947DF8C0E49AA75F250FF"/>
        </w:placeholder>
        <w:dataBinding w:prefixMappings="xmlns:ns0='http://purl.org/dc/elements/1.1/' xmlns:ns1='http://schemas.openxmlformats.org/package/2006/metadata/core-properties' " w:xpath="/ns1:coreProperties[1]/ns0:title[1]" w:storeItemID="{6C3C8BC8-F283-45AE-878A-BAB7291924A1}"/>
        <w:text/>
      </w:sdtPr>
      <w:sdtEndPr/>
      <w:sdtContent>
        <w:r w:rsidR="00444DA5">
          <w:rPr>
            <w:rFonts w:ascii="Arial" w:hAnsi="Arial" w:cs="Arial"/>
            <w:color w:val="808080"/>
          </w:rPr>
          <w:t>The Health Service (Control of Patient Information) Regulations 2002: regulation 5 decision procedure</w:t>
        </w:r>
      </w:sdtContent>
    </w:sdt>
    <w:r w:rsidR="002C24F3">
      <w:rPr>
        <w:rFonts w:ascii="Arial" w:hAnsi="Arial" w:cs="Arial"/>
        <w:color w:val="808080"/>
      </w:rPr>
      <w:tab/>
    </w:r>
    <w:sdt>
      <w:sdtPr>
        <w:rPr>
          <w:rFonts w:ascii="Arial" w:hAnsi="Arial" w:cs="Arial"/>
          <w:color w:val="808080"/>
        </w:rPr>
        <w:alias w:val="Status"/>
        <w:tag w:val=""/>
        <w:id w:val="-351796641"/>
        <w:placeholder>
          <w:docPart w:val="80683E9631394DB59A3E2BA29B04E17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339FF">
          <w:rPr>
            <w:rFonts w:ascii="Arial" w:hAnsi="Arial" w:cs="Arial"/>
            <w:color w:val="808080"/>
          </w:rPr>
          <w:t>DRAFT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F3" w:rsidRPr="00215A15" w:rsidRDefault="002C24F3" w:rsidP="00215A15">
    <w:pPr>
      <w:pStyle w:val="Header"/>
      <w:rPr>
        <w:rFonts w:ascii="Arial" w:hAnsi="Arial" w:cs="Arial"/>
        <w:color w:val="808080"/>
      </w:rPr>
    </w:pPr>
    <w:r w:rsidRPr="00215A15">
      <w:rPr>
        <w:rFonts w:ascii="Arial" w:hAnsi="Arial" w:cs="Arial"/>
        <w:color w:val="808080"/>
      </w:rPr>
      <w:t>(</w:t>
    </w:r>
    <w:proofErr w:type="gramStart"/>
    <w:r w:rsidRPr="00215A15">
      <w:rPr>
        <w:rFonts w:ascii="Arial" w:hAnsi="Arial" w:cs="Arial"/>
        <w:color w:val="808080"/>
      </w:rPr>
      <w:t>add</w:t>
    </w:r>
    <w:proofErr w:type="gramEnd"/>
    <w:r w:rsidRPr="00215A15">
      <w:rPr>
        <w:rFonts w:ascii="Arial" w:hAnsi="Arial" w:cs="Arial"/>
        <w:color w:val="808080"/>
      </w:rPr>
      <w:t xml:space="preserve"> document title)</w:t>
    </w:r>
    <w:r>
      <w:rPr>
        <w:rFonts w:ascii="Arial" w:hAnsi="Arial" w:cs="Arial"/>
        <w:color w:val="808080"/>
      </w:rPr>
      <w:tab/>
      <w:t>(</w:t>
    </w:r>
    <w:proofErr w:type="gramStart"/>
    <w:r>
      <w:rPr>
        <w:rFonts w:ascii="Arial" w:hAnsi="Arial" w:cs="Arial"/>
        <w:color w:val="808080"/>
      </w:rPr>
      <w:t>add</w:t>
    </w:r>
    <w:proofErr w:type="gramEnd"/>
    <w:r>
      <w:rPr>
        <w:rFonts w:ascii="Arial" w:hAnsi="Arial" w:cs="Arial"/>
        <w:color w:val="808080"/>
      </w:rPr>
      <w:t xml:space="preserve"> Version number, status and date)</w:t>
    </w:r>
  </w:p>
  <w:p w:rsidR="002C24F3" w:rsidRPr="00DF3438" w:rsidRDefault="002C24F3" w:rsidP="00D33140">
    <w:pPr>
      <w:pStyle w:val="Header"/>
      <w:pBdr>
        <w:bottom w:val="single" w:sz="4" w:space="1" w:color="auto"/>
      </w:pBdr>
      <w:tabs>
        <w:tab w:val="clear" w:pos="10080"/>
        <w:tab w:val="right" w:pos="14400"/>
      </w:tabs>
      <w:rPr>
        <w:rFonts w:ascii="Arial" w:hAnsi="Arial" w:cs="Arial"/>
      </w:rPr>
    </w:pPr>
    <w:r>
      <w:rPr>
        <w:rFonts w:ascii="Arial" w:hAnsi="Arial" w:cs="Arial"/>
      </w:rPr>
      <w:tab/>
      <w:t>P</w:t>
    </w:r>
    <w:r>
      <w:rPr>
        <w:rFonts w:ascii="Arial" w:hAnsi="Arial" w:cs="Arial"/>
      </w:rPr>
      <w:tab/>
    </w:r>
    <w:r w:rsidRPr="00DF3438">
      <w:rPr>
        <w:rFonts w:ascii="Arial" w:hAnsi="Arial" w:cs="Arial"/>
      </w:rPr>
      <w:tab/>
    </w:r>
    <w:r>
      <w:rPr>
        <w:rFonts w:ascii="Arial" w:hAnsi="Arial" w:cs="Arial"/>
      </w:rPr>
      <w:t xml:space="preserve">                  Project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E6F"/>
    <w:multiLevelType w:val="hybridMultilevel"/>
    <w:tmpl w:val="27EE2E9E"/>
    <w:lvl w:ilvl="0" w:tplc="2C90E4AC">
      <w:start w:val="1"/>
      <w:numFmt w:val="bullet"/>
      <w:lvlText w:val=""/>
      <w:lvlJc w:val="left"/>
      <w:pPr>
        <w:tabs>
          <w:tab w:val="num" w:pos="793"/>
        </w:tabs>
        <w:ind w:left="793" w:hanging="360"/>
      </w:pPr>
      <w:rPr>
        <w:rFonts w:ascii="Symbol" w:hAnsi="Symbol" w:hint="default"/>
        <w:sz w:val="22"/>
        <w:szCs w:val="22"/>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1">
    <w:nsid w:val="085F636C"/>
    <w:multiLevelType w:val="hybridMultilevel"/>
    <w:tmpl w:val="AA9A7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B5BA6"/>
    <w:multiLevelType w:val="multilevel"/>
    <w:tmpl w:val="97E0D41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Letter"/>
      <w:lvlText w:val="%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F9B6B79"/>
    <w:multiLevelType w:val="hybridMultilevel"/>
    <w:tmpl w:val="213A0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C2405"/>
    <w:multiLevelType w:val="hybridMultilevel"/>
    <w:tmpl w:val="2946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4606F"/>
    <w:multiLevelType w:val="hybridMultilevel"/>
    <w:tmpl w:val="98A8FAC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17541AD5"/>
    <w:multiLevelType w:val="hybridMultilevel"/>
    <w:tmpl w:val="06EA8AB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95B6A82"/>
    <w:multiLevelType w:val="hybridMultilevel"/>
    <w:tmpl w:val="A81E2D1A"/>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nsid w:val="23401605"/>
    <w:multiLevelType w:val="hybridMultilevel"/>
    <w:tmpl w:val="32F6828C"/>
    <w:lvl w:ilvl="0" w:tplc="2C90E4A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607848"/>
    <w:multiLevelType w:val="hybridMultilevel"/>
    <w:tmpl w:val="8D9AF61C"/>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nsid w:val="2B2F651F"/>
    <w:multiLevelType w:val="hybridMultilevel"/>
    <w:tmpl w:val="4B963C3C"/>
    <w:lvl w:ilvl="0" w:tplc="2C90E4A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6D5802"/>
    <w:multiLevelType w:val="hybridMultilevel"/>
    <w:tmpl w:val="0C2A1D9E"/>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nsid w:val="3160747B"/>
    <w:multiLevelType w:val="multilevel"/>
    <w:tmpl w:val="AF00438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40BD4CD7"/>
    <w:multiLevelType w:val="hybridMultilevel"/>
    <w:tmpl w:val="3EE2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2E109B"/>
    <w:multiLevelType w:val="hybridMultilevel"/>
    <w:tmpl w:val="5C443A2C"/>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5">
    <w:nsid w:val="42C010D6"/>
    <w:multiLevelType w:val="hybridMultilevel"/>
    <w:tmpl w:val="41CEDBBE"/>
    <w:lvl w:ilvl="0" w:tplc="2C90E4A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3A218F"/>
    <w:multiLevelType w:val="hybridMultilevel"/>
    <w:tmpl w:val="254C3C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45F33AD9"/>
    <w:multiLevelType w:val="hybridMultilevel"/>
    <w:tmpl w:val="AC8629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135AF5"/>
    <w:multiLevelType w:val="hybridMultilevel"/>
    <w:tmpl w:val="4C7A73C0"/>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nsid w:val="47455A3C"/>
    <w:multiLevelType w:val="hybridMultilevel"/>
    <w:tmpl w:val="B8007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153DAA"/>
    <w:multiLevelType w:val="hybridMultilevel"/>
    <w:tmpl w:val="C54C65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nsid w:val="4EEC6DEF"/>
    <w:multiLevelType w:val="hybridMultilevel"/>
    <w:tmpl w:val="671C0722"/>
    <w:lvl w:ilvl="0" w:tplc="2C90E4A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5F309B"/>
    <w:multiLevelType w:val="hybridMultilevel"/>
    <w:tmpl w:val="AA646BDE"/>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nsid w:val="52567CB7"/>
    <w:multiLevelType w:val="hybridMultilevel"/>
    <w:tmpl w:val="79508A64"/>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
    <w:nsid w:val="527E7723"/>
    <w:multiLevelType w:val="hybridMultilevel"/>
    <w:tmpl w:val="94FE5DA2"/>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nsid w:val="54446FC8"/>
    <w:multiLevelType w:val="hybridMultilevel"/>
    <w:tmpl w:val="58C889E0"/>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nsid w:val="54A04A95"/>
    <w:multiLevelType w:val="hybridMultilevel"/>
    <w:tmpl w:val="11FA070C"/>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7">
    <w:nsid w:val="55085A69"/>
    <w:multiLevelType w:val="hybridMultilevel"/>
    <w:tmpl w:val="8B526246"/>
    <w:lvl w:ilvl="0" w:tplc="2C90E4AC">
      <w:start w:val="1"/>
      <w:numFmt w:val="bullet"/>
      <w:lvlText w:val=""/>
      <w:lvlJc w:val="left"/>
      <w:pPr>
        <w:tabs>
          <w:tab w:val="num" w:pos="1287"/>
        </w:tabs>
        <w:ind w:left="1287" w:hanging="36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8">
    <w:nsid w:val="5A8574CE"/>
    <w:multiLevelType w:val="hybridMultilevel"/>
    <w:tmpl w:val="5F22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35099E"/>
    <w:multiLevelType w:val="hybridMultilevel"/>
    <w:tmpl w:val="26C491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nsid w:val="6D0230AB"/>
    <w:multiLevelType w:val="hybridMultilevel"/>
    <w:tmpl w:val="FEC8D2E2"/>
    <w:lvl w:ilvl="0" w:tplc="2EF4B9A2">
      <w:numFmt w:val="bullet"/>
      <w:lvlText w:val=""/>
      <w:lvlJc w:val="left"/>
      <w:pPr>
        <w:ind w:left="1620" w:hanging="360"/>
      </w:pPr>
      <w:rPr>
        <w:rFonts w:ascii="Symbol" w:eastAsia="Times New Roman" w:hAnsi="Symbo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1">
    <w:nsid w:val="78D305F5"/>
    <w:multiLevelType w:val="hybridMultilevel"/>
    <w:tmpl w:val="40CC4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A444A26"/>
    <w:multiLevelType w:val="hybridMultilevel"/>
    <w:tmpl w:val="8998FAA4"/>
    <w:lvl w:ilvl="0" w:tplc="2C88E1A8">
      <w:start w:val="1"/>
      <w:numFmt w:val="bullet"/>
      <w:pStyle w:val="Bullet"/>
      <w:lvlText w:val=""/>
      <w:lvlJc w:val="left"/>
      <w:pPr>
        <w:tabs>
          <w:tab w:val="num" w:pos="907"/>
        </w:tabs>
        <w:ind w:left="90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F4C47DC"/>
    <w:multiLevelType w:val="multilevel"/>
    <w:tmpl w:val="570E2C2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2"/>
  </w:num>
  <w:num w:numId="2">
    <w:abstractNumId w:val="25"/>
  </w:num>
  <w:num w:numId="3">
    <w:abstractNumId w:val="22"/>
  </w:num>
  <w:num w:numId="4">
    <w:abstractNumId w:val="11"/>
  </w:num>
  <w:num w:numId="5">
    <w:abstractNumId w:val="0"/>
  </w:num>
  <w:num w:numId="6">
    <w:abstractNumId w:val="9"/>
  </w:num>
  <w:num w:numId="7">
    <w:abstractNumId w:val="27"/>
  </w:num>
  <w:num w:numId="8">
    <w:abstractNumId w:val="26"/>
  </w:num>
  <w:num w:numId="9">
    <w:abstractNumId w:val="23"/>
  </w:num>
  <w:num w:numId="10">
    <w:abstractNumId w:val="14"/>
  </w:num>
  <w:num w:numId="11">
    <w:abstractNumId w:val="7"/>
  </w:num>
  <w:num w:numId="12">
    <w:abstractNumId w:val="18"/>
  </w:num>
  <w:num w:numId="13">
    <w:abstractNumId w:val="24"/>
  </w:num>
  <w:num w:numId="14">
    <w:abstractNumId w:val="8"/>
  </w:num>
  <w:num w:numId="15">
    <w:abstractNumId w:val="21"/>
  </w:num>
  <w:num w:numId="16">
    <w:abstractNumId w:val="15"/>
  </w:num>
  <w:num w:numId="17">
    <w:abstractNumId w:val="31"/>
  </w:num>
  <w:num w:numId="18">
    <w:abstractNumId w:val="10"/>
  </w:num>
  <w:num w:numId="19">
    <w:abstractNumId w:val="3"/>
  </w:num>
  <w:num w:numId="20">
    <w:abstractNumId w:val="28"/>
  </w:num>
  <w:num w:numId="21">
    <w:abstractNumId w:val="19"/>
  </w:num>
  <w:num w:numId="22">
    <w:abstractNumId w:val="13"/>
  </w:num>
  <w:num w:numId="23">
    <w:abstractNumId w:val="1"/>
  </w:num>
  <w:num w:numId="24">
    <w:abstractNumId w:val="30"/>
  </w:num>
  <w:num w:numId="25">
    <w:abstractNumId w:val="33"/>
  </w:num>
  <w:num w:numId="26">
    <w:abstractNumId w:val="20"/>
  </w:num>
  <w:num w:numId="27">
    <w:abstractNumId w:val="20"/>
  </w:num>
  <w:num w:numId="28">
    <w:abstractNumId w:val="16"/>
  </w:num>
  <w:num w:numId="29">
    <w:abstractNumId w:val="29"/>
  </w:num>
  <w:num w:numId="30">
    <w:abstractNumId w:val="6"/>
  </w:num>
  <w:num w:numId="31">
    <w:abstractNumId w:val="5"/>
  </w:num>
  <w:num w:numId="32">
    <w:abstractNumId w:val="17"/>
  </w:num>
  <w:num w:numId="33">
    <w:abstractNumId w:val="4"/>
  </w:num>
  <w:num w:numId="34">
    <w:abstractNumId w:val="12"/>
  </w:num>
  <w:num w:numId="3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58"/>
    <w:rsid w:val="00000635"/>
    <w:rsid w:val="000074F7"/>
    <w:rsid w:val="00013A56"/>
    <w:rsid w:val="0002164F"/>
    <w:rsid w:val="00033320"/>
    <w:rsid w:val="00035A01"/>
    <w:rsid w:val="00043DE6"/>
    <w:rsid w:val="00044B8A"/>
    <w:rsid w:val="00050990"/>
    <w:rsid w:val="000557F4"/>
    <w:rsid w:val="00066642"/>
    <w:rsid w:val="000701A6"/>
    <w:rsid w:val="00072929"/>
    <w:rsid w:val="00074C01"/>
    <w:rsid w:val="00075A56"/>
    <w:rsid w:val="000809AF"/>
    <w:rsid w:val="00083EF8"/>
    <w:rsid w:val="00085597"/>
    <w:rsid w:val="0008751B"/>
    <w:rsid w:val="00091862"/>
    <w:rsid w:val="000A4188"/>
    <w:rsid w:val="000A6302"/>
    <w:rsid w:val="000B2695"/>
    <w:rsid w:val="000C7AB1"/>
    <w:rsid w:val="000D27D8"/>
    <w:rsid w:val="000E0992"/>
    <w:rsid w:val="000E09E1"/>
    <w:rsid w:val="000E4F30"/>
    <w:rsid w:val="000F5823"/>
    <w:rsid w:val="000F78C2"/>
    <w:rsid w:val="001035A7"/>
    <w:rsid w:val="001128E1"/>
    <w:rsid w:val="00114813"/>
    <w:rsid w:val="00120371"/>
    <w:rsid w:val="00127F73"/>
    <w:rsid w:val="001355ED"/>
    <w:rsid w:val="00140325"/>
    <w:rsid w:val="001424AA"/>
    <w:rsid w:val="00151CC4"/>
    <w:rsid w:val="00160FFE"/>
    <w:rsid w:val="001744D9"/>
    <w:rsid w:val="001753F1"/>
    <w:rsid w:val="00175458"/>
    <w:rsid w:val="00182DF0"/>
    <w:rsid w:val="001936C2"/>
    <w:rsid w:val="001941BD"/>
    <w:rsid w:val="001A14A7"/>
    <w:rsid w:val="001A6C7A"/>
    <w:rsid w:val="001B01AF"/>
    <w:rsid w:val="001C2493"/>
    <w:rsid w:val="001C2E78"/>
    <w:rsid w:val="001D0150"/>
    <w:rsid w:val="001D52AE"/>
    <w:rsid w:val="001D65BF"/>
    <w:rsid w:val="001D7F58"/>
    <w:rsid w:val="001E0CEF"/>
    <w:rsid w:val="001E42D5"/>
    <w:rsid w:val="00207C9F"/>
    <w:rsid w:val="00215A15"/>
    <w:rsid w:val="00217713"/>
    <w:rsid w:val="00222478"/>
    <w:rsid w:val="00237FBE"/>
    <w:rsid w:val="00250178"/>
    <w:rsid w:val="00257557"/>
    <w:rsid w:val="00257D15"/>
    <w:rsid w:val="00261F98"/>
    <w:rsid w:val="00265007"/>
    <w:rsid w:val="00266D26"/>
    <w:rsid w:val="00273CA3"/>
    <w:rsid w:val="00282233"/>
    <w:rsid w:val="0029030E"/>
    <w:rsid w:val="002916D3"/>
    <w:rsid w:val="0029679D"/>
    <w:rsid w:val="00297138"/>
    <w:rsid w:val="002A15FE"/>
    <w:rsid w:val="002A6065"/>
    <w:rsid w:val="002B0845"/>
    <w:rsid w:val="002B23F8"/>
    <w:rsid w:val="002B4E11"/>
    <w:rsid w:val="002C02BB"/>
    <w:rsid w:val="002C24F3"/>
    <w:rsid w:val="002C535A"/>
    <w:rsid w:val="002C5AEA"/>
    <w:rsid w:val="002D18EC"/>
    <w:rsid w:val="002D1BEC"/>
    <w:rsid w:val="002D1F93"/>
    <w:rsid w:val="002D2DF8"/>
    <w:rsid w:val="002D6ADB"/>
    <w:rsid w:val="002D7BC4"/>
    <w:rsid w:val="002F0310"/>
    <w:rsid w:val="002F3AD0"/>
    <w:rsid w:val="00306F0B"/>
    <w:rsid w:val="003212BF"/>
    <w:rsid w:val="00322792"/>
    <w:rsid w:val="00340A9F"/>
    <w:rsid w:val="003467AE"/>
    <w:rsid w:val="00353945"/>
    <w:rsid w:val="0036178D"/>
    <w:rsid w:val="003644C7"/>
    <w:rsid w:val="00364579"/>
    <w:rsid w:val="003657F7"/>
    <w:rsid w:val="00372CD3"/>
    <w:rsid w:val="00373F17"/>
    <w:rsid w:val="003823D1"/>
    <w:rsid w:val="00393BCB"/>
    <w:rsid w:val="003B0246"/>
    <w:rsid w:val="003B72D5"/>
    <w:rsid w:val="003C18AB"/>
    <w:rsid w:val="003C3051"/>
    <w:rsid w:val="003C3613"/>
    <w:rsid w:val="003C6D49"/>
    <w:rsid w:val="003D2384"/>
    <w:rsid w:val="003D4BF9"/>
    <w:rsid w:val="003D5E3B"/>
    <w:rsid w:val="003E4D59"/>
    <w:rsid w:val="003E6DDD"/>
    <w:rsid w:val="003F0203"/>
    <w:rsid w:val="003F022B"/>
    <w:rsid w:val="0040162F"/>
    <w:rsid w:val="004041A4"/>
    <w:rsid w:val="004043BD"/>
    <w:rsid w:val="004045AE"/>
    <w:rsid w:val="004129DC"/>
    <w:rsid w:val="00427FE2"/>
    <w:rsid w:val="00431ABC"/>
    <w:rsid w:val="00442259"/>
    <w:rsid w:val="00442C56"/>
    <w:rsid w:val="00444DA5"/>
    <w:rsid w:val="0045521A"/>
    <w:rsid w:val="00456832"/>
    <w:rsid w:val="00457583"/>
    <w:rsid w:val="00457F39"/>
    <w:rsid w:val="00460BB5"/>
    <w:rsid w:val="00463B4C"/>
    <w:rsid w:val="00474A68"/>
    <w:rsid w:val="00487FC3"/>
    <w:rsid w:val="004A5451"/>
    <w:rsid w:val="004B36D7"/>
    <w:rsid w:val="004C134C"/>
    <w:rsid w:val="004D54A1"/>
    <w:rsid w:val="004E17F3"/>
    <w:rsid w:val="004E33B8"/>
    <w:rsid w:val="00511238"/>
    <w:rsid w:val="00516B27"/>
    <w:rsid w:val="00524BB3"/>
    <w:rsid w:val="00530E97"/>
    <w:rsid w:val="005312B1"/>
    <w:rsid w:val="005323F0"/>
    <w:rsid w:val="0054228F"/>
    <w:rsid w:val="00545FDA"/>
    <w:rsid w:val="00550609"/>
    <w:rsid w:val="00552992"/>
    <w:rsid w:val="00565908"/>
    <w:rsid w:val="00573F79"/>
    <w:rsid w:val="00577F6D"/>
    <w:rsid w:val="00581939"/>
    <w:rsid w:val="00583F59"/>
    <w:rsid w:val="005924AE"/>
    <w:rsid w:val="005A2666"/>
    <w:rsid w:val="005B0A79"/>
    <w:rsid w:val="005C5C7C"/>
    <w:rsid w:val="005D2129"/>
    <w:rsid w:val="005D4E54"/>
    <w:rsid w:val="005E239B"/>
    <w:rsid w:val="005E2F7D"/>
    <w:rsid w:val="005E3810"/>
    <w:rsid w:val="005E3D0B"/>
    <w:rsid w:val="005F00AC"/>
    <w:rsid w:val="005F3437"/>
    <w:rsid w:val="005F4AC0"/>
    <w:rsid w:val="00600DAE"/>
    <w:rsid w:val="00612B5C"/>
    <w:rsid w:val="00613359"/>
    <w:rsid w:val="00625C72"/>
    <w:rsid w:val="006364F1"/>
    <w:rsid w:val="006606D7"/>
    <w:rsid w:val="006617CE"/>
    <w:rsid w:val="0067692A"/>
    <w:rsid w:val="00682C5D"/>
    <w:rsid w:val="0068385E"/>
    <w:rsid w:val="00686E2B"/>
    <w:rsid w:val="006901B3"/>
    <w:rsid w:val="006905F5"/>
    <w:rsid w:val="006B0473"/>
    <w:rsid w:val="006B2C67"/>
    <w:rsid w:val="006B422E"/>
    <w:rsid w:val="006B6596"/>
    <w:rsid w:val="006C1A34"/>
    <w:rsid w:val="006E017A"/>
    <w:rsid w:val="006E07C8"/>
    <w:rsid w:val="006E3DF4"/>
    <w:rsid w:val="006E7321"/>
    <w:rsid w:val="006F0ABA"/>
    <w:rsid w:val="006F5E7F"/>
    <w:rsid w:val="006F602F"/>
    <w:rsid w:val="006F7598"/>
    <w:rsid w:val="00700287"/>
    <w:rsid w:val="0070212D"/>
    <w:rsid w:val="00705DC9"/>
    <w:rsid w:val="00713FEF"/>
    <w:rsid w:val="00715220"/>
    <w:rsid w:val="00715778"/>
    <w:rsid w:val="007178D6"/>
    <w:rsid w:val="007226F3"/>
    <w:rsid w:val="00725509"/>
    <w:rsid w:val="007350FA"/>
    <w:rsid w:val="007357CD"/>
    <w:rsid w:val="00740DDF"/>
    <w:rsid w:val="0074672A"/>
    <w:rsid w:val="007474F4"/>
    <w:rsid w:val="00750233"/>
    <w:rsid w:val="007503F2"/>
    <w:rsid w:val="00750B56"/>
    <w:rsid w:val="00752A13"/>
    <w:rsid w:val="00753A48"/>
    <w:rsid w:val="00753C06"/>
    <w:rsid w:val="007613CE"/>
    <w:rsid w:val="00775165"/>
    <w:rsid w:val="007862F9"/>
    <w:rsid w:val="00790A5A"/>
    <w:rsid w:val="00794967"/>
    <w:rsid w:val="007956B6"/>
    <w:rsid w:val="007A31E2"/>
    <w:rsid w:val="007A3D2E"/>
    <w:rsid w:val="007A7903"/>
    <w:rsid w:val="007C3F07"/>
    <w:rsid w:val="007C7527"/>
    <w:rsid w:val="007D55DF"/>
    <w:rsid w:val="007E10D6"/>
    <w:rsid w:val="007E2A39"/>
    <w:rsid w:val="007E53D2"/>
    <w:rsid w:val="007F19BB"/>
    <w:rsid w:val="007F4CBF"/>
    <w:rsid w:val="007F55C4"/>
    <w:rsid w:val="007F5889"/>
    <w:rsid w:val="00805C2B"/>
    <w:rsid w:val="00806295"/>
    <w:rsid w:val="00807FAE"/>
    <w:rsid w:val="00821AF9"/>
    <w:rsid w:val="008361BF"/>
    <w:rsid w:val="008453D4"/>
    <w:rsid w:val="008507C0"/>
    <w:rsid w:val="008538B4"/>
    <w:rsid w:val="00855183"/>
    <w:rsid w:val="0085772D"/>
    <w:rsid w:val="00864E77"/>
    <w:rsid w:val="00872263"/>
    <w:rsid w:val="00874D5B"/>
    <w:rsid w:val="008858F8"/>
    <w:rsid w:val="00890C0B"/>
    <w:rsid w:val="00895EDE"/>
    <w:rsid w:val="008A5B44"/>
    <w:rsid w:val="008B05D2"/>
    <w:rsid w:val="008B71B6"/>
    <w:rsid w:val="008B79C2"/>
    <w:rsid w:val="008C219E"/>
    <w:rsid w:val="008C2C65"/>
    <w:rsid w:val="008C63C4"/>
    <w:rsid w:val="008C7332"/>
    <w:rsid w:val="008D0013"/>
    <w:rsid w:val="008D2CBA"/>
    <w:rsid w:val="008D33F7"/>
    <w:rsid w:val="008D5331"/>
    <w:rsid w:val="008D6D83"/>
    <w:rsid w:val="008E40D7"/>
    <w:rsid w:val="00905B8E"/>
    <w:rsid w:val="00913920"/>
    <w:rsid w:val="00914474"/>
    <w:rsid w:val="00914889"/>
    <w:rsid w:val="00930B3E"/>
    <w:rsid w:val="009311FD"/>
    <w:rsid w:val="00931F6E"/>
    <w:rsid w:val="00956448"/>
    <w:rsid w:val="00956866"/>
    <w:rsid w:val="009602CE"/>
    <w:rsid w:val="00966190"/>
    <w:rsid w:val="00966D54"/>
    <w:rsid w:val="0097657F"/>
    <w:rsid w:val="00980F93"/>
    <w:rsid w:val="009814C8"/>
    <w:rsid w:val="00985BCF"/>
    <w:rsid w:val="00991521"/>
    <w:rsid w:val="00992417"/>
    <w:rsid w:val="009945C9"/>
    <w:rsid w:val="009A2000"/>
    <w:rsid w:val="009A2F8D"/>
    <w:rsid w:val="009A4F96"/>
    <w:rsid w:val="009B671D"/>
    <w:rsid w:val="009C0073"/>
    <w:rsid w:val="009C1BE1"/>
    <w:rsid w:val="009C32F0"/>
    <w:rsid w:val="009D179C"/>
    <w:rsid w:val="009E36D1"/>
    <w:rsid w:val="009F0F1C"/>
    <w:rsid w:val="009F1CAC"/>
    <w:rsid w:val="00A0232D"/>
    <w:rsid w:val="00A02A8B"/>
    <w:rsid w:val="00A07F4E"/>
    <w:rsid w:val="00A144E3"/>
    <w:rsid w:val="00A1556A"/>
    <w:rsid w:val="00A20011"/>
    <w:rsid w:val="00A240B7"/>
    <w:rsid w:val="00A34E7D"/>
    <w:rsid w:val="00A37D8D"/>
    <w:rsid w:val="00A41127"/>
    <w:rsid w:val="00A4626F"/>
    <w:rsid w:val="00A47966"/>
    <w:rsid w:val="00A55E2C"/>
    <w:rsid w:val="00A574D0"/>
    <w:rsid w:val="00A6188F"/>
    <w:rsid w:val="00A62BEF"/>
    <w:rsid w:val="00A67D33"/>
    <w:rsid w:val="00A74654"/>
    <w:rsid w:val="00A74C27"/>
    <w:rsid w:val="00A93A7F"/>
    <w:rsid w:val="00A953EC"/>
    <w:rsid w:val="00AA0EF4"/>
    <w:rsid w:val="00AA67BB"/>
    <w:rsid w:val="00AA7AC8"/>
    <w:rsid w:val="00AB38C1"/>
    <w:rsid w:val="00AB5BFC"/>
    <w:rsid w:val="00AC5F8E"/>
    <w:rsid w:val="00AD0A22"/>
    <w:rsid w:val="00AE1327"/>
    <w:rsid w:val="00AE1F50"/>
    <w:rsid w:val="00AE326D"/>
    <w:rsid w:val="00AE624C"/>
    <w:rsid w:val="00AE7B97"/>
    <w:rsid w:val="00AE7BBB"/>
    <w:rsid w:val="00AF0127"/>
    <w:rsid w:val="00B03465"/>
    <w:rsid w:val="00B1361B"/>
    <w:rsid w:val="00B17ED8"/>
    <w:rsid w:val="00B2008D"/>
    <w:rsid w:val="00B2079A"/>
    <w:rsid w:val="00B22631"/>
    <w:rsid w:val="00B22755"/>
    <w:rsid w:val="00B314FF"/>
    <w:rsid w:val="00B339FF"/>
    <w:rsid w:val="00B52D3A"/>
    <w:rsid w:val="00B55ECD"/>
    <w:rsid w:val="00B84B02"/>
    <w:rsid w:val="00BA0A2F"/>
    <w:rsid w:val="00BA296E"/>
    <w:rsid w:val="00BA66D4"/>
    <w:rsid w:val="00BB313F"/>
    <w:rsid w:val="00BB5784"/>
    <w:rsid w:val="00BB74C8"/>
    <w:rsid w:val="00BC03BC"/>
    <w:rsid w:val="00BC2361"/>
    <w:rsid w:val="00BC7440"/>
    <w:rsid w:val="00BD7579"/>
    <w:rsid w:val="00BE2126"/>
    <w:rsid w:val="00BE45DA"/>
    <w:rsid w:val="00BF0608"/>
    <w:rsid w:val="00BF44BE"/>
    <w:rsid w:val="00C1555E"/>
    <w:rsid w:val="00C246B5"/>
    <w:rsid w:val="00C418BE"/>
    <w:rsid w:val="00C43D9C"/>
    <w:rsid w:val="00C50943"/>
    <w:rsid w:val="00C56654"/>
    <w:rsid w:val="00C57FF3"/>
    <w:rsid w:val="00C663B2"/>
    <w:rsid w:val="00C679D3"/>
    <w:rsid w:val="00C71BD4"/>
    <w:rsid w:val="00C821BB"/>
    <w:rsid w:val="00C83A7C"/>
    <w:rsid w:val="00C919D0"/>
    <w:rsid w:val="00C936E8"/>
    <w:rsid w:val="00CA59C7"/>
    <w:rsid w:val="00CB48B5"/>
    <w:rsid w:val="00CC6D52"/>
    <w:rsid w:val="00CD618D"/>
    <w:rsid w:val="00CE01DD"/>
    <w:rsid w:val="00CE646B"/>
    <w:rsid w:val="00CF1279"/>
    <w:rsid w:val="00CF129F"/>
    <w:rsid w:val="00CF61B3"/>
    <w:rsid w:val="00D03759"/>
    <w:rsid w:val="00D15F72"/>
    <w:rsid w:val="00D160F7"/>
    <w:rsid w:val="00D16A5E"/>
    <w:rsid w:val="00D33140"/>
    <w:rsid w:val="00D35314"/>
    <w:rsid w:val="00D36465"/>
    <w:rsid w:val="00D440EC"/>
    <w:rsid w:val="00D4648D"/>
    <w:rsid w:val="00D54A87"/>
    <w:rsid w:val="00D574A3"/>
    <w:rsid w:val="00D62D1F"/>
    <w:rsid w:val="00D8361C"/>
    <w:rsid w:val="00D878E9"/>
    <w:rsid w:val="00DA7B63"/>
    <w:rsid w:val="00DC0227"/>
    <w:rsid w:val="00DC06E5"/>
    <w:rsid w:val="00DC5141"/>
    <w:rsid w:val="00DC79BF"/>
    <w:rsid w:val="00DE758E"/>
    <w:rsid w:val="00DF1C04"/>
    <w:rsid w:val="00DF3438"/>
    <w:rsid w:val="00DF4BE4"/>
    <w:rsid w:val="00DF6621"/>
    <w:rsid w:val="00E007FD"/>
    <w:rsid w:val="00E0109C"/>
    <w:rsid w:val="00E010A8"/>
    <w:rsid w:val="00E12629"/>
    <w:rsid w:val="00E27FF4"/>
    <w:rsid w:val="00E33F64"/>
    <w:rsid w:val="00E346D0"/>
    <w:rsid w:val="00E35A34"/>
    <w:rsid w:val="00E44660"/>
    <w:rsid w:val="00E52317"/>
    <w:rsid w:val="00E539F3"/>
    <w:rsid w:val="00E661D3"/>
    <w:rsid w:val="00E77331"/>
    <w:rsid w:val="00E8161A"/>
    <w:rsid w:val="00E8315F"/>
    <w:rsid w:val="00E87B7C"/>
    <w:rsid w:val="00E90D94"/>
    <w:rsid w:val="00E92469"/>
    <w:rsid w:val="00EA1CE2"/>
    <w:rsid w:val="00EB13C6"/>
    <w:rsid w:val="00EB2CBD"/>
    <w:rsid w:val="00ED1E6A"/>
    <w:rsid w:val="00ED2C26"/>
    <w:rsid w:val="00EE0337"/>
    <w:rsid w:val="00EE3108"/>
    <w:rsid w:val="00EE3B3B"/>
    <w:rsid w:val="00EF726D"/>
    <w:rsid w:val="00EF799C"/>
    <w:rsid w:val="00F07E66"/>
    <w:rsid w:val="00F12C51"/>
    <w:rsid w:val="00F225CF"/>
    <w:rsid w:val="00F2569B"/>
    <w:rsid w:val="00F3123C"/>
    <w:rsid w:val="00F33299"/>
    <w:rsid w:val="00F4189E"/>
    <w:rsid w:val="00F421A9"/>
    <w:rsid w:val="00F533AB"/>
    <w:rsid w:val="00F559D6"/>
    <w:rsid w:val="00F620B3"/>
    <w:rsid w:val="00F653F3"/>
    <w:rsid w:val="00F73177"/>
    <w:rsid w:val="00F7334E"/>
    <w:rsid w:val="00F77229"/>
    <w:rsid w:val="00F83BC5"/>
    <w:rsid w:val="00F843F9"/>
    <w:rsid w:val="00F87128"/>
    <w:rsid w:val="00F872BC"/>
    <w:rsid w:val="00F90FC1"/>
    <w:rsid w:val="00F93082"/>
    <w:rsid w:val="00FA1AEA"/>
    <w:rsid w:val="00FC388D"/>
    <w:rsid w:val="00FC6758"/>
    <w:rsid w:val="00FD162C"/>
    <w:rsid w:val="00FD6EB8"/>
    <w:rsid w:val="00FE1DDF"/>
    <w:rsid w:val="00FE58E8"/>
    <w:rsid w:val="00FE5D6B"/>
    <w:rsid w:val="00FF1BC5"/>
    <w:rsid w:val="00FF4C64"/>
    <w:rsid w:val="00FF71EF"/>
    <w:rsid w:val="00FF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left="56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784"/>
    <w:rPr>
      <w:sz w:val="16"/>
      <w:szCs w:val="16"/>
    </w:rPr>
  </w:style>
  <w:style w:type="paragraph" w:styleId="Heading1">
    <w:name w:val="heading 1"/>
    <w:basedOn w:val="Normal"/>
    <w:next w:val="BodyText"/>
    <w:link w:val="Heading1Char"/>
    <w:qFormat/>
    <w:rsid w:val="009C1BE1"/>
    <w:pPr>
      <w:keepNext/>
      <w:keepLines/>
      <w:spacing w:after="240"/>
      <w:ind w:right="720"/>
      <w:outlineLvl w:val="0"/>
    </w:pPr>
    <w:rPr>
      <w:rFonts w:ascii="Arial" w:hAnsi="Arial"/>
      <w:b/>
      <w:sz w:val="32"/>
    </w:rPr>
  </w:style>
  <w:style w:type="paragraph" w:styleId="Heading2">
    <w:name w:val="heading 2"/>
    <w:basedOn w:val="BodyText"/>
    <w:next w:val="BodyText"/>
    <w:qFormat/>
    <w:rsid w:val="006901B3"/>
    <w:pPr>
      <w:keepNext/>
      <w:keepLines/>
      <w:ind w:left="0"/>
      <w:outlineLvl w:val="1"/>
    </w:pPr>
    <w:rPr>
      <w:b/>
      <w:bCs/>
      <w:sz w:val="28"/>
      <w:szCs w:val="28"/>
    </w:rPr>
  </w:style>
  <w:style w:type="paragraph" w:styleId="Heading3">
    <w:name w:val="heading 3"/>
    <w:basedOn w:val="Heading4"/>
    <w:next w:val="BodyText"/>
    <w:qFormat/>
    <w:rsid w:val="00992417"/>
    <w:pPr>
      <w:keepLines/>
      <w:outlineLvl w:val="2"/>
    </w:pPr>
    <w:rPr>
      <w:rFonts w:ascii="Arial" w:hAnsi="Arial" w:cs="Arial"/>
      <w:sz w:val="24"/>
      <w:szCs w:val="22"/>
    </w:rPr>
  </w:style>
  <w:style w:type="paragraph" w:styleId="Heading4">
    <w:name w:val="heading 4"/>
    <w:basedOn w:val="Normal"/>
    <w:next w:val="Normal"/>
    <w:qFormat/>
    <w:rsid w:val="006901B3"/>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BE1"/>
    <w:pPr>
      <w:spacing w:before="120" w:after="120"/>
    </w:pPr>
    <w:rPr>
      <w:rFonts w:ascii="Arial" w:hAnsi="Arial" w:cs="Arial"/>
      <w:sz w:val="22"/>
      <w:szCs w:val="22"/>
    </w:rPr>
  </w:style>
  <w:style w:type="character" w:customStyle="1" w:styleId="BodyTextChar">
    <w:name w:val="Body Text Char"/>
    <w:basedOn w:val="DefaultParagraphFont"/>
    <w:link w:val="BodyText"/>
    <w:rsid w:val="009C1BE1"/>
    <w:rPr>
      <w:rFonts w:ascii="Arial" w:hAnsi="Arial" w:cs="Arial"/>
      <w:sz w:val="22"/>
      <w:szCs w:val="22"/>
      <w:lang w:val="en-GB" w:eastAsia="en-GB" w:bidi="ar-SA"/>
    </w:rPr>
  </w:style>
  <w:style w:type="paragraph" w:customStyle="1" w:styleId="Style1">
    <w:name w:val="Style1"/>
    <w:basedOn w:val="Normal"/>
    <w:rsid w:val="00083EF8"/>
    <w:rPr>
      <w:rFonts w:ascii="Arial" w:hAnsi="Arial"/>
    </w:rPr>
  </w:style>
  <w:style w:type="paragraph" w:styleId="FootnoteText">
    <w:name w:val="footnote text"/>
    <w:basedOn w:val="Normal"/>
    <w:semiHidden/>
    <w:rsid w:val="007862F9"/>
    <w:pPr>
      <w:spacing w:after="60"/>
      <w:ind w:hanging="720"/>
    </w:pPr>
  </w:style>
  <w:style w:type="paragraph" w:customStyle="1" w:styleId="TableHeading">
    <w:name w:val="Table Heading"/>
    <w:basedOn w:val="Normal"/>
    <w:rsid w:val="007F55C4"/>
    <w:pPr>
      <w:keepLines/>
      <w:spacing w:before="60" w:after="60"/>
      <w:jc w:val="center"/>
    </w:pPr>
    <w:rPr>
      <w:rFonts w:ascii="Arial" w:hAnsi="Arial"/>
      <w:b/>
    </w:rPr>
  </w:style>
  <w:style w:type="paragraph" w:styleId="Subtitle">
    <w:name w:val="Subtitle"/>
    <w:basedOn w:val="Normal"/>
    <w:qFormat/>
    <w:rsid w:val="00F872BC"/>
    <w:pPr>
      <w:ind w:left="1134"/>
      <w:outlineLvl w:val="1"/>
    </w:pPr>
    <w:rPr>
      <w:rFonts w:cs="Arial"/>
      <w:b/>
      <w:sz w:val="32"/>
    </w:rPr>
  </w:style>
  <w:style w:type="paragraph" w:customStyle="1" w:styleId="Bullet">
    <w:name w:val="Bullet"/>
    <w:basedOn w:val="BodyText"/>
    <w:rsid w:val="009C1BE1"/>
    <w:pPr>
      <w:keepLines/>
      <w:numPr>
        <w:numId w:val="1"/>
      </w:numPr>
      <w:spacing w:before="60" w:after="60"/>
    </w:pPr>
    <w:rPr>
      <w:rFonts w:cs="Times New Roman"/>
      <w:szCs w:val="20"/>
    </w:rPr>
  </w:style>
  <w:style w:type="paragraph" w:customStyle="1" w:styleId="RouteTitle">
    <w:name w:val="Route Title"/>
    <w:basedOn w:val="Normal"/>
    <w:next w:val="Subtitle"/>
    <w:rsid w:val="006901B3"/>
    <w:pPr>
      <w:keepLines/>
      <w:spacing w:after="360"/>
      <w:ind w:left="1134" w:right="720"/>
    </w:pPr>
    <w:rPr>
      <w:b/>
      <w:sz w:val="40"/>
      <w:szCs w:val="36"/>
    </w:rPr>
  </w:style>
  <w:style w:type="paragraph" w:styleId="TOC2">
    <w:name w:val="toc 2"/>
    <w:basedOn w:val="Normal"/>
    <w:next w:val="Normal"/>
    <w:semiHidden/>
    <w:rsid w:val="00750B56"/>
    <w:pPr>
      <w:spacing w:before="120"/>
    </w:pPr>
    <w:rPr>
      <w:rFonts w:ascii="Arial" w:hAnsi="Arial"/>
      <w:bCs/>
      <w:sz w:val="20"/>
      <w:szCs w:val="20"/>
    </w:rPr>
  </w:style>
  <w:style w:type="paragraph" w:customStyle="1" w:styleId="Checklist">
    <w:name w:val="Checklist"/>
    <w:basedOn w:val="Bullet"/>
    <w:rsid w:val="00BB5784"/>
    <w:pPr>
      <w:ind w:left="3427" w:hanging="547"/>
    </w:pPr>
    <w:rPr>
      <w:rFonts w:cs="Arial"/>
      <w:szCs w:val="22"/>
    </w:rPr>
  </w:style>
  <w:style w:type="paragraph" w:styleId="TOC1">
    <w:name w:val="toc 1"/>
    <w:basedOn w:val="Normal"/>
    <w:next w:val="Normal"/>
    <w:semiHidden/>
    <w:rsid w:val="00BB5784"/>
    <w:pPr>
      <w:spacing w:before="360"/>
    </w:pPr>
    <w:rPr>
      <w:rFonts w:ascii="Arial (W1)" w:hAnsi="Arial (W1)" w:cs="Arial"/>
      <w:b/>
      <w:bCs/>
      <w:caps/>
      <w:sz w:val="22"/>
      <w:szCs w:val="22"/>
    </w:rPr>
  </w:style>
  <w:style w:type="paragraph" w:styleId="Footer">
    <w:name w:val="footer"/>
    <w:basedOn w:val="Normal"/>
    <w:link w:val="FooterChar"/>
    <w:uiPriority w:val="99"/>
    <w:rsid w:val="00BB5784"/>
    <w:pPr>
      <w:tabs>
        <w:tab w:val="right" w:pos="10080"/>
      </w:tabs>
    </w:pPr>
  </w:style>
  <w:style w:type="paragraph" w:styleId="Header">
    <w:name w:val="header"/>
    <w:basedOn w:val="Normal"/>
    <w:rsid w:val="00BB5784"/>
    <w:pPr>
      <w:tabs>
        <w:tab w:val="right" w:pos="10080"/>
      </w:tabs>
    </w:pPr>
  </w:style>
  <w:style w:type="character" w:styleId="FootnoteReference">
    <w:name w:val="footnote reference"/>
    <w:basedOn w:val="DefaultParagraphFont"/>
    <w:semiHidden/>
    <w:rsid w:val="00BB5784"/>
    <w:rPr>
      <w:position w:val="6"/>
      <w:sz w:val="16"/>
      <w:szCs w:val="16"/>
    </w:rPr>
  </w:style>
  <w:style w:type="paragraph" w:styleId="Title">
    <w:name w:val="Title"/>
    <w:basedOn w:val="Normal"/>
    <w:qFormat/>
    <w:rsid w:val="00BB5784"/>
    <w:pPr>
      <w:keepLines/>
      <w:spacing w:after="120"/>
      <w:ind w:left="2520" w:right="720"/>
    </w:pPr>
    <w:rPr>
      <w:rFonts w:ascii="Book Antiqua" w:hAnsi="Book Antiqua"/>
      <w:sz w:val="48"/>
      <w:szCs w:val="48"/>
      <w:lang w:val="en-US"/>
    </w:rPr>
  </w:style>
  <w:style w:type="paragraph" w:customStyle="1" w:styleId="TableText">
    <w:name w:val="Table Text"/>
    <w:basedOn w:val="Normal"/>
    <w:rsid w:val="00BB5784"/>
    <w:pPr>
      <w:keepLines/>
    </w:pPr>
    <w:rPr>
      <w:rFonts w:ascii="Arial" w:hAnsi="Arial" w:cs="Arial"/>
      <w:sz w:val="20"/>
    </w:rPr>
  </w:style>
  <w:style w:type="paragraph" w:customStyle="1" w:styleId="TitleBar">
    <w:name w:val="Title Bar"/>
    <w:basedOn w:val="Normal"/>
    <w:rsid w:val="00BB5784"/>
    <w:pPr>
      <w:keepNext/>
      <w:pageBreakBefore/>
      <w:shd w:val="solid" w:color="auto" w:fill="auto"/>
      <w:spacing w:before="1680"/>
      <w:ind w:left="2520" w:right="720"/>
    </w:pPr>
    <w:rPr>
      <w:sz w:val="36"/>
      <w:szCs w:val="36"/>
    </w:rPr>
  </w:style>
  <w:style w:type="character" w:customStyle="1" w:styleId="HighlightedVariable">
    <w:name w:val="Highlighted Variable"/>
    <w:basedOn w:val="DefaultParagraphFont"/>
    <w:rsid w:val="00BB5784"/>
    <w:rPr>
      <w:color w:val="0000FF"/>
    </w:rPr>
  </w:style>
  <w:style w:type="paragraph" w:customStyle="1" w:styleId="ChapNumber">
    <w:name w:val="Chap Number"/>
    <w:basedOn w:val="Normal"/>
    <w:rsid w:val="00BB5784"/>
  </w:style>
  <w:style w:type="paragraph" w:styleId="EndnoteText">
    <w:name w:val="endnote text"/>
    <w:basedOn w:val="Normal"/>
    <w:semiHidden/>
    <w:rsid w:val="00BB5784"/>
    <w:rPr>
      <w:rFonts w:ascii="Tahoma" w:hAnsi="Tahoma" w:cs="Tahoma"/>
      <w:sz w:val="20"/>
      <w:szCs w:val="20"/>
    </w:rPr>
  </w:style>
  <w:style w:type="character" w:styleId="Hyperlink">
    <w:name w:val="Hyperlink"/>
    <w:basedOn w:val="DefaultParagraphFont"/>
    <w:rsid w:val="00BB5784"/>
    <w:rPr>
      <w:color w:val="0000FF"/>
      <w:u w:val="single"/>
    </w:rPr>
  </w:style>
  <w:style w:type="paragraph" w:customStyle="1" w:styleId="StyleBodyText12ptBoldBlue">
    <w:name w:val="Style Body Text + 12 pt Bold Blue"/>
    <w:basedOn w:val="BodyText"/>
    <w:link w:val="StyleBodyText12ptBoldBlueChar"/>
    <w:rsid w:val="00BB5784"/>
    <w:pPr>
      <w:ind w:left="2520"/>
    </w:pPr>
    <w:rPr>
      <w:rFonts w:ascii="Arial (W1)" w:hAnsi="Arial (W1)"/>
      <w:bCs/>
    </w:rPr>
  </w:style>
  <w:style w:type="character" w:customStyle="1" w:styleId="StyleBodyText12ptBoldBlueChar">
    <w:name w:val="Style Body Text + 12 pt Bold Blue Char"/>
    <w:basedOn w:val="BodyTextChar"/>
    <w:link w:val="StyleBodyText12ptBoldBlue"/>
    <w:rsid w:val="00BB5784"/>
    <w:rPr>
      <w:rFonts w:ascii="Arial (W1)" w:hAnsi="Arial (W1)" w:cs="Arial"/>
      <w:bCs/>
      <w:sz w:val="22"/>
      <w:szCs w:val="22"/>
      <w:lang w:val="en-GB" w:eastAsia="en-GB" w:bidi="ar-SA"/>
    </w:rPr>
  </w:style>
  <w:style w:type="table" w:styleId="TableGrid">
    <w:name w:val="Table Grid"/>
    <w:basedOn w:val="TableNormal"/>
    <w:rsid w:val="00A953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C1BE1"/>
    <w:pPr>
      <w:spacing w:after="120" w:line="480" w:lineRule="auto"/>
    </w:pPr>
  </w:style>
  <w:style w:type="paragraph" w:styleId="CommentText">
    <w:name w:val="annotation text"/>
    <w:basedOn w:val="Normal"/>
    <w:link w:val="CommentTextChar"/>
    <w:uiPriority w:val="99"/>
    <w:semiHidden/>
    <w:rsid w:val="00E346D0"/>
    <w:rPr>
      <w:sz w:val="20"/>
      <w:szCs w:val="20"/>
    </w:rPr>
  </w:style>
  <w:style w:type="character" w:styleId="CommentReference">
    <w:name w:val="annotation reference"/>
    <w:basedOn w:val="DefaultParagraphFont"/>
    <w:uiPriority w:val="99"/>
    <w:semiHidden/>
    <w:rsid w:val="003E6DDD"/>
    <w:rPr>
      <w:sz w:val="16"/>
      <w:szCs w:val="16"/>
    </w:rPr>
  </w:style>
  <w:style w:type="paragraph" w:styleId="CommentSubject">
    <w:name w:val="annotation subject"/>
    <w:basedOn w:val="CommentText"/>
    <w:next w:val="CommentText"/>
    <w:semiHidden/>
    <w:rsid w:val="003E6DDD"/>
    <w:rPr>
      <w:b/>
      <w:bCs/>
    </w:rPr>
  </w:style>
  <w:style w:type="paragraph" w:styleId="BalloonText">
    <w:name w:val="Balloon Text"/>
    <w:basedOn w:val="Normal"/>
    <w:semiHidden/>
    <w:rsid w:val="003E6DDD"/>
    <w:rPr>
      <w:rFonts w:ascii="Tahoma" w:hAnsi="Tahoma" w:cs="Tahoma"/>
    </w:rPr>
  </w:style>
  <w:style w:type="character" w:styleId="PageNumber">
    <w:name w:val="page number"/>
    <w:basedOn w:val="DefaultParagraphFont"/>
    <w:rsid w:val="00D16A5E"/>
  </w:style>
  <w:style w:type="character" w:customStyle="1" w:styleId="Heading1Char">
    <w:name w:val="Heading 1 Char"/>
    <w:basedOn w:val="DefaultParagraphFont"/>
    <w:link w:val="Heading1"/>
    <w:rsid w:val="00890C0B"/>
    <w:rPr>
      <w:rFonts w:ascii="Arial" w:hAnsi="Arial"/>
      <w:b/>
      <w:sz w:val="32"/>
      <w:szCs w:val="16"/>
      <w:lang w:val="en-GB" w:eastAsia="en-GB" w:bidi="ar-SA"/>
    </w:rPr>
  </w:style>
  <w:style w:type="paragraph" w:styleId="BodyTextIndent">
    <w:name w:val="Body Text Indent"/>
    <w:basedOn w:val="Normal"/>
    <w:rsid w:val="001C2E78"/>
    <w:pPr>
      <w:spacing w:after="120"/>
      <w:ind w:left="283"/>
    </w:pPr>
  </w:style>
  <w:style w:type="character" w:customStyle="1" w:styleId="FooterChar">
    <w:name w:val="Footer Char"/>
    <w:basedOn w:val="DefaultParagraphFont"/>
    <w:link w:val="Footer"/>
    <w:uiPriority w:val="99"/>
    <w:rsid w:val="00D33140"/>
    <w:rPr>
      <w:sz w:val="16"/>
      <w:szCs w:val="16"/>
      <w:lang w:val="en-GB" w:eastAsia="en-GB"/>
    </w:rPr>
  </w:style>
  <w:style w:type="character" w:styleId="PlaceholderText">
    <w:name w:val="Placeholder Text"/>
    <w:basedOn w:val="DefaultParagraphFont"/>
    <w:uiPriority w:val="99"/>
    <w:semiHidden/>
    <w:rsid w:val="00000635"/>
    <w:rPr>
      <w:color w:val="808080"/>
    </w:rPr>
  </w:style>
  <w:style w:type="character" w:customStyle="1" w:styleId="CommentTextChar">
    <w:name w:val="Comment Text Char"/>
    <w:basedOn w:val="DefaultParagraphFont"/>
    <w:link w:val="CommentText"/>
    <w:uiPriority w:val="99"/>
    <w:semiHidden/>
    <w:rsid w:val="00CB48B5"/>
  </w:style>
  <w:style w:type="paragraph" w:styleId="ListParagraph">
    <w:name w:val="List Paragraph"/>
    <w:basedOn w:val="Normal"/>
    <w:uiPriority w:val="34"/>
    <w:qFormat/>
    <w:rsid w:val="00CB48B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B48B5"/>
    <w:pPr>
      <w:autoSpaceDE w:val="0"/>
      <w:autoSpaceDN w:val="0"/>
      <w:adjustRightInd w:val="0"/>
      <w:ind w:left="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left="56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784"/>
    <w:rPr>
      <w:sz w:val="16"/>
      <w:szCs w:val="16"/>
    </w:rPr>
  </w:style>
  <w:style w:type="paragraph" w:styleId="Heading1">
    <w:name w:val="heading 1"/>
    <w:basedOn w:val="Normal"/>
    <w:next w:val="BodyText"/>
    <w:link w:val="Heading1Char"/>
    <w:qFormat/>
    <w:rsid w:val="009C1BE1"/>
    <w:pPr>
      <w:keepNext/>
      <w:keepLines/>
      <w:spacing w:after="240"/>
      <w:ind w:right="720"/>
      <w:outlineLvl w:val="0"/>
    </w:pPr>
    <w:rPr>
      <w:rFonts w:ascii="Arial" w:hAnsi="Arial"/>
      <w:b/>
      <w:sz w:val="32"/>
    </w:rPr>
  </w:style>
  <w:style w:type="paragraph" w:styleId="Heading2">
    <w:name w:val="heading 2"/>
    <w:basedOn w:val="BodyText"/>
    <w:next w:val="BodyText"/>
    <w:qFormat/>
    <w:rsid w:val="006901B3"/>
    <w:pPr>
      <w:keepNext/>
      <w:keepLines/>
      <w:ind w:left="0"/>
      <w:outlineLvl w:val="1"/>
    </w:pPr>
    <w:rPr>
      <w:b/>
      <w:bCs/>
      <w:sz w:val="28"/>
      <w:szCs w:val="28"/>
    </w:rPr>
  </w:style>
  <w:style w:type="paragraph" w:styleId="Heading3">
    <w:name w:val="heading 3"/>
    <w:basedOn w:val="Heading4"/>
    <w:next w:val="BodyText"/>
    <w:qFormat/>
    <w:rsid w:val="00992417"/>
    <w:pPr>
      <w:keepLines/>
      <w:outlineLvl w:val="2"/>
    </w:pPr>
    <w:rPr>
      <w:rFonts w:ascii="Arial" w:hAnsi="Arial" w:cs="Arial"/>
      <w:sz w:val="24"/>
      <w:szCs w:val="22"/>
    </w:rPr>
  </w:style>
  <w:style w:type="paragraph" w:styleId="Heading4">
    <w:name w:val="heading 4"/>
    <w:basedOn w:val="Normal"/>
    <w:next w:val="Normal"/>
    <w:qFormat/>
    <w:rsid w:val="006901B3"/>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BE1"/>
    <w:pPr>
      <w:spacing w:before="120" w:after="120"/>
    </w:pPr>
    <w:rPr>
      <w:rFonts w:ascii="Arial" w:hAnsi="Arial" w:cs="Arial"/>
      <w:sz w:val="22"/>
      <w:szCs w:val="22"/>
    </w:rPr>
  </w:style>
  <w:style w:type="character" w:customStyle="1" w:styleId="BodyTextChar">
    <w:name w:val="Body Text Char"/>
    <w:basedOn w:val="DefaultParagraphFont"/>
    <w:link w:val="BodyText"/>
    <w:rsid w:val="009C1BE1"/>
    <w:rPr>
      <w:rFonts w:ascii="Arial" w:hAnsi="Arial" w:cs="Arial"/>
      <w:sz w:val="22"/>
      <w:szCs w:val="22"/>
      <w:lang w:val="en-GB" w:eastAsia="en-GB" w:bidi="ar-SA"/>
    </w:rPr>
  </w:style>
  <w:style w:type="paragraph" w:customStyle="1" w:styleId="Style1">
    <w:name w:val="Style1"/>
    <w:basedOn w:val="Normal"/>
    <w:rsid w:val="00083EF8"/>
    <w:rPr>
      <w:rFonts w:ascii="Arial" w:hAnsi="Arial"/>
    </w:rPr>
  </w:style>
  <w:style w:type="paragraph" w:styleId="FootnoteText">
    <w:name w:val="footnote text"/>
    <w:basedOn w:val="Normal"/>
    <w:semiHidden/>
    <w:rsid w:val="007862F9"/>
    <w:pPr>
      <w:spacing w:after="60"/>
      <w:ind w:hanging="720"/>
    </w:pPr>
  </w:style>
  <w:style w:type="paragraph" w:customStyle="1" w:styleId="TableHeading">
    <w:name w:val="Table Heading"/>
    <w:basedOn w:val="Normal"/>
    <w:rsid w:val="007F55C4"/>
    <w:pPr>
      <w:keepLines/>
      <w:spacing w:before="60" w:after="60"/>
      <w:jc w:val="center"/>
    </w:pPr>
    <w:rPr>
      <w:rFonts w:ascii="Arial" w:hAnsi="Arial"/>
      <w:b/>
    </w:rPr>
  </w:style>
  <w:style w:type="paragraph" w:styleId="Subtitle">
    <w:name w:val="Subtitle"/>
    <w:basedOn w:val="Normal"/>
    <w:qFormat/>
    <w:rsid w:val="00F872BC"/>
    <w:pPr>
      <w:ind w:left="1134"/>
      <w:outlineLvl w:val="1"/>
    </w:pPr>
    <w:rPr>
      <w:rFonts w:cs="Arial"/>
      <w:b/>
      <w:sz w:val="32"/>
    </w:rPr>
  </w:style>
  <w:style w:type="paragraph" w:customStyle="1" w:styleId="Bullet">
    <w:name w:val="Bullet"/>
    <w:basedOn w:val="BodyText"/>
    <w:rsid w:val="009C1BE1"/>
    <w:pPr>
      <w:keepLines/>
      <w:numPr>
        <w:numId w:val="1"/>
      </w:numPr>
      <w:spacing w:before="60" w:after="60"/>
    </w:pPr>
    <w:rPr>
      <w:rFonts w:cs="Times New Roman"/>
      <w:szCs w:val="20"/>
    </w:rPr>
  </w:style>
  <w:style w:type="paragraph" w:customStyle="1" w:styleId="RouteTitle">
    <w:name w:val="Route Title"/>
    <w:basedOn w:val="Normal"/>
    <w:next w:val="Subtitle"/>
    <w:rsid w:val="006901B3"/>
    <w:pPr>
      <w:keepLines/>
      <w:spacing w:after="360"/>
      <w:ind w:left="1134" w:right="720"/>
    </w:pPr>
    <w:rPr>
      <w:b/>
      <w:sz w:val="40"/>
      <w:szCs w:val="36"/>
    </w:rPr>
  </w:style>
  <w:style w:type="paragraph" w:styleId="TOC2">
    <w:name w:val="toc 2"/>
    <w:basedOn w:val="Normal"/>
    <w:next w:val="Normal"/>
    <w:semiHidden/>
    <w:rsid w:val="00750B56"/>
    <w:pPr>
      <w:spacing w:before="120"/>
    </w:pPr>
    <w:rPr>
      <w:rFonts w:ascii="Arial" w:hAnsi="Arial"/>
      <w:bCs/>
      <w:sz w:val="20"/>
      <w:szCs w:val="20"/>
    </w:rPr>
  </w:style>
  <w:style w:type="paragraph" w:customStyle="1" w:styleId="Checklist">
    <w:name w:val="Checklist"/>
    <w:basedOn w:val="Bullet"/>
    <w:rsid w:val="00BB5784"/>
    <w:pPr>
      <w:ind w:left="3427" w:hanging="547"/>
    </w:pPr>
    <w:rPr>
      <w:rFonts w:cs="Arial"/>
      <w:szCs w:val="22"/>
    </w:rPr>
  </w:style>
  <w:style w:type="paragraph" w:styleId="TOC1">
    <w:name w:val="toc 1"/>
    <w:basedOn w:val="Normal"/>
    <w:next w:val="Normal"/>
    <w:semiHidden/>
    <w:rsid w:val="00BB5784"/>
    <w:pPr>
      <w:spacing w:before="360"/>
    </w:pPr>
    <w:rPr>
      <w:rFonts w:ascii="Arial (W1)" w:hAnsi="Arial (W1)" w:cs="Arial"/>
      <w:b/>
      <w:bCs/>
      <w:caps/>
      <w:sz w:val="22"/>
      <w:szCs w:val="22"/>
    </w:rPr>
  </w:style>
  <w:style w:type="paragraph" w:styleId="Footer">
    <w:name w:val="footer"/>
    <w:basedOn w:val="Normal"/>
    <w:link w:val="FooterChar"/>
    <w:uiPriority w:val="99"/>
    <w:rsid w:val="00BB5784"/>
    <w:pPr>
      <w:tabs>
        <w:tab w:val="right" w:pos="10080"/>
      </w:tabs>
    </w:pPr>
  </w:style>
  <w:style w:type="paragraph" w:styleId="Header">
    <w:name w:val="header"/>
    <w:basedOn w:val="Normal"/>
    <w:rsid w:val="00BB5784"/>
    <w:pPr>
      <w:tabs>
        <w:tab w:val="right" w:pos="10080"/>
      </w:tabs>
    </w:pPr>
  </w:style>
  <w:style w:type="character" w:styleId="FootnoteReference">
    <w:name w:val="footnote reference"/>
    <w:basedOn w:val="DefaultParagraphFont"/>
    <w:semiHidden/>
    <w:rsid w:val="00BB5784"/>
    <w:rPr>
      <w:position w:val="6"/>
      <w:sz w:val="16"/>
      <w:szCs w:val="16"/>
    </w:rPr>
  </w:style>
  <w:style w:type="paragraph" w:styleId="Title">
    <w:name w:val="Title"/>
    <w:basedOn w:val="Normal"/>
    <w:qFormat/>
    <w:rsid w:val="00BB5784"/>
    <w:pPr>
      <w:keepLines/>
      <w:spacing w:after="120"/>
      <w:ind w:left="2520" w:right="720"/>
    </w:pPr>
    <w:rPr>
      <w:rFonts w:ascii="Book Antiqua" w:hAnsi="Book Antiqua"/>
      <w:sz w:val="48"/>
      <w:szCs w:val="48"/>
      <w:lang w:val="en-US"/>
    </w:rPr>
  </w:style>
  <w:style w:type="paragraph" w:customStyle="1" w:styleId="TableText">
    <w:name w:val="Table Text"/>
    <w:basedOn w:val="Normal"/>
    <w:rsid w:val="00BB5784"/>
    <w:pPr>
      <w:keepLines/>
    </w:pPr>
    <w:rPr>
      <w:rFonts w:ascii="Arial" w:hAnsi="Arial" w:cs="Arial"/>
      <w:sz w:val="20"/>
    </w:rPr>
  </w:style>
  <w:style w:type="paragraph" w:customStyle="1" w:styleId="TitleBar">
    <w:name w:val="Title Bar"/>
    <w:basedOn w:val="Normal"/>
    <w:rsid w:val="00BB5784"/>
    <w:pPr>
      <w:keepNext/>
      <w:pageBreakBefore/>
      <w:shd w:val="solid" w:color="auto" w:fill="auto"/>
      <w:spacing w:before="1680"/>
      <w:ind w:left="2520" w:right="720"/>
    </w:pPr>
    <w:rPr>
      <w:sz w:val="36"/>
      <w:szCs w:val="36"/>
    </w:rPr>
  </w:style>
  <w:style w:type="character" w:customStyle="1" w:styleId="HighlightedVariable">
    <w:name w:val="Highlighted Variable"/>
    <w:basedOn w:val="DefaultParagraphFont"/>
    <w:rsid w:val="00BB5784"/>
    <w:rPr>
      <w:color w:val="0000FF"/>
    </w:rPr>
  </w:style>
  <w:style w:type="paragraph" w:customStyle="1" w:styleId="ChapNumber">
    <w:name w:val="Chap Number"/>
    <w:basedOn w:val="Normal"/>
    <w:rsid w:val="00BB5784"/>
  </w:style>
  <w:style w:type="paragraph" w:styleId="EndnoteText">
    <w:name w:val="endnote text"/>
    <w:basedOn w:val="Normal"/>
    <w:semiHidden/>
    <w:rsid w:val="00BB5784"/>
    <w:rPr>
      <w:rFonts w:ascii="Tahoma" w:hAnsi="Tahoma" w:cs="Tahoma"/>
      <w:sz w:val="20"/>
      <w:szCs w:val="20"/>
    </w:rPr>
  </w:style>
  <w:style w:type="character" w:styleId="Hyperlink">
    <w:name w:val="Hyperlink"/>
    <w:basedOn w:val="DefaultParagraphFont"/>
    <w:rsid w:val="00BB5784"/>
    <w:rPr>
      <w:color w:val="0000FF"/>
      <w:u w:val="single"/>
    </w:rPr>
  </w:style>
  <w:style w:type="paragraph" w:customStyle="1" w:styleId="StyleBodyText12ptBoldBlue">
    <w:name w:val="Style Body Text + 12 pt Bold Blue"/>
    <w:basedOn w:val="BodyText"/>
    <w:link w:val="StyleBodyText12ptBoldBlueChar"/>
    <w:rsid w:val="00BB5784"/>
    <w:pPr>
      <w:ind w:left="2520"/>
    </w:pPr>
    <w:rPr>
      <w:rFonts w:ascii="Arial (W1)" w:hAnsi="Arial (W1)"/>
      <w:bCs/>
    </w:rPr>
  </w:style>
  <w:style w:type="character" w:customStyle="1" w:styleId="StyleBodyText12ptBoldBlueChar">
    <w:name w:val="Style Body Text + 12 pt Bold Blue Char"/>
    <w:basedOn w:val="BodyTextChar"/>
    <w:link w:val="StyleBodyText12ptBoldBlue"/>
    <w:rsid w:val="00BB5784"/>
    <w:rPr>
      <w:rFonts w:ascii="Arial (W1)" w:hAnsi="Arial (W1)" w:cs="Arial"/>
      <w:bCs/>
      <w:sz w:val="22"/>
      <w:szCs w:val="22"/>
      <w:lang w:val="en-GB" w:eastAsia="en-GB" w:bidi="ar-SA"/>
    </w:rPr>
  </w:style>
  <w:style w:type="table" w:styleId="TableGrid">
    <w:name w:val="Table Grid"/>
    <w:basedOn w:val="TableNormal"/>
    <w:rsid w:val="00A953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C1BE1"/>
    <w:pPr>
      <w:spacing w:after="120" w:line="480" w:lineRule="auto"/>
    </w:pPr>
  </w:style>
  <w:style w:type="paragraph" w:styleId="CommentText">
    <w:name w:val="annotation text"/>
    <w:basedOn w:val="Normal"/>
    <w:link w:val="CommentTextChar"/>
    <w:uiPriority w:val="99"/>
    <w:semiHidden/>
    <w:rsid w:val="00E346D0"/>
    <w:rPr>
      <w:sz w:val="20"/>
      <w:szCs w:val="20"/>
    </w:rPr>
  </w:style>
  <w:style w:type="character" w:styleId="CommentReference">
    <w:name w:val="annotation reference"/>
    <w:basedOn w:val="DefaultParagraphFont"/>
    <w:uiPriority w:val="99"/>
    <w:semiHidden/>
    <w:rsid w:val="003E6DDD"/>
    <w:rPr>
      <w:sz w:val="16"/>
      <w:szCs w:val="16"/>
    </w:rPr>
  </w:style>
  <w:style w:type="paragraph" w:styleId="CommentSubject">
    <w:name w:val="annotation subject"/>
    <w:basedOn w:val="CommentText"/>
    <w:next w:val="CommentText"/>
    <w:semiHidden/>
    <w:rsid w:val="003E6DDD"/>
    <w:rPr>
      <w:b/>
      <w:bCs/>
    </w:rPr>
  </w:style>
  <w:style w:type="paragraph" w:styleId="BalloonText">
    <w:name w:val="Balloon Text"/>
    <w:basedOn w:val="Normal"/>
    <w:semiHidden/>
    <w:rsid w:val="003E6DDD"/>
    <w:rPr>
      <w:rFonts w:ascii="Tahoma" w:hAnsi="Tahoma" w:cs="Tahoma"/>
    </w:rPr>
  </w:style>
  <w:style w:type="character" w:styleId="PageNumber">
    <w:name w:val="page number"/>
    <w:basedOn w:val="DefaultParagraphFont"/>
    <w:rsid w:val="00D16A5E"/>
  </w:style>
  <w:style w:type="character" w:customStyle="1" w:styleId="Heading1Char">
    <w:name w:val="Heading 1 Char"/>
    <w:basedOn w:val="DefaultParagraphFont"/>
    <w:link w:val="Heading1"/>
    <w:rsid w:val="00890C0B"/>
    <w:rPr>
      <w:rFonts w:ascii="Arial" w:hAnsi="Arial"/>
      <w:b/>
      <w:sz w:val="32"/>
      <w:szCs w:val="16"/>
      <w:lang w:val="en-GB" w:eastAsia="en-GB" w:bidi="ar-SA"/>
    </w:rPr>
  </w:style>
  <w:style w:type="paragraph" w:styleId="BodyTextIndent">
    <w:name w:val="Body Text Indent"/>
    <w:basedOn w:val="Normal"/>
    <w:rsid w:val="001C2E78"/>
    <w:pPr>
      <w:spacing w:after="120"/>
      <w:ind w:left="283"/>
    </w:pPr>
  </w:style>
  <w:style w:type="character" w:customStyle="1" w:styleId="FooterChar">
    <w:name w:val="Footer Char"/>
    <w:basedOn w:val="DefaultParagraphFont"/>
    <w:link w:val="Footer"/>
    <w:uiPriority w:val="99"/>
    <w:rsid w:val="00D33140"/>
    <w:rPr>
      <w:sz w:val="16"/>
      <w:szCs w:val="16"/>
      <w:lang w:val="en-GB" w:eastAsia="en-GB"/>
    </w:rPr>
  </w:style>
  <w:style w:type="character" w:styleId="PlaceholderText">
    <w:name w:val="Placeholder Text"/>
    <w:basedOn w:val="DefaultParagraphFont"/>
    <w:uiPriority w:val="99"/>
    <w:semiHidden/>
    <w:rsid w:val="00000635"/>
    <w:rPr>
      <w:color w:val="808080"/>
    </w:rPr>
  </w:style>
  <w:style w:type="character" w:customStyle="1" w:styleId="CommentTextChar">
    <w:name w:val="Comment Text Char"/>
    <w:basedOn w:val="DefaultParagraphFont"/>
    <w:link w:val="CommentText"/>
    <w:uiPriority w:val="99"/>
    <w:semiHidden/>
    <w:rsid w:val="00CB48B5"/>
  </w:style>
  <w:style w:type="paragraph" w:styleId="ListParagraph">
    <w:name w:val="List Paragraph"/>
    <w:basedOn w:val="Normal"/>
    <w:uiPriority w:val="34"/>
    <w:qFormat/>
    <w:rsid w:val="00CB48B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B48B5"/>
    <w:pPr>
      <w:autoSpaceDE w:val="0"/>
      <w:autoSpaceDN w:val="0"/>
      <w:adjustRightInd w:val="0"/>
      <w:ind w:left="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ra.nhs.uk/about-the-hra/our-committees/section-251"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0EAEAD778947DF8C0E49AA75F250FF"/>
        <w:category>
          <w:name w:val="General"/>
          <w:gallery w:val="placeholder"/>
        </w:category>
        <w:types>
          <w:type w:val="bbPlcHdr"/>
        </w:types>
        <w:behaviors>
          <w:behavior w:val="content"/>
        </w:behaviors>
        <w:guid w:val="{9D65EA3B-F235-4FB3-85E9-25F0797467E3}"/>
      </w:docPartPr>
      <w:docPartBody>
        <w:p w:rsidR="00153EDE" w:rsidRDefault="00B22AB9">
          <w:r w:rsidRPr="0036209B">
            <w:rPr>
              <w:rStyle w:val="PlaceholderText"/>
            </w:rPr>
            <w:t>[Title]</w:t>
          </w:r>
        </w:p>
      </w:docPartBody>
    </w:docPart>
    <w:docPart>
      <w:docPartPr>
        <w:name w:val="80683E9631394DB59A3E2BA29B04E17B"/>
        <w:category>
          <w:name w:val="General"/>
          <w:gallery w:val="placeholder"/>
        </w:category>
        <w:types>
          <w:type w:val="bbPlcHdr"/>
        </w:types>
        <w:behaviors>
          <w:behavior w:val="content"/>
        </w:behaviors>
        <w:guid w:val="{7E138B29-CEA7-4AA9-B82C-653E81ADF85B}"/>
      </w:docPartPr>
      <w:docPartBody>
        <w:p w:rsidR="00153EDE" w:rsidRDefault="00B22AB9">
          <w:r w:rsidRPr="0036209B">
            <w:rPr>
              <w:rStyle w:val="PlaceholderText"/>
            </w:rPr>
            <w:t>[Status]</w:t>
          </w:r>
        </w:p>
      </w:docPartBody>
    </w:docPart>
    <w:docPart>
      <w:docPartPr>
        <w:name w:val="06D5663F6D644E78A6C76E5A2190951B"/>
        <w:category>
          <w:name w:val="General"/>
          <w:gallery w:val="placeholder"/>
        </w:category>
        <w:types>
          <w:type w:val="bbPlcHdr"/>
        </w:types>
        <w:behaviors>
          <w:behavior w:val="content"/>
        </w:behaviors>
        <w:guid w:val="{49491A29-8646-4DDB-9456-19ABBF8E5D2F}"/>
      </w:docPartPr>
      <w:docPartBody>
        <w:p w:rsidR="00726564" w:rsidRDefault="00153EDE">
          <w:r w:rsidRPr="0036209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B9"/>
    <w:rsid w:val="00153EDE"/>
    <w:rsid w:val="0050162E"/>
    <w:rsid w:val="007263EF"/>
    <w:rsid w:val="00726564"/>
    <w:rsid w:val="00B22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3EF"/>
    <w:rPr>
      <w:color w:val="808080"/>
    </w:rPr>
  </w:style>
  <w:style w:type="paragraph" w:customStyle="1" w:styleId="0D421D68C01A429C901BEEA014F9FACC">
    <w:name w:val="0D421D68C01A429C901BEEA014F9FACC"/>
    <w:rsid w:val="007263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3EF"/>
    <w:rPr>
      <w:color w:val="808080"/>
    </w:rPr>
  </w:style>
  <w:style w:type="paragraph" w:customStyle="1" w:styleId="0D421D68C01A429C901BEEA014F9FACC">
    <w:name w:val="0D421D68C01A429C901BEEA014F9FACC"/>
    <w:rsid w:val="00726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C64D64-78E8-4AC0-986D-541BBB45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1993</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Health Service (Control of Patient Information) Regulations 2002: regulation 5 decision procedure</vt:lpstr>
    </vt:vector>
  </TitlesOfParts>
  <Company>NPSA</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Service (Control of Patient Information) Regulations 2002: regulation 5 decision procedure</dc:title>
  <dc:creator>bdavidson@ims.gov.uk</dc:creator>
  <dc:description>To automatically populate data into the header, complete the Document Properties fields "Title and Version No &amp; Status (eg V1.1 Final).</dc:description>
  <cp:lastModifiedBy>Bill Davidson</cp:lastModifiedBy>
  <cp:revision>3</cp:revision>
  <cp:lastPrinted>2016-03-03T10:07:00Z</cp:lastPrinted>
  <dcterms:created xsi:type="dcterms:W3CDTF">2016-04-05T12:58:00Z</dcterms:created>
  <dcterms:modified xsi:type="dcterms:W3CDTF">2016-04-05T13:23:00Z</dcterms:modified>
  <cp:contentStatus>DRAFT</cp:contentStatus>
</cp:coreProperties>
</file>