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Key summary points from the Audit and Risk Committ</w:t>
      </w:r>
      <w:r w:rsidR="00AB4AAE">
        <w:rPr>
          <w:rFonts w:cs="Arial"/>
          <w:b/>
          <w:sz w:val="28"/>
          <w:szCs w:val="28"/>
        </w:rPr>
        <w:t>ee meeting held on 06 June 2017</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702"/>
        <w:gridCol w:w="8222"/>
      </w:tblGrid>
      <w:tr w:rsidR="00917849" w:rsidTr="009C098E">
        <w:tc>
          <w:tcPr>
            <w:tcW w:w="1702"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222" w:type="dxa"/>
          </w:tcPr>
          <w:p w:rsidR="000E5951" w:rsidRPr="000E5951" w:rsidRDefault="000E5951" w:rsidP="009C098E">
            <w:pPr>
              <w:shd w:val="clear" w:color="auto" w:fill="FBD4B4" w:themeFill="accent6" w:themeFillTint="66"/>
              <w:ind w:right="-46"/>
              <w:rPr>
                <w:rFonts w:cs="Arial"/>
                <w:b/>
                <w:szCs w:val="28"/>
              </w:rPr>
            </w:pPr>
            <w:r w:rsidRPr="000E5951">
              <w:rPr>
                <w:rFonts w:cs="Arial"/>
                <w:b/>
                <w:szCs w:val="28"/>
              </w:rPr>
              <w:t>06 June 2017, HRA 1, Skipton House</w:t>
            </w:r>
          </w:p>
          <w:p w:rsidR="000E5951" w:rsidRDefault="000E5951" w:rsidP="00917849">
            <w:pPr>
              <w:ind w:right="-46"/>
              <w:rPr>
                <w:rFonts w:cs="Arial"/>
                <w:szCs w:val="28"/>
              </w:rPr>
            </w:pPr>
          </w:p>
          <w:p w:rsidR="00AB4AAE" w:rsidRPr="009C098E" w:rsidRDefault="00917849" w:rsidP="009C098E">
            <w:pPr>
              <w:pStyle w:val="ListParagraph"/>
              <w:numPr>
                <w:ilvl w:val="0"/>
                <w:numId w:val="4"/>
              </w:numPr>
              <w:ind w:right="-46"/>
              <w:rPr>
                <w:rFonts w:cs="Arial"/>
                <w:szCs w:val="28"/>
              </w:rPr>
            </w:pPr>
            <w:r w:rsidRPr="009C098E">
              <w:rPr>
                <w:rFonts w:cs="Arial"/>
                <w:szCs w:val="28"/>
              </w:rPr>
              <w:t>Quorate</w:t>
            </w:r>
          </w:p>
          <w:p w:rsidR="00917849" w:rsidRPr="009C098E" w:rsidRDefault="00917849" w:rsidP="009C098E">
            <w:pPr>
              <w:pStyle w:val="ListParagraph"/>
              <w:numPr>
                <w:ilvl w:val="0"/>
                <w:numId w:val="4"/>
              </w:numPr>
              <w:ind w:right="-46"/>
              <w:rPr>
                <w:rFonts w:cs="Arial"/>
                <w:szCs w:val="28"/>
              </w:rPr>
            </w:pPr>
            <w:r w:rsidRPr="009C098E">
              <w:rPr>
                <w:rFonts w:cs="Arial"/>
                <w:szCs w:val="28"/>
              </w:rPr>
              <w:t>Attendance (membership) – 3/4</w:t>
            </w:r>
          </w:p>
          <w:p w:rsidR="000E5951" w:rsidRDefault="000E5951" w:rsidP="00AB4AAE">
            <w:pPr>
              <w:ind w:right="-46"/>
              <w:rPr>
                <w:rFonts w:cs="Arial"/>
                <w:szCs w:val="28"/>
              </w:rPr>
            </w:pPr>
          </w:p>
        </w:tc>
      </w:tr>
      <w:tr w:rsidR="00AB4AAE" w:rsidTr="009C098E">
        <w:tc>
          <w:tcPr>
            <w:tcW w:w="1702" w:type="dxa"/>
            <w:vMerge w:val="restart"/>
            <w:shd w:val="clear" w:color="auto" w:fill="FBD4B4" w:themeFill="accent6" w:themeFillTint="66"/>
          </w:tcPr>
          <w:p w:rsidR="00AB4AAE" w:rsidRPr="00AB4AAE" w:rsidRDefault="009C098E" w:rsidP="000E5951">
            <w:pPr>
              <w:ind w:right="-46"/>
              <w:rPr>
                <w:rFonts w:cs="Arial"/>
                <w:b/>
                <w:szCs w:val="28"/>
              </w:rPr>
            </w:pPr>
            <w:r>
              <w:rPr>
                <w:rFonts w:cs="Arial"/>
                <w:b/>
                <w:szCs w:val="28"/>
              </w:rPr>
              <w:t>KEY BUSINESS CONDUCTED</w:t>
            </w:r>
          </w:p>
        </w:tc>
        <w:tc>
          <w:tcPr>
            <w:tcW w:w="8222" w:type="dxa"/>
          </w:tcPr>
          <w:p w:rsidR="00AB4AAE" w:rsidRDefault="00AB4AAE" w:rsidP="009C098E">
            <w:pPr>
              <w:shd w:val="clear" w:color="auto" w:fill="FBD4B4" w:themeFill="accent6" w:themeFillTint="66"/>
              <w:ind w:right="-46"/>
              <w:rPr>
                <w:rFonts w:cs="Arial"/>
                <w:b/>
                <w:szCs w:val="28"/>
              </w:rPr>
            </w:pPr>
            <w:r w:rsidRPr="00AB4AAE">
              <w:rPr>
                <w:rFonts w:cs="Arial"/>
                <w:b/>
                <w:szCs w:val="28"/>
              </w:rPr>
              <w:t xml:space="preserve">Health Group Internal Audit </w:t>
            </w:r>
            <w:r>
              <w:rPr>
                <w:rFonts w:cs="Arial"/>
                <w:b/>
                <w:szCs w:val="28"/>
              </w:rPr>
              <w:t xml:space="preserve">Service (HGIAS) </w:t>
            </w:r>
            <w:r w:rsidRPr="00AB4AAE">
              <w:rPr>
                <w:rFonts w:cs="Arial"/>
                <w:b/>
                <w:szCs w:val="28"/>
              </w:rPr>
              <w:t>HRA Annual Assurance Report</w:t>
            </w:r>
          </w:p>
          <w:p w:rsidR="00AB4AAE" w:rsidRPr="00AB4AAE" w:rsidRDefault="00AB4AAE" w:rsidP="006B5B32">
            <w:pPr>
              <w:ind w:right="-46"/>
              <w:rPr>
                <w:rFonts w:cs="Arial"/>
                <w:b/>
                <w:szCs w:val="28"/>
              </w:rPr>
            </w:pPr>
          </w:p>
          <w:p w:rsidR="00AB4AAE" w:rsidRDefault="00AB4AAE" w:rsidP="006B5B32">
            <w:pPr>
              <w:ind w:right="-46"/>
              <w:rPr>
                <w:rFonts w:cs="Arial"/>
                <w:szCs w:val="28"/>
              </w:rPr>
            </w:pPr>
            <w:r>
              <w:rPr>
                <w:rFonts w:cs="Arial"/>
                <w:szCs w:val="28"/>
              </w:rPr>
              <w:t xml:space="preserve">A </w:t>
            </w:r>
            <w:r>
              <w:rPr>
                <w:rFonts w:cs="Arial"/>
                <w:b/>
                <w:szCs w:val="28"/>
              </w:rPr>
              <w:t>MODERATE</w:t>
            </w:r>
            <w:r w:rsidRPr="00AB4AAE">
              <w:rPr>
                <w:rFonts w:cs="Arial"/>
                <w:b/>
                <w:szCs w:val="28"/>
              </w:rPr>
              <w:t xml:space="preserve"> </w:t>
            </w:r>
            <w:r w:rsidRPr="00AB4AAE">
              <w:rPr>
                <w:rFonts w:cs="Arial"/>
                <w:szCs w:val="28"/>
              </w:rPr>
              <w:t>overall</w:t>
            </w:r>
            <w:r>
              <w:rPr>
                <w:rFonts w:cs="Arial"/>
                <w:b/>
                <w:szCs w:val="28"/>
              </w:rPr>
              <w:t xml:space="preserve"> </w:t>
            </w:r>
            <w:r>
              <w:rPr>
                <w:rFonts w:cs="Arial"/>
                <w:szCs w:val="28"/>
              </w:rPr>
              <w:t>assurance rating ha</w:t>
            </w:r>
            <w:r w:rsidR="00E621F0">
              <w:rPr>
                <w:rFonts w:cs="Arial"/>
                <w:szCs w:val="28"/>
              </w:rPr>
              <w:t>s</w:t>
            </w:r>
            <w:r>
              <w:rPr>
                <w:rFonts w:cs="Arial"/>
                <w:szCs w:val="28"/>
              </w:rPr>
              <w:t xml:space="preserve"> been given for the HRA for 2016/17</w:t>
            </w:r>
            <w:r w:rsidR="00A36BD7">
              <w:rPr>
                <w:rFonts w:cs="Arial"/>
                <w:szCs w:val="28"/>
              </w:rPr>
              <w:t>.</w:t>
            </w:r>
          </w:p>
          <w:p w:rsidR="00AB4AAE" w:rsidRDefault="00AB4AAE" w:rsidP="006B5B32">
            <w:pPr>
              <w:ind w:right="-46"/>
              <w:rPr>
                <w:rFonts w:cs="Arial"/>
                <w:szCs w:val="28"/>
              </w:rPr>
            </w:pPr>
          </w:p>
        </w:tc>
      </w:tr>
      <w:tr w:rsidR="00AB4AAE" w:rsidTr="009C098E">
        <w:tc>
          <w:tcPr>
            <w:tcW w:w="1702" w:type="dxa"/>
            <w:vMerge/>
            <w:shd w:val="clear" w:color="auto" w:fill="FBD4B4" w:themeFill="accent6" w:themeFillTint="66"/>
          </w:tcPr>
          <w:p w:rsidR="00AB4AAE" w:rsidRDefault="00AB4AAE" w:rsidP="00AB4AAE">
            <w:pPr>
              <w:ind w:right="-46"/>
              <w:rPr>
                <w:rFonts w:cs="Arial"/>
                <w:szCs w:val="28"/>
              </w:rPr>
            </w:pPr>
          </w:p>
        </w:tc>
        <w:tc>
          <w:tcPr>
            <w:tcW w:w="8222" w:type="dxa"/>
          </w:tcPr>
          <w:p w:rsidR="00AB4AAE" w:rsidRDefault="00AB4AAE" w:rsidP="009C098E">
            <w:pPr>
              <w:shd w:val="clear" w:color="auto" w:fill="FBD4B4" w:themeFill="accent6" w:themeFillTint="66"/>
              <w:rPr>
                <w:rFonts w:cs="Arial"/>
                <w:b/>
                <w:szCs w:val="28"/>
              </w:rPr>
            </w:pPr>
            <w:r>
              <w:rPr>
                <w:rFonts w:cs="Arial"/>
                <w:b/>
                <w:szCs w:val="28"/>
              </w:rPr>
              <w:t xml:space="preserve">HGIAS </w:t>
            </w:r>
            <w:r w:rsidRPr="00AB4AAE">
              <w:rPr>
                <w:rFonts w:cs="Arial"/>
                <w:b/>
                <w:szCs w:val="28"/>
              </w:rPr>
              <w:t>Audit plans</w:t>
            </w:r>
          </w:p>
          <w:p w:rsidR="00AB4AAE" w:rsidRPr="00AB4AAE" w:rsidRDefault="00AB4AAE" w:rsidP="001228DF">
            <w:pPr>
              <w:rPr>
                <w:rFonts w:cs="Arial"/>
                <w:b/>
                <w:szCs w:val="28"/>
              </w:rPr>
            </w:pPr>
          </w:p>
          <w:p w:rsidR="00AB4AAE" w:rsidRDefault="00AB4AAE" w:rsidP="001228DF">
            <w:pPr>
              <w:rPr>
                <w:rFonts w:cs="Arial"/>
                <w:szCs w:val="28"/>
              </w:rPr>
            </w:pPr>
            <w:r w:rsidRPr="00AB4AAE">
              <w:rPr>
                <w:rFonts w:cs="Arial"/>
                <w:b/>
                <w:szCs w:val="28"/>
              </w:rPr>
              <w:t>2016/17</w:t>
            </w:r>
            <w:r>
              <w:rPr>
                <w:rFonts w:cs="Arial"/>
                <w:szCs w:val="28"/>
              </w:rPr>
              <w:t xml:space="preserve"> – </w:t>
            </w:r>
            <w:r w:rsidR="00A36BD7">
              <w:rPr>
                <w:rFonts w:cs="Arial"/>
                <w:szCs w:val="28"/>
              </w:rPr>
              <w:t xml:space="preserve"> </w:t>
            </w:r>
            <w:r>
              <w:rPr>
                <w:rFonts w:cs="Arial"/>
                <w:szCs w:val="28"/>
              </w:rPr>
              <w:t>All work has been conducted</w:t>
            </w:r>
            <w:r w:rsidR="00A36BD7">
              <w:rPr>
                <w:rFonts w:cs="Arial"/>
                <w:szCs w:val="28"/>
              </w:rPr>
              <w:t>.</w:t>
            </w:r>
          </w:p>
          <w:p w:rsidR="00AB4AAE" w:rsidRDefault="00AB4AAE" w:rsidP="00A36BD7">
            <w:pPr>
              <w:ind w:left="1026" w:hanging="1026"/>
              <w:rPr>
                <w:rFonts w:cs="Arial"/>
                <w:szCs w:val="28"/>
              </w:rPr>
            </w:pPr>
            <w:r w:rsidRPr="00AB4AAE">
              <w:rPr>
                <w:rFonts w:cs="Arial"/>
                <w:b/>
                <w:szCs w:val="28"/>
              </w:rPr>
              <w:t xml:space="preserve">2017/18 </w:t>
            </w:r>
            <w:r>
              <w:rPr>
                <w:rFonts w:cs="Arial"/>
                <w:szCs w:val="28"/>
              </w:rPr>
              <w:t xml:space="preserve">– </w:t>
            </w:r>
            <w:r w:rsidR="00A36BD7">
              <w:rPr>
                <w:rFonts w:cs="Arial"/>
                <w:szCs w:val="28"/>
              </w:rPr>
              <w:t xml:space="preserve"> </w:t>
            </w:r>
            <w:r>
              <w:rPr>
                <w:rFonts w:cs="Arial"/>
                <w:szCs w:val="28"/>
              </w:rPr>
              <w:t xml:space="preserve">One audit is scheduled for Q1 </w:t>
            </w:r>
            <w:r w:rsidR="00A36BD7" w:rsidRPr="00A36BD7">
              <w:rPr>
                <w:rFonts w:cs="Arial"/>
                <w:i/>
                <w:szCs w:val="28"/>
              </w:rPr>
              <w:t>(</w:t>
            </w:r>
            <w:r w:rsidR="00A36BD7" w:rsidRPr="00A36BD7">
              <w:rPr>
                <w:i/>
                <w:szCs w:val="18"/>
              </w:rPr>
              <w:t>Programme &amp; Project Management review - HRA Service Improvement Programme</w:t>
            </w:r>
            <w:r w:rsidR="00A36BD7" w:rsidRPr="00A36BD7">
              <w:rPr>
                <w:i/>
                <w:szCs w:val="18"/>
              </w:rPr>
              <w:t>)</w:t>
            </w:r>
            <w:r w:rsidR="00A36BD7">
              <w:rPr>
                <w:i/>
                <w:szCs w:val="18"/>
              </w:rPr>
              <w:t>.</w:t>
            </w:r>
          </w:p>
          <w:p w:rsidR="00AB4AAE" w:rsidRPr="001228DF" w:rsidRDefault="00AB4AAE" w:rsidP="00520A87">
            <w:pPr>
              <w:rPr>
                <w:rFonts w:cs="Arial"/>
                <w:szCs w:val="28"/>
              </w:rPr>
            </w:pPr>
            <w:r>
              <w:rPr>
                <w:rFonts w:cs="Arial"/>
                <w:szCs w:val="28"/>
              </w:rPr>
              <w:t xml:space="preserve"> </w:t>
            </w:r>
          </w:p>
        </w:tc>
      </w:tr>
      <w:tr w:rsidR="00AB4AAE" w:rsidTr="009C098E">
        <w:tc>
          <w:tcPr>
            <w:tcW w:w="1702" w:type="dxa"/>
            <w:vMerge/>
            <w:shd w:val="clear" w:color="auto" w:fill="FBD4B4" w:themeFill="accent6" w:themeFillTint="66"/>
          </w:tcPr>
          <w:p w:rsidR="00AB4AAE" w:rsidRDefault="00AB4AAE" w:rsidP="00AB4AAE">
            <w:pPr>
              <w:ind w:right="-46"/>
              <w:rPr>
                <w:rFonts w:cs="Arial"/>
                <w:szCs w:val="28"/>
              </w:rPr>
            </w:pPr>
          </w:p>
        </w:tc>
        <w:tc>
          <w:tcPr>
            <w:tcW w:w="8222" w:type="dxa"/>
          </w:tcPr>
          <w:p w:rsidR="00AB4AAE" w:rsidRDefault="00AB4AAE" w:rsidP="009C098E">
            <w:pPr>
              <w:shd w:val="clear" w:color="auto" w:fill="FBD4B4" w:themeFill="accent6" w:themeFillTint="66"/>
              <w:rPr>
                <w:b/>
              </w:rPr>
            </w:pPr>
            <w:r>
              <w:rPr>
                <w:b/>
              </w:rPr>
              <w:t>HGIAS HRA Follow up of recommendations</w:t>
            </w:r>
          </w:p>
          <w:p w:rsidR="00A36BD7" w:rsidRDefault="00A36BD7" w:rsidP="00520A87">
            <w:pPr>
              <w:rPr>
                <w:b/>
              </w:rPr>
            </w:pPr>
          </w:p>
          <w:p w:rsidR="00AB4AAE" w:rsidRDefault="00AB4AAE" w:rsidP="001228DF">
            <w:pPr>
              <w:rPr>
                <w:rFonts w:cstheme="minorHAnsi"/>
              </w:rPr>
            </w:pPr>
            <w:r>
              <w:rPr>
                <w:rFonts w:cstheme="minorHAnsi"/>
              </w:rPr>
              <w:t xml:space="preserve">HGIAS confirmed </w:t>
            </w:r>
            <w:r w:rsidRPr="0035087B">
              <w:rPr>
                <w:rFonts w:cstheme="minorHAnsi"/>
              </w:rPr>
              <w:t xml:space="preserve">there are satisfactory arrangements within HRA to provide the </w:t>
            </w:r>
            <w:r w:rsidR="00E621F0">
              <w:rPr>
                <w:rFonts w:cstheme="minorHAnsi"/>
              </w:rPr>
              <w:t>ARC</w:t>
            </w:r>
            <w:r w:rsidRPr="0035087B">
              <w:rPr>
                <w:rFonts w:cstheme="minorHAnsi"/>
              </w:rPr>
              <w:t xml:space="preserve"> with accurate reports concerning the progress of recommendations</w:t>
            </w:r>
            <w:r w:rsidR="00A36BD7">
              <w:rPr>
                <w:rFonts w:cstheme="minorHAnsi"/>
              </w:rPr>
              <w:t>.</w:t>
            </w:r>
          </w:p>
          <w:p w:rsidR="00AB4AAE" w:rsidRPr="004A05E6" w:rsidRDefault="00AB4AAE" w:rsidP="001228DF">
            <w:pPr>
              <w:rPr>
                <w:b/>
              </w:rPr>
            </w:pPr>
          </w:p>
        </w:tc>
      </w:tr>
      <w:tr w:rsidR="00AB4AAE" w:rsidTr="009C098E">
        <w:trPr>
          <w:trHeight w:val="4112"/>
        </w:trPr>
        <w:tc>
          <w:tcPr>
            <w:tcW w:w="1702" w:type="dxa"/>
            <w:vMerge/>
            <w:shd w:val="clear" w:color="auto" w:fill="FBD4B4" w:themeFill="accent6" w:themeFillTint="66"/>
          </w:tcPr>
          <w:p w:rsidR="00AB4AAE" w:rsidRDefault="00AB4AAE" w:rsidP="00AB4AAE">
            <w:pPr>
              <w:ind w:right="-46"/>
              <w:rPr>
                <w:rFonts w:cs="Arial"/>
                <w:szCs w:val="28"/>
              </w:rPr>
            </w:pPr>
          </w:p>
        </w:tc>
        <w:tc>
          <w:tcPr>
            <w:tcW w:w="8222" w:type="dxa"/>
          </w:tcPr>
          <w:p w:rsidR="00AB4AAE" w:rsidRDefault="00E621F0" w:rsidP="009C098E">
            <w:pPr>
              <w:shd w:val="clear" w:color="auto" w:fill="FBD4B4" w:themeFill="accent6" w:themeFillTint="66"/>
              <w:rPr>
                <w:b/>
              </w:rPr>
            </w:pPr>
            <w:r>
              <w:rPr>
                <w:b/>
              </w:rPr>
              <w:t xml:space="preserve">HGIAS </w:t>
            </w:r>
            <w:r w:rsidR="00AB4AAE">
              <w:rPr>
                <w:b/>
              </w:rPr>
              <w:t>Assurance reports</w:t>
            </w:r>
          </w:p>
          <w:p w:rsidR="00AB4AAE" w:rsidRDefault="00AB4AAE" w:rsidP="00520A87">
            <w:pPr>
              <w:rPr>
                <w:b/>
              </w:rPr>
            </w:pPr>
          </w:p>
          <w:tbl>
            <w:tblPr>
              <w:tblStyle w:val="TableGrid"/>
              <w:tblW w:w="0" w:type="auto"/>
              <w:tblLook w:val="04A0" w:firstRow="1" w:lastRow="0" w:firstColumn="1" w:lastColumn="0" w:noHBand="0" w:noVBand="1"/>
            </w:tblPr>
            <w:tblGrid>
              <w:gridCol w:w="1421"/>
              <w:gridCol w:w="1472"/>
              <w:gridCol w:w="571"/>
              <w:gridCol w:w="571"/>
              <w:gridCol w:w="571"/>
              <w:gridCol w:w="3390"/>
            </w:tblGrid>
            <w:tr w:rsidR="00AB4AAE" w:rsidTr="00A36BD7">
              <w:tc>
                <w:tcPr>
                  <w:tcW w:w="1421" w:type="dxa"/>
                  <w:vMerge w:val="restart"/>
                </w:tcPr>
                <w:p w:rsidR="00AB4AAE" w:rsidRDefault="00AB4AAE" w:rsidP="00520A87">
                  <w:pPr>
                    <w:rPr>
                      <w:b/>
                    </w:rPr>
                  </w:pPr>
                  <w:r>
                    <w:rPr>
                      <w:b/>
                    </w:rPr>
                    <w:t>Review</w:t>
                  </w:r>
                </w:p>
              </w:tc>
              <w:tc>
                <w:tcPr>
                  <w:tcW w:w="1472" w:type="dxa"/>
                  <w:vMerge w:val="restart"/>
                </w:tcPr>
                <w:p w:rsidR="00AB4AAE" w:rsidRDefault="00AB4AAE" w:rsidP="00E621F0">
                  <w:pPr>
                    <w:jc w:val="center"/>
                    <w:rPr>
                      <w:b/>
                    </w:rPr>
                  </w:pPr>
                  <w:r>
                    <w:rPr>
                      <w:b/>
                    </w:rPr>
                    <w:t>Assurance level</w:t>
                  </w:r>
                </w:p>
              </w:tc>
              <w:tc>
                <w:tcPr>
                  <w:tcW w:w="1713" w:type="dxa"/>
                  <w:gridSpan w:val="3"/>
                </w:tcPr>
                <w:p w:rsidR="00AB4AAE" w:rsidRDefault="00AB4AAE" w:rsidP="00E621F0">
                  <w:pPr>
                    <w:jc w:val="center"/>
                    <w:rPr>
                      <w:b/>
                    </w:rPr>
                  </w:pPr>
                  <w:r>
                    <w:rPr>
                      <w:b/>
                    </w:rPr>
                    <w:t>Findings</w:t>
                  </w:r>
                </w:p>
              </w:tc>
              <w:tc>
                <w:tcPr>
                  <w:tcW w:w="3390" w:type="dxa"/>
                  <w:vMerge w:val="restart"/>
                </w:tcPr>
                <w:p w:rsidR="00AB4AAE" w:rsidRDefault="00AB4AAE" w:rsidP="00520A87">
                  <w:pPr>
                    <w:rPr>
                      <w:b/>
                    </w:rPr>
                  </w:pPr>
                  <w:r>
                    <w:rPr>
                      <w:b/>
                    </w:rPr>
                    <w:t>Comments</w:t>
                  </w:r>
                </w:p>
              </w:tc>
            </w:tr>
            <w:tr w:rsidR="00A36BD7" w:rsidTr="00E621F0">
              <w:tc>
                <w:tcPr>
                  <w:tcW w:w="1421" w:type="dxa"/>
                  <w:vMerge/>
                </w:tcPr>
                <w:p w:rsidR="00AB4AAE" w:rsidRDefault="00AB4AAE" w:rsidP="00520A87">
                  <w:pPr>
                    <w:rPr>
                      <w:b/>
                    </w:rPr>
                  </w:pPr>
                </w:p>
              </w:tc>
              <w:tc>
                <w:tcPr>
                  <w:tcW w:w="1472" w:type="dxa"/>
                  <w:vMerge/>
                  <w:tcBorders>
                    <w:bottom w:val="single" w:sz="4" w:space="0" w:color="auto"/>
                  </w:tcBorders>
                </w:tcPr>
                <w:p w:rsidR="00AB4AAE" w:rsidRDefault="00AB4AAE" w:rsidP="00E621F0">
                  <w:pPr>
                    <w:jc w:val="center"/>
                    <w:rPr>
                      <w:b/>
                    </w:rPr>
                  </w:pPr>
                </w:p>
              </w:tc>
              <w:tc>
                <w:tcPr>
                  <w:tcW w:w="571" w:type="dxa"/>
                </w:tcPr>
                <w:p w:rsidR="00AB4AAE" w:rsidRDefault="00AB4AAE" w:rsidP="00E621F0">
                  <w:pPr>
                    <w:jc w:val="center"/>
                    <w:rPr>
                      <w:b/>
                    </w:rPr>
                  </w:pPr>
                  <w:r>
                    <w:rPr>
                      <w:b/>
                    </w:rPr>
                    <w:t>H</w:t>
                  </w:r>
                </w:p>
              </w:tc>
              <w:tc>
                <w:tcPr>
                  <w:tcW w:w="571" w:type="dxa"/>
                </w:tcPr>
                <w:p w:rsidR="00AB4AAE" w:rsidRDefault="00AB4AAE" w:rsidP="00E621F0">
                  <w:pPr>
                    <w:jc w:val="center"/>
                    <w:rPr>
                      <w:b/>
                    </w:rPr>
                  </w:pPr>
                  <w:r>
                    <w:rPr>
                      <w:b/>
                    </w:rPr>
                    <w:t>M</w:t>
                  </w:r>
                </w:p>
              </w:tc>
              <w:tc>
                <w:tcPr>
                  <w:tcW w:w="571" w:type="dxa"/>
                </w:tcPr>
                <w:p w:rsidR="00AB4AAE" w:rsidRDefault="00AB4AAE" w:rsidP="00E621F0">
                  <w:pPr>
                    <w:jc w:val="center"/>
                    <w:rPr>
                      <w:b/>
                    </w:rPr>
                  </w:pPr>
                  <w:r>
                    <w:rPr>
                      <w:b/>
                    </w:rPr>
                    <w:t>L</w:t>
                  </w:r>
                </w:p>
              </w:tc>
              <w:tc>
                <w:tcPr>
                  <w:tcW w:w="3390" w:type="dxa"/>
                  <w:vMerge/>
                </w:tcPr>
                <w:p w:rsidR="00AB4AAE" w:rsidRDefault="00AB4AAE" w:rsidP="00520A87">
                  <w:pPr>
                    <w:rPr>
                      <w:b/>
                    </w:rPr>
                  </w:pPr>
                </w:p>
              </w:tc>
            </w:tr>
            <w:tr w:rsidR="00A36BD7" w:rsidTr="00E621F0">
              <w:tc>
                <w:tcPr>
                  <w:tcW w:w="1421" w:type="dxa"/>
                </w:tcPr>
                <w:p w:rsidR="00AB4AAE" w:rsidRDefault="00AB4AAE" w:rsidP="00520A87">
                  <w:pPr>
                    <w:rPr>
                      <w:b/>
                    </w:rPr>
                  </w:pPr>
                  <w:r>
                    <w:t>Equality and Diversity</w:t>
                  </w:r>
                </w:p>
              </w:tc>
              <w:tc>
                <w:tcPr>
                  <w:tcW w:w="1472" w:type="dxa"/>
                  <w:tcBorders>
                    <w:bottom w:val="single" w:sz="4" w:space="0" w:color="auto"/>
                  </w:tcBorders>
                  <w:shd w:val="clear" w:color="auto" w:fill="00B050"/>
                </w:tcPr>
                <w:p w:rsidR="00AB4AAE" w:rsidRDefault="00AB4AAE" w:rsidP="00E621F0">
                  <w:pPr>
                    <w:jc w:val="center"/>
                    <w:rPr>
                      <w:b/>
                    </w:rPr>
                  </w:pPr>
                  <w:r>
                    <w:rPr>
                      <w:b/>
                    </w:rPr>
                    <w:t>SUBSTANTIAL</w:t>
                  </w:r>
                </w:p>
              </w:tc>
              <w:tc>
                <w:tcPr>
                  <w:tcW w:w="571" w:type="dxa"/>
                </w:tcPr>
                <w:p w:rsidR="00AB4AAE" w:rsidRPr="00AB4AAE" w:rsidRDefault="00AB4AAE" w:rsidP="00E621F0">
                  <w:pPr>
                    <w:jc w:val="center"/>
                  </w:pPr>
                  <w:r w:rsidRPr="00AB4AAE">
                    <w:t>0</w:t>
                  </w:r>
                </w:p>
              </w:tc>
              <w:tc>
                <w:tcPr>
                  <w:tcW w:w="571" w:type="dxa"/>
                </w:tcPr>
                <w:p w:rsidR="00AB4AAE" w:rsidRPr="00AB4AAE" w:rsidRDefault="00AB4AAE" w:rsidP="00E621F0">
                  <w:pPr>
                    <w:jc w:val="center"/>
                  </w:pPr>
                  <w:r w:rsidRPr="00AB4AAE">
                    <w:t>0</w:t>
                  </w:r>
                </w:p>
              </w:tc>
              <w:tc>
                <w:tcPr>
                  <w:tcW w:w="571" w:type="dxa"/>
                </w:tcPr>
                <w:p w:rsidR="00AB4AAE" w:rsidRPr="00AB4AAE" w:rsidRDefault="00AB4AAE" w:rsidP="00E621F0">
                  <w:pPr>
                    <w:jc w:val="center"/>
                  </w:pPr>
                  <w:r w:rsidRPr="00AB4AAE">
                    <w:t>2</w:t>
                  </w:r>
                </w:p>
              </w:tc>
              <w:tc>
                <w:tcPr>
                  <w:tcW w:w="3390" w:type="dxa"/>
                </w:tcPr>
                <w:p w:rsidR="00AB4AAE" w:rsidRPr="00AB4AAE" w:rsidRDefault="00AB4AAE" w:rsidP="00520A87">
                  <w:r w:rsidRPr="00AB4AAE">
                    <w:t>Good practice in place</w:t>
                  </w:r>
                </w:p>
              </w:tc>
            </w:tr>
            <w:tr w:rsidR="00A36BD7" w:rsidTr="00E621F0">
              <w:tc>
                <w:tcPr>
                  <w:tcW w:w="1421" w:type="dxa"/>
                </w:tcPr>
                <w:p w:rsidR="00AB4AAE" w:rsidRDefault="00AB4AAE" w:rsidP="00520A87">
                  <w:r>
                    <w:t>Benefits realisation</w:t>
                  </w:r>
                </w:p>
              </w:tc>
              <w:tc>
                <w:tcPr>
                  <w:tcW w:w="1472" w:type="dxa"/>
                  <w:shd w:val="clear" w:color="auto" w:fill="BFBFBF" w:themeFill="background1" w:themeFillShade="BF"/>
                </w:tcPr>
                <w:p w:rsidR="00AB4AAE" w:rsidRDefault="00AB4AAE" w:rsidP="00E621F0">
                  <w:pPr>
                    <w:jc w:val="center"/>
                    <w:rPr>
                      <w:b/>
                    </w:rPr>
                  </w:pPr>
                  <w:r>
                    <w:rPr>
                      <w:b/>
                    </w:rPr>
                    <w:t>ADVISORY</w:t>
                  </w:r>
                </w:p>
              </w:tc>
              <w:tc>
                <w:tcPr>
                  <w:tcW w:w="571" w:type="dxa"/>
                </w:tcPr>
                <w:p w:rsidR="00AB4AAE" w:rsidRPr="00AB4AAE" w:rsidRDefault="00AB4AAE" w:rsidP="00E621F0">
                  <w:pPr>
                    <w:jc w:val="center"/>
                  </w:pPr>
                  <w:r w:rsidRPr="00AB4AAE">
                    <w:t>N/A</w:t>
                  </w:r>
                </w:p>
              </w:tc>
              <w:tc>
                <w:tcPr>
                  <w:tcW w:w="571" w:type="dxa"/>
                </w:tcPr>
                <w:p w:rsidR="00AB4AAE" w:rsidRPr="00AB4AAE" w:rsidRDefault="00AB4AAE" w:rsidP="00E621F0">
                  <w:pPr>
                    <w:jc w:val="center"/>
                  </w:pPr>
                  <w:r w:rsidRPr="00AB4AAE">
                    <w:t>N/A</w:t>
                  </w:r>
                </w:p>
              </w:tc>
              <w:tc>
                <w:tcPr>
                  <w:tcW w:w="571" w:type="dxa"/>
                </w:tcPr>
                <w:p w:rsidR="00AB4AAE" w:rsidRPr="00AB4AAE" w:rsidRDefault="00AB4AAE" w:rsidP="00E621F0">
                  <w:pPr>
                    <w:jc w:val="center"/>
                  </w:pPr>
                  <w:r w:rsidRPr="00AB4AAE">
                    <w:t>N/A</w:t>
                  </w:r>
                </w:p>
              </w:tc>
              <w:tc>
                <w:tcPr>
                  <w:tcW w:w="3390" w:type="dxa"/>
                </w:tcPr>
                <w:p w:rsidR="00AB4AAE" w:rsidRDefault="00AB4AAE" w:rsidP="00520A87">
                  <w:pPr>
                    <w:rPr>
                      <w:rFonts w:cs="Arial"/>
                    </w:rPr>
                  </w:pPr>
                  <w:r>
                    <w:rPr>
                      <w:rFonts w:cs="Arial"/>
                    </w:rPr>
                    <w:t>G</w:t>
                  </w:r>
                  <w:r w:rsidRPr="00AB4AAE">
                    <w:rPr>
                      <w:rFonts w:cs="Arial"/>
                    </w:rPr>
                    <w:t>ood practice identified however further assurance in relation to ownership of benefits at a strategic / organisation wide level is required</w:t>
                  </w:r>
                  <w:r>
                    <w:rPr>
                      <w:rFonts w:cs="Arial"/>
                    </w:rPr>
                    <w:t>.</w:t>
                  </w:r>
                </w:p>
                <w:p w:rsidR="00AB4AAE" w:rsidRPr="009C098E" w:rsidRDefault="00AB4AAE" w:rsidP="00AB4AAE">
                  <w:pPr>
                    <w:rPr>
                      <w:b/>
                      <w:i/>
                    </w:rPr>
                  </w:pPr>
                  <w:r w:rsidRPr="009C098E">
                    <w:rPr>
                      <w:rFonts w:cs="Arial"/>
                      <w:b/>
                      <w:i/>
                    </w:rPr>
                    <w:t>Action: ARC recommended a future Board discussion re benefits realisation strategy</w:t>
                  </w:r>
                </w:p>
              </w:tc>
            </w:tr>
          </w:tbl>
          <w:p w:rsidR="00A36BD7" w:rsidRPr="00520A87" w:rsidRDefault="00A36BD7" w:rsidP="00AB4AAE"/>
        </w:tc>
      </w:tr>
      <w:tr w:rsidR="00AB4AAE" w:rsidTr="009C098E">
        <w:tc>
          <w:tcPr>
            <w:tcW w:w="1702" w:type="dxa"/>
            <w:vMerge/>
            <w:shd w:val="clear" w:color="auto" w:fill="FBD4B4" w:themeFill="accent6" w:themeFillTint="66"/>
          </w:tcPr>
          <w:p w:rsidR="00AB4AAE" w:rsidRDefault="00AB4AAE" w:rsidP="00AB4AAE">
            <w:pPr>
              <w:ind w:right="-46"/>
              <w:rPr>
                <w:rFonts w:cs="Arial"/>
                <w:szCs w:val="28"/>
              </w:rPr>
            </w:pPr>
          </w:p>
        </w:tc>
        <w:tc>
          <w:tcPr>
            <w:tcW w:w="8222" w:type="dxa"/>
          </w:tcPr>
          <w:p w:rsidR="00AB4AAE" w:rsidRDefault="00A36BD7" w:rsidP="009C098E">
            <w:pPr>
              <w:shd w:val="clear" w:color="auto" w:fill="FBD4B4" w:themeFill="accent6" w:themeFillTint="66"/>
              <w:rPr>
                <w:b/>
              </w:rPr>
            </w:pPr>
            <w:r>
              <w:rPr>
                <w:b/>
              </w:rPr>
              <w:t xml:space="preserve">External </w:t>
            </w:r>
            <w:r w:rsidR="00AB4AAE">
              <w:rPr>
                <w:b/>
              </w:rPr>
              <w:t xml:space="preserve">Audit completion report </w:t>
            </w:r>
            <w:r>
              <w:rPr>
                <w:b/>
              </w:rPr>
              <w:t xml:space="preserve">- </w:t>
            </w:r>
            <w:r w:rsidR="00AB4AAE">
              <w:rPr>
                <w:b/>
              </w:rPr>
              <w:t xml:space="preserve">2016/17 financial statement </w:t>
            </w:r>
          </w:p>
          <w:p w:rsidR="00A36BD7" w:rsidRDefault="00A36BD7" w:rsidP="00520A87">
            <w:pPr>
              <w:rPr>
                <w:b/>
              </w:rPr>
            </w:pPr>
          </w:p>
          <w:p w:rsidR="00AB4AAE" w:rsidRDefault="00AB4AAE" w:rsidP="00520A87">
            <w:r w:rsidRPr="00A36BD7">
              <w:t xml:space="preserve">An </w:t>
            </w:r>
            <w:r w:rsidR="00A36BD7">
              <w:rPr>
                <w:b/>
              </w:rPr>
              <w:t>UNQUALIFIED OPINION</w:t>
            </w:r>
            <w:r w:rsidRPr="00A36BD7">
              <w:rPr>
                <w:b/>
              </w:rPr>
              <w:t xml:space="preserve"> </w:t>
            </w:r>
            <w:r w:rsidRPr="00A36BD7">
              <w:t>without modification was received</w:t>
            </w:r>
            <w:r w:rsidR="00A36BD7">
              <w:t>.</w:t>
            </w:r>
          </w:p>
          <w:p w:rsidR="00A36BD7" w:rsidRPr="00A36BD7" w:rsidRDefault="00A36BD7" w:rsidP="00520A87"/>
        </w:tc>
      </w:tr>
      <w:tr w:rsidR="00AB4AAE" w:rsidTr="009C098E">
        <w:tc>
          <w:tcPr>
            <w:tcW w:w="1702" w:type="dxa"/>
            <w:vMerge/>
            <w:shd w:val="clear" w:color="auto" w:fill="FBD4B4" w:themeFill="accent6" w:themeFillTint="66"/>
          </w:tcPr>
          <w:p w:rsidR="00AB4AAE" w:rsidRDefault="00AB4AAE" w:rsidP="00AB4AAE">
            <w:pPr>
              <w:ind w:right="-46"/>
              <w:rPr>
                <w:rFonts w:cs="Arial"/>
                <w:szCs w:val="28"/>
              </w:rPr>
            </w:pPr>
          </w:p>
        </w:tc>
        <w:tc>
          <w:tcPr>
            <w:tcW w:w="8222" w:type="dxa"/>
          </w:tcPr>
          <w:p w:rsidR="00A36BD7" w:rsidRDefault="00AB4AAE" w:rsidP="009C098E">
            <w:pPr>
              <w:shd w:val="clear" w:color="auto" w:fill="FBD4B4" w:themeFill="accent6" w:themeFillTint="66"/>
              <w:rPr>
                <w:b/>
              </w:rPr>
            </w:pPr>
            <w:r>
              <w:rPr>
                <w:b/>
              </w:rPr>
              <w:t>Annual report and accounts 2016/17</w:t>
            </w:r>
          </w:p>
          <w:p w:rsidR="009C098E" w:rsidRDefault="009C098E" w:rsidP="00520A87"/>
          <w:p w:rsidR="00AB4AAE" w:rsidRDefault="00AB4AAE" w:rsidP="00520A87">
            <w:r w:rsidRPr="00A36BD7">
              <w:t>The accounts were approved subject to a number of minor clarifications with the document subsequently updated and approved by the ARC out of session</w:t>
            </w:r>
            <w:r w:rsidR="00A36BD7">
              <w:t>.</w:t>
            </w:r>
          </w:p>
          <w:p w:rsidR="00A36BD7" w:rsidRPr="00A36BD7" w:rsidRDefault="00A36BD7" w:rsidP="00520A87"/>
        </w:tc>
      </w:tr>
      <w:tr w:rsidR="00AB4AAE" w:rsidTr="009C098E">
        <w:tc>
          <w:tcPr>
            <w:tcW w:w="1702" w:type="dxa"/>
            <w:vMerge/>
            <w:tcBorders>
              <w:bottom w:val="single" w:sz="4" w:space="0" w:color="auto"/>
            </w:tcBorders>
            <w:shd w:val="clear" w:color="auto" w:fill="FBD4B4" w:themeFill="accent6" w:themeFillTint="66"/>
          </w:tcPr>
          <w:p w:rsidR="00AB4AAE" w:rsidRDefault="00AB4AAE" w:rsidP="00AB4AAE">
            <w:pPr>
              <w:ind w:right="-46"/>
              <w:rPr>
                <w:rFonts w:cs="Arial"/>
                <w:szCs w:val="28"/>
              </w:rPr>
            </w:pPr>
          </w:p>
        </w:tc>
        <w:tc>
          <w:tcPr>
            <w:tcW w:w="8222" w:type="dxa"/>
          </w:tcPr>
          <w:p w:rsidR="00AB4AAE" w:rsidRDefault="00AB4AAE" w:rsidP="009C098E">
            <w:pPr>
              <w:shd w:val="clear" w:color="auto" w:fill="FBD4B4" w:themeFill="accent6" w:themeFillTint="66"/>
              <w:rPr>
                <w:b/>
              </w:rPr>
            </w:pPr>
            <w:r>
              <w:rPr>
                <w:b/>
              </w:rPr>
              <w:t>Cyber-attack on other NHS organisation</w:t>
            </w:r>
            <w:r w:rsidR="00A36BD7">
              <w:rPr>
                <w:b/>
              </w:rPr>
              <w:t>s</w:t>
            </w:r>
          </w:p>
          <w:p w:rsidR="00A36BD7" w:rsidRDefault="00A36BD7" w:rsidP="00520A87">
            <w:pPr>
              <w:rPr>
                <w:b/>
              </w:rPr>
            </w:pPr>
          </w:p>
          <w:p w:rsidR="00AB4AAE" w:rsidRDefault="00AB4AAE" w:rsidP="00520A87">
            <w:r w:rsidRPr="00520A87">
              <w:t>The Committee discussed the recent attack, noting the HRA had not been affected, with an update to be brought to the subsequent Board meeting. The Committee was assured the business continuity plans are currently being reviewed.</w:t>
            </w:r>
          </w:p>
          <w:p w:rsidR="00A36BD7" w:rsidRPr="00520A87" w:rsidRDefault="00A36BD7" w:rsidP="00520A87"/>
        </w:tc>
      </w:tr>
      <w:tr w:rsidR="00917849" w:rsidTr="009C098E">
        <w:tc>
          <w:tcPr>
            <w:tcW w:w="1702" w:type="dxa"/>
            <w:shd w:val="clear" w:color="auto" w:fill="FBD4B4" w:themeFill="accent6" w:themeFillTint="66"/>
          </w:tcPr>
          <w:p w:rsidR="00917849" w:rsidRPr="00A36BD7" w:rsidRDefault="009C098E" w:rsidP="00AB4AAE">
            <w:pPr>
              <w:ind w:right="-46"/>
              <w:rPr>
                <w:rFonts w:cs="Arial"/>
                <w:b/>
                <w:szCs w:val="28"/>
              </w:rPr>
            </w:pPr>
            <w:r>
              <w:rPr>
                <w:rFonts w:cs="Arial"/>
                <w:b/>
                <w:szCs w:val="28"/>
              </w:rPr>
              <w:t>UPCOMING MEETING ITEMS</w:t>
            </w:r>
          </w:p>
          <w:p w:rsidR="006B5B32" w:rsidRDefault="006B5B32" w:rsidP="00AB4AAE">
            <w:pPr>
              <w:ind w:right="-46"/>
              <w:rPr>
                <w:rFonts w:cs="Arial"/>
                <w:szCs w:val="28"/>
              </w:rPr>
            </w:pPr>
          </w:p>
        </w:tc>
        <w:tc>
          <w:tcPr>
            <w:tcW w:w="8222" w:type="dxa"/>
          </w:tcPr>
          <w:p w:rsidR="006B5B32" w:rsidRDefault="006B5B32" w:rsidP="000E5951">
            <w:pPr>
              <w:pStyle w:val="ListParagraph"/>
              <w:numPr>
                <w:ilvl w:val="0"/>
                <w:numId w:val="2"/>
              </w:numPr>
            </w:pPr>
            <w:r>
              <w:t xml:space="preserve">Review </w:t>
            </w:r>
            <w:r w:rsidR="00A36BD7">
              <w:t>scheme of delegation</w:t>
            </w:r>
          </w:p>
          <w:p w:rsidR="00917849" w:rsidRPr="00A36BD7" w:rsidRDefault="006B5B32" w:rsidP="000E5951">
            <w:pPr>
              <w:pStyle w:val="ListParagraph"/>
              <w:numPr>
                <w:ilvl w:val="0"/>
                <w:numId w:val="2"/>
              </w:numPr>
              <w:ind w:right="-46"/>
              <w:rPr>
                <w:rFonts w:cs="Arial"/>
                <w:szCs w:val="28"/>
              </w:rPr>
            </w:pPr>
            <w:r w:rsidRPr="00A36BD7">
              <w:rPr>
                <w:rFonts w:cs="Arial"/>
                <w:szCs w:val="28"/>
              </w:rPr>
              <w:t>Review ARC governance and effectiveness</w:t>
            </w:r>
            <w:r w:rsidR="000E5951">
              <w:rPr>
                <w:rFonts w:cs="Arial"/>
                <w:szCs w:val="28"/>
              </w:rPr>
              <w:t xml:space="preserve"> recommendations one year on</w:t>
            </w:r>
          </w:p>
          <w:p w:rsidR="006B5B32" w:rsidRDefault="009C098E" w:rsidP="000E5951">
            <w:pPr>
              <w:pStyle w:val="ListParagraph"/>
              <w:numPr>
                <w:ilvl w:val="0"/>
                <w:numId w:val="2"/>
              </w:numPr>
              <w:ind w:right="-46"/>
              <w:rPr>
                <w:rFonts w:cs="Arial"/>
                <w:szCs w:val="28"/>
              </w:rPr>
            </w:pPr>
            <w:r>
              <w:rPr>
                <w:rFonts w:cs="Arial"/>
                <w:szCs w:val="28"/>
              </w:rPr>
              <w:t>Discuss approach for</w:t>
            </w:r>
            <w:r w:rsidR="006B5B32" w:rsidRPr="00A36BD7">
              <w:rPr>
                <w:rFonts w:cs="Arial"/>
                <w:szCs w:val="28"/>
              </w:rPr>
              <w:t xml:space="preserve"> Board risk strategy session</w:t>
            </w:r>
          </w:p>
          <w:p w:rsidR="000E5951" w:rsidRDefault="000E5951" w:rsidP="000E5951">
            <w:pPr>
              <w:pStyle w:val="ListParagraph"/>
              <w:numPr>
                <w:ilvl w:val="0"/>
                <w:numId w:val="2"/>
              </w:numPr>
              <w:ind w:right="-46"/>
              <w:rPr>
                <w:rFonts w:cs="Arial"/>
                <w:szCs w:val="28"/>
              </w:rPr>
            </w:pPr>
            <w:r>
              <w:rPr>
                <w:rFonts w:cs="Arial"/>
                <w:szCs w:val="28"/>
              </w:rPr>
              <w:t>Review Q</w:t>
            </w:r>
            <w:r w:rsidR="009C098E">
              <w:rPr>
                <w:rFonts w:cs="Arial"/>
                <w:szCs w:val="28"/>
              </w:rPr>
              <w:t>uarter one</w:t>
            </w:r>
            <w:r>
              <w:rPr>
                <w:rFonts w:cs="Arial"/>
                <w:szCs w:val="28"/>
              </w:rPr>
              <w:t xml:space="preserve"> risk register (new format)</w:t>
            </w:r>
          </w:p>
          <w:p w:rsidR="000E5951" w:rsidRDefault="000E5951" w:rsidP="000E5951">
            <w:pPr>
              <w:pStyle w:val="ListParagraph"/>
              <w:numPr>
                <w:ilvl w:val="0"/>
                <w:numId w:val="2"/>
              </w:numPr>
              <w:ind w:right="-46"/>
              <w:rPr>
                <w:rFonts w:cs="Arial"/>
                <w:szCs w:val="28"/>
              </w:rPr>
            </w:pPr>
            <w:r>
              <w:rPr>
                <w:rFonts w:cs="Arial"/>
                <w:szCs w:val="28"/>
              </w:rPr>
              <w:t>Risk deep dive (stakeholder / communications)</w:t>
            </w:r>
          </w:p>
          <w:p w:rsidR="000E5951" w:rsidRDefault="000E5951" w:rsidP="000E5951">
            <w:pPr>
              <w:pStyle w:val="ListParagraph"/>
              <w:numPr>
                <w:ilvl w:val="0"/>
                <w:numId w:val="2"/>
              </w:numPr>
              <w:ind w:right="-46"/>
              <w:rPr>
                <w:rFonts w:cs="Arial"/>
                <w:szCs w:val="28"/>
              </w:rPr>
            </w:pPr>
            <w:r>
              <w:rPr>
                <w:rFonts w:cs="Arial"/>
                <w:szCs w:val="28"/>
              </w:rPr>
              <w:t>Review Information Governance Steering Group Annual Report 2016/17</w:t>
            </w:r>
          </w:p>
          <w:p w:rsidR="000E5951" w:rsidRDefault="000E5951" w:rsidP="000E5951">
            <w:pPr>
              <w:pStyle w:val="ListParagraph"/>
              <w:numPr>
                <w:ilvl w:val="0"/>
                <w:numId w:val="2"/>
              </w:numPr>
            </w:pPr>
            <w:r>
              <w:t>Review HGIAS Assurance reports</w:t>
            </w:r>
            <w:bookmarkStart w:id="0" w:name="_GoBack"/>
            <w:bookmarkEnd w:id="0"/>
          </w:p>
          <w:p w:rsidR="009C098E" w:rsidRDefault="009C098E" w:rsidP="000E5951">
            <w:pPr>
              <w:pStyle w:val="ListParagraph"/>
              <w:numPr>
                <w:ilvl w:val="0"/>
                <w:numId w:val="2"/>
              </w:numPr>
            </w:pPr>
            <w:r>
              <w:t>Review HRA Assurance mapping work</w:t>
            </w:r>
          </w:p>
          <w:p w:rsidR="000E5951" w:rsidRDefault="000E5951" w:rsidP="000E5951">
            <w:pPr>
              <w:pStyle w:val="ListParagraph"/>
              <w:numPr>
                <w:ilvl w:val="0"/>
                <w:numId w:val="2"/>
              </w:numPr>
            </w:pPr>
            <w:r>
              <w:t>Review delivery of HRA HGIAS Audit Plan 2017/18</w:t>
            </w:r>
          </w:p>
          <w:p w:rsidR="000E5951" w:rsidRDefault="000E5951" w:rsidP="000E5951">
            <w:pPr>
              <w:pStyle w:val="ListParagraph"/>
              <w:numPr>
                <w:ilvl w:val="0"/>
                <w:numId w:val="2"/>
              </w:numPr>
            </w:pPr>
            <w:r>
              <w:t>Review Audit recommendations tracker</w:t>
            </w:r>
          </w:p>
          <w:p w:rsidR="000E5951" w:rsidRDefault="000E5951" w:rsidP="000E5951">
            <w:pPr>
              <w:pStyle w:val="ListParagraph"/>
              <w:numPr>
                <w:ilvl w:val="0"/>
                <w:numId w:val="2"/>
              </w:numPr>
            </w:pPr>
            <w:r>
              <w:t>Note S</w:t>
            </w:r>
            <w:r w:rsidR="009C098E">
              <w:t>ingle Tender Actions</w:t>
            </w:r>
            <w:r>
              <w:t xml:space="preserve"> / Losses and special payments / Gift register </w:t>
            </w:r>
          </w:p>
          <w:p w:rsidR="000E5951" w:rsidRPr="00A36BD7" w:rsidRDefault="000E5951" w:rsidP="000E5951">
            <w:pPr>
              <w:pStyle w:val="ListParagraph"/>
              <w:ind w:right="-46"/>
              <w:rPr>
                <w:rFonts w:cs="Arial"/>
                <w:szCs w:val="28"/>
              </w:rPr>
            </w:pP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p>
    <w:sectPr w:rsidR="00917849" w:rsidSect="00917849">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49" w:rsidRDefault="00917849">
    <w:pPr>
      <w:pStyle w:val="Header"/>
    </w:pPr>
    <w:r>
      <w:rPr>
        <w:noProof/>
        <w:lang w:eastAsia="en-GB"/>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E5951"/>
    <w:rsid w:val="001228DF"/>
    <w:rsid w:val="00367375"/>
    <w:rsid w:val="00520A87"/>
    <w:rsid w:val="006B5B32"/>
    <w:rsid w:val="00917849"/>
    <w:rsid w:val="009C098E"/>
    <w:rsid w:val="00A36BD7"/>
    <w:rsid w:val="00AB4AAE"/>
    <w:rsid w:val="00E6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1</cp:revision>
  <dcterms:created xsi:type="dcterms:W3CDTF">2017-07-11T12:26:00Z</dcterms:created>
  <dcterms:modified xsi:type="dcterms:W3CDTF">2017-07-11T13:58:00Z</dcterms:modified>
</cp:coreProperties>
</file>