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C622F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16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C622F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K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July 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and Risk Committee meeting summary – 06 June 2017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ign off of previous meeting minutes by the Audit and Risk Committee is required</w:t>
            </w:r>
            <w:r>
              <w:rPr>
                <w:rFonts w:asciiTheme="minorHAnsi" w:hAnsiTheme="minorHAnsi" w:cstheme="minorHAnsi"/>
              </w:rPr>
              <w:t xml:space="preserve"> prior to circulation to Board. This can </w:t>
            </w:r>
            <w:r>
              <w:rPr>
                <w:rFonts w:asciiTheme="minorHAnsi" w:hAnsiTheme="minorHAnsi" w:cstheme="minorHAnsi"/>
              </w:rPr>
              <w:t>delay reporting to Board by four to five months</w:t>
            </w:r>
            <w:r>
              <w:rPr>
                <w:rFonts w:asciiTheme="minorHAnsi" w:hAnsiTheme="minorHAnsi" w:cstheme="minorHAnsi"/>
              </w:rPr>
              <w:t xml:space="preserve"> therefore to ensure timelier reporting a meeting summary will be provided as opposed to the meeting minutes. </w:t>
            </w:r>
          </w:p>
          <w:p w:rsidR="00C622F0" w:rsidRDefault="00C622F0" w:rsidP="00AE2C5E">
            <w:pPr>
              <w:rPr>
                <w:rFonts w:asciiTheme="minorHAnsi" w:hAnsiTheme="minorHAnsi" w:cstheme="minorHAnsi"/>
              </w:rPr>
            </w:pPr>
          </w:p>
          <w:p w:rsidR="00C622F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report will detail key business areas conducted at the last Audit and Risk Committee meeting alongside any areas requiring Board attention and upcoming items of business.</w:t>
            </w:r>
          </w:p>
          <w:p w:rsidR="00C622F0" w:rsidRDefault="00C622F0" w:rsidP="00AE2C5E">
            <w:pPr>
              <w:rPr>
                <w:rFonts w:asciiTheme="minorHAnsi" w:hAnsiTheme="minorHAnsi" w:cstheme="minorHAnsi"/>
              </w:rPr>
            </w:pPr>
          </w:p>
          <w:p w:rsidR="00C622F0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the most recent meeting the main focus of the Audit and Risk Committee was the review and subsequent approval of the 2016/17 HRA Annual Report and Accounts.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12/07/2017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BFD5EE-6109-4D7A-99E8-383A32F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2017-07-12T13:56:00Z</dcterms:created>
  <dcterms:modified xsi:type="dcterms:W3CDTF">2017-07-12T14:07:00Z</dcterms:modified>
</cp:coreProperties>
</file>