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Pr="006F6FE0" w:rsidRDefault="0063397F" w:rsidP="006F6FE0">
      <w:pPr>
        <w:pStyle w:val="NoSpacing"/>
        <w:spacing w:line="276" w:lineRule="auto"/>
        <w:jc w:val="right"/>
        <w:rPr>
          <w:rFonts w:ascii="Arial" w:hAnsi="Arial" w:cs="Arial"/>
          <w:b/>
          <w:noProof/>
          <w:sz w:val="24"/>
          <w:szCs w:val="24"/>
          <w:lang w:val="en-GB" w:eastAsia="en-GB"/>
        </w:rPr>
      </w:pPr>
    </w:p>
    <w:p w:rsidR="001B0E16" w:rsidRPr="006F6FE0" w:rsidRDefault="001B0E16" w:rsidP="006F6FE0">
      <w:pPr>
        <w:pStyle w:val="NoSpacing"/>
        <w:spacing w:line="276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RPr="006F6FE0" w:rsidTr="00E068B3">
        <w:tc>
          <w:tcPr>
            <w:tcW w:w="3420" w:type="dxa"/>
          </w:tcPr>
          <w:p w:rsidR="00E068B3" w:rsidRPr="007E0AA2" w:rsidRDefault="00E068B3" w:rsidP="006F6FE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7E0AA2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8C4EBF" w:rsidRDefault="008C4EBF" w:rsidP="006F6FE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44"/>
                <w:szCs w:val="24"/>
                <w:lang w:val="en-GB"/>
              </w:rPr>
            </w:pPr>
            <w:r w:rsidRPr="008C4EBF">
              <w:rPr>
                <w:rFonts w:asciiTheme="minorHAnsi" w:hAnsiTheme="minorHAnsi" w:cstheme="minorHAnsi"/>
                <w:b/>
                <w:sz w:val="44"/>
                <w:szCs w:val="24"/>
                <w:lang w:val="en-GB"/>
              </w:rPr>
              <w:t>13</w:t>
            </w:r>
          </w:p>
        </w:tc>
      </w:tr>
      <w:tr w:rsidR="00E068B3" w:rsidRPr="006F6FE0" w:rsidTr="00E068B3">
        <w:tc>
          <w:tcPr>
            <w:tcW w:w="3420" w:type="dxa"/>
          </w:tcPr>
          <w:p w:rsidR="00E068B3" w:rsidRPr="007E0AA2" w:rsidRDefault="00E068B3" w:rsidP="006F6FE0">
            <w:pPr>
              <w:pStyle w:val="NoSpacing"/>
              <w:spacing w:line="276" w:lineRule="auto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7E0AA2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8C4EBF" w:rsidRDefault="008C4EBF" w:rsidP="006F6FE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sz w:val="44"/>
                <w:szCs w:val="24"/>
                <w:lang w:val="en-GB"/>
              </w:rPr>
            </w:pPr>
            <w:r w:rsidRPr="008C4EBF">
              <w:rPr>
                <w:rFonts w:asciiTheme="minorHAnsi" w:hAnsiTheme="minorHAnsi" w:cstheme="minorHAnsi"/>
                <w:b/>
                <w:sz w:val="44"/>
                <w:szCs w:val="24"/>
                <w:lang w:val="en-GB"/>
              </w:rPr>
              <w:t>H</w:t>
            </w:r>
          </w:p>
        </w:tc>
      </w:tr>
    </w:tbl>
    <w:p w:rsidR="0000688A" w:rsidRPr="006F6FE0" w:rsidRDefault="0000688A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Pr="006F6FE0" w:rsidRDefault="00E068B3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Pr="006F6FE0" w:rsidRDefault="00E068B3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E0AA2" w:rsidRPr="006F6FE0" w:rsidRDefault="007E0AA2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7E0AA2" w:rsidRDefault="001B0E16" w:rsidP="007E0AA2">
      <w:pPr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E0AA2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F9157E" w:rsidRPr="007E0AA2">
        <w:rPr>
          <w:rFonts w:asciiTheme="minorHAnsi" w:hAnsiTheme="minorHAnsi" w:cstheme="minorHAnsi"/>
          <w:b/>
          <w:sz w:val="44"/>
          <w:szCs w:val="44"/>
        </w:rPr>
        <w:t>BOARD</w:t>
      </w:r>
      <w:r w:rsidRPr="007E0AA2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Pr="006F6FE0" w:rsidRDefault="00151DBF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6F6FE0" w:rsidTr="009E18CA">
        <w:tc>
          <w:tcPr>
            <w:tcW w:w="3085" w:type="dxa"/>
          </w:tcPr>
          <w:p w:rsidR="00151DBF" w:rsidRPr="006F6FE0" w:rsidRDefault="00151DBF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</w:tc>
        <w:tc>
          <w:tcPr>
            <w:tcW w:w="5954" w:type="dxa"/>
          </w:tcPr>
          <w:p w:rsidR="00C90060" w:rsidRPr="006F6FE0" w:rsidRDefault="00F9157E" w:rsidP="006F6FE0">
            <w:pPr>
              <w:spacing w:after="240" w:line="276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13/04</w:t>
            </w:r>
            <w:r w:rsidR="00E9410E" w:rsidRPr="006F6FE0">
              <w:rPr>
                <w:rFonts w:asciiTheme="minorHAnsi" w:hAnsiTheme="minorHAnsi" w:cstheme="minorHAnsi"/>
                <w:sz w:val="24"/>
                <w:szCs w:val="24"/>
              </w:rPr>
              <w:t>/2016</w:t>
            </w:r>
            <w:bookmarkStart w:id="0" w:name="_GoBack"/>
            <w:bookmarkEnd w:id="0"/>
          </w:p>
        </w:tc>
      </w:tr>
    </w:tbl>
    <w:p w:rsidR="00151DBF" w:rsidRPr="006F6FE0" w:rsidRDefault="00151DBF" w:rsidP="006F6FE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6F6FE0" w:rsidTr="009E18CA">
        <w:tc>
          <w:tcPr>
            <w:tcW w:w="3085" w:type="dxa"/>
          </w:tcPr>
          <w:p w:rsidR="00C90060" w:rsidRPr="006F6FE0" w:rsidRDefault="0000688A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Title of Paper:</w:t>
            </w:r>
          </w:p>
        </w:tc>
        <w:tc>
          <w:tcPr>
            <w:tcW w:w="5954" w:type="dxa"/>
          </w:tcPr>
          <w:p w:rsidR="0000688A" w:rsidRPr="006F6FE0" w:rsidRDefault="00E9410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The Health Service (Control of Patient Information) Regulations 2002: regulation 5 decision procedure</w:t>
            </w:r>
          </w:p>
        </w:tc>
      </w:tr>
      <w:tr w:rsidR="0082258E" w:rsidRPr="006F6FE0" w:rsidTr="009E18CA">
        <w:tc>
          <w:tcPr>
            <w:tcW w:w="3085" w:type="dxa"/>
          </w:tcPr>
          <w:p w:rsidR="0082258E" w:rsidRPr="006F6FE0" w:rsidRDefault="0082258E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</w:tc>
        <w:tc>
          <w:tcPr>
            <w:tcW w:w="5954" w:type="dxa"/>
          </w:tcPr>
          <w:p w:rsidR="0000688A" w:rsidRPr="006F6FE0" w:rsidRDefault="00E9410E" w:rsidP="006F6FE0">
            <w:pPr>
              <w:spacing w:after="240" w:line="276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To set out the procedure for HRA to make decisions about applications to process confidential patient information</w:t>
            </w:r>
            <w:r w:rsidR="00F9157E" w:rsidRPr="006F6FE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 without consent</w:t>
            </w:r>
            <w:r w:rsidR="00F9157E" w:rsidRPr="006F6FE0">
              <w:rPr>
                <w:rFonts w:asciiTheme="minorHAnsi" w:hAnsiTheme="minorHAnsi" w:cstheme="minorHAnsi"/>
                <w:sz w:val="24"/>
                <w:szCs w:val="24"/>
              </w:rPr>
              <w:t>, for medical research purposes</w:t>
            </w:r>
          </w:p>
        </w:tc>
      </w:tr>
      <w:tr w:rsidR="0082258E" w:rsidRPr="006F6FE0" w:rsidTr="009E18CA">
        <w:tc>
          <w:tcPr>
            <w:tcW w:w="3085" w:type="dxa"/>
          </w:tcPr>
          <w:p w:rsidR="0082258E" w:rsidRPr="006F6FE0" w:rsidRDefault="0082258E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</w:tc>
        <w:tc>
          <w:tcPr>
            <w:tcW w:w="5954" w:type="dxa"/>
          </w:tcPr>
          <w:p w:rsidR="00F9157E" w:rsidRPr="006F6FE0" w:rsidRDefault="00F9157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(1) To reassure the board that there is a transparent documented procedure for </w:t>
            </w:r>
            <w:r w:rsidR="00325F26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performing 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this statutory function</w:t>
            </w:r>
          </w:p>
          <w:p w:rsidR="0000688A" w:rsidRPr="006F6FE0" w:rsidRDefault="00F9157E" w:rsidP="006F6FE0">
            <w:pPr>
              <w:spacing w:after="240" w:line="276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(2) To seek board sign-off for the procedure prior to </w:t>
            </w:r>
            <w:r w:rsidR="00543EBD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its 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publication</w:t>
            </w:r>
          </w:p>
        </w:tc>
      </w:tr>
      <w:tr w:rsidR="00C90060" w:rsidRPr="006F6FE0" w:rsidTr="009E18CA">
        <w:tc>
          <w:tcPr>
            <w:tcW w:w="3085" w:type="dxa"/>
          </w:tcPr>
          <w:p w:rsidR="009E18CA" w:rsidRPr="006F6FE0" w:rsidRDefault="00352595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</w:tc>
        <w:tc>
          <w:tcPr>
            <w:tcW w:w="5954" w:type="dxa"/>
          </w:tcPr>
          <w:p w:rsidR="00F9157E" w:rsidRPr="006F6FE0" w:rsidRDefault="00F9157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This paper sets out the procedure by which HRA </w:t>
            </w:r>
            <w:proofErr w:type="gramStart"/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staff arrive</w:t>
            </w:r>
            <w:proofErr w:type="gramEnd"/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 at </w:t>
            </w:r>
            <w:r w:rsidR="006F6FE0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approval 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decisions following advice from the Confidentiality Advisory Group</w:t>
            </w:r>
            <w:r w:rsidR="007E0AA2">
              <w:rPr>
                <w:rFonts w:asciiTheme="minorHAnsi" w:hAnsiTheme="minorHAnsi" w:cstheme="minorHAnsi"/>
                <w:sz w:val="24"/>
                <w:szCs w:val="24"/>
              </w:rPr>
              <w:t xml:space="preserve"> (CAG)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. It has been subject to review by the Corporate Secretary and Confidentiality Advice Team</w:t>
            </w:r>
            <w:r w:rsidR="007E0AA2">
              <w:rPr>
                <w:rFonts w:asciiTheme="minorHAnsi" w:hAnsiTheme="minorHAnsi" w:cstheme="minorHAnsi"/>
                <w:sz w:val="24"/>
                <w:szCs w:val="24"/>
              </w:rPr>
              <w:t xml:space="preserve"> (CAT)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, as well as EMT.</w:t>
            </w:r>
          </w:p>
          <w:p w:rsidR="007E0AA2" w:rsidRDefault="00F9157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The paper documents </w:t>
            </w:r>
            <w:r w:rsidR="00543EBD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the decision-making 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procedure that has been followed since HRA acquired the function</w:t>
            </w:r>
            <w:r w:rsidR="00543EBD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 by Direction in 2011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43EBD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The substance of this </w:t>
            </w: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procedure is therefore tried and tested</w:t>
            </w:r>
            <w:r w:rsidR="00325F26" w:rsidRPr="006F6FE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25F26" w:rsidRPr="006F6FE0" w:rsidRDefault="00325F26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The only new matter of note is that the paper also </w:t>
            </w:r>
            <w:r w:rsidR="006F6FE0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sets out arrangements </w:t>
            </w:r>
            <w:r w:rsidR="00543EBD" w:rsidRPr="006F6FE0">
              <w:rPr>
                <w:rFonts w:asciiTheme="minorHAnsi" w:hAnsiTheme="minorHAnsi" w:cstheme="minorHAnsi"/>
                <w:sz w:val="24"/>
                <w:szCs w:val="24"/>
              </w:rPr>
              <w:t>for HRA to review its decisions, as required by the Care Act 2014.</w:t>
            </w:r>
            <w:r w:rsidR="007E0AA2">
              <w:rPr>
                <w:rFonts w:asciiTheme="minorHAnsi" w:hAnsiTheme="minorHAnsi" w:cstheme="minorHAnsi"/>
                <w:sz w:val="24"/>
                <w:szCs w:val="24"/>
              </w:rPr>
              <w:t xml:space="preserve"> These arrangements were developed by the Chief Executive, CAG chair and CAT.</w:t>
            </w:r>
          </w:p>
          <w:p w:rsidR="00C90060" w:rsidRPr="006F6FE0" w:rsidRDefault="00325F26" w:rsidP="006F6FE0">
            <w:pPr>
              <w:spacing w:after="240" w:line="276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The board is asked to approve the procedure.</w:t>
            </w:r>
          </w:p>
        </w:tc>
      </w:tr>
      <w:tr w:rsidR="0000688A" w:rsidRPr="006F6FE0" w:rsidTr="009E18CA">
        <w:tc>
          <w:tcPr>
            <w:tcW w:w="3085" w:type="dxa"/>
          </w:tcPr>
          <w:p w:rsidR="00C90060" w:rsidRPr="006F6FE0" w:rsidRDefault="0000688A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Suitable for wider circulation?</w:t>
            </w:r>
          </w:p>
        </w:tc>
        <w:tc>
          <w:tcPr>
            <w:tcW w:w="5954" w:type="dxa"/>
          </w:tcPr>
          <w:p w:rsidR="00F51E3D" w:rsidRPr="006F6FE0" w:rsidRDefault="00352595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  <w:tr w:rsidR="00C90060" w:rsidRPr="006F6FE0" w:rsidTr="009E18CA">
        <w:tc>
          <w:tcPr>
            <w:tcW w:w="3085" w:type="dxa"/>
          </w:tcPr>
          <w:p w:rsidR="00C90060" w:rsidRPr="006F6FE0" w:rsidRDefault="00C90060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Time required for item:</w:t>
            </w:r>
          </w:p>
        </w:tc>
        <w:tc>
          <w:tcPr>
            <w:tcW w:w="5954" w:type="dxa"/>
          </w:tcPr>
          <w:p w:rsidR="009E18CA" w:rsidRPr="006F6FE0" w:rsidRDefault="00325F26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E9410E" w:rsidRPr="006F6FE0">
              <w:rPr>
                <w:rFonts w:asciiTheme="minorHAnsi" w:hAnsiTheme="minorHAnsi" w:cstheme="minorHAnsi"/>
                <w:sz w:val="24"/>
                <w:szCs w:val="24"/>
              </w:rPr>
              <w:t xml:space="preserve"> mins</w:t>
            </w:r>
          </w:p>
        </w:tc>
      </w:tr>
    </w:tbl>
    <w:p w:rsidR="00E93D47" w:rsidRPr="006F6FE0" w:rsidRDefault="00E93D47" w:rsidP="006F6FE0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92"/>
        <w:gridCol w:w="3690"/>
        <w:gridCol w:w="1062"/>
      </w:tblGrid>
      <w:tr w:rsidR="00E93D47" w:rsidRPr="006F6FE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6F6FE0" w:rsidRDefault="00E93D47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6F6FE0" w:rsidRDefault="00352595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To a</w:t>
            </w:r>
            <w:r w:rsidR="00E93D47"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6F6FE0" w:rsidRDefault="00E9410E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  <w:tr w:rsidR="00E93D47" w:rsidRPr="006F6FE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6F6FE0" w:rsidRDefault="00E93D47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6F6FE0" w:rsidRDefault="00352595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For information / t</w:t>
            </w:r>
            <w:r w:rsidR="00E93D47"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</w:t>
            </w: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E93D47"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6F6FE0" w:rsidRDefault="00E93D47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B043D" w:rsidRPr="006F6FE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6F6FE0" w:rsidRDefault="008B043D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6F6FE0" w:rsidRDefault="00352595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For d</w:t>
            </w:r>
            <w:r w:rsidR="008B043D"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6F6FE0" w:rsidRDefault="008B043D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93D47" w:rsidRPr="006F6FE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6F6FE0" w:rsidRDefault="00E93D47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6F6FE0" w:rsidRDefault="00E93D47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6F6FE0" w:rsidRDefault="00E93D47" w:rsidP="006F6FE0">
            <w:pPr>
              <w:spacing w:after="24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93D47" w:rsidRPr="006F6FE0" w:rsidRDefault="00E93D47" w:rsidP="006F6FE0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6F6FE0" w:rsidTr="009E18CA">
        <w:tc>
          <w:tcPr>
            <w:tcW w:w="2628" w:type="dxa"/>
          </w:tcPr>
          <w:p w:rsidR="00151DBF" w:rsidRPr="006F6FE0" w:rsidRDefault="00151DBF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6411" w:type="dxa"/>
          </w:tcPr>
          <w:p w:rsidR="00151DBF" w:rsidRPr="006F6FE0" w:rsidRDefault="00E9410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Bill Davidson</w:t>
            </w:r>
          </w:p>
        </w:tc>
      </w:tr>
      <w:tr w:rsidR="00151DBF" w:rsidRPr="006F6FE0" w:rsidTr="009E18CA">
        <w:tc>
          <w:tcPr>
            <w:tcW w:w="2628" w:type="dxa"/>
          </w:tcPr>
          <w:p w:rsidR="00151DBF" w:rsidRPr="006F6FE0" w:rsidRDefault="00151DBF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</w:tc>
        <w:tc>
          <w:tcPr>
            <w:tcW w:w="6411" w:type="dxa"/>
          </w:tcPr>
          <w:p w:rsidR="00151DBF" w:rsidRPr="006F6FE0" w:rsidRDefault="00E9410E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HRA Policy Projects Lead</w:t>
            </w:r>
          </w:p>
        </w:tc>
      </w:tr>
      <w:tr w:rsidR="00151DBF" w:rsidRPr="006F6FE0" w:rsidTr="009E18CA">
        <w:tc>
          <w:tcPr>
            <w:tcW w:w="2628" w:type="dxa"/>
          </w:tcPr>
          <w:p w:rsidR="00151DBF" w:rsidRPr="006F6FE0" w:rsidRDefault="00151DBF" w:rsidP="006F6FE0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6411" w:type="dxa"/>
          </w:tcPr>
          <w:p w:rsidR="00151DBF" w:rsidRPr="006F6FE0" w:rsidRDefault="006F6FE0" w:rsidP="006F6FE0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F6FE0">
              <w:rPr>
                <w:rFonts w:asciiTheme="minorHAnsi" w:hAnsiTheme="minorHAnsi" w:cstheme="minorHAnsi"/>
                <w:sz w:val="24"/>
                <w:szCs w:val="24"/>
              </w:rPr>
              <w:t>05/04</w:t>
            </w:r>
            <w:r w:rsidR="00E9410E" w:rsidRPr="006F6FE0">
              <w:rPr>
                <w:rFonts w:asciiTheme="minorHAnsi" w:hAnsiTheme="minorHAnsi" w:cstheme="minorHAnsi"/>
                <w:sz w:val="24"/>
                <w:szCs w:val="24"/>
              </w:rPr>
              <w:t>/2016</w:t>
            </w:r>
          </w:p>
        </w:tc>
      </w:tr>
    </w:tbl>
    <w:p w:rsidR="00151DBF" w:rsidRPr="006F6FE0" w:rsidRDefault="00151DBF" w:rsidP="006F6FE0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151DBF" w:rsidRPr="006F6FE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B7AB9C8" wp14:editId="5E360D6A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D7A97" wp14:editId="4C44DFF3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0E7557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352595">
      <w:rPr>
        <w:rFonts w:asciiTheme="minorHAnsi" w:hAnsiTheme="minorHAnsi" w:cstheme="minorHAnsi"/>
        <w:sz w:val="18"/>
        <w:szCs w:val="18"/>
      </w:rPr>
      <w:t>January 2016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530F259C" wp14:editId="0722B0C2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E3C935" wp14:editId="35AAE214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BiEmnv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F51E3D" w:rsidRPr="00C90060" w:rsidRDefault="000E7557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F51E3D">
      <w:rPr>
        <w:rFonts w:asciiTheme="minorHAnsi" w:hAnsiTheme="minorHAnsi" w:cstheme="minorHAnsi"/>
        <w:sz w:val="18"/>
        <w:szCs w:val="18"/>
      </w:rPr>
      <w:t xml:space="preserve"> Cover Sheet (January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51E3D" w:rsidP="00F51E3D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6A85CD94" wp14:editId="2A2C9F7A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E7557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25F26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3EBD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6FE0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0AA2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4EBF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2FBC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410E"/>
    <w:rsid w:val="00E9533B"/>
    <w:rsid w:val="00EA73C0"/>
    <w:rsid w:val="00EB1CFA"/>
    <w:rsid w:val="00EC6545"/>
    <w:rsid w:val="00ED723B"/>
    <w:rsid w:val="00ED7497"/>
    <w:rsid w:val="00EE0557"/>
    <w:rsid w:val="00EE200F"/>
    <w:rsid w:val="00EE3EEA"/>
    <w:rsid w:val="00EE4784"/>
    <w:rsid w:val="00EE5E52"/>
    <w:rsid w:val="00EF1675"/>
    <w:rsid w:val="00EF1E64"/>
    <w:rsid w:val="00EF3A3D"/>
    <w:rsid w:val="00EF727C"/>
    <w:rsid w:val="00F04B9D"/>
    <w:rsid w:val="00F126A6"/>
    <w:rsid w:val="00F13444"/>
    <w:rsid w:val="00F207D7"/>
    <w:rsid w:val="00F227F0"/>
    <w:rsid w:val="00F51E3D"/>
    <w:rsid w:val="00F568DC"/>
    <w:rsid w:val="00F650DF"/>
    <w:rsid w:val="00F76AFA"/>
    <w:rsid w:val="00F87165"/>
    <w:rsid w:val="00F9157E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0CC57-4652-4782-88F8-12F4F800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Davidson</dc:creator>
  <cp:lastModifiedBy>Steve Tebbutt</cp:lastModifiedBy>
  <cp:revision>5</cp:revision>
  <cp:lastPrinted>2013-01-08T15:55:00Z</cp:lastPrinted>
  <dcterms:created xsi:type="dcterms:W3CDTF">2016-04-05T13:31:00Z</dcterms:created>
  <dcterms:modified xsi:type="dcterms:W3CDTF">2016-04-06T12:14:00Z</dcterms:modified>
</cp:coreProperties>
</file>