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2E" w:rsidRDefault="002D0957" w:rsidP="00AD76CF">
      <w:pPr>
        <w:rPr>
          <w:rFonts w:ascii="Arial" w:hAnsi="Arial" w:cs="Arial"/>
          <w:b/>
          <w:sz w:val="22"/>
          <w:szCs w:val="22"/>
          <w:lang w:val="en-US"/>
        </w:rPr>
      </w:pPr>
      <w:r>
        <w:rPr>
          <w:rFonts w:ascii="Arial" w:hAnsi="Arial" w:cs="Arial"/>
          <w:b/>
          <w:sz w:val="22"/>
          <w:szCs w:val="22"/>
        </w:rPr>
        <w:t>Financial Plan</w:t>
      </w:r>
      <w:r w:rsidR="00AD76CF" w:rsidRPr="00AD76CF">
        <w:rPr>
          <w:rFonts w:ascii="Arial" w:hAnsi="Arial" w:cs="Arial"/>
          <w:b/>
          <w:sz w:val="22"/>
          <w:szCs w:val="22"/>
        </w:rPr>
        <w:t xml:space="preserve"> </w:t>
      </w:r>
      <w:r w:rsidR="00AF0158">
        <w:rPr>
          <w:rFonts w:ascii="Arial" w:hAnsi="Arial" w:cs="Arial"/>
          <w:b/>
          <w:sz w:val="22"/>
          <w:szCs w:val="22"/>
        </w:rPr>
        <w:t xml:space="preserve">for EMT </w:t>
      </w:r>
      <w:r w:rsidR="00A778E9">
        <w:rPr>
          <w:rFonts w:ascii="Arial" w:hAnsi="Arial" w:cs="Arial"/>
          <w:b/>
          <w:sz w:val="22"/>
          <w:szCs w:val="22"/>
        </w:rPr>
        <w:t xml:space="preserve">and Board </w:t>
      </w:r>
      <w:r w:rsidR="00AD76CF" w:rsidRPr="00AD76CF">
        <w:rPr>
          <w:rFonts w:ascii="Arial" w:hAnsi="Arial" w:cs="Arial"/>
          <w:b/>
          <w:sz w:val="22"/>
          <w:szCs w:val="22"/>
        </w:rPr>
        <w:t xml:space="preserve">- </w:t>
      </w:r>
      <w:r w:rsidR="00AD76CF" w:rsidRPr="00AD76CF">
        <w:rPr>
          <w:rFonts w:ascii="Arial" w:hAnsi="Arial" w:cs="Arial"/>
          <w:b/>
          <w:sz w:val="22"/>
          <w:szCs w:val="22"/>
          <w:lang w:val="en-US"/>
        </w:rPr>
        <w:t>Financial Year 201</w:t>
      </w:r>
      <w:r w:rsidR="00407B6C">
        <w:rPr>
          <w:rFonts w:ascii="Arial" w:hAnsi="Arial" w:cs="Arial"/>
          <w:b/>
          <w:sz w:val="22"/>
          <w:szCs w:val="22"/>
          <w:lang w:val="en-US"/>
        </w:rPr>
        <w:t>6</w:t>
      </w:r>
      <w:r w:rsidR="005A1A0A">
        <w:rPr>
          <w:rFonts w:ascii="Arial" w:hAnsi="Arial" w:cs="Arial"/>
          <w:b/>
          <w:sz w:val="22"/>
          <w:szCs w:val="22"/>
          <w:lang w:val="en-US"/>
        </w:rPr>
        <w:t>/</w:t>
      </w:r>
      <w:r w:rsidR="00AD76CF" w:rsidRPr="00AD76CF">
        <w:rPr>
          <w:rFonts w:ascii="Arial" w:hAnsi="Arial" w:cs="Arial"/>
          <w:b/>
          <w:sz w:val="22"/>
          <w:szCs w:val="22"/>
          <w:lang w:val="en-US"/>
        </w:rPr>
        <w:t>1</w:t>
      </w:r>
      <w:r w:rsidR="00407B6C">
        <w:rPr>
          <w:rFonts w:ascii="Arial" w:hAnsi="Arial" w:cs="Arial"/>
          <w:b/>
          <w:sz w:val="22"/>
          <w:szCs w:val="22"/>
          <w:lang w:val="en-US"/>
        </w:rPr>
        <w:t>7</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8506B4">
        <w:rPr>
          <w:rFonts w:ascii="Arial" w:hAnsi="Arial" w:cs="Arial"/>
          <w:b/>
          <w:sz w:val="22"/>
          <w:szCs w:val="22"/>
          <w:lang w:val="en-US"/>
        </w:rPr>
        <w:t xml:space="preserve"> Authority </w:t>
      </w:r>
    </w:p>
    <w:p w:rsidR="009D452E" w:rsidRDefault="009D452E" w:rsidP="00AD76CF">
      <w:pPr>
        <w:rPr>
          <w:rFonts w:ascii="Arial" w:hAnsi="Arial" w:cs="Arial"/>
          <w:b/>
          <w:sz w:val="22"/>
          <w:szCs w:val="22"/>
          <w:lang w:val="en-US"/>
        </w:rPr>
      </w:pPr>
    </w:p>
    <w:p w:rsidR="00AD76CF" w:rsidRPr="00AD76CF" w:rsidRDefault="00AD76CF" w:rsidP="00AD76CF">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ind w:left="-360"/>
        <w:jc w:val="both"/>
        <w:rPr>
          <w:rFonts w:ascii="Arial" w:hAnsi="Arial" w:cs="Arial"/>
          <w:b/>
          <w:sz w:val="22"/>
          <w:szCs w:val="22"/>
        </w:rPr>
      </w:pPr>
    </w:p>
    <w:p w:rsidR="002D0957" w:rsidRDefault="00AD76CF" w:rsidP="00AD76CF">
      <w:pPr>
        <w:jc w:val="both"/>
        <w:rPr>
          <w:rFonts w:ascii="Arial" w:hAnsi="Arial" w:cs="Arial"/>
          <w:sz w:val="22"/>
          <w:szCs w:val="22"/>
        </w:rPr>
      </w:pPr>
      <w:r w:rsidRPr="00AD76CF">
        <w:rPr>
          <w:rFonts w:ascii="Arial" w:hAnsi="Arial" w:cs="Arial"/>
          <w:sz w:val="22"/>
          <w:szCs w:val="22"/>
        </w:rPr>
        <w:t xml:space="preserve">This report outlines the </w:t>
      </w:r>
      <w:r w:rsidR="002D0957">
        <w:rPr>
          <w:rFonts w:ascii="Arial" w:hAnsi="Arial" w:cs="Arial"/>
          <w:sz w:val="22"/>
          <w:szCs w:val="22"/>
        </w:rPr>
        <w:t>following:</w:t>
      </w:r>
    </w:p>
    <w:p w:rsidR="002D0957" w:rsidRDefault="002D0957" w:rsidP="00AD76CF">
      <w:pPr>
        <w:jc w:val="both"/>
        <w:rPr>
          <w:rFonts w:ascii="Arial" w:hAnsi="Arial" w:cs="Arial"/>
          <w:sz w:val="22"/>
          <w:szCs w:val="22"/>
        </w:rPr>
      </w:pPr>
    </w:p>
    <w:p w:rsidR="002D0957" w:rsidRDefault="002D0957" w:rsidP="002D0957">
      <w:pPr>
        <w:pStyle w:val="ListParagraph"/>
        <w:numPr>
          <w:ilvl w:val="0"/>
          <w:numId w:val="18"/>
        </w:numPr>
        <w:jc w:val="both"/>
        <w:rPr>
          <w:rFonts w:ascii="Arial" w:hAnsi="Arial" w:cs="Arial"/>
          <w:sz w:val="22"/>
          <w:szCs w:val="22"/>
        </w:rPr>
      </w:pPr>
      <w:r>
        <w:rPr>
          <w:rFonts w:ascii="Arial" w:hAnsi="Arial" w:cs="Arial"/>
          <w:sz w:val="22"/>
          <w:szCs w:val="22"/>
        </w:rPr>
        <w:t xml:space="preserve">Income and expenditure </w:t>
      </w:r>
      <w:r w:rsidR="005A1A0A">
        <w:rPr>
          <w:rFonts w:ascii="Arial" w:hAnsi="Arial" w:cs="Arial"/>
          <w:sz w:val="22"/>
          <w:szCs w:val="22"/>
        </w:rPr>
        <w:t>plans for the Authority for 201</w:t>
      </w:r>
      <w:r w:rsidR="00407B6C">
        <w:rPr>
          <w:rFonts w:ascii="Arial" w:hAnsi="Arial" w:cs="Arial"/>
          <w:sz w:val="22"/>
          <w:szCs w:val="22"/>
        </w:rPr>
        <w:t>6</w:t>
      </w:r>
      <w:r w:rsidR="005A1A0A">
        <w:rPr>
          <w:rFonts w:ascii="Arial" w:hAnsi="Arial" w:cs="Arial"/>
          <w:sz w:val="22"/>
          <w:szCs w:val="22"/>
        </w:rPr>
        <w:t>/1</w:t>
      </w:r>
      <w:r w:rsidR="00407B6C">
        <w:rPr>
          <w:rFonts w:ascii="Arial" w:hAnsi="Arial" w:cs="Arial"/>
          <w:sz w:val="22"/>
          <w:szCs w:val="22"/>
        </w:rPr>
        <w:t>7</w:t>
      </w:r>
      <w:r>
        <w:rPr>
          <w:rFonts w:ascii="Arial" w:hAnsi="Arial" w:cs="Arial"/>
          <w:sz w:val="22"/>
          <w:szCs w:val="22"/>
        </w:rPr>
        <w:t>;</w:t>
      </w:r>
    </w:p>
    <w:p w:rsidR="002D0957" w:rsidRDefault="002D0957" w:rsidP="002D0957">
      <w:pPr>
        <w:pStyle w:val="ListParagraph"/>
        <w:numPr>
          <w:ilvl w:val="0"/>
          <w:numId w:val="18"/>
        </w:numPr>
        <w:jc w:val="both"/>
        <w:rPr>
          <w:rFonts w:ascii="Arial" w:hAnsi="Arial" w:cs="Arial"/>
          <w:sz w:val="22"/>
          <w:szCs w:val="22"/>
        </w:rPr>
      </w:pPr>
      <w:r>
        <w:rPr>
          <w:rFonts w:ascii="Arial" w:hAnsi="Arial" w:cs="Arial"/>
          <w:sz w:val="22"/>
          <w:szCs w:val="22"/>
        </w:rPr>
        <w:t>Details of workforce plans on which the financial plan is based;</w:t>
      </w:r>
    </w:p>
    <w:p w:rsidR="002D0957" w:rsidRDefault="00A55637" w:rsidP="002D0957">
      <w:pPr>
        <w:pStyle w:val="ListParagraph"/>
        <w:numPr>
          <w:ilvl w:val="0"/>
          <w:numId w:val="18"/>
        </w:numPr>
        <w:jc w:val="both"/>
        <w:rPr>
          <w:rFonts w:ascii="Arial" w:hAnsi="Arial" w:cs="Arial"/>
          <w:sz w:val="22"/>
          <w:szCs w:val="22"/>
        </w:rPr>
      </w:pPr>
      <w:r>
        <w:rPr>
          <w:rFonts w:ascii="Arial" w:hAnsi="Arial" w:cs="Arial"/>
          <w:sz w:val="22"/>
          <w:szCs w:val="22"/>
        </w:rPr>
        <w:t>P</w:t>
      </w:r>
      <w:r w:rsidR="003874BD">
        <w:rPr>
          <w:rFonts w:ascii="Arial" w:hAnsi="Arial" w:cs="Arial"/>
          <w:sz w:val="22"/>
          <w:szCs w:val="22"/>
        </w:rPr>
        <w:t>lans for e</w:t>
      </w:r>
      <w:r w:rsidR="005A1A0A">
        <w:rPr>
          <w:rFonts w:ascii="Arial" w:hAnsi="Arial" w:cs="Arial"/>
          <w:sz w:val="22"/>
          <w:szCs w:val="22"/>
        </w:rPr>
        <w:t>fficiency savings for 201</w:t>
      </w:r>
      <w:r w:rsidR="00407B6C">
        <w:rPr>
          <w:rFonts w:ascii="Arial" w:hAnsi="Arial" w:cs="Arial"/>
          <w:sz w:val="22"/>
          <w:szCs w:val="22"/>
        </w:rPr>
        <w:t>6</w:t>
      </w:r>
      <w:r w:rsidR="005A1A0A">
        <w:rPr>
          <w:rFonts w:ascii="Arial" w:hAnsi="Arial" w:cs="Arial"/>
          <w:sz w:val="22"/>
          <w:szCs w:val="22"/>
        </w:rPr>
        <w:t>/1</w:t>
      </w:r>
      <w:r w:rsidR="00407B6C">
        <w:rPr>
          <w:rFonts w:ascii="Arial" w:hAnsi="Arial" w:cs="Arial"/>
          <w:sz w:val="22"/>
          <w:szCs w:val="22"/>
        </w:rPr>
        <w:t>7</w:t>
      </w:r>
      <w:r w:rsidR="00B27B15">
        <w:rPr>
          <w:rFonts w:ascii="Arial" w:hAnsi="Arial" w:cs="Arial"/>
          <w:sz w:val="22"/>
          <w:szCs w:val="22"/>
        </w:rPr>
        <w:t xml:space="preserve"> and beyond</w:t>
      </w:r>
      <w:r w:rsidR="002D0957">
        <w:rPr>
          <w:rFonts w:ascii="Arial" w:hAnsi="Arial" w:cs="Arial"/>
          <w:sz w:val="22"/>
          <w:szCs w:val="22"/>
        </w:rPr>
        <w:t>;</w:t>
      </w:r>
    </w:p>
    <w:p w:rsidR="002D0957" w:rsidRDefault="005A1A0A" w:rsidP="002D0957">
      <w:pPr>
        <w:pStyle w:val="ListParagraph"/>
        <w:numPr>
          <w:ilvl w:val="0"/>
          <w:numId w:val="18"/>
        </w:numPr>
        <w:jc w:val="both"/>
        <w:rPr>
          <w:rFonts w:ascii="Arial" w:hAnsi="Arial" w:cs="Arial"/>
          <w:sz w:val="22"/>
          <w:szCs w:val="22"/>
        </w:rPr>
      </w:pPr>
      <w:r>
        <w:rPr>
          <w:rFonts w:ascii="Arial" w:hAnsi="Arial" w:cs="Arial"/>
          <w:sz w:val="22"/>
          <w:szCs w:val="22"/>
        </w:rPr>
        <w:t>Capital plans for 201</w:t>
      </w:r>
      <w:r w:rsidR="00407B6C">
        <w:rPr>
          <w:rFonts w:ascii="Arial" w:hAnsi="Arial" w:cs="Arial"/>
          <w:sz w:val="22"/>
          <w:szCs w:val="22"/>
        </w:rPr>
        <w:t>6</w:t>
      </w:r>
      <w:r>
        <w:rPr>
          <w:rFonts w:ascii="Arial" w:hAnsi="Arial" w:cs="Arial"/>
          <w:sz w:val="22"/>
          <w:szCs w:val="22"/>
        </w:rPr>
        <w:t>/1</w:t>
      </w:r>
      <w:r w:rsidR="00407B6C">
        <w:rPr>
          <w:rFonts w:ascii="Arial" w:hAnsi="Arial" w:cs="Arial"/>
          <w:sz w:val="22"/>
          <w:szCs w:val="22"/>
        </w:rPr>
        <w:t>7</w:t>
      </w:r>
      <w:r w:rsidR="002D0957">
        <w:rPr>
          <w:rFonts w:ascii="Arial" w:hAnsi="Arial" w:cs="Arial"/>
          <w:sz w:val="22"/>
          <w:szCs w:val="22"/>
        </w:rPr>
        <w:t>;</w:t>
      </w:r>
    </w:p>
    <w:p w:rsidR="0003507B" w:rsidRDefault="0003507B" w:rsidP="002D0957">
      <w:pPr>
        <w:pStyle w:val="ListParagraph"/>
        <w:numPr>
          <w:ilvl w:val="0"/>
          <w:numId w:val="18"/>
        </w:numPr>
        <w:jc w:val="both"/>
        <w:rPr>
          <w:rFonts w:ascii="Arial" w:hAnsi="Arial" w:cs="Arial"/>
          <w:sz w:val="22"/>
          <w:szCs w:val="22"/>
        </w:rPr>
      </w:pPr>
      <w:r>
        <w:rPr>
          <w:rFonts w:ascii="Arial" w:hAnsi="Arial" w:cs="Arial"/>
          <w:sz w:val="22"/>
          <w:szCs w:val="22"/>
        </w:rPr>
        <w:t>Key risks to financial plans for 2016/17</w:t>
      </w:r>
    </w:p>
    <w:p w:rsidR="005A1A0A" w:rsidRDefault="005A1A0A" w:rsidP="00AD76CF">
      <w:pPr>
        <w:jc w:val="both"/>
        <w:rPr>
          <w:rFonts w:ascii="Arial" w:hAnsi="Arial" w:cs="Arial"/>
          <w:sz w:val="22"/>
          <w:szCs w:val="22"/>
        </w:rPr>
      </w:pPr>
    </w:p>
    <w:p w:rsidR="00AD76CF" w:rsidRPr="00841ADE" w:rsidRDefault="00AD76CF" w:rsidP="00AD76CF">
      <w:pPr>
        <w:jc w:val="both"/>
        <w:rPr>
          <w:rFonts w:ascii="Arial" w:hAnsi="Arial" w:cs="Arial"/>
          <w:b/>
          <w:sz w:val="22"/>
          <w:szCs w:val="22"/>
        </w:rPr>
      </w:pPr>
      <w:r w:rsidRPr="00AD76CF">
        <w:rPr>
          <w:rFonts w:ascii="Arial" w:hAnsi="Arial" w:cs="Arial"/>
          <w:b/>
          <w:sz w:val="22"/>
          <w:szCs w:val="22"/>
        </w:rPr>
        <w:t xml:space="preserve">2. </w:t>
      </w:r>
      <w:r w:rsidR="002D0957">
        <w:rPr>
          <w:rFonts w:ascii="Arial" w:hAnsi="Arial" w:cs="Arial"/>
          <w:b/>
          <w:sz w:val="22"/>
          <w:szCs w:val="22"/>
        </w:rPr>
        <w:t>Income</w:t>
      </w:r>
      <w:r w:rsidR="00CE3A4A">
        <w:rPr>
          <w:rFonts w:ascii="Arial" w:hAnsi="Arial" w:cs="Arial"/>
          <w:b/>
          <w:sz w:val="22"/>
          <w:szCs w:val="22"/>
        </w:rPr>
        <w:t xml:space="preserve"> plans</w:t>
      </w:r>
    </w:p>
    <w:p w:rsidR="00AD76CF" w:rsidRPr="00AD76CF" w:rsidRDefault="00AD76CF" w:rsidP="00AD76CF">
      <w:pPr>
        <w:jc w:val="both"/>
        <w:rPr>
          <w:rFonts w:ascii="Arial" w:hAnsi="Arial" w:cs="Arial"/>
          <w:b/>
          <w:sz w:val="22"/>
          <w:szCs w:val="22"/>
          <w:u w:val="single"/>
        </w:rPr>
      </w:pPr>
    </w:p>
    <w:p w:rsidR="00BD2C95" w:rsidRDefault="00B2011F" w:rsidP="00AD76CF">
      <w:pPr>
        <w:jc w:val="both"/>
        <w:rPr>
          <w:rFonts w:ascii="Arial" w:hAnsi="Arial" w:cs="Arial"/>
          <w:sz w:val="22"/>
          <w:szCs w:val="22"/>
        </w:rPr>
      </w:pPr>
      <w:r w:rsidRPr="00FB56CC">
        <w:rPr>
          <w:rFonts w:ascii="Arial" w:hAnsi="Arial" w:cs="Arial"/>
          <w:sz w:val="22"/>
          <w:szCs w:val="22"/>
        </w:rPr>
        <w:t xml:space="preserve">The HRA </w:t>
      </w:r>
      <w:r w:rsidR="002D0957">
        <w:rPr>
          <w:rFonts w:ascii="Arial" w:hAnsi="Arial" w:cs="Arial"/>
          <w:sz w:val="22"/>
          <w:szCs w:val="22"/>
        </w:rPr>
        <w:t xml:space="preserve">income envelope is based on </w:t>
      </w:r>
      <w:r w:rsidR="00CE3A4A">
        <w:rPr>
          <w:rFonts w:ascii="Arial" w:hAnsi="Arial" w:cs="Arial"/>
          <w:sz w:val="22"/>
          <w:szCs w:val="22"/>
        </w:rPr>
        <w:t xml:space="preserve">the </w:t>
      </w:r>
      <w:r w:rsidR="00BD2C95">
        <w:rPr>
          <w:rFonts w:ascii="Arial" w:hAnsi="Arial" w:cs="Arial"/>
          <w:sz w:val="22"/>
          <w:szCs w:val="22"/>
        </w:rPr>
        <w:t xml:space="preserve">assumptions presented in table 1 below.  </w:t>
      </w:r>
    </w:p>
    <w:p w:rsidR="00F37988" w:rsidRDefault="00F37988" w:rsidP="00AD76CF">
      <w:pPr>
        <w:jc w:val="both"/>
        <w:rPr>
          <w:rFonts w:ascii="Arial" w:hAnsi="Arial" w:cs="Arial"/>
          <w:sz w:val="22"/>
          <w:szCs w:val="22"/>
        </w:rPr>
      </w:pPr>
    </w:p>
    <w:p w:rsidR="00800FEF" w:rsidRDefault="00F37988" w:rsidP="00AD76CF">
      <w:pPr>
        <w:jc w:val="both"/>
        <w:rPr>
          <w:rFonts w:ascii="Arial" w:hAnsi="Arial" w:cs="Arial"/>
          <w:sz w:val="22"/>
          <w:szCs w:val="22"/>
        </w:rPr>
      </w:pPr>
      <w:r>
        <w:rPr>
          <w:rFonts w:ascii="Arial" w:hAnsi="Arial" w:cs="Arial"/>
          <w:sz w:val="22"/>
          <w:szCs w:val="22"/>
        </w:rPr>
        <w:t>Table 1: HRA Income plans 201</w:t>
      </w:r>
      <w:r w:rsidR="00DE6AB0">
        <w:rPr>
          <w:rFonts w:ascii="Arial" w:hAnsi="Arial" w:cs="Arial"/>
          <w:sz w:val="22"/>
          <w:szCs w:val="22"/>
        </w:rPr>
        <w:t>6</w:t>
      </w:r>
      <w:r>
        <w:rPr>
          <w:rFonts w:ascii="Arial" w:hAnsi="Arial" w:cs="Arial"/>
          <w:sz w:val="22"/>
          <w:szCs w:val="22"/>
        </w:rPr>
        <w:t>/1</w:t>
      </w:r>
      <w:r w:rsidR="00DE6AB0">
        <w:rPr>
          <w:rFonts w:ascii="Arial" w:hAnsi="Arial" w:cs="Arial"/>
          <w:sz w:val="22"/>
          <w:szCs w:val="22"/>
        </w:rPr>
        <w:t>7</w:t>
      </w:r>
    </w:p>
    <w:p w:rsidR="00BD2C95" w:rsidRDefault="00DE6AB0" w:rsidP="00AD76CF">
      <w:pPr>
        <w:jc w:val="both"/>
        <w:rPr>
          <w:rFonts w:ascii="Arial" w:hAnsi="Arial" w:cs="Arial"/>
          <w:sz w:val="22"/>
          <w:szCs w:val="22"/>
        </w:rPr>
      </w:pPr>
      <w:r w:rsidRPr="00DE6AB0">
        <w:rPr>
          <w:noProof/>
        </w:rPr>
        <w:drawing>
          <wp:inline distT="0" distB="0" distL="0" distR="0" wp14:anchorId="1FF4AB40" wp14:editId="085A8CA5">
            <wp:extent cx="5731510" cy="1477722"/>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77722"/>
                    </a:xfrm>
                    <a:prstGeom prst="rect">
                      <a:avLst/>
                    </a:prstGeom>
                    <a:noFill/>
                    <a:ln>
                      <a:noFill/>
                    </a:ln>
                  </pic:spPr>
                </pic:pic>
              </a:graphicData>
            </a:graphic>
          </wp:inline>
        </w:drawing>
      </w:r>
    </w:p>
    <w:p w:rsidR="00BD2C95" w:rsidRDefault="00BD2C95" w:rsidP="00AD76CF">
      <w:pPr>
        <w:jc w:val="both"/>
        <w:rPr>
          <w:rFonts w:ascii="Arial" w:hAnsi="Arial" w:cs="Arial"/>
          <w:sz w:val="22"/>
          <w:szCs w:val="22"/>
        </w:rPr>
      </w:pPr>
    </w:p>
    <w:p w:rsidR="00E106C1" w:rsidRDefault="00BD2C95" w:rsidP="00AD76CF">
      <w:pPr>
        <w:jc w:val="both"/>
        <w:rPr>
          <w:rFonts w:ascii="Arial" w:hAnsi="Arial" w:cs="Arial"/>
          <w:sz w:val="22"/>
          <w:szCs w:val="22"/>
        </w:rPr>
      </w:pPr>
      <w:r>
        <w:rPr>
          <w:rFonts w:ascii="Arial" w:hAnsi="Arial" w:cs="Arial"/>
          <w:sz w:val="22"/>
          <w:szCs w:val="22"/>
        </w:rPr>
        <w:t xml:space="preserve">An initial indicative </w:t>
      </w:r>
      <w:r w:rsidR="003179D5" w:rsidRPr="00FB56CC">
        <w:rPr>
          <w:rFonts w:ascii="Arial" w:hAnsi="Arial" w:cs="Arial"/>
          <w:sz w:val="22"/>
          <w:szCs w:val="22"/>
        </w:rPr>
        <w:t>grant in aid</w:t>
      </w:r>
      <w:r w:rsidR="00CE3A4A">
        <w:rPr>
          <w:rFonts w:ascii="Arial" w:hAnsi="Arial" w:cs="Arial"/>
          <w:sz w:val="22"/>
          <w:szCs w:val="22"/>
        </w:rPr>
        <w:t xml:space="preserve"> and</w:t>
      </w:r>
      <w:r w:rsidR="003179D5" w:rsidRPr="00FB56CC">
        <w:rPr>
          <w:rFonts w:ascii="Arial" w:hAnsi="Arial" w:cs="Arial"/>
          <w:sz w:val="22"/>
          <w:szCs w:val="22"/>
        </w:rPr>
        <w:t xml:space="preserve"> </w:t>
      </w:r>
      <w:r w:rsidR="00B2011F" w:rsidRPr="00FB56CC">
        <w:rPr>
          <w:rFonts w:ascii="Arial" w:hAnsi="Arial" w:cs="Arial"/>
          <w:sz w:val="22"/>
          <w:szCs w:val="22"/>
        </w:rPr>
        <w:t xml:space="preserve">opening revenue resource limit </w:t>
      </w:r>
      <w:r w:rsidR="005A1A0A">
        <w:rPr>
          <w:rFonts w:ascii="Arial" w:hAnsi="Arial" w:cs="Arial"/>
          <w:sz w:val="22"/>
          <w:szCs w:val="22"/>
        </w:rPr>
        <w:t>for 201</w:t>
      </w:r>
      <w:r w:rsidR="00DE6AB0">
        <w:rPr>
          <w:rFonts w:ascii="Arial" w:hAnsi="Arial" w:cs="Arial"/>
          <w:sz w:val="22"/>
          <w:szCs w:val="22"/>
        </w:rPr>
        <w:t>6</w:t>
      </w:r>
      <w:r w:rsidR="005A1A0A">
        <w:rPr>
          <w:rFonts w:ascii="Arial" w:hAnsi="Arial" w:cs="Arial"/>
          <w:sz w:val="22"/>
          <w:szCs w:val="22"/>
        </w:rPr>
        <w:t>/1</w:t>
      </w:r>
      <w:r w:rsidR="00DE6AB0">
        <w:rPr>
          <w:rFonts w:ascii="Arial" w:hAnsi="Arial" w:cs="Arial"/>
          <w:sz w:val="22"/>
          <w:szCs w:val="22"/>
        </w:rPr>
        <w:t>7</w:t>
      </w:r>
      <w:r w:rsidR="00641123">
        <w:rPr>
          <w:rFonts w:ascii="Arial" w:hAnsi="Arial" w:cs="Arial"/>
          <w:sz w:val="22"/>
          <w:szCs w:val="22"/>
        </w:rPr>
        <w:t xml:space="preserve"> </w:t>
      </w:r>
      <w:r>
        <w:rPr>
          <w:rFonts w:ascii="Arial" w:hAnsi="Arial" w:cs="Arial"/>
          <w:sz w:val="22"/>
          <w:szCs w:val="22"/>
        </w:rPr>
        <w:t xml:space="preserve">has been received which is based on </w:t>
      </w:r>
      <w:r w:rsidR="005A1A0A">
        <w:rPr>
          <w:rFonts w:ascii="Arial" w:hAnsi="Arial" w:cs="Arial"/>
          <w:sz w:val="22"/>
          <w:szCs w:val="22"/>
        </w:rPr>
        <w:t>the 201</w:t>
      </w:r>
      <w:r w:rsidR="00DE6AB0">
        <w:rPr>
          <w:rFonts w:ascii="Arial" w:hAnsi="Arial" w:cs="Arial"/>
          <w:sz w:val="22"/>
          <w:szCs w:val="22"/>
        </w:rPr>
        <w:t>6</w:t>
      </w:r>
      <w:r w:rsidR="005A1A0A">
        <w:rPr>
          <w:rFonts w:ascii="Arial" w:hAnsi="Arial" w:cs="Arial"/>
          <w:sz w:val="22"/>
          <w:szCs w:val="22"/>
        </w:rPr>
        <w:t>/1</w:t>
      </w:r>
      <w:r w:rsidR="00DE6AB0">
        <w:rPr>
          <w:rFonts w:ascii="Arial" w:hAnsi="Arial" w:cs="Arial"/>
          <w:sz w:val="22"/>
          <w:szCs w:val="22"/>
        </w:rPr>
        <w:t>7</w:t>
      </w:r>
      <w:r w:rsidR="00CE3A4A">
        <w:rPr>
          <w:rFonts w:ascii="Arial" w:hAnsi="Arial" w:cs="Arial"/>
          <w:sz w:val="22"/>
          <w:szCs w:val="22"/>
        </w:rPr>
        <w:t xml:space="preserve"> </w:t>
      </w:r>
      <w:r w:rsidR="00DE6AB0">
        <w:rPr>
          <w:rFonts w:ascii="Arial" w:hAnsi="Arial" w:cs="Arial"/>
          <w:sz w:val="22"/>
          <w:szCs w:val="22"/>
        </w:rPr>
        <w:t xml:space="preserve">and beyond spending review return and subsequent </w:t>
      </w:r>
      <w:r w:rsidR="00CE3A4A">
        <w:rPr>
          <w:rFonts w:ascii="Arial" w:hAnsi="Arial" w:cs="Arial"/>
          <w:sz w:val="22"/>
          <w:szCs w:val="22"/>
        </w:rPr>
        <w:t>business planning round</w:t>
      </w:r>
      <w:r w:rsidR="00A55637">
        <w:rPr>
          <w:rFonts w:ascii="Arial" w:hAnsi="Arial" w:cs="Arial"/>
          <w:sz w:val="22"/>
          <w:szCs w:val="22"/>
        </w:rPr>
        <w:t xml:space="preserve">.  </w:t>
      </w:r>
      <w:r w:rsidR="00052011">
        <w:rPr>
          <w:rFonts w:ascii="Arial" w:hAnsi="Arial" w:cs="Arial"/>
          <w:sz w:val="22"/>
          <w:szCs w:val="22"/>
        </w:rPr>
        <w:t>Until this is confirmed there i</w:t>
      </w:r>
      <w:r w:rsidR="00DE6AB0">
        <w:rPr>
          <w:rFonts w:ascii="Arial" w:hAnsi="Arial" w:cs="Arial"/>
          <w:sz w:val="22"/>
          <w:szCs w:val="22"/>
        </w:rPr>
        <w:t xml:space="preserve">s still a risk that this may change. </w:t>
      </w:r>
    </w:p>
    <w:p w:rsidR="00DE6AB0" w:rsidRDefault="00DE6AB0" w:rsidP="00AD76CF">
      <w:pPr>
        <w:jc w:val="both"/>
        <w:rPr>
          <w:rFonts w:ascii="Arial" w:hAnsi="Arial" w:cs="Arial"/>
          <w:sz w:val="22"/>
          <w:szCs w:val="22"/>
        </w:rPr>
      </w:pPr>
    </w:p>
    <w:p w:rsidR="005A1A0A" w:rsidRDefault="00CE3A4A" w:rsidP="00AD76CF">
      <w:pPr>
        <w:jc w:val="both"/>
        <w:rPr>
          <w:rFonts w:ascii="Arial" w:hAnsi="Arial" w:cs="Arial"/>
          <w:sz w:val="22"/>
          <w:szCs w:val="22"/>
        </w:rPr>
      </w:pPr>
      <w:r>
        <w:rPr>
          <w:rFonts w:ascii="Arial" w:hAnsi="Arial" w:cs="Arial"/>
          <w:sz w:val="22"/>
          <w:szCs w:val="22"/>
        </w:rPr>
        <w:t xml:space="preserve">Plans are </w:t>
      </w:r>
      <w:r w:rsidR="00F37988">
        <w:rPr>
          <w:rFonts w:ascii="Arial" w:hAnsi="Arial" w:cs="Arial"/>
          <w:sz w:val="22"/>
          <w:szCs w:val="22"/>
        </w:rPr>
        <w:t xml:space="preserve">also </w:t>
      </w:r>
      <w:r>
        <w:rPr>
          <w:rFonts w:ascii="Arial" w:hAnsi="Arial" w:cs="Arial"/>
          <w:sz w:val="22"/>
          <w:szCs w:val="22"/>
        </w:rPr>
        <w:t xml:space="preserve">based on additional income receipts </w:t>
      </w:r>
      <w:r w:rsidR="003179D5" w:rsidRPr="00FB56CC">
        <w:rPr>
          <w:rFonts w:ascii="Arial" w:hAnsi="Arial" w:cs="Arial"/>
          <w:sz w:val="22"/>
          <w:szCs w:val="22"/>
        </w:rPr>
        <w:t xml:space="preserve">from other government departments </w:t>
      </w:r>
      <w:r>
        <w:rPr>
          <w:rFonts w:ascii="Arial" w:hAnsi="Arial" w:cs="Arial"/>
          <w:sz w:val="22"/>
          <w:szCs w:val="22"/>
        </w:rPr>
        <w:t xml:space="preserve">and </w:t>
      </w:r>
      <w:r w:rsidR="003179D5" w:rsidRPr="00FB56CC">
        <w:rPr>
          <w:rFonts w:ascii="Arial" w:hAnsi="Arial" w:cs="Arial"/>
          <w:sz w:val="22"/>
          <w:szCs w:val="22"/>
        </w:rPr>
        <w:t xml:space="preserve">the devolved administrations, the planning assumptions for which amount to a sum of </w:t>
      </w:r>
      <w:r w:rsidR="005A1A0A">
        <w:rPr>
          <w:rFonts w:ascii="Arial" w:hAnsi="Arial" w:cs="Arial"/>
          <w:sz w:val="22"/>
          <w:szCs w:val="22"/>
        </w:rPr>
        <w:t>£</w:t>
      </w:r>
      <w:r w:rsidR="00F37988">
        <w:rPr>
          <w:rFonts w:ascii="Arial" w:hAnsi="Arial" w:cs="Arial"/>
          <w:sz w:val="22"/>
          <w:szCs w:val="22"/>
        </w:rPr>
        <w:t>20</w:t>
      </w:r>
      <w:r w:rsidR="00DE6AB0">
        <w:rPr>
          <w:rFonts w:ascii="Arial" w:hAnsi="Arial" w:cs="Arial"/>
          <w:sz w:val="22"/>
          <w:szCs w:val="22"/>
        </w:rPr>
        <w:t>0</w:t>
      </w:r>
      <w:r w:rsidR="003179D5" w:rsidRPr="003874BD">
        <w:rPr>
          <w:rFonts w:ascii="Arial" w:hAnsi="Arial" w:cs="Arial"/>
          <w:sz w:val="22"/>
          <w:szCs w:val="22"/>
        </w:rPr>
        <w:t>k.</w:t>
      </w:r>
      <w:r w:rsidR="003179D5" w:rsidRPr="00FB56CC">
        <w:rPr>
          <w:rFonts w:ascii="Arial" w:hAnsi="Arial" w:cs="Arial"/>
          <w:sz w:val="22"/>
          <w:szCs w:val="22"/>
        </w:rPr>
        <w:t xml:space="preserve"> </w:t>
      </w:r>
      <w:r w:rsidR="00F37988">
        <w:rPr>
          <w:rFonts w:ascii="Arial" w:hAnsi="Arial" w:cs="Arial"/>
          <w:sz w:val="22"/>
          <w:szCs w:val="22"/>
        </w:rPr>
        <w:t xml:space="preserve">This represents a </w:t>
      </w:r>
      <w:r w:rsidR="00DE6AB0">
        <w:rPr>
          <w:rFonts w:ascii="Arial" w:hAnsi="Arial" w:cs="Arial"/>
          <w:sz w:val="22"/>
          <w:szCs w:val="22"/>
        </w:rPr>
        <w:t xml:space="preserve">small </w:t>
      </w:r>
      <w:r w:rsidR="00F37988">
        <w:rPr>
          <w:rFonts w:ascii="Arial" w:hAnsi="Arial" w:cs="Arial"/>
          <w:sz w:val="22"/>
          <w:szCs w:val="22"/>
        </w:rPr>
        <w:t>decrease of £</w:t>
      </w:r>
      <w:r w:rsidR="00DE6AB0">
        <w:rPr>
          <w:rFonts w:ascii="Arial" w:hAnsi="Arial" w:cs="Arial"/>
          <w:sz w:val="22"/>
          <w:szCs w:val="22"/>
        </w:rPr>
        <w:t>6</w:t>
      </w:r>
      <w:r w:rsidR="00F37988">
        <w:rPr>
          <w:rFonts w:ascii="Arial" w:hAnsi="Arial" w:cs="Arial"/>
          <w:sz w:val="22"/>
          <w:szCs w:val="22"/>
        </w:rPr>
        <w:t>k on 201</w:t>
      </w:r>
      <w:r w:rsidR="00DE6AB0">
        <w:rPr>
          <w:rFonts w:ascii="Arial" w:hAnsi="Arial" w:cs="Arial"/>
          <w:sz w:val="22"/>
          <w:szCs w:val="22"/>
        </w:rPr>
        <w:t>5</w:t>
      </w:r>
      <w:r w:rsidR="00F37988">
        <w:rPr>
          <w:rFonts w:ascii="Arial" w:hAnsi="Arial" w:cs="Arial"/>
          <w:sz w:val="22"/>
          <w:szCs w:val="22"/>
        </w:rPr>
        <w:t>/1</w:t>
      </w:r>
      <w:r w:rsidR="00DE6AB0">
        <w:rPr>
          <w:rFonts w:ascii="Arial" w:hAnsi="Arial" w:cs="Arial"/>
          <w:sz w:val="22"/>
          <w:szCs w:val="22"/>
        </w:rPr>
        <w:t>6.</w:t>
      </w:r>
      <w:r w:rsidR="00E106C1">
        <w:rPr>
          <w:rFonts w:ascii="Arial" w:hAnsi="Arial" w:cs="Arial"/>
          <w:sz w:val="22"/>
          <w:szCs w:val="22"/>
        </w:rPr>
        <w:t xml:space="preserve">  </w:t>
      </w:r>
      <w:r w:rsidR="00052011">
        <w:rPr>
          <w:rFonts w:ascii="Arial" w:hAnsi="Arial" w:cs="Arial"/>
          <w:sz w:val="22"/>
          <w:szCs w:val="22"/>
        </w:rPr>
        <w:t>This is based on long standing assumptions but t</w:t>
      </w:r>
      <w:r w:rsidR="00E106C1">
        <w:rPr>
          <w:rFonts w:ascii="Arial" w:hAnsi="Arial" w:cs="Arial"/>
          <w:sz w:val="22"/>
          <w:szCs w:val="22"/>
        </w:rPr>
        <w:t xml:space="preserve">here is a slight risk </w:t>
      </w:r>
      <w:r w:rsidR="00052011">
        <w:rPr>
          <w:rFonts w:ascii="Arial" w:hAnsi="Arial" w:cs="Arial"/>
          <w:sz w:val="22"/>
          <w:szCs w:val="22"/>
        </w:rPr>
        <w:t xml:space="preserve">until the position is finalised for 2016/17. </w:t>
      </w:r>
    </w:p>
    <w:p w:rsidR="00DE6AB0" w:rsidRDefault="00DE6AB0" w:rsidP="00AD76CF">
      <w:pPr>
        <w:jc w:val="both"/>
        <w:rPr>
          <w:rFonts w:ascii="Arial" w:hAnsi="Arial" w:cs="Arial"/>
          <w:sz w:val="22"/>
          <w:szCs w:val="22"/>
        </w:rPr>
      </w:pPr>
    </w:p>
    <w:p w:rsidR="006B46EE" w:rsidRDefault="009D452E" w:rsidP="00AD76CF">
      <w:pPr>
        <w:jc w:val="both"/>
        <w:rPr>
          <w:rFonts w:ascii="Arial" w:hAnsi="Arial" w:cs="Arial"/>
          <w:sz w:val="22"/>
          <w:szCs w:val="22"/>
        </w:rPr>
      </w:pPr>
      <w:r>
        <w:rPr>
          <w:rFonts w:ascii="Arial" w:hAnsi="Arial" w:cs="Arial"/>
          <w:sz w:val="22"/>
          <w:szCs w:val="22"/>
        </w:rPr>
        <w:t>Re</w:t>
      </w:r>
      <w:r w:rsidR="006B46EE">
        <w:rPr>
          <w:rFonts w:ascii="Arial" w:hAnsi="Arial" w:cs="Arial"/>
          <w:sz w:val="22"/>
          <w:szCs w:val="22"/>
        </w:rPr>
        <w:t xml:space="preserve">current income related to the business case for HRA Approval </w:t>
      </w:r>
      <w:r>
        <w:rPr>
          <w:rFonts w:ascii="Arial" w:hAnsi="Arial" w:cs="Arial"/>
          <w:sz w:val="22"/>
          <w:szCs w:val="22"/>
        </w:rPr>
        <w:t xml:space="preserve">has reduced </w:t>
      </w:r>
      <w:r w:rsidR="006B46EE">
        <w:rPr>
          <w:rFonts w:ascii="Arial" w:hAnsi="Arial" w:cs="Arial"/>
          <w:sz w:val="22"/>
          <w:szCs w:val="22"/>
        </w:rPr>
        <w:t>significantly in 2016/17</w:t>
      </w:r>
      <w:r>
        <w:rPr>
          <w:rFonts w:ascii="Arial" w:hAnsi="Arial" w:cs="Arial"/>
          <w:sz w:val="22"/>
          <w:szCs w:val="22"/>
        </w:rPr>
        <w:t xml:space="preserve"> in line with plans</w:t>
      </w:r>
      <w:r w:rsidR="00052011">
        <w:rPr>
          <w:rFonts w:ascii="Arial" w:hAnsi="Arial" w:cs="Arial"/>
          <w:sz w:val="22"/>
          <w:szCs w:val="22"/>
        </w:rPr>
        <w:t>, and all funding linked to this activity has been allocated out into expenditure budgets</w:t>
      </w:r>
      <w:r>
        <w:rPr>
          <w:rFonts w:ascii="Arial" w:hAnsi="Arial" w:cs="Arial"/>
          <w:sz w:val="22"/>
          <w:szCs w:val="22"/>
        </w:rPr>
        <w:t xml:space="preserve">. </w:t>
      </w:r>
    </w:p>
    <w:p w:rsidR="009D452E" w:rsidRDefault="009D452E" w:rsidP="00AD76CF">
      <w:pPr>
        <w:jc w:val="both"/>
        <w:rPr>
          <w:rFonts w:ascii="Arial" w:hAnsi="Arial" w:cs="Arial"/>
          <w:sz w:val="22"/>
          <w:szCs w:val="22"/>
        </w:rPr>
      </w:pPr>
    </w:p>
    <w:p w:rsidR="00CE3A4A" w:rsidRPr="006B46EE" w:rsidRDefault="00297100" w:rsidP="00AD76CF">
      <w:pPr>
        <w:jc w:val="both"/>
        <w:rPr>
          <w:rFonts w:ascii="Arial" w:hAnsi="Arial" w:cs="Arial"/>
          <w:sz w:val="22"/>
          <w:szCs w:val="22"/>
        </w:rPr>
      </w:pPr>
      <w:r w:rsidRPr="006B46EE">
        <w:rPr>
          <w:rFonts w:ascii="Arial" w:hAnsi="Arial" w:cs="Arial"/>
          <w:sz w:val="22"/>
          <w:szCs w:val="22"/>
        </w:rPr>
        <w:t xml:space="preserve">The </w:t>
      </w:r>
      <w:r w:rsidR="007948D4" w:rsidRPr="006B46EE">
        <w:rPr>
          <w:rFonts w:ascii="Arial" w:hAnsi="Arial" w:cs="Arial"/>
          <w:sz w:val="22"/>
          <w:szCs w:val="22"/>
        </w:rPr>
        <w:t xml:space="preserve">revenue cash limit </w:t>
      </w:r>
      <w:r w:rsidR="006E46EB" w:rsidRPr="006B46EE">
        <w:rPr>
          <w:rFonts w:ascii="Arial" w:hAnsi="Arial" w:cs="Arial"/>
          <w:sz w:val="22"/>
          <w:szCs w:val="22"/>
        </w:rPr>
        <w:t xml:space="preserve">is likely to match our </w:t>
      </w:r>
      <w:r w:rsidR="006B46EE">
        <w:rPr>
          <w:rFonts w:ascii="Arial" w:hAnsi="Arial" w:cs="Arial"/>
          <w:sz w:val="22"/>
          <w:szCs w:val="22"/>
        </w:rPr>
        <w:t xml:space="preserve">final agreed </w:t>
      </w:r>
      <w:r w:rsidR="006E46EB" w:rsidRPr="006B46EE">
        <w:rPr>
          <w:rFonts w:ascii="Arial" w:hAnsi="Arial" w:cs="Arial"/>
          <w:sz w:val="22"/>
          <w:szCs w:val="22"/>
        </w:rPr>
        <w:t>rev</w:t>
      </w:r>
      <w:r w:rsidR="004E7CF0" w:rsidRPr="006B46EE">
        <w:rPr>
          <w:rFonts w:ascii="Arial" w:hAnsi="Arial" w:cs="Arial"/>
          <w:sz w:val="22"/>
          <w:szCs w:val="22"/>
        </w:rPr>
        <w:t>enue resource limit for the year</w:t>
      </w:r>
      <w:r w:rsidR="006E46EB" w:rsidRPr="006B46EE">
        <w:rPr>
          <w:rFonts w:ascii="Arial" w:hAnsi="Arial" w:cs="Arial"/>
          <w:sz w:val="22"/>
          <w:szCs w:val="22"/>
        </w:rPr>
        <w:t xml:space="preserve">.   </w:t>
      </w:r>
      <w:r w:rsidR="006B46EE">
        <w:rPr>
          <w:rFonts w:ascii="Arial" w:hAnsi="Arial" w:cs="Arial"/>
          <w:sz w:val="22"/>
          <w:szCs w:val="22"/>
        </w:rPr>
        <w:t xml:space="preserve">The HRA made good progress in reducing its cash balances </w:t>
      </w:r>
      <w:r w:rsidR="00052011">
        <w:rPr>
          <w:rFonts w:ascii="Arial" w:hAnsi="Arial" w:cs="Arial"/>
          <w:sz w:val="22"/>
          <w:szCs w:val="22"/>
        </w:rPr>
        <w:t xml:space="preserve">of £3.7 million in March 2015 down to circa £3.4 million </w:t>
      </w:r>
      <w:r w:rsidR="006B46EE">
        <w:rPr>
          <w:rFonts w:ascii="Arial" w:hAnsi="Arial" w:cs="Arial"/>
          <w:sz w:val="22"/>
          <w:szCs w:val="22"/>
        </w:rPr>
        <w:t>at the end of 201</w:t>
      </w:r>
      <w:r w:rsidR="00052011">
        <w:rPr>
          <w:rFonts w:ascii="Arial" w:hAnsi="Arial" w:cs="Arial"/>
          <w:sz w:val="22"/>
          <w:szCs w:val="22"/>
        </w:rPr>
        <w:t>5</w:t>
      </w:r>
      <w:r w:rsidR="006B46EE">
        <w:rPr>
          <w:rFonts w:ascii="Arial" w:hAnsi="Arial" w:cs="Arial"/>
          <w:sz w:val="22"/>
          <w:szCs w:val="22"/>
        </w:rPr>
        <w:t>/1</w:t>
      </w:r>
      <w:r w:rsidR="00052011">
        <w:rPr>
          <w:rFonts w:ascii="Arial" w:hAnsi="Arial" w:cs="Arial"/>
          <w:sz w:val="22"/>
          <w:szCs w:val="22"/>
        </w:rPr>
        <w:t>6</w:t>
      </w:r>
      <w:r w:rsidR="006B46EE">
        <w:rPr>
          <w:rFonts w:ascii="Arial" w:hAnsi="Arial" w:cs="Arial"/>
          <w:sz w:val="22"/>
          <w:szCs w:val="22"/>
        </w:rPr>
        <w:t>.</w:t>
      </w:r>
      <w:r w:rsidR="00CE3A4A" w:rsidRPr="006B46EE">
        <w:rPr>
          <w:rFonts w:ascii="Arial" w:hAnsi="Arial" w:cs="Arial"/>
          <w:sz w:val="22"/>
          <w:szCs w:val="22"/>
        </w:rPr>
        <w:t xml:space="preserve"> </w:t>
      </w:r>
    </w:p>
    <w:p w:rsidR="00CE3A4A" w:rsidRDefault="00CE3A4A" w:rsidP="00AD76CF">
      <w:pPr>
        <w:jc w:val="both"/>
        <w:rPr>
          <w:rFonts w:ascii="Arial" w:hAnsi="Arial" w:cs="Arial"/>
          <w:sz w:val="22"/>
          <w:szCs w:val="22"/>
          <w:highlight w:val="yellow"/>
        </w:rPr>
      </w:pPr>
    </w:p>
    <w:p w:rsidR="00AD76CF" w:rsidRPr="00AD76CF" w:rsidRDefault="00AD76CF" w:rsidP="003874BD">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w:t>
      </w:r>
      <w:r w:rsidR="00CE3A4A">
        <w:rPr>
          <w:rFonts w:ascii="Arial" w:hAnsi="Arial" w:cs="Arial"/>
          <w:b/>
          <w:sz w:val="22"/>
          <w:szCs w:val="22"/>
        </w:rPr>
        <w:t>Expenditure Plans</w:t>
      </w:r>
    </w:p>
    <w:p w:rsidR="00800FEF" w:rsidRPr="00AD76CF" w:rsidRDefault="00800FEF" w:rsidP="00AD76CF">
      <w:pPr>
        <w:ind w:left="-360"/>
        <w:jc w:val="both"/>
        <w:rPr>
          <w:rFonts w:ascii="Arial" w:hAnsi="Arial" w:cs="Arial"/>
          <w:b/>
          <w:sz w:val="22"/>
          <w:szCs w:val="22"/>
        </w:rPr>
      </w:pPr>
    </w:p>
    <w:p w:rsidR="00CE3A4A" w:rsidRDefault="00CE3A4A" w:rsidP="00BA4988">
      <w:pPr>
        <w:jc w:val="both"/>
        <w:rPr>
          <w:rFonts w:ascii="Arial" w:hAnsi="Arial" w:cs="Arial"/>
          <w:sz w:val="22"/>
          <w:szCs w:val="22"/>
        </w:rPr>
      </w:pPr>
      <w:r>
        <w:rPr>
          <w:rFonts w:ascii="Arial" w:hAnsi="Arial" w:cs="Arial"/>
          <w:sz w:val="22"/>
          <w:szCs w:val="22"/>
        </w:rPr>
        <w:t xml:space="preserve">Expenditure plans are presented in </w:t>
      </w:r>
      <w:r w:rsidR="00FD63FF">
        <w:rPr>
          <w:rFonts w:ascii="Arial" w:hAnsi="Arial" w:cs="Arial"/>
          <w:sz w:val="22"/>
          <w:szCs w:val="22"/>
        </w:rPr>
        <w:t xml:space="preserve">a table format to allow </w:t>
      </w:r>
      <w:r>
        <w:rPr>
          <w:rFonts w:ascii="Arial" w:hAnsi="Arial" w:cs="Arial"/>
          <w:sz w:val="22"/>
          <w:szCs w:val="22"/>
        </w:rPr>
        <w:t>compar</w:t>
      </w:r>
      <w:r w:rsidR="003874BD">
        <w:rPr>
          <w:rFonts w:ascii="Arial" w:hAnsi="Arial" w:cs="Arial"/>
          <w:sz w:val="22"/>
          <w:szCs w:val="22"/>
        </w:rPr>
        <w:t>ison</w:t>
      </w:r>
      <w:r>
        <w:rPr>
          <w:rFonts w:ascii="Arial" w:hAnsi="Arial" w:cs="Arial"/>
          <w:sz w:val="22"/>
          <w:szCs w:val="22"/>
        </w:rPr>
        <w:t xml:space="preserve"> with the prior year. </w:t>
      </w:r>
      <w:r w:rsidR="00F508EC">
        <w:rPr>
          <w:rFonts w:ascii="Arial" w:hAnsi="Arial" w:cs="Arial"/>
          <w:sz w:val="22"/>
          <w:szCs w:val="22"/>
        </w:rPr>
        <w:t xml:space="preserve">  The approach to budgeting this year has been a challenging one due to the following:</w:t>
      </w:r>
    </w:p>
    <w:p w:rsidR="00F508EC" w:rsidRDefault="00F508EC" w:rsidP="00F508EC">
      <w:pPr>
        <w:pStyle w:val="ListParagraph"/>
        <w:numPr>
          <w:ilvl w:val="0"/>
          <w:numId w:val="24"/>
        </w:numPr>
        <w:jc w:val="both"/>
        <w:rPr>
          <w:rFonts w:ascii="Arial" w:hAnsi="Arial" w:cs="Arial"/>
          <w:sz w:val="22"/>
          <w:szCs w:val="22"/>
        </w:rPr>
      </w:pPr>
      <w:r>
        <w:rPr>
          <w:rFonts w:ascii="Arial" w:hAnsi="Arial" w:cs="Arial"/>
          <w:sz w:val="22"/>
          <w:szCs w:val="22"/>
        </w:rPr>
        <w:t xml:space="preserve">Late </w:t>
      </w:r>
      <w:proofErr w:type="gramStart"/>
      <w:r>
        <w:rPr>
          <w:rFonts w:ascii="Arial" w:hAnsi="Arial" w:cs="Arial"/>
          <w:sz w:val="22"/>
          <w:szCs w:val="22"/>
        </w:rPr>
        <w:t>change in forecast under spend</w:t>
      </w:r>
      <w:proofErr w:type="gramEnd"/>
      <w:r>
        <w:rPr>
          <w:rFonts w:ascii="Arial" w:hAnsi="Arial" w:cs="Arial"/>
          <w:sz w:val="22"/>
          <w:szCs w:val="22"/>
        </w:rPr>
        <w:t xml:space="preserve"> position for 2015/16.</w:t>
      </w:r>
    </w:p>
    <w:p w:rsidR="00F508EC" w:rsidRDefault="00F508EC" w:rsidP="00F508EC">
      <w:pPr>
        <w:pStyle w:val="ListParagraph"/>
        <w:numPr>
          <w:ilvl w:val="0"/>
          <w:numId w:val="24"/>
        </w:numPr>
        <w:jc w:val="both"/>
        <w:rPr>
          <w:rFonts w:ascii="Arial" w:hAnsi="Arial" w:cs="Arial"/>
          <w:sz w:val="22"/>
          <w:szCs w:val="22"/>
        </w:rPr>
      </w:pPr>
      <w:r>
        <w:rPr>
          <w:rFonts w:ascii="Arial" w:hAnsi="Arial" w:cs="Arial"/>
          <w:sz w:val="22"/>
          <w:szCs w:val="22"/>
        </w:rPr>
        <w:t>HRA Approval planned funding reductions for final year of programme.</w:t>
      </w:r>
    </w:p>
    <w:p w:rsidR="00F508EC" w:rsidRDefault="00F508EC" w:rsidP="00F508EC">
      <w:pPr>
        <w:pStyle w:val="ListParagraph"/>
        <w:numPr>
          <w:ilvl w:val="0"/>
          <w:numId w:val="24"/>
        </w:numPr>
        <w:jc w:val="both"/>
        <w:rPr>
          <w:rFonts w:ascii="Arial" w:hAnsi="Arial" w:cs="Arial"/>
          <w:sz w:val="22"/>
          <w:szCs w:val="22"/>
        </w:rPr>
      </w:pPr>
      <w:r>
        <w:rPr>
          <w:rFonts w:ascii="Arial" w:hAnsi="Arial" w:cs="Arial"/>
          <w:sz w:val="22"/>
          <w:szCs w:val="22"/>
        </w:rPr>
        <w:t>Requirement to deliver spending review savings.</w:t>
      </w:r>
    </w:p>
    <w:p w:rsidR="00F508EC" w:rsidRDefault="00F508EC" w:rsidP="00F508EC">
      <w:pPr>
        <w:pStyle w:val="ListParagraph"/>
        <w:numPr>
          <w:ilvl w:val="0"/>
          <w:numId w:val="24"/>
        </w:numPr>
        <w:jc w:val="both"/>
        <w:rPr>
          <w:rFonts w:ascii="Arial" w:hAnsi="Arial" w:cs="Arial"/>
          <w:sz w:val="22"/>
          <w:szCs w:val="22"/>
        </w:rPr>
      </w:pPr>
      <w:r>
        <w:rPr>
          <w:rFonts w:ascii="Arial" w:hAnsi="Arial" w:cs="Arial"/>
          <w:sz w:val="22"/>
          <w:szCs w:val="22"/>
        </w:rPr>
        <w:t>Uncertainties until late on of the impact of the pay awards.</w:t>
      </w:r>
    </w:p>
    <w:p w:rsidR="00F508EC" w:rsidRDefault="00A8262C" w:rsidP="00F508EC">
      <w:pPr>
        <w:pStyle w:val="ListParagraph"/>
        <w:numPr>
          <w:ilvl w:val="0"/>
          <w:numId w:val="24"/>
        </w:numPr>
        <w:jc w:val="both"/>
        <w:rPr>
          <w:rFonts w:ascii="Arial" w:hAnsi="Arial" w:cs="Arial"/>
          <w:sz w:val="22"/>
          <w:szCs w:val="22"/>
        </w:rPr>
      </w:pPr>
      <w:r>
        <w:rPr>
          <w:rFonts w:ascii="Arial" w:hAnsi="Arial" w:cs="Arial"/>
          <w:sz w:val="22"/>
          <w:szCs w:val="22"/>
        </w:rPr>
        <w:t>New</w:t>
      </w:r>
      <w:r w:rsidR="00F508EC">
        <w:rPr>
          <w:rFonts w:ascii="Arial" w:hAnsi="Arial" w:cs="Arial"/>
          <w:sz w:val="22"/>
          <w:szCs w:val="22"/>
        </w:rPr>
        <w:t xml:space="preserve"> approach to portfolio prioritisation.</w:t>
      </w:r>
    </w:p>
    <w:p w:rsidR="00F508EC" w:rsidRPr="00F508EC" w:rsidRDefault="00A8262C" w:rsidP="00F508EC">
      <w:pPr>
        <w:pStyle w:val="ListParagraph"/>
        <w:numPr>
          <w:ilvl w:val="0"/>
          <w:numId w:val="24"/>
        </w:numPr>
        <w:jc w:val="both"/>
        <w:rPr>
          <w:rFonts w:ascii="Arial" w:hAnsi="Arial" w:cs="Arial"/>
          <w:sz w:val="22"/>
          <w:szCs w:val="22"/>
        </w:rPr>
      </w:pPr>
      <w:r>
        <w:rPr>
          <w:rFonts w:ascii="Arial" w:hAnsi="Arial" w:cs="Arial"/>
          <w:sz w:val="22"/>
          <w:szCs w:val="22"/>
        </w:rPr>
        <w:t>Uncertainties on timings linked to o</w:t>
      </w:r>
      <w:r w:rsidR="00F508EC">
        <w:rPr>
          <w:rFonts w:ascii="Arial" w:hAnsi="Arial" w:cs="Arial"/>
          <w:sz w:val="22"/>
          <w:szCs w:val="22"/>
        </w:rPr>
        <w:t xml:space="preserve">rganisational change plans which will be ongoing throughout </w:t>
      </w:r>
      <w:r>
        <w:rPr>
          <w:rFonts w:ascii="Arial" w:hAnsi="Arial" w:cs="Arial"/>
          <w:sz w:val="22"/>
          <w:szCs w:val="22"/>
        </w:rPr>
        <w:t>2016/17</w:t>
      </w:r>
      <w:r w:rsidR="00F508EC">
        <w:rPr>
          <w:rFonts w:ascii="Arial" w:hAnsi="Arial" w:cs="Arial"/>
          <w:sz w:val="22"/>
          <w:szCs w:val="22"/>
        </w:rPr>
        <w:t>.</w:t>
      </w:r>
    </w:p>
    <w:p w:rsidR="00A04F32" w:rsidRDefault="00CE3A4A" w:rsidP="00BA4988">
      <w:pPr>
        <w:jc w:val="both"/>
        <w:rPr>
          <w:rFonts w:ascii="Arial" w:hAnsi="Arial" w:cs="Arial"/>
          <w:sz w:val="22"/>
          <w:szCs w:val="22"/>
        </w:rPr>
      </w:pPr>
      <w:r>
        <w:rPr>
          <w:rFonts w:ascii="Arial" w:hAnsi="Arial" w:cs="Arial"/>
          <w:sz w:val="22"/>
          <w:szCs w:val="22"/>
        </w:rPr>
        <w:lastRenderedPageBreak/>
        <w:t xml:space="preserve">Table </w:t>
      </w:r>
      <w:r w:rsidR="006B46EE">
        <w:rPr>
          <w:rFonts w:ascii="Arial" w:hAnsi="Arial" w:cs="Arial"/>
          <w:sz w:val="22"/>
          <w:szCs w:val="22"/>
        </w:rPr>
        <w:t>2</w:t>
      </w:r>
      <w:r w:rsidR="00A04F32">
        <w:rPr>
          <w:rFonts w:ascii="Arial" w:hAnsi="Arial" w:cs="Arial"/>
          <w:sz w:val="22"/>
          <w:szCs w:val="22"/>
        </w:rPr>
        <w:t xml:space="preserve"> </w:t>
      </w:r>
      <w:r>
        <w:rPr>
          <w:rFonts w:ascii="Arial" w:hAnsi="Arial" w:cs="Arial"/>
          <w:sz w:val="22"/>
          <w:szCs w:val="22"/>
        </w:rPr>
        <w:t>presents a summary of expenditure plans based on current reporting directorates</w:t>
      </w:r>
      <w:r w:rsidR="00A04F32">
        <w:rPr>
          <w:rFonts w:ascii="Arial" w:hAnsi="Arial" w:cs="Arial"/>
          <w:sz w:val="22"/>
          <w:szCs w:val="22"/>
        </w:rPr>
        <w:t xml:space="preserve"> along with expected income sources</w:t>
      </w:r>
      <w:r>
        <w:rPr>
          <w:rFonts w:ascii="Arial" w:hAnsi="Arial" w:cs="Arial"/>
          <w:sz w:val="22"/>
          <w:szCs w:val="22"/>
        </w:rPr>
        <w:t xml:space="preserve">.  </w:t>
      </w:r>
    </w:p>
    <w:p w:rsidR="00800FEF" w:rsidRDefault="00800FEF" w:rsidP="00800FEF">
      <w:pPr>
        <w:jc w:val="both"/>
        <w:rPr>
          <w:rFonts w:ascii="Arial" w:hAnsi="Arial" w:cs="Arial"/>
          <w:sz w:val="22"/>
          <w:szCs w:val="22"/>
        </w:rPr>
      </w:pPr>
    </w:p>
    <w:p w:rsidR="00A04F32" w:rsidRDefault="00A04F32" w:rsidP="00BA4988">
      <w:pPr>
        <w:jc w:val="both"/>
        <w:rPr>
          <w:rFonts w:ascii="Arial" w:hAnsi="Arial" w:cs="Arial"/>
          <w:sz w:val="22"/>
          <w:szCs w:val="22"/>
          <w:u w:val="single"/>
        </w:rPr>
      </w:pPr>
      <w:r w:rsidRPr="00866B7A">
        <w:rPr>
          <w:rFonts w:ascii="Arial" w:hAnsi="Arial" w:cs="Arial"/>
          <w:sz w:val="22"/>
          <w:szCs w:val="22"/>
          <w:u w:val="single"/>
        </w:rPr>
        <w:t xml:space="preserve">Table </w:t>
      </w:r>
      <w:r w:rsidR="00517BEE">
        <w:rPr>
          <w:rFonts w:ascii="Arial" w:hAnsi="Arial" w:cs="Arial"/>
          <w:sz w:val="22"/>
          <w:szCs w:val="22"/>
          <w:u w:val="single"/>
        </w:rPr>
        <w:t>2</w:t>
      </w:r>
      <w:r w:rsidRPr="00866B7A">
        <w:rPr>
          <w:rFonts w:ascii="Arial" w:hAnsi="Arial" w:cs="Arial"/>
          <w:sz w:val="22"/>
          <w:szCs w:val="22"/>
          <w:u w:val="single"/>
        </w:rPr>
        <w:t>:  Summary of income a</w:t>
      </w:r>
      <w:r w:rsidR="00FD63FF">
        <w:rPr>
          <w:rFonts w:ascii="Arial" w:hAnsi="Arial" w:cs="Arial"/>
          <w:sz w:val="22"/>
          <w:szCs w:val="22"/>
          <w:u w:val="single"/>
        </w:rPr>
        <w:t xml:space="preserve">nd expenditure plans based on </w:t>
      </w:r>
      <w:r w:rsidR="006B46EE">
        <w:rPr>
          <w:rFonts w:ascii="Arial" w:hAnsi="Arial" w:cs="Arial"/>
          <w:sz w:val="22"/>
          <w:szCs w:val="22"/>
          <w:u w:val="single"/>
        </w:rPr>
        <w:t>current d</w:t>
      </w:r>
      <w:r w:rsidRPr="00866B7A">
        <w:rPr>
          <w:rFonts w:ascii="Arial" w:hAnsi="Arial" w:cs="Arial"/>
          <w:sz w:val="22"/>
          <w:szCs w:val="22"/>
          <w:u w:val="single"/>
        </w:rPr>
        <w:t>irectorates</w:t>
      </w:r>
      <w:r w:rsidR="00B74A9E">
        <w:rPr>
          <w:rFonts w:ascii="Arial" w:hAnsi="Arial" w:cs="Arial"/>
          <w:sz w:val="22"/>
          <w:szCs w:val="22"/>
          <w:u w:val="single"/>
        </w:rPr>
        <w:t xml:space="preserve">  </w:t>
      </w:r>
    </w:p>
    <w:p w:rsidR="00A04F32" w:rsidRDefault="00A04F32" w:rsidP="00BA4988">
      <w:pPr>
        <w:jc w:val="both"/>
        <w:rPr>
          <w:rFonts w:ascii="Arial" w:hAnsi="Arial" w:cs="Arial"/>
          <w:sz w:val="22"/>
          <w:szCs w:val="22"/>
        </w:rPr>
      </w:pPr>
    </w:p>
    <w:p w:rsidR="00A04F32" w:rsidRDefault="00A8262C" w:rsidP="00AD76CF">
      <w:pPr>
        <w:jc w:val="both"/>
        <w:rPr>
          <w:rFonts w:ascii="Arial" w:hAnsi="Arial" w:cs="Arial"/>
          <w:sz w:val="22"/>
          <w:szCs w:val="22"/>
        </w:rPr>
      </w:pPr>
      <w:r w:rsidRPr="00A8262C">
        <w:rPr>
          <w:noProof/>
        </w:rPr>
        <w:drawing>
          <wp:inline distT="0" distB="0" distL="0" distR="0">
            <wp:extent cx="556260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4419600"/>
                    </a:xfrm>
                    <a:prstGeom prst="rect">
                      <a:avLst/>
                    </a:prstGeom>
                    <a:noFill/>
                    <a:ln>
                      <a:noFill/>
                    </a:ln>
                  </pic:spPr>
                </pic:pic>
              </a:graphicData>
            </a:graphic>
          </wp:inline>
        </w:drawing>
      </w:r>
    </w:p>
    <w:p w:rsidR="009E2B50" w:rsidRDefault="009E2B50" w:rsidP="00C003A9">
      <w:pPr>
        <w:jc w:val="both"/>
        <w:rPr>
          <w:rFonts w:ascii="Arial" w:hAnsi="Arial" w:cs="Arial"/>
          <w:sz w:val="22"/>
          <w:szCs w:val="22"/>
        </w:rPr>
      </w:pPr>
      <w:r>
        <w:rPr>
          <w:rFonts w:ascii="Arial" w:hAnsi="Arial" w:cs="Arial"/>
          <w:sz w:val="22"/>
          <w:szCs w:val="22"/>
        </w:rPr>
        <w:t xml:space="preserve">Table 3 below </w:t>
      </w:r>
      <w:r w:rsidR="00C003A9">
        <w:rPr>
          <w:rFonts w:ascii="Arial" w:hAnsi="Arial" w:cs="Arial"/>
          <w:sz w:val="22"/>
          <w:szCs w:val="22"/>
        </w:rPr>
        <w:t xml:space="preserve">presents the </w:t>
      </w:r>
      <w:r>
        <w:rPr>
          <w:rFonts w:ascii="Arial" w:hAnsi="Arial" w:cs="Arial"/>
          <w:sz w:val="22"/>
          <w:szCs w:val="22"/>
        </w:rPr>
        <w:t xml:space="preserve">allocation of HRA Resources </w:t>
      </w:r>
      <w:r w:rsidR="00521B03">
        <w:rPr>
          <w:rFonts w:ascii="Arial" w:hAnsi="Arial" w:cs="Arial"/>
          <w:sz w:val="22"/>
          <w:szCs w:val="22"/>
        </w:rPr>
        <w:t xml:space="preserve">in 2016/17 </w:t>
      </w:r>
      <w:r>
        <w:rPr>
          <w:rFonts w:ascii="Arial" w:hAnsi="Arial" w:cs="Arial"/>
          <w:sz w:val="22"/>
          <w:szCs w:val="22"/>
        </w:rPr>
        <w:t xml:space="preserve">across our key areas of activity.  </w:t>
      </w:r>
    </w:p>
    <w:p w:rsidR="009E2B50" w:rsidRDefault="00A8262C" w:rsidP="00C003A9">
      <w:pPr>
        <w:jc w:val="both"/>
        <w:rPr>
          <w:rFonts w:ascii="Arial" w:hAnsi="Arial" w:cs="Arial"/>
          <w:sz w:val="22"/>
          <w:szCs w:val="22"/>
        </w:rPr>
      </w:pPr>
      <w:r>
        <w:rPr>
          <w:rFonts w:ascii="Arial" w:hAnsi="Arial" w:cs="Arial"/>
          <w:noProof/>
          <w:sz w:val="22"/>
          <w:szCs w:val="22"/>
        </w:rPr>
        <w:drawing>
          <wp:inline distT="0" distB="0" distL="0" distR="0" wp14:anchorId="1FD215D3">
            <wp:extent cx="5090795" cy="3810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795" cy="3810635"/>
                    </a:xfrm>
                    <a:prstGeom prst="rect">
                      <a:avLst/>
                    </a:prstGeom>
                    <a:noFill/>
                  </pic:spPr>
                </pic:pic>
              </a:graphicData>
            </a:graphic>
          </wp:inline>
        </w:drawing>
      </w:r>
    </w:p>
    <w:p w:rsidR="009E2B50" w:rsidRDefault="009E2B50" w:rsidP="00C003A9">
      <w:pPr>
        <w:jc w:val="both"/>
        <w:rPr>
          <w:rFonts w:ascii="Arial" w:hAnsi="Arial" w:cs="Arial"/>
          <w:sz w:val="22"/>
          <w:szCs w:val="22"/>
        </w:rPr>
      </w:pPr>
      <w:r>
        <w:rPr>
          <w:rFonts w:ascii="Arial" w:hAnsi="Arial" w:cs="Arial"/>
          <w:sz w:val="22"/>
          <w:szCs w:val="22"/>
        </w:rPr>
        <w:lastRenderedPageBreak/>
        <w:t xml:space="preserve">The largest share of resources (33%) continues to be invested in </w:t>
      </w:r>
      <w:r w:rsidR="00A8262C">
        <w:rPr>
          <w:rFonts w:ascii="Arial" w:hAnsi="Arial" w:cs="Arial"/>
          <w:sz w:val="22"/>
          <w:szCs w:val="22"/>
        </w:rPr>
        <w:t xml:space="preserve">operations - </w:t>
      </w:r>
      <w:r>
        <w:rPr>
          <w:rFonts w:ascii="Arial" w:hAnsi="Arial" w:cs="Arial"/>
          <w:sz w:val="22"/>
          <w:szCs w:val="22"/>
        </w:rPr>
        <w:t xml:space="preserve">Research Ethics committees and </w:t>
      </w:r>
      <w:r w:rsidR="00A8262C">
        <w:rPr>
          <w:rFonts w:ascii="Arial" w:hAnsi="Arial" w:cs="Arial"/>
          <w:sz w:val="22"/>
          <w:szCs w:val="22"/>
        </w:rPr>
        <w:t>CAG</w:t>
      </w:r>
      <w:r>
        <w:rPr>
          <w:rFonts w:ascii="Arial" w:hAnsi="Arial" w:cs="Arial"/>
          <w:sz w:val="22"/>
          <w:szCs w:val="22"/>
        </w:rPr>
        <w:t>, as we aim to maintain the high standards of performance and confidence in these services.    Alongside this</w:t>
      </w:r>
      <w:proofErr w:type="gramStart"/>
      <w:r>
        <w:rPr>
          <w:rFonts w:ascii="Arial" w:hAnsi="Arial" w:cs="Arial"/>
          <w:sz w:val="22"/>
          <w:szCs w:val="22"/>
        </w:rPr>
        <w:t>,  s</w:t>
      </w:r>
      <w:r w:rsidRPr="00C003A9">
        <w:rPr>
          <w:rFonts w:ascii="Arial" w:hAnsi="Arial" w:cs="Arial"/>
          <w:sz w:val="22"/>
          <w:szCs w:val="22"/>
        </w:rPr>
        <w:t>ignificant</w:t>
      </w:r>
      <w:proofErr w:type="gramEnd"/>
      <w:r w:rsidRPr="00C003A9">
        <w:rPr>
          <w:rFonts w:ascii="Arial" w:hAnsi="Arial" w:cs="Arial"/>
          <w:sz w:val="22"/>
          <w:szCs w:val="22"/>
        </w:rPr>
        <w:t xml:space="preserve"> expenditure </w:t>
      </w:r>
      <w:r>
        <w:rPr>
          <w:rFonts w:ascii="Arial" w:hAnsi="Arial" w:cs="Arial"/>
          <w:sz w:val="22"/>
          <w:szCs w:val="22"/>
        </w:rPr>
        <w:t xml:space="preserve">(29%) </w:t>
      </w:r>
      <w:r w:rsidR="004E3577">
        <w:rPr>
          <w:rFonts w:ascii="Arial" w:hAnsi="Arial" w:cs="Arial"/>
          <w:sz w:val="22"/>
          <w:szCs w:val="22"/>
        </w:rPr>
        <w:t xml:space="preserve">continues to be invested in the directorate hosting </w:t>
      </w:r>
      <w:r w:rsidRPr="00C003A9">
        <w:rPr>
          <w:rFonts w:ascii="Arial" w:hAnsi="Arial" w:cs="Arial"/>
          <w:sz w:val="22"/>
          <w:szCs w:val="22"/>
        </w:rPr>
        <w:t xml:space="preserve">HRA Approval </w:t>
      </w:r>
      <w:r>
        <w:rPr>
          <w:rFonts w:ascii="Arial" w:hAnsi="Arial" w:cs="Arial"/>
          <w:sz w:val="22"/>
          <w:szCs w:val="22"/>
        </w:rPr>
        <w:t xml:space="preserve">which </w:t>
      </w:r>
      <w:r w:rsidR="00C003A9" w:rsidRPr="00C003A9">
        <w:rPr>
          <w:rFonts w:ascii="Arial" w:hAnsi="Arial" w:cs="Arial"/>
          <w:sz w:val="22"/>
          <w:szCs w:val="22"/>
        </w:rPr>
        <w:t xml:space="preserve">will </w:t>
      </w:r>
      <w:r w:rsidR="00C003A9">
        <w:rPr>
          <w:rFonts w:ascii="Arial" w:hAnsi="Arial" w:cs="Arial"/>
          <w:sz w:val="22"/>
          <w:szCs w:val="22"/>
        </w:rPr>
        <w:t>have completed rollout by the end of March 201</w:t>
      </w:r>
      <w:r w:rsidR="00C003A9" w:rsidRPr="00C003A9">
        <w:rPr>
          <w:rFonts w:ascii="Arial" w:hAnsi="Arial" w:cs="Arial"/>
          <w:sz w:val="22"/>
          <w:szCs w:val="22"/>
        </w:rPr>
        <w:t>6</w:t>
      </w:r>
      <w:r w:rsidR="00C003A9">
        <w:rPr>
          <w:rFonts w:ascii="Arial" w:hAnsi="Arial" w:cs="Arial"/>
          <w:sz w:val="22"/>
          <w:szCs w:val="22"/>
        </w:rPr>
        <w:t xml:space="preserve"> and</w:t>
      </w:r>
      <w:r w:rsidR="00C003A9" w:rsidRPr="00C003A9">
        <w:rPr>
          <w:rFonts w:ascii="Arial" w:hAnsi="Arial" w:cs="Arial"/>
          <w:sz w:val="22"/>
          <w:szCs w:val="22"/>
        </w:rPr>
        <w:t xml:space="preserve"> will continue as a programme based activity until early 2017. HRA Approval is an integral part of our work</w:t>
      </w:r>
      <w:r>
        <w:rPr>
          <w:rFonts w:ascii="Arial" w:hAnsi="Arial" w:cs="Arial"/>
          <w:sz w:val="22"/>
          <w:szCs w:val="22"/>
        </w:rPr>
        <w:t xml:space="preserve"> and a dual priority will be </w:t>
      </w:r>
      <w:r w:rsidR="00A8262C">
        <w:rPr>
          <w:rFonts w:ascii="Arial" w:hAnsi="Arial" w:cs="Arial"/>
          <w:sz w:val="22"/>
          <w:szCs w:val="22"/>
        </w:rPr>
        <w:t xml:space="preserve">to </w:t>
      </w:r>
      <w:r w:rsidRPr="009E2B50">
        <w:rPr>
          <w:rFonts w:ascii="Arial" w:hAnsi="Arial" w:cs="Arial"/>
          <w:sz w:val="22"/>
          <w:szCs w:val="22"/>
        </w:rPr>
        <w:t xml:space="preserve">bed </w:t>
      </w:r>
      <w:r>
        <w:rPr>
          <w:rFonts w:ascii="Arial" w:hAnsi="Arial" w:cs="Arial"/>
          <w:sz w:val="22"/>
          <w:szCs w:val="22"/>
        </w:rPr>
        <w:t xml:space="preserve">it </w:t>
      </w:r>
      <w:r w:rsidRPr="009E2B50">
        <w:rPr>
          <w:rFonts w:ascii="Arial" w:hAnsi="Arial" w:cs="Arial"/>
          <w:sz w:val="22"/>
          <w:szCs w:val="22"/>
        </w:rPr>
        <w:t>down as a service and for further refinements to be made as required in light of learning and reflection on benefits of the new approach</w:t>
      </w:r>
      <w:r w:rsidR="00A8262C">
        <w:rPr>
          <w:rFonts w:ascii="Arial" w:hAnsi="Arial" w:cs="Arial"/>
          <w:sz w:val="22"/>
          <w:szCs w:val="22"/>
        </w:rPr>
        <w:t xml:space="preserve"> before we implement organisational change to align it with our other operational services</w:t>
      </w:r>
      <w:r>
        <w:rPr>
          <w:rFonts w:ascii="Arial" w:hAnsi="Arial" w:cs="Arial"/>
          <w:sz w:val="22"/>
          <w:szCs w:val="22"/>
        </w:rPr>
        <w:t xml:space="preserve">.   </w:t>
      </w:r>
    </w:p>
    <w:p w:rsidR="009E2B50" w:rsidRDefault="009E2B50" w:rsidP="00C003A9">
      <w:pPr>
        <w:jc w:val="both"/>
        <w:rPr>
          <w:rFonts w:ascii="Arial" w:hAnsi="Arial" w:cs="Arial"/>
          <w:sz w:val="22"/>
          <w:szCs w:val="22"/>
        </w:rPr>
      </w:pPr>
    </w:p>
    <w:p w:rsidR="00C003A9" w:rsidRDefault="00BD54BB" w:rsidP="00C003A9">
      <w:pPr>
        <w:jc w:val="both"/>
        <w:rPr>
          <w:rFonts w:ascii="Arial" w:hAnsi="Arial" w:cs="Arial"/>
          <w:sz w:val="22"/>
          <w:szCs w:val="22"/>
        </w:rPr>
      </w:pPr>
      <w:r>
        <w:rPr>
          <w:rFonts w:ascii="Arial" w:hAnsi="Arial" w:cs="Arial"/>
          <w:sz w:val="22"/>
          <w:szCs w:val="22"/>
        </w:rPr>
        <w:t>After allocating budget to Chief Executive (Policy, corporate secretariat),  important support services within the Corporate Services Directorate and Finance, Procurement and Estates services, t</w:t>
      </w:r>
      <w:r w:rsidR="009E2B50">
        <w:rPr>
          <w:rFonts w:ascii="Arial" w:hAnsi="Arial" w:cs="Arial"/>
          <w:sz w:val="22"/>
          <w:szCs w:val="22"/>
        </w:rPr>
        <w:t>he remaining resources have been a</w:t>
      </w:r>
      <w:r>
        <w:rPr>
          <w:rFonts w:ascii="Arial" w:hAnsi="Arial" w:cs="Arial"/>
          <w:sz w:val="22"/>
          <w:szCs w:val="22"/>
        </w:rPr>
        <w:t xml:space="preserve">llocated in line with our first cut priority portfolio plan </w:t>
      </w:r>
      <w:r w:rsidR="00A8262C" w:rsidRPr="00A8262C">
        <w:rPr>
          <w:rFonts w:ascii="Arial" w:hAnsi="Arial" w:cs="Arial"/>
          <w:sz w:val="22"/>
          <w:szCs w:val="22"/>
        </w:rPr>
        <w:t>which has identified key projects within the directorates, some of which have significant project costs</w:t>
      </w:r>
      <w:r w:rsidR="0048709F">
        <w:rPr>
          <w:rFonts w:ascii="Arial" w:hAnsi="Arial" w:cs="Arial"/>
          <w:sz w:val="22"/>
          <w:szCs w:val="22"/>
        </w:rPr>
        <w:t xml:space="preserve">,  for example the website redesign, and monies have been retained in reserves ahead of submission of Project Initiation Documentation and further approvals </w:t>
      </w:r>
      <w:r>
        <w:rPr>
          <w:rFonts w:ascii="Arial" w:hAnsi="Arial" w:cs="Arial"/>
          <w:sz w:val="22"/>
          <w:szCs w:val="22"/>
        </w:rPr>
        <w:t>.</w:t>
      </w:r>
    </w:p>
    <w:p w:rsidR="00AE63B8" w:rsidRDefault="00AE63B8" w:rsidP="00C003A9">
      <w:pPr>
        <w:jc w:val="both"/>
        <w:rPr>
          <w:rFonts w:ascii="Arial" w:hAnsi="Arial" w:cs="Arial"/>
          <w:sz w:val="22"/>
          <w:szCs w:val="22"/>
        </w:rPr>
      </w:pPr>
    </w:p>
    <w:p w:rsidR="00C003A9" w:rsidRDefault="00C003A9" w:rsidP="00C003A9">
      <w:pPr>
        <w:jc w:val="both"/>
        <w:rPr>
          <w:rFonts w:ascii="Arial" w:hAnsi="Arial" w:cs="Arial"/>
          <w:sz w:val="22"/>
          <w:szCs w:val="22"/>
        </w:rPr>
      </w:pPr>
      <w:r w:rsidRPr="00C003A9">
        <w:rPr>
          <w:rFonts w:ascii="Arial" w:hAnsi="Arial" w:cs="Arial"/>
          <w:sz w:val="22"/>
          <w:szCs w:val="22"/>
        </w:rPr>
        <w:t>Reserves are being retained as single allocation in 2016/17</w:t>
      </w:r>
      <w:r w:rsidR="00521B03">
        <w:rPr>
          <w:rFonts w:ascii="Arial" w:hAnsi="Arial" w:cs="Arial"/>
          <w:sz w:val="22"/>
          <w:szCs w:val="22"/>
        </w:rPr>
        <w:t xml:space="preserve"> – and will be used to fund agreed expenditure linked to business planning objectives, the above areas of prioritised activity or any unexpected cost pressures or eventualities that arise.</w:t>
      </w:r>
      <w:r w:rsidRPr="00C003A9">
        <w:rPr>
          <w:rFonts w:ascii="Arial" w:hAnsi="Arial" w:cs="Arial"/>
          <w:sz w:val="22"/>
          <w:szCs w:val="22"/>
        </w:rPr>
        <w:t xml:space="preserve">  All HRA Approval business case funding has now been allocated out.  </w:t>
      </w:r>
      <w:r w:rsidR="00521B03">
        <w:rPr>
          <w:rFonts w:ascii="Arial" w:hAnsi="Arial" w:cs="Arial"/>
          <w:sz w:val="22"/>
          <w:szCs w:val="22"/>
        </w:rPr>
        <w:t xml:space="preserve"> </w:t>
      </w:r>
    </w:p>
    <w:p w:rsidR="00AE63B8" w:rsidRDefault="00AE63B8" w:rsidP="00C003A9">
      <w:pPr>
        <w:jc w:val="both"/>
        <w:rPr>
          <w:rFonts w:ascii="Arial" w:hAnsi="Arial" w:cs="Arial"/>
          <w:sz w:val="22"/>
          <w:szCs w:val="22"/>
        </w:rPr>
      </w:pPr>
    </w:p>
    <w:p w:rsidR="00AE63B8" w:rsidRDefault="00B8345D" w:rsidP="00C003A9">
      <w:pPr>
        <w:jc w:val="both"/>
        <w:rPr>
          <w:rFonts w:ascii="Arial" w:hAnsi="Arial" w:cs="Arial"/>
          <w:sz w:val="22"/>
          <w:szCs w:val="22"/>
        </w:rPr>
      </w:pPr>
      <w:r>
        <w:rPr>
          <w:rFonts w:ascii="Arial" w:hAnsi="Arial" w:cs="Arial"/>
          <w:sz w:val="22"/>
          <w:szCs w:val="22"/>
        </w:rPr>
        <w:t>Appendix 1 sets out the financial sections of the business plan.</w:t>
      </w:r>
    </w:p>
    <w:p w:rsidR="00B8345D" w:rsidRDefault="00B8345D" w:rsidP="00C003A9">
      <w:pPr>
        <w:jc w:val="both"/>
        <w:rPr>
          <w:rFonts w:ascii="Arial" w:hAnsi="Arial" w:cs="Arial"/>
          <w:sz w:val="22"/>
          <w:szCs w:val="22"/>
        </w:rPr>
      </w:pPr>
    </w:p>
    <w:p w:rsidR="00865654" w:rsidRDefault="00865654" w:rsidP="00865654">
      <w:pPr>
        <w:pStyle w:val="ListParagraph"/>
        <w:numPr>
          <w:ilvl w:val="0"/>
          <w:numId w:val="20"/>
        </w:numPr>
        <w:jc w:val="both"/>
        <w:rPr>
          <w:rFonts w:ascii="Arial" w:hAnsi="Arial" w:cs="Arial"/>
          <w:b/>
          <w:sz w:val="22"/>
          <w:szCs w:val="22"/>
        </w:rPr>
      </w:pPr>
      <w:r>
        <w:rPr>
          <w:rFonts w:ascii="Arial" w:hAnsi="Arial" w:cs="Arial"/>
          <w:b/>
          <w:sz w:val="22"/>
          <w:szCs w:val="22"/>
        </w:rPr>
        <w:t xml:space="preserve">Pay </w:t>
      </w:r>
      <w:r w:rsidR="00AE63B8">
        <w:rPr>
          <w:rFonts w:ascii="Arial" w:hAnsi="Arial" w:cs="Arial"/>
          <w:b/>
          <w:sz w:val="22"/>
          <w:szCs w:val="22"/>
        </w:rPr>
        <w:t xml:space="preserve"> - further focus</w:t>
      </w:r>
    </w:p>
    <w:p w:rsidR="00B74A9E" w:rsidRDefault="00B74A9E" w:rsidP="00B74A9E">
      <w:pPr>
        <w:pStyle w:val="ListParagraph"/>
        <w:ind w:left="360"/>
        <w:jc w:val="both"/>
        <w:rPr>
          <w:rFonts w:ascii="Arial" w:hAnsi="Arial" w:cs="Arial"/>
          <w:b/>
          <w:sz w:val="22"/>
          <w:szCs w:val="22"/>
        </w:rPr>
      </w:pPr>
    </w:p>
    <w:p w:rsidR="00800FEF" w:rsidRDefault="00B74A9E" w:rsidP="00F23CD5">
      <w:pPr>
        <w:pStyle w:val="ListParagraph"/>
        <w:ind w:left="0"/>
        <w:jc w:val="both"/>
        <w:rPr>
          <w:rFonts w:ascii="Arial" w:hAnsi="Arial" w:cs="Arial"/>
          <w:sz w:val="22"/>
          <w:szCs w:val="22"/>
        </w:rPr>
      </w:pPr>
      <w:r>
        <w:rPr>
          <w:rFonts w:ascii="Arial" w:hAnsi="Arial" w:cs="Arial"/>
          <w:sz w:val="22"/>
          <w:szCs w:val="22"/>
        </w:rPr>
        <w:t xml:space="preserve">The </w:t>
      </w:r>
      <w:r w:rsidR="005A2D22">
        <w:rPr>
          <w:rFonts w:ascii="Arial" w:hAnsi="Arial" w:cs="Arial"/>
          <w:sz w:val="22"/>
          <w:szCs w:val="22"/>
        </w:rPr>
        <w:t xml:space="preserve">directorate </w:t>
      </w:r>
      <w:r>
        <w:rPr>
          <w:rFonts w:ascii="Arial" w:hAnsi="Arial" w:cs="Arial"/>
          <w:sz w:val="22"/>
          <w:szCs w:val="22"/>
        </w:rPr>
        <w:t xml:space="preserve">pay base budgets </w:t>
      </w:r>
      <w:r w:rsidR="00800FEF">
        <w:rPr>
          <w:rFonts w:ascii="Arial" w:hAnsi="Arial" w:cs="Arial"/>
          <w:sz w:val="22"/>
          <w:szCs w:val="22"/>
        </w:rPr>
        <w:t>include the</w:t>
      </w:r>
      <w:r>
        <w:rPr>
          <w:rFonts w:ascii="Arial" w:hAnsi="Arial" w:cs="Arial"/>
          <w:sz w:val="22"/>
          <w:szCs w:val="22"/>
        </w:rPr>
        <w:t xml:space="preserve"> </w:t>
      </w:r>
      <w:r w:rsidR="005A2D22">
        <w:rPr>
          <w:rFonts w:ascii="Arial" w:hAnsi="Arial" w:cs="Arial"/>
          <w:sz w:val="22"/>
          <w:szCs w:val="22"/>
        </w:rPr>
        <w:t xml:space="preserve">unavoidable costs of </w:t>
      </w:r>
      <w:r>
        <w:rPr>
          <w:rFonts w:ascii="Arial" w:hAnsi="Arial" w:cs="Arial"/>
          <w:sz w:val="22"/>
          <w:szCs w:val="22"/>
        </w:rPr>
        <w:t xml:space="preserve">the </w:t>
      </w:r>
      <w:r w:rsidR="00AE63B8">
        <w:rPr>
          <w:rFonts w:ascii="Arial" w:hAnsi="Arial" w:cs="Arial"/>
          <w:sz w:val="22"/>
          <w:szCs w:val="22"/>
        </w:rPr>
        <w:t>2016/17 pay award which amounted to £60k</w:t>
      </w:r>
      <w:r w:rsidR="00A778E9">
        <w:rPr>
          <w:rFonts w:ascii="Arial" w:hAnsi="Arial" w:cs="Arial"/>
          <w:sz w:val="22"/>
          <w:szCs w:val="22"/>
        </w:rPr>
        <w:t xml:space="preserve"> and the increase in national insurance rates for employers as a result of the change to contracted our rules £157k</w:t>
      </w:r>
      <w:r w:rsidR="00AE63B8">
        <w:rPr>
          <w:rFonts w:ascii="Arial" w:hAnsi="Arial" w:cs="Arial"/>
          <w:sz w:val="22"/>
          <w:szCs w:val="22"/>
        </w:rPr>
        <w:t xml:space="preserve">. </w:t>
      </w:r>
      <w:r w:rsidR="00A778E9">
        <w:rPr>
          <w:rFonts w:ascii="Arial" w:hAnsi="Arial" w:cs="Arial"/>
          <w:sz w:val="22"/>
          <w:szCs w:val="22"/>
        </w:rPr>
        <w:t>It is estimated that the latter point alone adds 4% to the on costs for staff who are members of the pension scheme.</w:t>
      </w:r>
      <w:r w:rsidR="00AE63B8">
        <w:rPr>
          <w:rFonts w:ascii="Arial" w:hAnsi="Arial" w:cs="Arial"/>
          <w:sz w:val="22"/>
          <w:szCs w:val="22"/>
        </w:rPr>
        <w:t xml:space="preserve"> </w:t>
      </w:r>
      <w:r w:rsidR="005A2D22">
        <w:rPr>
          <w:rFonts w:ascii="Arial" w:hAnsi="Arial" w:cs="Arial"/>
          <w:sz w:val="22"/>
          <w:szCs w:val="22"/>
        </w:rPr>
        <w:t xml:space="preserve">  The</w:t>
      </w:r>
      <w:r w:rsidR="00A778E9">
        <w:rPr>
          <w:rFonts w:ascii="Arial" w:hAnsi="Arial" w:cs="Arial"/>
          <w:sz w:val="22"/>
          <w:szCs w:val="22"/>
        </w:rPr>
        <w:t xml:space="preserve"> pay budgets</w:t>
      </w:r>
      <w:r w:rsidR="005A2D22">
        <w:rPr>
          <w:rFonts w:ascii="Arial" w:hAnsi="Arial" w:cs="Arial"/>
          <w:sz w:val="22"/>
          <w:szCs w:val="22"/>
        </w:rPr>
        <w:t xml:space="preserve"> </w:t>
      </w:r>
      <w:r w:rsidR="00800FEF">
        <w:rPr>
          <w:rFonts w:ascii="Arial" w:hAnsi="Arial" w:cs="Arial"/>
          <w:sz w:val="22"/>
          <w:szCs w:val="22"/>
        </w:rPr>
        <w:t xml:space="preserve">are </w:t>
      </w:r>
      <w:r w:rsidR="005A2D22">
        <w:rPr>
          <w:rFonts w:ascii="Arial" w:hAnsi="Arial" w:cs="Arial"/>
          <w:sz w:val="22"/>
          <w:szCs w:val="22"/>
        </w:rPr>
        <w:t xml:space="preserve">also </w:t>
      </w:r>
      <w:r w:rsidR="00800FEF">
        <w:rPr>
          <w:rFonts w:ascii="Arial" w:hAnsi="Arial" w:cs="Arial"/>
          <w:sz w:val="22"/>
          <w:szCs w:val="22"/>
        </w:rPr>
        <w:t xml:space="preserve">based on </w:t>
      </w:r>
      <w:r>
        <w:rPr>
          <w:rFonts w:ascii="Arial" w:hAnsi="Arial" w:cs="Arial"/>
          <w:sz w:val="22"/>
          <w:szCs w:val="22"/>
        </w:rPr>
        <w:t xml:space="preserve">the Agenda for Change </w:t>
      </w:r>
      <w:r w:rsidRPr="00CD6AB7">
        <w:rPr>
          <w:rFonts w:ascii="Arial" w:hAnsi="Arial" w:cs="Arial"/>
          <w:i/>
          <w:sz w:val="22"/>
          <w:szCs w:val="22"/>
        </w:rPr>
        <w:t>201</w:t>
      </w:r>
      <w:r w:rsidR="00AE63B8">
        <w:rPr>
          <w:rFonts w:ascii="Arial" w:hAnsi="Arial" w:cs="Arial"/>
          <w:i/>
          <w:sz w:val="22"/>
          <w:szCs w:val="22"/>
        </w:rPr>
        <w:t>6</w:t>
      </w:r>
      <w:r w:rsidRPr="00CD6AB7">
        <w:rPr>
          <w:rFonts w:ascii="Arial" w:hAnsi="Arial" w:cs="Arial"/>
          <w:i/>
          <w:sz w:val="22"/>
          <w:szCs w:val="22"/>
        </w:rPr>
        <w:t>/1</w:t>
      </w:r>
      <w:r w:rsidR="00AE63B8">
        <w:rPr>
          <w:rFonts w:ascii="Arial" w:hAnsi="Arial" w:cs="Arial"/>
          <w:i/>
          <w:sz w:val="22"/>
          <w:szCs w:val="22"/>
        </w:rPr>
        <w:t>7</w:t>
      </w:r>
      <w:r>
        <w:rPr>
          <w:rFonts w:ascii="Arial" w:hAnsi="Arial" w:cs="Arial"/>
          <w:sz w:val="22"/>
          <w:szCs w:val="22"/>
        </w:rPr>
        <w:t xml:space="preserve"> pay scales</w:t>
      </w:r>
      <w:r w:rsidR="005A2D22">
        <w:rPr>
          <w:rFonts w:ascii="Arial" w:hAnsi="Arial" w:cs="Arial"/>
          <w:sz w:val="22"/>
          <w:szCs w:val="22"/>
        </w:rPr>
        <w:t xml:space="preserve"> and expected increments</w:t>
      </w:r>
      <w:r w:rsidR="00AE63B8">
        <w:rPr>
          <w:rFonts w:ascii="Arial" w:hAnsi="Arial" w:cs="Arial"/>
          <w:sz w:val="22"/>
          <w:szCs w:val="22"/>
        </w:rPr>
        <w:t xml:space="preserve">, which are expected to cost circa £86k in 2016/17. </w:t>
      </w:r>
    </w:p>
    <w:p w:rsidR="00B5745C" w:rsidRDefault="00B5745C" w:rsidP="00F23CD5">
      <w:pPr>
        <w:pStyle w:val="ListParagraph"/>
        <w:ind w:left="0"/>
        <w:jc w:val="both"/>
        <w:rPr>
          <w:rFonts w:ascii="Arial" w:hAnsi="Arial" w:cs="Arial"/>
          <w:sz w:val="22"/>
          <w:szCs w:val="22"/>
        </w:rPr>
      </w:pPr>
    </w:p>
    <w:p w:rsidR="00B8345D" w:rsidRDefault="00B5745C" w:rsidP="00F23CD5">
      <w:pPr>
        <w:pStyle w:val="ListParagraph"/>
        <w:ind w:left="0"/>
        <w:jc w:val="both"/>
        <w:rPr>
          <w:rFonts w:ascii="Arial" w:hAnsi="Arial" w:cs="Arial"/>
          <w:sz w:val="22"/>
          <w:szCs w:val="22"/>
        </w:rPr>
      </w:pPr>
      <w:r>
        <w:rPr>
          <w:rFonts w:ascii="Arial" w:hAnsi="Arial" w:cs="Arial"/>
          <w:sz w:val="22"/>
          <w:szCs w:val="22"/>
        </w:rPr>
        <w:t xml:space="preserve">EMT </w:t>
      </w:r>
      <w:r w:rsidR="00A778E9">
        <w:rPr>
          <w:rFonts w:ascii="Arial" w:hAnsi="Arial" w:cs="Arial"/>
          <w:sz w:val="22"/>
          <w:szCs w:val="22"/>
        </w:rPr>
        <w:t>and the Board are</w:t>
      </w:r>
      <w:r>
        <w:rPr>
          <w:rFonts w:ascii="Arial" w:hAnsi="Arial" w:cs="Arial"/>
          <w:sz w:val="22"/>
          <w:szCs w:val="22"/>
        </w:rPr>
        <w:t xml:space="preserve"> asked to </w:t>
      </w:r>
      <w:r w:rsidR="00B8345D">
        <w:rPr>
          <w:rFonts w:ascii="Arial" w:hAnsi="Arial" w:cs="Arial"/>
          <w:sz w:val="22"/>
          <w:szCs w:val="22"/>
        </w:rPr>
        <w:t>note the following relating to the calculation of the pay budgets for 2016/17.</w:t>
      </w:r>
    </w:p>
    <w:p w:rsidR="00806A53" w:rsidRDefault="00806A53" w:rsidP="00F23CD5">
      <w:pPr>
        <w:pStyle w:val="ListParagraph"/>
        <w:ind w:left="0"/>
        <w:jc w:val="both"/>
        <w:rPr>
          <w:rFonts w:ascii="Arial" w:hAnsi="Arial" w:cs="Arial"/>
          <w:sz w:val="22"/>
          <w:szCs w:val="22"/>
        </w:rPr>
      </w:pPr>
    </w:p>
    <w:p w:rsidR="00806A53" w:rsidRDefault="00806A53" w:rsidP="00B8345D">
      <w:pPr>
        <w:pStyle w:val="ListParagraph"/>
        <w:numPr>
          <w:ilvl w:val="0"/>
          <w:numId w:val="23"/>
        </w:numPr>
        <w:rPr>
          <w:rFonts w:ascii="Arial" w:hAnsi="Arial" w:cs="Arial"/>
          <w:sz w:val="22"/>
          <w:szCs w:val="22"/>
        </w:rPr>
      </w:pPr>
      <w:r>
        <w:rPr>
          <w:rFonts w:ascii="Arial" w:hAnsi="Arial" w:cs="Arial"/>
          <w:sz w:val="22"/>
          <w:szCs w:val="22"/>
        </w:rPr>
        <w:t>A 2% vacancy factor (£</w:t>
      </w:r>
      <w:r w:rsidR="007E24B3">
        <w:rPr>
          <w:rFonts w:ascii="Arial" w:hAnsi="Arial" w:cs="Arial"/>
          <w:sz w:val="22"/>
          <w:szCs w:val="22"/>
        </w:rPr>
        <w:t>1</w:t>
      </w:r>
      <w:r>
        <w:rPr>
          <w:rFonts w:ascii="Arial" w:hAnsi="Arial" w:cs="Arial"/>
          <w:sz w:val="22"/>
          <w:szCs w:val="22"/>
        </w:rPr>
        <w:t>50k) has been applied so far to pay budgets within Operations, Systems and Chief Executive budget areas (including policy, corporate secretariat)</w:t>
      </w:r>
    </w:p>
    <w:p w:rsidR="00806A53" w:rsidRDefault="00806A53" w:rsidP="00806A53">
      <w:pPr>
        <w:pStyle w:val="ListParagraph"/>
        <w:numPr>
          <w:ilvl w:val="1"/>
          <w:numId w:val="23"/>
        </w:numPr>
        <w:rPr>
          <w:rFonts w:ascii="Arial" w:hAnsi="Arial" w:cs="Arial"/>
          <w:sz w:val="22"/>
          <w:szCs w:val="22"/>
        </w:rPr>
      </w:pPr>
      <w:r>
        <w:rPr>
          <w:rFonts w:ascii="Arial" w:hAnsi="Arial" w:cs="Arial"/>
          <w:sz w:val="22"/>
          <w:szCs w:val="22"/>
        </w:rPr>
        <w:t>Operations - £63k</w:t>
      </w:r>
    </w:p>
    <w:p w:rsidR="00806A53" w:rsidRDefault="00806A53" w:rsidP="00806A53">
      <w:pPr>
        <w:pStyle w:val="ListParagraph"/>
        <w:numPr>
          <w:ilvl w:val="1"/>
          <w:numId w:val="23"/>
        </w:numPr>
        <w:rPr>
          <w:rFonts w:ascii="Arial" w:hAnsi="Arial" w:cs="Arial"/>
          <w:sz w:val="22"/>
          <w:szCs w:val="22"/>
        </w:rPr>
      </w:pPr>
      <w:r>
        <w:rPr>
          <w:rFonts w:ascii="Arial" w:hAnsi="Arial" w:cs="Arial"/>
          <w:sz w:val="22"/>
          <w:szCs w:val="22"/>
        </w:rPr>
        <w:t>Systems - £62k</w:t>
      </w:r>
    </w:p>
    <w:p w:rsidR="00806A53" w:rsidRDefault="0048709F" w:rsidP="00806A53">
      <w:pPr>
        <w:pStyle w:val="ListParagraph"/>
        <w:numPr>
          <w:ilvl w:val="1"/>
          <w:numId w:val="23"/>
        </w:numPr>
        <w:rPr>
          <w:rFonts w:ascii="Arial" w:hAnsi="Arial" w:cs="Arial"/>
          <w:sz w:val="22"/>
          <w:szCs w:val="22"/>
        </w:rPr>
      </w:pPr>
      <w:r>
        <w:rPr>
          <w:rFonts w:ascii="Arial" w:hAnsi="Arial" w:cs="Arial"/>
          <w:sz w:val="22"/>
          <w:szCs w:val="22"/>
        </w:rPr>
        <w:t>Policy, corporate secretariat</w:t>
      </w:r>
      <w:r w:rsidR="00806A53">
        <w:rPr>
          <w:rFonts w:ascii="Arial" w:hAnsi="Arial" w:cs="Arial"/>
          <w:sz w:val="22"/>
          <w:szCs w:val="22"/>
        </w:rPr>
        <w:t xml:space="preserve"> - £25k</w:t>
      </w:r>
    </w:p>
    <w:p w:rsidR="0048709F" w:rsidRDefault="0048709F" w:rsidP="00806A53">
      <w:pPr>
        <w:pStyle w:val="ListParagraph"/>
        <w:numPr>
          <w:ilvl w:val="1"/>
          <w:numId w:val="23"/>
        </w:numPr>
        <w:rPr>
          <w:rFonts w:ascii="Arial" w:hAnsi="Arial" w:cs="Arial"/>
          <w:sz w:val="22"/>
          <w:szCs w:val="22"/>
        </w:rPr>
      </w:pPr>
      <w:r>
        <w:rPr>
          <w:rFonts w:ascii="Arial" w:hAnsi="Arial" w:cs="Arial"/>
          <w:sz w:val="22"/>
          <w:szCs w:val="22"/>
        </w:rPr>
        <w:t>A vacancy factor for Corporate and finance areas will be agreed and notified.</w:t>
      </w:r>
    </w:p>
    <w:p w:rsidR="00806A53" w:rsidRDefault="00806A53" w:rsidP="00806A53">
      <w:pPr>
        <w:pStyle w:val="ListParagraph"/>
        <w:ind w:left="1440"/>
        <w:rPr>
          <w:rFonts w:ascii="Arial" w:hAnsi="Arial" w:cs="Arial"/>
          <w:sz w:val="22"/>
          <w:szCs w:val="22"/>
        </w:rPr>
      </w:pPr>
    </w:p>
    <w:p w:rsidR="00AF0158" w:rsidRDefault="00AF0158" w:rsidP="00B8345D">
      <w:pPr>
        <w:pStyle w:val="ListParagraph"/>
        <w:numPr>
          <w:ilvl w:val="0"/>
          <w:numId w:val="23"/>
        </w:numPr>
        <w:rPr>
          <w:rFonts w:ascii="Arial" w:hAnsi="Arial" w:cs="Arial"/>
          <w:sz w:val="22"/>
          <w:szCs w:val="22"/>
        </w:rPr>
      </w:pPr>
      <w:r>
        <w:rPr>
          <w:rFonts w:ascii="Arial" w:hAnsi="Arial" w:cs="Arial"/>
          <w:sz w:val="22"/>
          <w:szCs w:val="22"/>
        </w:rPr>
        <w:t xml:space="preserve">A </w:t>
      </w:r>
      <w:r w:rsidR="00A778E9">
        <w:rPr>
          <w:rFonts w:ascii="Arial" w:hAnsi="Arial" w:cs="Arial"/>
          <w:sz w:val="22"/>
          <w:szCs w:val="22"/>
        </w:rPr>
        <w:t xml:space="preserve">stock take </w:t>
      </w:r>
      <w:r>
        <w:rPr>
          <w:rFonts w:ascii="Arial" w:hAnsi="Arial" w:cs="Arial"/>
          <w:sz w:val="22"/>
          <w:szCs w:val="22"/>
        </w:rPr>
        <w:t>of administrative support</w:t>
      </w:r>
      <w:r w:rsidR="00A778E9">
        <w:rPr>
          <w:rFonts w:ascii="Arial" w:hAnsi="Arial" w:cs="Arial"/>
          <w:sz w:val="22"/>
          <w:szCs w:val="22"/>
        </w:rPr>
        <w:t xml:space="preserve"> and capacity in this area</w:t>
      </w:r>
      <w:r>
        <w:rPr>
          <w:rFonts w:ascii="Arial" w:hAnsi="Arial" w:cs="Arial"/>
          <w:sz w:val="22"/>
          <w:szCs w:val="22"/>
        </w:rPr>
        <w:t xml:space="preserve"> will be completed by the end April 2016 and the budgets presented here are ahead</w:t>
      </w:r>
      <w:r w:rsidR="00A778E9">
        <w:rPr>
          <w:rFonts w:ascii="Arial" w:hAnsi="Arial" w:cs="Arial"/>
          <w:sz w:val="22"/>
          <w:szCs w:val="22"/>
        </w:rPr>
        <w:t xml:space="preserve"> of the findings of that work.</w:t>
      </w:r>
    </w:p>
    <w:p w:rsidR="00AF0158" w:rsidRDefault="00AF0158" w:rsidP="00AF0158">
      <w:pPr>
        <w:pStyle w:val="ListParagraph"/>
        <w:rPr>
          <w:rFonts w:ascii="Arial" w:hAnsi="Arial" w:cs="Arial"/>
          <w:sz w:val="22"/>
          <w:szCs w:val="22"/>
        </w:rPr>
      </w:pPr>
    </w:p>
    <w:p w:rsidR="00B8345D" w:rsidRPr="00B8345D" w:rsidRDefault="00B8345D" w:rsidP="00B8345D">
      <w:pPr>
        <w:pStyle w:val="ListParagraph"/>
        <w:numPr>
          <w:ilvl w:val="0"/>
          <w:numId w:val="23"/>
        </w:numPr>
        <w:rPr>
          <w:rFonts w:ascii="Arial" w:hAnsi="Arial" w:cs="Arial"/>
          <w:sz w:val="22"/>
          <w:szCs w:val="22"/>
        </w:rPr>
      </w:pPr>
      <w:r>
        <w:rPr>
          <w:rFonts w:ascii="Arial" w:hAnsi="Arial" w:cs="Arial"/>
          <w:sz w:val="22"/>
          <w:szCs w:val="22"/>
        </w:rPr>
        <w:t>Within the operations budgets, t</w:t>
      </w:r>
      <w:r w:rsidRPr="00B8345D">
        <w:rPr>
          <w:rFonts w:ascii="Arial" w:hAnsi="Arial" w:cs="Arial"/>
          <w:sz w:val="22"/>
          <w:szCs w:val="22"/>
        </w:rPr>
        <w:t>here are 3 posts and costs of circa £100k invested in the Central Booking System ahead of decisions on developing e-booking services</w:t>
      </w:r>
      <w:r w:rsidR="0020509F">
        <w:rPr>
          <w:rFonts w:ascii="Arial" w:hAnsi="Arial" w:cs="Arial"/>
          <w:sz w:val="22"/>
          <w:szCs w:val="22"/>
        </w:rPr>
        <w:t>, the timing of which is linked to research system priorities</w:t>
      </w:r>
      <w:r w:rsidR="0048709F">
        <w:rPr>
          <w:rFonts w:ascii="Arial" w:hAnsi="Arial" w:cs="Arial"/>
          <w:sz w:val="22"/>
          <w:szCs w:val="22"/>
        </w:rPr>
        <w:t xml:space="preserve"> and requirements of the Devolved Administrations.</w:t>
      </w:r>
    </w:p>
    <w:p w:rsidR="006E232B" w:rsidRDefault="006E232B" w:rsidP="00B74A9E">
      <w:pPr>
        <w:pStyle w:val="ListParagraph"/>
        <w:ind w:left="360"/>
        <w:jc w:val="both"/>
        <w:rPr>
          <w:rFonts w:ascii="Arial" w:hAnsi="Arial" w:cs="Arial"/>
          <w:sz w:val="22"/>
          <w:szCs w:val="22"/>
        </w:rPr>
      </w:pPr>
    </w:p>
    <w:p w:rsidR="0020509F" w:rsidRDefault="0020509F" w:rsidP="00B5745C">
      <w:pPr>
        <w:pStyle w:val="ListParagraph"/>
        <w:numPr>
          <w:ilvl w:val="0"/>
          <w:numId w:val="23"/>
        </w:numPr>
        <w:jc w:val="both"/>
        <w:rPr>
          <w:rFonts w:ascii="Arial" w:hAnsi="Arial" w:cs="Arial"/>
          <w:sz w:val="22"/>
          <w:szCs w:val="22"/>
        </w:rPr>
      </w:pPr>
      <w:r>
        <w:rPr>
          <w:rFonts w:ascii="Arial" w:hAnsi="Arial" w:cs="Arial"/>
          <w:sz w:val="22"/>
          <w:szCs w:val="22"/>
        </w:rPr>
        <w:t>Within the corporate services budgets – further work is required to ensure</w:t>
      </w:r>
    </w:p>
    <w:p w:rsidR="0020509F" w:rsidRPr="0020509F" w:rsidRDefault="0020509F" w:rsidP="0020509F">
      <w:pPr>
        <w:pStyle w:val="ListParagraph"/>
        <w:rPr>
          <w:rFonts w:ascii="Arial" w:hAnsi="Arial" w:cs="Arial"/>
          <w:sz w:val="22"/>
          <w:szCs w:val="22"/>
        </w:rPr>
      </w:pPr>
    </w:p>
    <w:p w:rsidR="0020509F" w:rsidRDefault="0020509F" w:rsidP="0020509F">
      <w:pPr>
        <w:pStyle w:val="ListParagraph"/>
        <w:numPr>
          <w:ilvl w:val="1"/>
          <w:numId w:val="23"/>
        </w:numPr>
        <w:jc w:val="both"/>
        <w:rPr>
          <w:rFonts w:ascii="Arial" w:hAnsi="Arial" w:cs="Arial"/>
          <w:sz w:val="22"/>
          <w:szCs w:val="22"/>
        </w:rPr>
      </w:pPr>
      <w:r>
        <w:rPr>
          <w:rFonts w:ascii="Arial" w:hAnsi="Arial" w:cs="Arial"/>
          <w:sz w:val="22"/>
          <w:szCs w:val="22"/>
        </w:rPr>
        <w:t>Organisational change plans are resourced adequately</w:t>
      </w:r>
    </w:p>
    <w:p w:rsidR="0020509F" w:rsidRDefault="0020509F" w:rsidP="0020509F">
      <w:pPr>
        <w:pStyle w:val="ListParagraph"/>
        <w:numPr>
          <w:ilvl w:val="1"/>
          <w:numId w:val="23"/>
        </w:numPr>
        <w:jc w:val="both"/>
        <w:rPr>
          <w:rFonts w:ascii="Arial" w:hAnsi="Arial" w:cs="Arial"/>
          <w:sz w:val="22"/>
          <w:szCs w:val="22"/>
        </w:rPr>
      </w:pPr>
      <w:r>
        <w:rPr>
          <w:rFonts w:ascii="Arial" w:hAnsi="Arial" w:cs="Arial"/>
          <w:sz w:val="22"/>
          <w:szCs w:val="22"/>
        </w:rPr>
        <w:t>Communications services are resourced adequately, and in light of changes within the team, proposals will be presented alongside plans to develop the website.</w:t>
      </w:r>
    </w:p>
    <w:p w:rsidR="0020509F" w:rsidRDefault="0020509F" w:rsidP="0020509F">
      <w:pPr>
        <w:pStyle w:val="ListParagraph"/>
        <w:numPr>
          <w:ilvl w:val="1"/>
          <w:numId w:val="23"/>
        </w:numPr>
        <w:jc w:val="both"/>
        <w:rPr>
          <w:rFonts w:ascii="Arial" w:hAnsi="Arial" w:cs="Arial"/>
          <w:sz w:val="22"/>
          <w:szCs w:val="22"/>
        </w:rPr>
      </w:pPr>
      <w:r>
        <w:rPr>
          <w:rFonts w:ascii="Arial" w:hAnsi="Arial" w:cs="Arial"/>
          <w:sz w:val="22"/>
          <w:szCs w:val="22"/>
        </w:rPr>
        <w:t>The Programme Management Office resourcing requires further review, analysis and decision.</w:t>
      </w:r>
    </w:p>
    <w:p w:rsidR="006E232B" w:rsidRDefault="006E232B" w:rsidP="00B74A9E">
      <w:pPr>
        <w:pStyle w:val="ListParagraph"/>
        <w:ind w:left="360"/>
        <w:jc w:val="both"/>
        <w:rPr>
          <w:rFonts w:ascii="Arial" w:hAnsi="Arial" w:cs="Arial"/>
          <w:sz w:val="22"/>
          <w:szCs w:val="22"/>
        </w:rPr>
      </w:pPr>
    </w:p>
    <w:p w:rsidR="0020509F" w:rsidRDefault="0020509F" w:rsidP="00B5745C">
      <w:pPr>
        <w:pStyle w:val="ListParagraph"/>
        <w:numPr>
          <w:ilvl w:val="0"/>
          <w:numId w:val="23"/>
        </w:numPr>
        <w:jc w:val="both"/>
        <w:rPr>
          <w:rFonts w:ascii="Arial" w:hAnsi="Arial" w:cs="Arial"/>
          <w:sz w:val="22"/>
          <w:szCs w:val="22"/>
        </w:rPr>
      </w:pPr>
      <w:r>
        <w:rPr>
          <w:rFonts w:ascii="Arial" w:hAnsi="Arial" w:cs="Arial"/>
          <w:sz w:val="22"/>
          <w:szCs w:val="22"/>
        </w:rPr>
        <w:lastRenderedPageBreak/>
        <w:t xml:space="preserve">Within the Chief Executive’s budget areas, there </w:t>
      </w:r>
      <w:r w:rsidR="0048709F">
        <w:rPr>
          <w:rFonts w:ascii="Arial" w:hAnsi="Arial" w:cs="Arial"/>
          <w:sz w:val="22"/>
          <w:szCs w:val="22"/>
        </w:rPr>
        <w:t xml:space="preserve">is provision for additional </w:t>
      </w:r>
      <w:r>
        <w:rPr>
          <w:rFonts w:ascii="Arial" w:hAnsi="Arial" w:cs="Arial"/>
          <w:sz w:val="22"/>
          <w:szCs w:val="22"/>
        </w:rPr>
        <w:t xml:space="preserve">investment </w:t>
      </w:r>
      <w:r w:rsidR="0048709F">
        <w:rPr>
          <w:rFonts w:ascii="Arial" w:hAnsi="Arial" w:cs="Arial"/>
          <w:sz w:val="22"/>
          <w:szCs w:val="22"/>
        </w:rPr>
        <w:t xml:space="preserve">pending </w:t>
      </w:r>
      <w:r>
        <w:rPr>
          <w:rFonts w:ascii="Arial" w:hAnsi="Arial" w:cs="Arial"/>
          <w:sz w:val="22"/>
          <w:szCs w:val="22"/>
        </w:rPr>
        <w:t xml:space="preserve">organisational change </w:t>
      </w:r>
      <w:r w:rsidR="0048709F">
        <w:rPr>
          <w:rFonts w:ascii="Arial" w:hAnsi="Arial" w:cs="Arial"/>
          <w:sz w:val="22"/>
          <w:szCs w:val="22"/>
        </w:rPr>
        <w:t>which may have an impact later in the year. T</w:t>
      </w:r>
      <w:r>
        <w:rPr>
          <w:rFonts w:ascii="Arial" w:hAnsi="Arial" w:cs="Arial"/>
          <w:sz w:val="22"/>
          <w:szCs w:val="22"/>
        </w:rPr>
        <w:t>here has also been investment in the policy area in terms of additional support for project work and administrative support.</w:t>
      </w:r>
    </w:p>
    <w:p w:rsidR="0020509F" w:rsidRDefault="0020509F" w:rsidP="0020509F">
      <w:pPr>
        <w:pStyle w:val="ListParagraph"/>
        <w:jc w:val="both"/>
        <w:rPr>
          <w:rFonts w:ascii="Arial" w:hAnsi="Arial" w:cs="Arial"/>
          <w:sz w:val="22"/>
          <w:szCs w:val="22"/>
        </w:rPr>
      </w:pPr>
    </w:p>
    <w:p w:rsidR="0020509F" w:rsidRDefault="0020509F" w:rsidP="00B5745C">
      <w:pPr>
        <w:pStyle w:val="ListParagraph"/>
        <w:numPr>
          <w:ilvl w:val="0"/>
          <w:numId w:val="23"/>
        </w:numPr>
        <w:jc w:val="both"/>
        <w:rPr>
          <w:rFonts w:ascii="Arial" w:hAnsi="Arial" w:cs="Arial"/>
          <w:sz w:val="22"/>
          <w:szCs w:val="22"/>
        </w:rPr>
      </w:pPr>
      <w:r>
        <w:rPr>
          <w:rFonts w:ascii="Arial" w:hAnsi="Arial" w:cs="Arial"/>
          <w:sz w:val="22"/>
          <w:szCs w:val="22"/>
        </w:rPr>
        <w:t>Within the Finance Directorate, resources continue to be set aside for estates related and procurement advice along with a finance trainee (which may convert to an apprentice depending on timing of HRA decisions in this area).  Further work is required to review capacity and resources within the finance directorate and a separate paper is being drafte</w:t>
      </w:r>
      <w:r w:rsidR="007E24B3">
        <w:rPr>
          <w:rFonts w:ascii="Arial" w:hAnsi="Arial" w:cs="Arial"/>
          <w:sz w:val="22"/>
          <w:szCs w:val="22"/>
        </w:rPr>
        <w:t>d</w:t>
      </w:r>
      <w:r>
        <w:rPr>
          <w:rFonts w:ascii="Arial" w:hAnsi="Arial" w:cs="Arial"/>
          <w:sz w:val="22"/>
          <w:szCs w:val="22"/>
        </w:rPr>
        <w:t xml:space="preserve"> for EMT Review.</w:t>
      </w:r>
    </w:p>
    <w:p w:rsidR="0020509F" w:rsidRPr="0020509F" w:rsidRDefault="0020509F" w:rsidP="0020509F">
      <w:pPr>
        <w:pStyle w:val="ListParagraph"/>
        <w:rPr>
          <w:rFonts w:ascii="Arial" w:hAnsi="Arial" w:cs="Arial"/>
          <w:sz w:val="22"/>
          <w:szCs w:val="22"/>
        </w:rPr>
      </w:pPr>
    </w:p>
    <w:p w:rsidR="0020509F" w:rsidRDefault="0020509F" w:rsidP="00B5745C">
      <w:pPr>
        <w:pStyle w:val="ListParagraph"/>
        <w:numPr>
          <w:ilvl w:val="0"/>
          <w:numId w:val="23"/>
        </w:numPr>
        <w:jc w:val="both"/>
        <w:rPr>
          <w:rFonts w:ascii="Arial" w:hAnsi="Arial" w:cs="Arial"/>
          <w:sz w:val="22"/>
          <w:szCs w:val="22"/>
        </w:rPr>
      </w:pPr>
      <w:r>
        <w:rPr>
          <w:rFonts w:ascii="Arial" w:hAnsi="Arial" w:cs="Arial"/>
          <w:sz w:val="22"/>
          <w:szCs w:val="22"/>
        </w:rPr>
        <w:t>In line with the prioritised portfolio</w:t>
      </w:r>
      <w:proofErr w:type="gramStart"/>
      <w:r>
        <w:rPr>
          <w:rFonts w:ascii="Arial" w:hAnsi="Arial" w:cs="Arial"/>
          <w:sz w:val="22"/>
          <w:szCs w:val="22"/>
        </w:rPr>
        <w:t>,  resource</w:t>
      </w:r>
      <w:proofErr w:type="gramEnd"/>
      <w:r>
        <w:rPr>
          <w:rFonts w:ascii="Arial" w:hAnsi="Arial" w:cs="Arial"/>
          <w:sz w:val="22"/>
          <w:szCs w:val="22"/>
        </w:rPr>
        <w:t xml:space="preserve"> has </w:t>
      </w:r>
      <w:r w:rsidR="0048709F">
        <w:rPr>
          <w:rFonts w:ascii="Arial" w:hAnsi="Arial" w:cs="Arial"/>
          <w:sz w:val="22"/>
          <w:szCs w:val="22"/>
        </w:rPr>
        <w:t xml:space="preserve">also </w:t>
      </w:r>
      <w:r>
        <w:rPr>
          <w:rFonts w:ascii="Arial" w:hAnsi="Arial" w:cs="Arial"/>
          <w:sz w:val="22"/>
          <w:szCs w:val="22"/>
        </w:rPr>
        <w:t>been invested in the following areas.</w:t>
      </w:r>
    </w:p>
    <w:p w:rsidR="0020509F" w:rsidRDefault="0020509F" w:rsidP="0020509F">
      <w:pPr>
        <w:pStyle w:val="ListParagraph"/>
        <w:numPr>
          <w:ilvl w:val="1"/>
          <w:numId w:val="23"/>
        </w:numPr>
        <w:jc w:val="both"/>
        <w:rPr>
          <w:rFonts w:ascii="Arial" w:hAnsi="Arial" w:cs="Arial"/>
          <w:sz w:val="22"/>
          <w:szCs w:val="22"/>
        </w:rPr>
      </w:pPr>
      <w:r>
        <w:rPr>
          <w:rFonts w:ascii="Arial" w:hAnsi="Arial" w:cs="Arial"/>
          <w:sz w:val="22"/>
          <w:szCs w:val="22"/>
        </w:rPr>
        <w:t>Support for collaborative work</w:t>
      </w:r>
      <w:r w:rsidR="00AF0158">
        <w:rPr>
          <w:rFonts w:ascii="Arial" w:hAnsi="Arial" w:cs="Arial"/>
          <w:sz w:val="22"/>
          <w:szCs w:val="22"/>
        </w:rPr>
        <w:t xml:space="preserve"> – Collaboration and Development Support Officer</w:t>
      </w:r>
      <w:r>
        <w:rPr>
          <w:rFonts w:ascii="Arial" w:hAnsi="Arial" w:cs="Arial"/>
          <w:sz w:val="22"/>
          <w:szCs w:val="22"/>
        </w:rPr>
        <w:t>.</w:t>
      </w:r>
    </w:p>
    <w:p w:rsidR="00AF0158" w:rsidRDefault="00AF0158" w:rsidP="0020509F">
      <w:pPr>
        <w:pStyle w:val="ListParagraph"/>
        <w:numPr>
          <w:ilvl w:val="1"/>
          <w:numId w:val="23"/>
        </w:numPr>
        <w:jc w:val="both"/>
        <w:rPr>
          <w:rFonts w:ascii="Arial" w:hAnsi="Arial" w:cs="Arial"/>
          <w:sz w:val="22"/>
          <w:szCs w:val="22"/>
        </w:rPr>
      </w:pPr>
      <w:r>
        <w:rPr>
          <w:rFonts w:ascii="Arial" w:hAnsi="Arial" w:cs="Arial"/>
          <w:sz w:val="22"/>
          <w:szCs w:val="22"/>
        </w:rPr>
        <w:t>Research Information Systems posts with a view to bringing these important roles onto the payroll.</w:t>
      </w:r>
    </w:p>
    <w:p w:rsidR="00AF0158" w:rsidRDefault="00AF0158" w:rsidP="0020509F">
      <w:pPr>
        <w:pStyle w:val="ListParagraph"/>
        <w:numPr>
          <w:ilvl w:val="1"/>
          <w:numId w:val="23"/>
        </w:numPr>
        <w:jc w:val="both"/>
        <w:rPr>
          <w:rFonts w:ascii="Arial" w:hAnsi="Arial" w:cs="Arial"/>
          <w:sz w:val="22"/>
          <w:szCs w:val="22"/>
        </w:rPr>
      </w:pPr>
      <w:r>
        <w:rPr>
          <w:rFonts w:ascii="Arial" w:hAnsi="Arial" w:cs="Arial"/>
          <w:sz w:val="22"/>
          <w:szCs w:val="22"/>
        </w:rPr>
        <w:t>HRA Approval Performance Manager to support the important benefits realisation work</w:t>
      </w:r>
      <w:r w:rsidR="0048709F">
        <w:rPr>
          <w:rFonts w:ascii="Arial" w:hAnsi="Arial" w:cs="Arial"/>
          <w:sz w:val="22"/>
          <w:szCs w:val="22"/>
        </w:rPr>
        <w:t>, metrics and management information</w:t>
      </w:r>
      <w:r>
        <w:rPr>
          <w:rFonts w:ascii="Arial" w:hAnsi="Arial" w:cs="Arial"/>
          <w:sz w:val="22"/>
          <w:szCs w:val="22"/>
        </w:rPr>
        <w:t>.</w:t>
      </w:r>
      <w:r w:rsidR="0020509F">
        <w:rPr>
          <w:rFonts w:ascii="Arial" w:hAnsi="Arial" w:cs="Arial"/>
          <w:sz w:val="22"/>
          <w:szCs w:val="22"/>
        </w:rPr>
        <w:t xml:space="preserve">  </w:t>
      </w:r>
    </w:p>
    <w:p w:rsidR="00AF0158" w:rsidRDefault="00AF0158" w:rsidP="0020509F">
      <w:pPr>
        <w:pStyle w:val="ListParagraph"/>
        <w:numPr>
          <w:ilvl w:val="1"/>
          <w:numId w:val="23"/>
        </w:numPr>
        <w:jc w:val="both"/>
        <w:rPr>
          <w:rFonts w:ascii="Arial" w:hAnsi="Arial" w:cs="Arial"/>
          <w:sz w:val="22"/>
          <w:szCs w:val="22"/>
        </w:rPr>
      </w:pPr>
      <w:r>
        <w:rPr>
          <w:rFonts w:ascii="Arial" w:hAnsi="Arial" w:cs="Arial"/>
          <w:sz w:val="22"/>
          <w:szCs w:val="22"/>
        </w:rPr>
        <w:t xml:space="preserve">Administrative support for continued projects within the </w:t>
      </w:r>
      <w:r w:rsidR="0048709F">
        <w:rPr>
          <w:rFonts w:ascii="Arial" w:hAnsi="Arial" w:cs="Arial"/>
          <w:sz w:val="22"/>
          <w:szCs w:val="22"/>
        </w:rPr>
        <w:t xml:space="preserve">Systems, Standards and </w:t>
      </w:r>
      <w:r>
        <w:rPr>
          <w:rFonts w:ascii="Arial" w:hAnsi="Arial" w:cs="Arial"/>
          <w:sz w:val="22"/>
          <w:szCs w:val="22"/>
        </w:rPr>
        <w:t xml:space="preserve">HRA Approval </w:t>
      </w:r>
      <w:r w:rsidR="0048709F">
        <w:rPr>
          <w:rFonts w:ascii="Arial" w:hAnsi="Arial" w:cs="Arial"/>
          <w:sz w:val="22"/>
          <w:szCs w:val="22"/>
        </w:rPr>
        <w:t xml:space="preserve">Directorate </w:t>
      </w:r>
      <w:r>
        <w:rPr>
          <w:rFonts w:ascii="Arial" w:hAnsi="Arial" w:cs="Arial"/>
          <w:sz w:val="22"/>
          <w:szCs w:val="22"/>
        </w:rPr>
        <w:t>as fixed term posts.</w:t>
      </w:r>
    </w:p>
    <w:p w:rsidR="006E232B" w:rsidRDefault="006E232B" w:rsidP="007E24B3">
      <w:pPr>
        <w:jc w:val="both"/>
        <w:rPr>
          <w:rFonts w:ascii="Arial" w:hAnsi="Arial" w:cs="Arial"/>
          <w:sz w:val="22"/>
          <w:szCs w:val="22"/>
        </w:rPr>
      </w:pPr>
    </w:p>
    <w:p w:rsidR="007E24B3" w:rsidRDefault="007E24B3" w:rsidP="007E24B3">
      <w:pPr>
        <w:pStyle w:val="ListParagraph"/>
        <w:numPr>
          <w:ilvl w:val="0"/>
          <w:numId w:val="23"/>
        </w:numPr>
        <w:jc w:val="both"/>
        <w:rPr>
          <w:rFonts w:ascii="Arial" w:hAnsi="Arial" w:cs="Arial"/>
          <w:sz w:val="22"/>
          <w:szCs w:val="22"/>
        </w:rPr>
      </w:pPr>
      <w:r>
        <w:rPr>
          <w:rFonts w:ascii="Arial" w:hAnsi="Arial" w:cs="Arial"/>
          <w:sz w:val="22"/>
          <w:szCs w:val="22"/>
        </w:rPr>
        <w:t xml:space="preserve">Pay budgets for all areas have been reviewed carefully.  All vacancies at the time of budget set have been adjusted to recurrent part year effect budgets to reflect recruitment activity.  This is in addition to the vacancy factor. </w:t>
      </w:r>
    </w:p>
    <w:p w:rsidR="003E109C" w:rsidRDefault="003E109C" w:rsidP="003E109C">
      <w:pPr>
        <w:pStyle w:val="ListParagraph"/>
        <w:jc w:val="both"/>
        <w:rPr>
          <w:rFonts w:ascii="Arial" w:hAnsi="Arial" w:cs="Arial"/>
          <w:sz w:val="22"/>
          <w:szCs w:val="22"/>
        </w:rPr>
      </w:pPr>
    </w:p>
    <w:p w:rsidR="003E109C" w:rsidRDefault="003E109C" w:rsidP="003E109C">
      <w:pPr>
        <w:pStyle w:val="ListParagraph"/>
        <w:numPr>
          <w:ilvl w:val="0"/>
          <w:numId w:val="23"/>
        </w:numPr>
        <w:jc w:val="both"/>
        <w:rPr>
          <w:rFonts w:ascii="Arial" w:hAnsi="Arial" w:cs="Arial"/>
          <w:sz w:val="22"/>
          <w:szCs w:val="22"/>
        </w:rPr>
      </w:pPr>
      <w:r>
        <w:rPr>
          <w:rFonts w:ascii="Arial" w:hAnsi="Arial" w:cs="Arial"/>
          <w:sz w:val="22"/>
          <w:szCs w:val="22"/>
        </w:rPr>
        <w:t>Further analysis of pay budgets will be required alongside the organisational change work planned for 2016/17.</w:t>
      </w:r>
    </w:p>
    <w:p w:rsidR="007E24B3" w:rsidRDefault="007E24B3" w:rsidP="007E24B3">
      <w:pPr>
        <w:pStyle w:val="ListParagraph"/>
        <w:jc w:val="both"/>
        <w:rPr>
          <w:rFonts w:ascii="Arial" w:hAnsi="Arial" w:cs="Arial"/>
          <w:sz w:val="22"/>
          <w:szCs w:val="22"/>
        </w:rPr>
      </w:pPr>
    </w:p>
    <w:p w:rsidR="007E24B3" w:rsidRPr="007E24B3" w:rsidRDefault="007E24B3" w:rsidP="007E24B3">
      <w:pPr>
        <w:jc w:val="both"/>
        <w:rPr>
          <w:rFonts w:ascii="Arial" w:hAnsi="Arial" w:cs="Arial"/>
          <w:sz w:val="22"/>
          <w:szCs w:val="22"/>
        </w:rPr>
      </w:pPr>
    </w:p>
    <w:p w:rsidR="00865654" w:rsidRDefault="00AF0158" w:rsidP="00865654">
      <w:pPr>
        <w:pStyle w:val="ListParagraph"/>
        <w:numPr>
          <w:ilvl w:val="0"/>
          <w:numId w:val="20"/>
        </w:numPr>
        <w:jc w:val="both"/>
        <w:rPr>
          <w:rFonts w:ascii="Arial" w:hAnsi="Arial" w:cs="Arial"/>
          <w:b/>
          <w:sz w:val="22"/>
          <w:szCs w:val="22"/>
        </w:rPr>
      </w:pPr>
      <w:r>
        <w:rPr>
          <w:rFonts w:ascii="Arial" w:hAnsi="Arial" w:cs="Arial"/>
          <w:b/>
          <w:sz w:val="22"/>
          <w:szCs w:val="22"/>
        </w:rPr>
        <w:t xml:space="preserve">Non pay </w:t>
      </w:r>
      <w:r w:rsidR="00865654">
        <w:rPr>
          <w:rFonts w:ascii="Arial" w:hAnsi="Arial" w:cs="Arial"/>
          <w:b/>
          <w:sz w:val="22"/>
          <w:szCs w:val="22"/>
        </w:rPr>
        <w:t>Expenditure Plans</w:t>
      </w:r>
    </w:p>
    <w:p w:rsidR="000514AC" w:rsidRDefault="000514AC" w:rsidP="000514AC">
      <w:pPr>
        <w:pStyle w:val="ListParagraph"/>
        <w:ind w:left="360"/>
        <w:jc w:val="both"/>
        <w:rPr>
          <w:rFonts w:ascii="Arial" w:hAnsi="Arial" w:cs="Arial"/>
          <w:b/>
          <w:sz w:val="22"/>
          <w:szCs w:val="22"/>
        </w:rPr>
      </w:pPr>
    </w:p>
    <w:p w:rsidR="003E109C" w:rsidRDefault="007E24B3" w:rsidP="000514AC">
      <w:pPr>
        <w:pStyle w:val="ListParagraph"/>
        <w:ind w:left="360"/>
        <w:jc w:val="both"/>
        <w:rPr>
          <w:rFonts w:ascii="Arial" w:hAnsi="Arial" w:cs="Arial"/>
          <w:sz w:val="22"/>
          <w:szCs w:val="22"/>
        </w:rPr>
      </w:pPr>
      <w:r>
        <w:rPr>
          <w:rFonts w:ascii="Arial" w:hAnsi="Arial" w:cs="Arial"/>
          <w:sz w:val="22"/>
          <w:szCs w:val="22"/>
        </w:rPr>
        <w:t>During 2015/16 significant investment was allocated to technology such as digital telephony</w:t>
      </w:r>
      <w:r w:rsidR="003E109C">
        <w:rPr>
          <w:rFonts w:ascii="Arial" w:hAnsi="Arial" w:cs="Arial"/>
          <w:sz w:val="22"/>
          <w:szCs w:val="22"/>
        </w:rPr>
        <w:t xml:space="preserve">.   </w:t>
      </w:r>
      <w:r w:rsidR="000F66A2" w:rsidRPr="000F66A2">
        <w:rPr>
          <w:rFonts w:ascii="Arial" w:hAnsi="Arial" w:cs="Arial"/>
          <w:sz w:val="22"/>
          <w:szCs w:val="22"/>
        </w:rPr>
        <w:t>In line with the HRA estates strategy and in recognition of the reduction of major change activity, staff travel budgets have been reduced</w:t>
      </w:r>
      <w:r w:rsidR="003E109C">
        <w:rPr>
          <w:rFonts w:ascii="Arial" w:hAnsi="Arial" w:cs="Arial"/>
          <w:sz w:val="22"/>
          <w:szCs w:val="22"/>
        </w:rPr>
        <w:t xml:space="preserve">.  </w:t>
      </w:r>
    </w:p>
    <w:p w:rsidR="003E109C" w:rsidRDefault="003E109C" w:rsidP="000514AC">
      <w:pPr>
        <w:pStyle w:val="ListParagraph"/>
        <w:ind w:left="360"/>
        <w:jc w:val="both"/>
        <w:rPr>
          <w:rFonts w:ascii="Arial" w:hAnsi="Arial" w:cs="Arial"/>
          <w:sz w:val="22"/>
          <w:szCs w:val="22"/>
        </w:rPr>
      </w:pPr>
    </w:p>
    <w:p w:rsidR="003E109C" w:rsidRDefault="003E109C" w:rsidP="000514AC">
      <w:pPr>
        <w:pStyle w:val="ListParagraph"/>
        <w:ind w:left="360"/>
        <w:jc w:val="both"/>
        <w:rPr>
          <w:rFonts w:ascii="Arial" w:hAnsi="Arial" w:cs="Arial"/>
          <w:sz w:val="22"/>
          <w:szCs w:val="22"/>
        </w:rPr>
      </w:pPr>
      <w:r>
        <w:rPr>
          <w:rFonts w:ascii="Arial" w:hAnsi="Arial" w:cs="Arial"/>
          <w:sz w:val="22"/>
          <w:szCs w:val="22"/>
        </w:rPr>
        <w:t>Additionally</w:t>
      </w:r>
      <w:proofErr w:type="gramStart"/>
      <w:r>
        <w:rPr>
          <w:rFonts w:ascii="Arial" w:hAnsi="Arial" w:cs="Arial"/>
          <w:sz w:val="22"/>
          <w:szCs w:val="22"/>
        </w:rPr>
        <w:t>,  all</w:t>
      </w:r>
      <w:proofErr w:type="gramEnd"/>
      <w:r>
        <w:rPr>
          <w:rFonts w:ascii="Arial" w:hAnsi="Arial" w:cs="Arial"/>
          <w:sz w:val="22"/>
          <w:szCs w:val="22"/>
        </w:rPr>
        <w:t xml:space="preserve"> staff are required to re-assess their need to travel to internal meetings and only travel if there is a valid reason for requiring a face to face meeting.  Additionally</w:t>
      </w:r>
      <w:proofErr w:type="gramStart"/>
      <w:r>
        <w:rPr>
          <w:rFonts w:ascii="Arial" w:hAnsi="Arial" w:cs="Arial"/>
          <w:sz w:val="22"/>
          <w:szCs w:val="22"/>
        </w:rPr>
        <w:t>,  a</w:t>
      </w:r>
      <w:proofErr w:type="gramEnd"/>
      <w:r>
        <w:rPr>
          <w:rFonts w:ascii="Arial" w:hAnsi="Arial" w:cs="Arial"/>
          <w:sz w:val="22"/>
          <w:szCs w:val="22"/>
        </w:rPr>
        <w:t xml:space="preserve"> maximum cost of internal meetings will be set which will assume more off peak travel and less travel to London</w:t>
      </w:r>
      <w:r w:rsidR="000F66A2">
        <w:rPr>
          <w:rFonts w:ascii="Arial" w:hAnsi="Arial" w:cs="Arial"/>
          <w:sz w:val="22"/>
          <w:szCs w:val="22"/>
        </w:rPr>
        <w:t>, thereby enabling teams to meet but at reduced cost</w:t>
      </w:r>
      <w:r>
        <w:rPr>
          <w:rFonts w:ascii="Arial" w:hAnsi="Arial" w:cs="Arial"/>
          <w:sz w:val="22"/>
          <w:szCs w:val="22"/>
        </w:rPr>
        <w:t xml:space="preserve">.  </w:t>
      </w:r>
    </w:p>
    <w:p w:rsidR="007E24B3" w:rsidRDefault="003E109C" w:rsidP="000514AC">
      <w:pPr>
        <w:pStyle w:val="ListParagraph"/>
        <w:ind w:left="360"/>
        <w:jc w:val="both"/>
        <w:rPr>
          <w:rFonts w:ascii="Arial" w:hAnsi="Arial" w:cs="Arial"/>
          <w:sz w:val="22"/>
          <w:szCs w:val="22"/>
        </w:rPr>
      </w:pPr>
      <w:r>
        <w:rPr>
          <w:rFonts w:ascii="Arial" w:hAnsi="Arial" w:cs="Arial"/>
          <w:sz w:val="22"/>
          <w:szCs w:val="22"/>
        </w:rPr>
        <w:t xml:space="preserve"> </w:t>
      </w:r>
    </w:p>
    <w:p w:rsidR="003E109C" w:rsidRDefault="003E109C" w:rsidP="000514AC">
      <w:pPr>
        <w:pStyle w:val="ListParagraph"/>
        <w:ind w:left="360"/>
        <w:jc w:val="both"/>
        <w:rPr>
          <w:rFonts w:ascii="Arial" w:hAnsi="Arial" w:cs="Arial"/>
          <w:sz w:val="22"/>
          <w:szCs w:val="22"/>
        </w:rPr>
      </w:pPr>
      <w:r>
        <w:rPr>
          <w:rFonts w:ascii="Arial" w:hAnsi="Arial" w:cs="Arial"/>
          <w:sz w:val="22"/>
          <w:szCs w:val="22"/>
        </w:rPr>
        <w:t xml:space="preserve">Plans to adjust the mix of training activity for external learning </w:t>
      </w:r>
      <w:r w:rsidR="002B5F19">
        <w:rPr>
          <w:rFonts w:ascii="Arial" w:hAnsi="Arial" w:cs="Arial"/>
          <w:sz w:val="22"/>
          <w:szCs w:val="22"/>
        </w:rPr>
        <w:t xml:space="preserve">continue into 2016/17 and </w:t>
      </w:r>
      <w:r>
        <w:rPr>
          <w:rFonts w:ascii="Arial" w:hAnsi="Arial" w:cs="Arial"/>
          <w:sz w:val="22"/>
          <w:szCs w:val="22"/>
        </w:rPr>
        <w:t>will be finalised</w:t>
      </w:r>
      <w:r w:rsidR="002B5F19">
        <w:rPr>
          <w:rFonts w:ascii="Arial" w:hAnsi="Arial" w:cs="Arial"/>
          <w:sz w:val="22"/>
          <w:szCs w:val="22"/>
        </w:rPr>
        <w:t>.  B</w:t>
      </w:r>
      <w:r>
        <w:rPr>
          <w:rFonts w:ascii="Arial" w:hAnsi="Arial" w:cs="Arial"/>
          <w:sz w:val="22"/>
          <w:szCs w:val="22"/>
        </w:rPr>
        <w:t xml:space="preserve">udgets have been reduced to reflect plans to </w:t>
      </w:r>
    </w:p>
    <w:p w:rsidR="003E109C" w:rsidRDefault="003E109C" w:rsidP="003E109C">
      <w:pPr>
        <w:pStyle w:val="ListParagraph"/>
        <w:numPr>
          <w:ilvl w:val="1"/>
          <w:numId w:val="23"/>
        </w:numPr>
        <w:jc w:val="both"/>
        <w:rPr>
          <w:rFonts w:ascii="Arial" w:hAnsi="Arial" w:cs="Arial"/>
          <w:sz w:val="22"/>
          <w:szCs w:val="22"/>
        </w:rPr>
      </w:pPr>
      <w:r>
        <w:rPr>
          <w:rFonts w:ascii="Arial" w:hAnsi="Arial" w:cs="Arial"/>
          <w:sz w:val="22"/>
          <w:szCs w:val="22"/>
        </w:rPr>
        <w:t>Reduce the number of face to face events</w:t>
      </w:r>
    </w:p>
    <w:p w:rsidR="003E109C" w:rsidRDefault="002B5F19" w:rsidP="003E109C">
      <w:pPr>
        <w:pStyle w:val="ListParagraph"/>
        <w:numPr>
          <w:ilvl w:val="1"/>
          <w:numId w:val="23"/>
        </w:numPr>
        <w:jc w:val="both"/>
        <w:rPr>
          <w:rFonts w:ascii="Arial" w:hAnsi="Arial" w:cs="Arial"/>
          <w:sz w:val="22"/>
          <w:szCs w:val="22"/>
        </w:rPr>
      </w:pPr>
      <w:r>
        <w:rPr>
          <w:rFonts w:ascii="Arial" w:hAnsi="Arial" w:cs="Arial"/>
          <w:sz w:val="22"/>
          <w:szCs w:val="22"/>
        </w:rPr>
        <w:t>Availability of e-learning packages</w:t>
      </w:r>
    </w:p>
    <w:p w:rsidR="00BC78AB" w:rsidRDefault="00BC78AB" w:rsidP="000F66A2">
      <w:pPr>
        <w:ind w:left="360"/>
        <w:jc w:val="both"/>
        <w:rPr>
          <w:rFonts w:ascii="Arial" w:hAnsi="Arial" w:cs="Arial"/>
          <w:sz w:val="22"/>
          <w:szCs w:val="22"/>
        </w:rPr>
      </w:pPr>
    </w:p>
    <w:p w:rsidR="002B5F19" w:rsidRDefault="002B5F19" w:rsidP="000F66A2">
      <w:pPr>
        <w:ind w:left="360"/>
        <w:jc w:val="both"/>
        <w:rPr>
          <w:rFonts w:ascii="Arial" w:hAnsi="Arial" w:cs="Arial"/>
          <w:sz w:val="22"/>
          <w:szCs w:val="22"/>
        </w:rPr>
      </w:pPr>
      <w:r>
        <w:rPr>
          <w:rFonts w:ascii="Arial" w:hAnsi="Arial" w:cs="Arial"/>
          <w:sz w:val="22"/>
          <w:szCs w:val="22"/>
        </w:rPr>
        <w:t xml:space="preserve">2016/17 will be a year </w:t>
      </w:r>
      <w:r w:rsidR="000F66A2">
        <w:rPr>
          <w:rFonts w:ascii="Arial" w:hAnsi="Arial" w:cs="Arial"/>
          <w:sz w:val="22"/>
          <w:szCs w:val="22"/>
        </w:rPr>
        <w:t xml:space="preserve">of continued transition </w:t>
      </w:r>
      <w:r>
        <w:rPr>
          <w:rFonts w:ascii="Arial" w:hAnsi="Arial" w:cs="Arial"/>
          <w:sz w:val="22"/>
          <w:szCs w:val="22"/>
        </w:rPr>
        <w:t>for this activity and costs will be kept under review.</w:t>
      </w:r>
    </w:p>
    <w:p w:rsidR="002B5F19" w:rsidRPr="002B5F19" w:rsidRDefault="002B5F19" w:rsidP="002B5F19">
      <w:pPr>
        <w:ind w:firstLine="360"/>
        <w:jc w:val="both"/>
        <w:rPr>
          <w:rFonts w:ascii="Arial" w:hAnsi="Arial" w:cs="Arial"/>
          <w:sz w:val="22"/>
          <w:szCs w:val="22"/>
        </w:rPr>
      </w:pPr>
    </w:p>
    <w:p w:rsidR="002975AB" w:rsidRDefault="00806A53" w:rsidP="000514AC">
      <w:pPr>
        <w:pStyle w:val="ListParagraph"/>
        <w:ind w:left="360"/>
        <w:jc w:val="both"/>
        <w:rPr>
          <w:rFonts w:ascii="Arial" w:hAnsi="Arial" w:cs="Arial"/>
          <w:sz w:val="22"/>
          <w:szCs w:val="22"/>
        </w:rPr>
      </w:pPr>
      <w:r>
        <w:rPr>
          <w:rFonts w:ascii="Arial" w:hAnsi="Arial" w:cs="Arial"/>
          <w:sz w:val="22"/>
          <w:szCs w:val="22"/>
        </w:rPr>
        <w:t>Further work is required to finalise project plans for the final phases of the member portal rollout project.</w:t>
      </w:r>
    </w:p>
    <w:p w:rsidR="007E24B3" w:rsidRPr="00806A53" w:rsidRDefault="007E24B3" w:rsidP="000514AC">
      <w:pPr>
        <w:pStyle w:val="ListParagraph"/>
        <w:ind w:left="360"/>
        <w:jc w:val="both"/>
        <w:rPr>
          <w:rFonts w:ascii="Arial" w:hAnsi="Arial" w:cs="Arial"/>
          <w:sz w:val="22"/>
          <w:szCs w:val="22"/>
        </w:rPr>
      </w:pPr>
    </w:p>
    <w:p w:rsidR="00865654" w:rsidRPr="00865654" w:rsidRDefault="00865654" w:rsidP="00865654">
      <w:pPr>
        <w:pStyle w:val="ListParagraph"/>
        <w:ind w:left="360"/>
        <w:jc w:val="both"/>
        <w:rPr>
          <w:rFonts w:ascii="Arial" w:hAnsi="Arial" w:cs="Arial"/>
          <w:sz w:val="22"/>
          <w:szCs w:val="22"/>
        </w:rPr>
      </w:pPr>
    </w:p>
    <w:p w:rsidR="00CE3A4A" w:rsidRPr="00CE3A4A" w:rsidRDefault="00CE3A4A" w:rsidP="002B6533">
      <w:pPr>
        <w:pStyle w:val="ListParagraph"/>
        <w:numPr>
          <w:ilvl w:val="0"/>
          <w:numId w:val="20"/>
        </w:numPr>
        <w:ind w:left="284" w:hanging="284"/>
        <w:jc w:val="both"/>
        <w:rPr>
          <w:rFonts w:ascii="Arial" w:hAnsi="Arial" w:cs="Arial"/>
          <w:b/>
          <w:sz w:val="22"/>
          <w:szCs w:val="22"/>
        </w:rPr>
      </w:pPr>
      <w:r w:rsidRPr="00CE3A4A">
        <w:rPr>
          <w:rFonts w:ascii="Arial" w:hAnsi="Arial" w:cs="Arial"/>
          <w:b/>
          <w:sz w:val="22"/>
          <w:szCs w:val="22"/>
        </w:rPr>
        <w:t xml:space="preserve">Workforce assumptions </w:t>
      </w:r>
    </w:p>
    <w:p w:rsidR="002B6533" w:rsidRDefault="002B6533" w:rsidP="002B6533">
      <w:pPr>
        <w:jc w:val="both"/>
        <w:rPr>
          <w:rFonts w:ascii="Arial" w:hAnsi="Arial" w:cs="Arial"/>
          <w:sz w:val="22"/>
          <w:szCs w:val="22"/>
        </w:rPr>
      </w:pPr>
    </w:p>
    <w:p w:rsidR="00E1349C" w:rsidRDefault="002B6533" w:rsidP="002B6533">
      <w:pPr>
        <w:jc w:val="both"/>
        <w:rPr>
          <w:rFonts w:ascii="Arial" w:hAnsi="Arial" w:cs="Arial"/>
          <w:sz w:val="22"/>
          <w:szCs w:val="22"/>
        </w:rPr>
      </w:pPr>
      <w:r w:rsidRPr="002B6533">
        <w:rPr>
          <w:rFonts w:ascii="Arial" w:hAnsi="Arial" w:cs="Arial"/>
          <w:sz w:val="22"/>
          <w:szCs w:val="22"/>
        </w:rPr>
        <w:t xml:space="preserve">Pay represents </w:t>
      </w:r>
      <w:r w:rsidR="00E1349C">
        <w:rPr>
          <w:rFonts w:ascii="Arial" w:hAnsi="Arial" w:cs="Arial"/>
          <w:sz w:val="22"/>
          <w:szCs w:val="22"/>
        </w:rPr>
        <w:t>the majority o</w:t>
      </w:r>
      <w:r w:rsidRPr="002B6533">
        <w:rPr>
          <w:rFonts w:ascii="Arial" w:hAnsi="Arial" w:cs="Arial"/>
          <w:sz w:val="22"/>
          <w:szCs w:val="22"/>
        </w:rPr>
        <w:t>f the costs incurred in year</w:t>
      </w:r>
      <w:r w:rsidR="00E1349C">
        <w:rPr>
          <w:rFonts w:ascii="Arial" w:hAnsi="Arial" w:cs="Arial"/>
          <w:sz w:val="22"/>
          <w:szCs w:val="22"/>
        </w:rPr>
        <w:t>.</w:t>
      </w:r>
      <w:r w:rsidRPr="002B6533">
        <w:rPr>
          <w:rFonts w:ascii="Arial" w:hAnsi="Arial" w:cs="Arial"/>
          <w:sz w:val="22"/>
          <w:szCs w:val="22"/>
        </w:rPr>
        <w:t xml:space="preserve"> </w:t>
      </w:r>
      <w:r w:rsidR="00E1349C">
        <w:rPr>
          <w:rFonts w:ascii="Arial" w:hAnsi="Arial" w:cs="Arial"/>
          <w:sz w:val="22"/>
          <w:szCs w:val="22"/>
        </w:rPr>
        <w:t xml:space="preserve"> The financial plan is based on the workforce plans summarised </w:t>
      </w:r>
      <w:r w:rsidR="00865654">
        <w:rPr>
          <w:rFonts w:ascii="Arial" w:hAnsi="Arial" w:cs="Arial"/>
          <w:sz w:val="22"/>
          <w:szCs w:val="22"/>
        </w:rPr>
        <w:t xml:space="preserve">in table </w:t>
      </w:r>
      <w:r w:rsidR="00F508EC">
        <w:rPr>
          <w:rFonts w:ascii="Arial" w:hAnsi="Arial" w:cs="Arial"/>
          <w:sz w:val="22"/>
          <w:szCs w:val="22"/>
        </w:rPr>
        <w:t>5</w:t>
      </w:r>
      <w:r w:rsidR="00C06E7F">
        <w:rPr>
          <w:rFonts w:ascii="Arial" w:hAnsi="Arial" w:cs="Arial"/>
          <w:sz w:val="22"/>
          <w:szCs w:val="22"/>
        </w:rPr>
        <w:t xml:space="preserve"> </w:t>
      </w:r>
      <w:r w:rsidR="00E1349C">
        <w:rPr>
          <w:rFonts w:ascii="Arial" w:hAnsi="Arial" w:cs="Arial"/>
          <w:sz w:val="22"/>
          <w:szCs w:val="22"/>
        </w:rPr>
        <w:t xml:space="preserve">below which show the </w:t>
      </w:r>
      <w:r w:rsidR="00865654">
        <w:rPr>
          <w:rFonts w:ascii="Arial" w:hAnsi="Arial" w:cs="Arial"/>
          <w:sz w:val="22"/>
          <w:szCs w:val="22"/>
        </w:rPr>
        <w:t>estimated actual WTE in March 201</w:t>
      </w:r>
      <w:r w:rsidR="00F508EC">
        <w:rPr>
          <w:rFonts w:ascii="Arial" w:hAnsi="Arial" w:cs="Arial"/>
          <w:sz w:val="22"/>
          <w:szCs w:val="22"/>
        </w:rPr>
        <w:t>6</w:t>
      </w:r>
      <w:r w:rsidR="00865654">
        <w:rPr>
          <w:rFonts w:ascii="Arial" w:hAnsi="Arial" w:cs="Arial"/>
          <w:sz w:val="22"/>
          <w:szCs w:val="22"/>
        </w:rPr>
        <w:t>, planned WTE in March 201</w:t>
      </w:r>
      <w:r w:rsidR="00F508EC">
        <w:rPr>
          <w:rFonts w:ascii="Arial" w:hAnsi="Arial" w:cs="Arial"/>
          <w:sz w:val="22"/>
          <w:szCs w:val="22"/>
        </w:rPr>
        <w:t>7 and early estimates for March</w:t>
      </w:r>
      <w:r w:rsidR="00865654">
        <w:rPr>
          <w:rFonts w:ascii="Arial" w:hAnsi="Arial" w:cs="Arial"/>
          <w:sz w:val="22"/>
          <w:szCs w:val="22"/>
        </w:rPr>
        <w:t xml:space="preserve"> 2017</w:t>
      </w:r>
      <w:r w:rsidR="00E1349C">
        <w:rPr>
          <w:rFonts w:ascii="Arial" w:hAnsi="Arial" w:cs="Arial"/>
          <w:sz w:val="22"/>
          <w:szCs w:val="22"/>
        </w:rPr>
        <w:t xml:space="preserve">.  </w:t>
      </w:r>
    </w:p>
    <w:p w:rsidR="00C06E7F" w:rsidRDefault="00C06E7F" w:rsidP="002B6533">
      <w:pPr>
        <w:jc w:val="both"/>
        <w:rPr>
          <w:rFonts w:ascii="Arial" w:hAnsi="Arial" w:cs="Arial"/>
          <w:sz w:val="22"/>
          <w:szCs w:val="22"/>
        </w:rPr>
      </w:pPr>
    </w:p>
    <w:p w:rsidR="000F66A2" w:rsidRDefault="000F66A2" w:rsidP="002B6533">
      <w:pPr>
        <w:jc w:val="both"/>
        <w:rPr>
          <w:rFonts w:ascii="Arial" w:hAnsi="Arial" w:cs="Arial"/>
          <w:b/>
          <w:sz w:val="22"/>
          <w:szCs w:val="22"/>
          <w:u w:val="single"/>
        </w:rPr>
      </w:pPr>
    </w:p>
    <w:p w:rsidR="000F66A2" w:rsidRDefault="000F66A2" w:rsidP="002B6533">
      <w:pPr>
        <w:jc w:val="both"/>
        <w:rPr>
          <w:rFonts w:ascii="Arial" w:hAnsi="Arial" w:cs="Arial"/>
          <w:b/>
          <w:sz w:val="22"/>
          <w:szCs w:val="22"/>
          <w:u w:val="single"/>
        </w:rPr>
      </w:pPr>
    </w:p>
    <w:p w:rsidR="000F66A2" w:rsidRDefault="000F66A2" w:rsidP="002B6533">
      <w:pPr>
        <w:jc w:val="both"/>
        <w:rPr>
          <w:rFonts w:ascii="Arial" w:hAnsi="Arial" w:cs="Arial"/>
          <w:b/>
          <w:sz w:val="22"/>
          <w:szCs w:val="22"/>
          <w:u w:val="single"/>
        </w:rPr>
      </w:pPr>
    </w:p>
    <w:p w:rsidR="00C06E7F" w:rsidRDefault="00865654" w:rsidP="002B6533">
      <w:pPr>
        <w:jc w:val="both"/>
        <w:rPr>
          <w:rFonts w:ascii="Arial" w:hAnsi="Arial" w:cs="Arial"/>
          <w:sz w:val="22"/>
          <w:szCs w:val="22"/>
        </w:rPr>
      </w:pPr>
      <w:r>
        <w:rPr>
          <w:rFonts w:ascii="Arial" w:hAnsi="Arial" w:cs="Arial"/>
          <w:b/>
          <w:sz w:val="22"/>
          <w:szCs w:val="22"/>
          <w:u w:val="single"/>
        </w:rPr>
        <w:t xml:space="preserve">Table </w:t>
      </w:r>
      <w:r w:rsidR="000F66A2">
        <w:rPr>
          <w:rFonts w:ascii="Arial" w:hAnsi="Arial" w:cs="Arial"/>
          <w:b/>
          <w:sz w:val="22"/>
          <w:szCs w:val="22"/>
          <w:u w:val="single"/>
        </w:rPr>
        <w:t>4</w:t>
      </w:r>
      <w:r w:rsidR="00C06E7F" w:rsidRPr="00C06E7F">
        <w:rPr>
          <w:rFonts w:ascii="Arial" w:hAnsi="Arial" w:cs="Arial"/>
          <w:b/>
          <w:sz w:val="22"/>
          <w:szCs w:val="22"/>
          <w:u w:val="single"/>
        </w:rPr>
        <w:t>:  Workforce planning assumptions</w:t>
      </w:r>
    </w:p>
    <w:p w:rsidR="00C06E7F" w:rsidRDefault="00C06E7F" w:rsidP="002B6533">
      <w:pPr>
        <w:jc w:val="both"/>
        <w:rPr>
          <w:rFonts w:ascii="Arial" w:hAnsi="Arial" w:cs="Arial"/>
          <w:sz w:val="22"/>
          <w:szCs w:val="22"/>
        </w:rPr>
      </w:pPr>
    </w:p>
    <w:p w:rsidR="00E1349C" w:rsidRDefault="000F66A2" w:rsidP="002B6533">
      <w:pPr>
        <w:jc w:val="both"/>
        <w:rPr>
          <w:rFonts w:ascii="Arial" w:hAnsi="Arial" w:cs="Arial"/>
          <w:sz w:val="22"/>
          <w:szCs w:val="22"/>
        </w:rPr>
      </w:pPr>
      <w:r w:rsidRPr="000F66A2">
        <w:rPr>
          <w:noProof/>
        </w:rPr>
        <w:drawing>
          <wp:inline distT="0" distB="0" distL="0" distR="0">
            <wp:extent cx="306705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495550"/>
                    </a:xfrm>
                    <a:prstGeom prst="rect">
                      <a:avLst/>
                    </a:prstGeom>
                    <a:noFill/>
                    <a:ln>
                      <a:noFill/>
                    </a:ln>
                  </pic:spPr>
                </pic:pic>
              </a:graphicData>
            </a:graphic>
          </wp:inline>
        </w:drawing>
      </w:r>
    </w:p>
    <w:p w:rsidR="00D57029" w:rsidRDefault="00D57029" w:rsidP="002B6533">
      <w:pPr>
        <w:jc w:val="both"/>
        <w:rPr>
          <w:rFonts w:ascii="Arial" w:hAnsi="Arial" w:cs="Arial"/>
          <w:sz w:val="22"/>
          <w:szCs w:val="22"/>
        </w:rPr>
      </w:pPr>
    </w:p>
    <w:p w:rsidR="00611AF4" w:rsidRPr="00D57029" w:rsidRDefault="00CE3A4A" w:rsidP="000772E5">
      <w:pPr>
        <w:pStyle w:val="ListParagraph"/>
        <w:numPr>
          <w:ilvl w:val="0"/>
          <w:numId w:val="20"/>
        </w:numPr>
        <w:ind w:left="0" w:hanging="284"/>
        <w:jc w:val="both"/>
        <w:rPr>
          <w:rFonts w:ascii="Arial" w:hAnsi="Arial" w:cs="Arial"/>
          <w:sz w:val="22"/>
          <w:szCs w:val="22"/>
        </w:rPr>
      </w:pPr>
      <w:r w:rsidRPr="00D57029">
        <w:rPr>
          <w:rFonts w:ascii="Arial" w:hAnsi="Arial" w:cs="Arial"/>
          <w:b/>
          <w:sz w:val="22"/>
          <w:szCs w:val="22"/>
        </w:rPr>
        <w:t>Efficiency savings for 201</w:t>
      </w:r>
      <w:r w:rsidR="00F508EC" w:rsidRPr="00D57029">
        <w:rPr>
          <w:rFonts w:ascii="Arial" w:hAnsi="Arial" w:cs="Arial"/>
          <w:b/>
          <w:sz w:val="22"/>
          <w:szCs w:val="22"/>
        </w:rPr>
        <w:t>6</w:t>
      </w:r>
      <w:r w:rsidRPr="00D57029">
        <w:rPr>
          <w:rFonts w:ascii="Arial" w:hAnsi="Arial" w:cs="Arial"/>
          <w:b/>
          <w:sz w:val="22"/>
          <w:szCs w:val="22"/>
        </w:rPr>
        <w:t>/1</w:t>
      </w:r>
      <w:r w:rsidR="00F508EC" w:rsidRPr="00D57029">
        <w:rPr>
          <w:rFonts w:ascii="Arial" w:hAnsi="Arial" w:cs="Arial"/>
          <w:b/>
          <w:sz w:val="22"/>
          <w:szCs w:val="22"/>
        </w:rPr>
        <w:t>7</w:t>
      </w:r>
      <w:r w:rsidR="000772E5" w:rsidRPr="00D57029">
        <w:rPr>
          <w:rFonts w:ascii="Arial" w:hAnsi="Arial" w:cs="Arial"/>
          <w:b/>
          <w:sz w:val="22"/>
          <w:szCs w:val="22"/>
        </w:rPr>
        <w:t xml:space="preserve"> and beyond.</w:t>
      </w:r>
      <w:r w:rsidR="00B74A9E" w:rsidRPr="00D57029">
        <w:rPr>
          <w:rFonts w:ascii="Arial" w:hAnsi="Arial" w:cs="Arial"/>
          <w:b/>
          <w:sz w:val="22"/>
          <w:szCs w:val="22"/>
        </w:rPr>
        <w:t xml:space="preserve"> </w:t>
      </w:r>
    </w:p>
    <w:p w:rsidR="00D57029" w:rsidRPr="00D57029" w:rsidRDefault="00D57029" w:rsidP="00D57029">
      <w:pPr>
        <w:pStyle w:val="ListParagraph"/>
        <w:ind w:left="0"/>
        <w:jc w:val="both"/>
        <w:rPr>
          <w:rFonts w:ascii="Arial" w:hAnsi="Arial" w:cs="Arial"/>
          <w:sz w:val="22"/>
          <w:szCs w:val="22"/>
        </w:rPr>
      </w:pPr>
    </w:p>
    <w:p w:rsidR="00187E34" w:rsidRDefault="00F508EC" w:rsidP="000772E5">
      <w:pPr>
        <w:pStyle w:val="ListParagraph"/>
        <w:ind w:left="0"/>
        <w:jc w:val="both"/>
        <w:rPr>
          <w:rFonts w:ascii="Arial" w:hAnsi="Arial" w:cs="Arial"/>
          <w:sz w:val="22"/>
          <w:szCs w:val="22"/>
        </w:rPr>
      </w:pPr>
      <w:r>
        <w:rPr>
          <w:rFonts w:ascii="Arial" w:hAnsi="Arial" w:cs="Arial"/>
          <w:sz w:val="22"/>
          <w:szCs w:val="22"/>
        </w:rPr>
        <w:t xml:space="preserve">The HRA plans </w:t>
      </w:r>
      <w:r w:rsidR="00611AF4">
        <w:rPr>
          <w:rFonts w:ascii="Arial" w:hAnsi="Arial" w:cs="Arial"/>
          <w:sz w:val="22"/>
          <w:szCs w:val="22"/>
        </w:rPr>
        <w:t xml:space="preserve">to deliver efficiency savings of at least </w:t>
      </w:r>
      <w:r>
        <w:rPr>
          <w:rFonts w:ascii="Arial" w:hAnsi="Arial" w:cs="Arial"/>
          <w:sz w:val="22"/>
          <w:szCs w:val="22"/>
        </w:rPr>
        <w:t>6</w:t>
      </w:r>
      <w:r w:rsidR="00611AF4">
        <w:rPr>
          <w:rFonts w:ascii="Arial" w:hAnsi="Arial" w:cs="Arial"/>
          <w:sz w:val="22"/>
          <w:szCs w:val="22"/>
        </w:rPr>
        <w:t>% as part of the 201</w:t>
      </w:r>
      <w:r>
        <w:rPr>
          <w:rFonts w:ascii="Arial" w:hAnsi="Arial" w:cs="Arial"/>
          <w:sz w:val="22"/>
          <w:szCs w:val="22"/>
        </w:rPr>
        <w:t>6</w:t>
      </w:r>
      <w:r w:rsidR="00611AF4">
        <w:rPr>
          <w:rFonts w:ascii="Arial" w:hAnsi="Arial" w:cs="Arial"/>
          <w:sz w:val="22"/>
          <w:szCs w:val="22"/>
        </w:rPr>
        <w:t>/1</w:t>
      </w:r>
      <w:r>
        <w:rPr>
          <w:rFonts w:ascii="Arial" w:hAnsi="Arial" w:cs="Arial"/>
          <w:sz w:val="22"/>
          <w:szCs w:val="22"/>
        </w:rPr>
        <w:t>7</w:t>
      </w:r>
      <w:r w:rsidR="00611AF4">
        <w:rPr>
          <w:rFonts w:ascii="Arial" w:hAnsi="Arial" w:cs="Arial"/>
          <w:sz w:val="22"/>
          <w:szCs w:val="22"/>
        </w:rPr>
        <w:t xml:space="preserve"> business plan</w:t>
      </w:r>
      <w:r>
        <w:rPr>
          <w:rFonts w:ascii="Arial" w:hAnsi="Arial" w:cs="Arial"/>
          <w:sz w:val="22"/>
          <w:szCs w:val="22"/>
        </w:rPr>
        <w:t xml:space="preserve"> with further savings required thereafter</w:t>
      </w:r>
      <w:r w:rsidR="00611AF4">
        <w:rPr>
          <w:rFonts w:ascii="Arial" w:hAnsi="Arial" w:cs="Arial"/>
          <w:sz w:val="22"/>
          <w:szCs w:val="22"/>
        </w:rPr>
        <w:t xml:space="preserve">.  The table below sets out the </w:t>
      </w:r>
      <w:r w:rsidR="000F66A2">
        <w:rPr>
          <w:rFonts w:ascii="Arial" w:hAnsi="Arial" w:cs="Arial"/>
          <w:sz w:val="22"/>
          <w:szCs w:val="22"/>
        </w:rPr>
        <w:t xml:space="preserve">main </w:t>
      </w:r>
      <w:r w:rsidR="00611AF4">
        <w:rPr>
          <w:rFonts w:ascii="Arial" w:hAnsi="Arial" w:cs="Arial"/>
          <w:sz w:val="22"/>
          <w:szCs w:val="22"/>
        </w:rPr>
        <w:t xml:space="preserve">savings </w:t>
      </w:r>
      <w:r w:rsidR="005C5BA2">
        <w:rPr>
          <w:rFonts w:ascii="Arial" w:hAnsi="Arial" w:cs="Arial"/>
          <w:sz w:val="22"/>
          <w:szCs w:val="22"/>
        </w:rPr>
        <w:t xml:space="preserve">assumptions on which this plan is based. </w:t>
      </w:r>
      <w:r w:rsidR="00611AF4">
        <w:rPr>
          <w:rFonts w:ascii="Arial" w:hAnsi="Arial" w:cs="Arial"/>
          <w:sz w:val="22"/>
          <w:szCs w:val="22"/>
        </w:rPr>
        <w:t xml:space="preserve"> </w:t>
      </w:r>
    </w:p>
    <w:p w:rsidR="00611AF4" w:rsidRDefault="00611AF4" w:rsidP="000772E5">
      <w:pPr>
        <w:pStyle w:val="ListParagraph"/>
        <w:ind w:left="0"/>
        <w:jc w:val="both"/>
        <w:rPr>
          <w:rFonts w:ascii="Arial" w:hAnsi="Arial" w:cs="Arial"/>
          <w:sz w:val="22"/>
          <w:szCs w:val="22"/>
        </w:rPr>
      </w:pPr>
    </w:p>
    <w:p w:rsidR="00D57029" w:rsidRDefault="00D57029" w:rsidP="000772E5">
      <w:pPr>
        <w:pStyle w:val="ListParagraph"/>
        <w:ind w:left="0"/>
        <w:jc w:val="both"/>
        <w:rPr>
          <w:rFonts w:ascii="Arial" w:hAnsi="Arial" w:cs="Arial"/>
          <w:sz w:val="22"/>
          <w:szCs w:val="22"/>
        </w:rPr>
      </w:pPr>
      <w:r>
        <w:rPr>
          <w:rFonts w:ascii="Arial" w:hAnsi="Arial" w:cs="Arial"/>
          <w:sz w:val="22"/>
          <w:szCs w:val="22"/>
        </w:rPr>
        <w:t xml:space="preserve">Table </w:t>
      </w:r>
      <w:r w:rsidR="000F66A2">
        <w:rPr>
          <w:rFonts w:ascii="Arial" w:hAnsi="Arial" w:cs="Arial"/>
          <w:sz w:val="22"/>
          <w:szCs w:val="22"/>
        </w:rPr>
        <w:t>5</w:t>
      </w:r>
    </w:p>
    <w:p w:rsidR="00D57029" w:rsidRDefault="00D57029" w:rsidP="000772E5">
      <w:pPr>
        <w:pStyle w:val="ListParagraph"/>
        <w:ind w:left="0"/>
        <w:jc w:val="both"/>
        <w:rPr>
          <w:rFonts w:ascii="Arial" w:hAnsi="Arial" w:cs="Arial"/>
          <w:sz w:val="22"/>
          <w:szCs w:val="22"/>
        </w:rPr>
      </w:pPr>
      <w:r w:rsidRPr="00D57029">
        <w:rPr>
          <w:noProof/>
        </w:rPr>
        <w:drawing>
          <wp:inline distT="0" distB="0" distL="0" distR="0">
            <wp:extent cx="345757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314575"/>
                    </a:xfrm>
                    <a:prstGeom prst="rect">
                      <a:avLst/>
                    </a:prstGeom>
                    <a:noFill/>
                    <a:ln>
                      <a:noFill/>
                    </a:ln>
                  </pic:spPr>
                </pic:pic>
              </a:graphicData>
            </a:graphic>
          </wp:inline>
        </w:drawing>
      </w:r>
    </w:p>
    <w:p w:rsidR="00D57029" w:rsidRDefault="00D57029" w:rsidP="000772E5">
      <w:pPr>
        <w:pStyle w:val="ListParagraph"/>
        <w:ind w:left="0"/>
        <w:jc w:val="both"/>
        <w:rPr>
          <w:rFonts w:ascii="Arial" w:hAnsi="Arial" w:cs="Arial"/>
          <w:sz w:val="22"/>
          <w:szCs w:val="22"/>
        </w:rPr>
      </w:pPr>
    </w:p>
    <w:p w:rsidR="00187E34" w:rsidRDefault="005C5BA2" w:rsidP="000772E5">
      <w:pPr>
        <w:pStyle w:val="ListParagraph"/>
        <w:ind w:left="0"/>
        <w:jc w:val="both"/>
        <w:rPr>
          <w:rFonts w:ascii="Arial" w:hAnsi="Arial" w:cs="Arial"/>
          <w:sz w:val="22"/>
          <w:szCs w:val="22"/>
        </w:rPr>
      </w:pPr>
      <w:r>
        <w:rPr>
          <w:rFonts w:ascii="Arial" w:hAnsi="Arial" w:cs="Arial"/>
          <w:sz w:val="22"/>
          <w:szCs w:val="22"/>
        </w:rPr>
        <w:t xml:space="preserve">With a view to </w:t>
      </w:r>
      <w:r w:rsidRPr="00CD6AB7">
        <w:rPr>
          <w:rFonts w:ascii="Arial" w:hAnsi="Arial" w:cs="Arial"/>
          <w:b/>
          <w:sz w:val="22"/>
          <w:szCs w:val="22"/>
          <w:u w:val="single"/>
        </w:rPr>
        <w:t>2016/17</w:t>
      </w:r>
      <w:r>
        <w:rPr>
          <w:rFonts w:ascii="Arial" w:hAnsi="Arial" w:cs="Arial"/>
          <w:sz w:val="22"/>
          <w:szCs w:val="22"/>
        </w:rPr>
        <w:t xml:space="preserve"> </w:t>
      </w:r>
      <w:r w:rsidR="00D57029">
        <w:rPr>
          <w:rFonts w:ascii="Arial" w:hAnsi="Arial" w:cs="Arial"/>
          <w:sz w:val="22"/>
          <w:szCs w:val="22"/>
        </w:rPr>
        <w:t>and beyond</w:t>
      </w:r>
      <w:r>
        <w:rPr>
          <w:rFonts w:ascii="Arial" w:hAnsi="Arial" w:cs="Arial"/>
          <w:sz w:val="22"/>
          <w:szCs w:val="22"/>
        </w:rPr>
        <w:t>, the following f</w:t>
      </w:r>
      <w:r w:rsidR="00187E34">
        <w:rPr>
          <w:rFonts w:ascii="Arial" w:hAnsi="Arial" w:cs="Arial"/>
          <w:sz w:val="22"/>
          <w:szCs w:val="22"/>
        </w:rPr>
        <w:t>u</w:t>
      </w:r>
      <w:r>
        <w:rPr>
          <w:rFonts w:ascii="Arial" w:hAnsi="Arial" w:cs="Arial"/>
          <w:sz w:val="22"/>
          <w:szCs w:val="22"/>
        </w:rPr>
        <w:t xml:space="preserve">rther </w:t>
      </w:r>
      <w:r w:rsidR="00187E34">
        <w:rPr>
          <w:rFonts w:ascii="Arial" w:hAnsi="Arial" w:cs="Arial"/>
          <w:sz w:val="22"/>
          <w:szCs w:val="22"/>
        </w:rPr>
        <w:t xml:space="preserve">areas for savings are proposed </w:t>
      </w:r>
      <w:r>
        <w:rPr>
          <w:rFonts w:ascii="Arial" w:hAnsi="Arial" w:cs="Arial"/>
          <w:sz w:val="22"/>
          <w:szCs w:val="22"/>
        </w:rPr>
        <w:t>for investigation during 201</w:t>
      </w:r>
      <w:r w:rsidR="00D57029">
        <w:rPr>
          <w:rFonts w:ascii="Arial" w:hAnsi="Arial" w:cs="Arial"/>
          <w:sz w:val="22"/>
          <w:szCs w:val="22"/>
        </w:rPr>
        <w:t>6</w:t>
      </w:r>
      <w:r>
        <w:rPr>
          <w:rFonts w:ascii="Arial" w:hAnsi="Arial" w:cs="Arial"/>
          <w:sz w:val="22"/>
          <w:szCs w:val="22"/>
        </w:rPr>
        <w:t>/1</w:t>
      </w:r>
      <w:r w:rsidR="00D57029">
        <w:rPr>
          <w:rFonts w:ascii="Arial" w:hAnsi="Arial" w:cs="Arial"/>
          <w:sz w:val="22"/>
          <w:szCs w:val="22"/>
        </w:rPr>
        <w:t>7</w:t>
      </w:r>
      <w:r w:rsidR="00187E34">
        <w:rPr>
          <w:rFonts w:ascii="Arial" w:hAnsi="Arial" w:cs="Arial"/>
          <w:sz w:val="22"/>
          <w:szCs w:val="22"/>
        </w:rPr>
        <w:t>:</w:t>
      </w:r>
    </w:p>
    <w:p w:rsidR="00187E34" w:rsidRDefault="00187E34" w:rsidP="000772E5">
      <w:pPr>
        <w:pStyle w:val="ListParagraph"/>
        <w:ind w:left="0"/>
        <w:jc w:val="both"/>
        <w:rPr>
          <w:rFonts w:ascii="Arial" w:hAnsi="Arial" w:cs="Arial"/>
          <w:sz w:val="22"/>
          <w:szCs w:val="22"/>
        </w:rPr>
      </w:pPr>
    </w:p>
    <w:p w:rsidR="002B47F2" w:rsidRDefault="002B47F2" w:rsidP="0095535D">
      <w:pPr>
        <w:pStyle w:val="ListParagraph"/>
        <w:numPr>
          <w:ilvl w:val="0"/>
          <w:numId w:val="21"/>
        </w:numPr>
        <w:jc w:val="both"/>
        <w:rPr>
          <w:rFonts w:ascii="Arial" w:hAnsi="Arial" w:cs="Arial"/>
          <w:sz w:val="22"/>
          <w:szCs w:val="22"/>
        </w:rPr>
      </w:pPr>
      <w:r>
        <w:rPr>
          <w:rFonts w:ascii="Arial" w:hAnsi="Arial" w:cs="Arial"/>
          <w:sz w:val="22"/>
          <w:szCs w:val="22"/>
        </w:rPr>
        <w:t xml:space="preserve">Review of </w:t>
      </w:r>
      <w:r w:rsidR="00D57029">
        <w:rPr>
          <w:rFonts w:ascii="Arial" w:hAnsi="Arial" w:cs="Arial"/>
          <w:sz w:val="22"/>
          <w:szCs w:val="22"/>
        </w:rPr>
        <w:t xml:space="preserve">actual </w:t>
      </w:r>
      <w:r>
        <w:rPr>
          <w:rFonts w:ascii="Arial" w:hAnsi="Arial" w:cs="Arial"/>
          <w:sz w:val="22"/>
          <w:szCs w:val="22"/>
        </w:rPr>
        <w:t xml:space="preserve">impact of e-submissions </w:t>
      </w:r>
      <w:r w:rsidR="00B82697">
        <w:rPr>
          <w:rFonts w:ascii="Arial" w:hAnsi="Arial" w:cs="Arial"/>
          <w:sz w:val="22"/>
          <w:szCs w:val="22"/>
        </w:rPr>
        <w:t xml:space="preserve">and electronic review </w:t>
      </w:r>
      <w:r>
        <w:rPr>
          <w:rFonts w:ascii="Arial" w:hAnsi="Arial" w:cs="Arial"/>
          <w:sz w:val="22"/>
          <w:szCs w:val="22"/>
        </w:rPr>
        <w:t xml:space="preserve">on staffing numbers </w:t>
      </w:r>
      <w:r w:rsidR="005C5BA2">
        <w:rPr>
          <w:rFonts w:ascii="Arial" w:hAnsi="Arial" w:cs="Arial"/>
          <w:sz w:val="22"/>
          <w:szCs w:val="22"/>
        </w:rPr>
        <w:t>to release efficiencies</w:t>
      </w:r>
      <w:r w:rsidR="0095535D">
        <w:rPr>
          <w:rFonts w:ascii="Arial" w:hAnsi="Arial" w:cs="Arial"/>
          <w:sz w:val="22"/>
          <w:szCs w:val="22"/>
        </w:rPr>
        <w:t xml:space="preserve"> linked to staff photocopying time</w:t>
      </w:r>
      <w:r w:rsidR="00B82697">
        <w:rPr>
          <w:rFonts w:ascii="Arial" w:hAnsi="Arial" w:cs="Arial"/>
          <w:sz w:val="22"/>
          <w:szCs w:val="22"/>
        </w:rPr>
        <w:t>, copying</w:t>
      </w:r>
      <w:r w:rsidR="0095535D">
        <w:rPr>
          <w:rFonts w:ascii="Arial" w:hAnsi="Arial" w:cs="Arial"/>
          <w:sz w:val="22"/>
          <w:szCs w:val="22"/>
        </w:rPr>
        <w:t xml:space="preserve">, </w:t>
      </w:r>
      <w:r w:rsidR="00B82697">
        <w:rPr>
          <w:rFonts w:ascii="Arial" w:hAnsi="Arial" w:cs="Arial"/>
          <w:sz w:val="22"/>
          <w:szCs w:val="22"/>
        </w:rPr>
        <w:t>stationery and postage costs.</w:t>
      </w:r>
    </w:p>
    <w:p w:rsidR="002B47F2" w:rsidRDefault="002B47F2" w:rsidP="00187E34">
      <w:pPr>
        <w:pStyle w:val="ListParagraph"/>
        <w:numPr>
          <w:ilvl w:val="0"/>
          <w:numId w:val="21"/>
        </w:numPr>
        <w:jc w:val="both"/>
        <w:rPr>
          <w:rFonts w:ascii="Arial" w:hAnsi="Arial" w:cs="Arial"/>
          <w:sz w:val="22"/>
          <w:szCs w:val="22"/>
        </w:rPr>
      </w:pPr>
      <w:r>
        <w:rPr>
          <w:rFonts w:ascii="Arial" w:hAnsi="Arial" w:cs="Arial"/>
          <w:sz w:val="22"/>
          <w:szCs w:val="22"/>
        </w:rPr>
        <w:t xml:space="preserve">Review of </w:t>
      </w:r>
      <w:r w:rsidR="00D57029">
        <w:rPr>
          <w:rFonts w:ascii="Arial" w:hAnsi="Arial" w:cs="Arial"/>
          <w:sz w:val="22"/>
          <w:szCs w:val="22"/>
        </w:rPr>
        <w:t xml:space="preserve">timing and impact on </w:t>
      </w:r>
      <w:r>
        <w:rPr>
          <w:rFonts w:ascii="Arial" w:hAnsi="Arial" w:cs="Arial"/>
          <w:sz w:val="22"/>
          <w:szCs w:val="22"/>
        </w:rPr>
        <w:t xml:space="preserve">workloads of </w:t>
      </w:r>
      <w:r w:rsidR="0095535D">
        <w:rPr>
          <w:rFonts w:ascii="Arial" w:hAnsi="Arial" w:cs="Arial"/>
          <w:sz w:val="22"/>
          <w:szCs w:val="22"/>
        </w:rPr>
        <w:t xml:space="preserve">e-booking </w:t>
      </w:r>
      <w:r w:rsidR="005C5BA2">
        <w:rPr>
          <w:rFonts w:ascii="Arial" w:hAnsi="Arial" w:cs="Arial"/>
          <w:sz w:val="22"/>
          <w:szCs w:val="22"/>
        </w:rPr>
        <w:t>to consider if any further</w:t>
      </w:r>
      <w:r>
        <w:rPr>
          <w:rFonts w:ascii="Arial" w:hAnsi="Arial" w:cs="Arial"/>
          <w:sz w:val="22"/>
          <w:szCs w:val="22"/>
        </w:rPr>
        <w:t xml:space="preserve"> </w:t>
      </w:r>
      <w:proofErr w:type="gramStart"/>
      <w:r>
        <w:rPr>
          <w:rFonts w:ascii="Arial" w:hAnsi="Arial" w:cs="Arial"/>
          <w:sz w:val="22"/>
          <w:szCs w:val="22"/>
        </w:rPr>
        <w:t>efficiencies</w:t>
      </w:r>
      <w:proofErr w:type="gramEnd"/>
      <w:r>
        <w:rPr>
          <w:rFonts w:ascii="Arial" w:hAnsi="Arial" w:cs="Arial"/>
          <w:sz w:val="22"/>
          <w:szCs w:val="22"/>
        </w:rPr>
        <w:t xml:space="preserve"> </w:t>
      </w:r>
      <w:r w:rsidR="00D57029">
        <w:rPr>
          <w:rFonts w:ascii="Arial" w:hAnsi="Arial" w:cs="Arial"/>
          <w:sz w:val="22"/>
          <w:szCs w:val="22"/>
        </w:rPr>
        <w:t>are possible</w:t>
      </w:r>
      <w:r>
        <w:rPr>
          <w:rFonts w:ascii="Arial" w:hAnsi="Arial" w:cs="Arial"/>
          <w:sz w:val="22"/>
          <w:szCs w:val="22"/>
        </w:rPr>
        <w:t>.</w:t>
      </w:r>
    </w:p>
    <w:p w:rsidR="000F66A2" w:rsidRPr="000F66A2" w:rsidRDefault="000F66A2" w:rsidP="000F66A2">
      <w:pPr>
        <w:pStyle w:val="ListParagraph"/>
        <w:numPr>
          <w:ilvl w:val="0"/>
          <w:numId w:val="21"/>
        </w:numPr>
        <w:rPr>
          <w:rFonts w:ascii="Arial" w:hAnsi="Arial" w:cs="Arial"/>
          <w:sz w:val="22"/>
          <w:szCs w:val="22"/>
        </w:rPr>
      </w:pPr>
      <w:r w:rsidRPr="000F66A2">
        <w:rPr>
          <w:rFonts w:ascii="Arial" w:hAnsi="Arial" w:cs="Arial"/>
          <w:sz w:val="22"/>
          <w:szCs w:val="22"/>
        </w:rPr>
        <w:t>Organisational change to embed Approval and develop more effective organisational structures for Approval, REC and CAG</w:t>
      </w:r>
      <w:r>
        <w:rPr>
          <w:rFonts w:ascii="Arial" w:hAnsi="Arial" w:cs="Arial"/>
          <w:sz w:val="22"/>
          <w:szCs w:val="22"/>
        </w:rPr>
        <w:t>.</w:t>
      </w:r>
    </w:p>
    <w:p w:rsidR="002B47F2" w:rsidRDefault="002B47F2" w:rsidP="00187E34">
      <w:pPr>
        <w:pStyle w:val="ListParagraph"/>
        <w:numPr>
          <w:ilvl w:val="0"/>
          <w:numId w:val="21"/>
        </w:numPr>
        <w:jc w:val="both"/>
        <w:rPr>
          <w:rFonts w:ascii="Arial" w:hAnsi="Arial" w:cs="Arial"/>
          <w:sz w:val="22"/>
          <w:szCs w:val="22"/>
        </w:rPr>
      </w:pPr>
      <w:r>
        <w:rPr>
          <w:rFonts w:ascii="Arial" w:hAnsi="Arial" w:cs="Arial"/>
          <w:sz w:val="22"/>
          <w:szCs w:val="22"/>
        </w:rPr>
        <w:t xml:space="preserve">Estates strategy to release efficiencies with a view to </w:t>
      </w:r>
      <w:r w:rsidR="005C5BA2">
        <w:rPr>
          <w:rFonts w:ascii="Arial" w:hAnsi="Arial" w:cs="Arial"/>
          <w:sz w:val="22"/>
          <w:szCs w:val="22"/>
        </w:rPr>
        <w:t xml:space="preserve">achieving the 7 desks to 10 staff ratio.  </w:t>
      </w:r>
    </w:p>
    <w:p w:rsidR="00B82697" w:rsidRDefault="00457D8F" w:rsidP="00B82697">
      <w:pPr>
        <w:pStyle w:val="ListParagraph"/>
        <w:numPr>
          <w:ilvl w:val="0"/>
          <w:numId w:val="21"/>
        </w:numPr>
        <w:jc w:val="both"/>
        <w:rPr>
          <w:rFonts w:ascii="Arial" w:hAnsi="Arial" w:cs="Arial"/>
          <w:sz w:val="22"/>
          <w:szCs w:val="22"/>
        </w:rPr>
      </w:pPr>
      <w:r>
        <w:rPr>
          <w:rFonts w:ascii="Arial" w:hAnsi="Arial" w:cs="Arial"/>
          <w:sz w:val="22"/>
          <w:szCs w:val="22"/>
        </w:rPr>
        <w:t>Continued focus on realising benefits from investments in video conferencing through travel, hotel, time savings</w:t>
      </w:r>
      <w:r w:rsidR="00B82697">
        <w:rPr>
          <w:rFonts w:ascii="Arial" w:hAnsi="Arial" w:cs="Arial"/>
          <w:sz w:val="22"/>
          <w:szCs w:val="22"/>
        </w:rPr>
        <w:t>.</w:t>
      </w:r>
    </w:p>
    <w:p w:rsidR="00B82697" w:rsidRPr="00CD6AB7" w:rsidRDefault="00D57029" w:rsidP="000F66A2">
      <w:pPr>
        <w:pStyle w:val="ListParagraph"/>
        <w:numPr>
          <w:ilvl w:val="0"/>
          <w:numId w:val="21"/>
        </w:numPr>
        <w:jc w:val="both"/>
        <w:rPr>
          <w:rFonts w:ascii="Arial" w:hAnsi="Arial" w:cs="Arial"/>
          <w:sz w:val="22"/>
          <w:szCs w:val="22"/>
        </w:rPr>
      </w:pPr>
      <w:r>
        <w:rPr>
          <w:rFonts w:ascii="Arial" w:hAnsi="Arial" w:cs="Arial"/>
          <w:sz w:val="22"/>
          <w:szCs w:val="22"/>
        </w:rPr>
        <w:lastRenderedPageBreak/>
        <w:t xml:space="preserve">Review of benefits realisation work and </w:t>
      </w:r>
      <w:r w:rsidR="00B82697" w:rsidRPr="00B82697">
        <w:rPr>
          <w:rFonts w:ascii="Arial" w:hAnsi="Arial" w:cs="Arial"/>
          <w:sz w:val="22"/>
          <w:szCs w:val="22"/>
        </w:rPr>
        <w:t>measure</w:t>
      </w:r>
      <w:r>
        <w:rPr>
          <w:rFonts w:ascii="Arial" w:hAnsi="Arial" w:cs="Arial"/>
          <w:sz w:val="22"/>
          <w:szCs w:val="22"/>
        </w:rPr>
        <w:t>ment of</w:t>
      </w:r>
      <w:r w:rsidR="00B82697" w:rsidRPr="00B82697">
        <w:rPr>
          <w:rFonts w:ascii="Arial" w:hAnsi="Arial" w:cs="Arial"/>
          <w:sz w:val="22"/>
          <w:szCs w:val="22"/>
        </w:rPr>
        <w:t xml:space="preserve"> </w:t>
      </w:r>
      <w:r w:rsidR="00B82697">
        <w:rPr>
          <w:rFonts w:ascii="Arial" w:hAnsi="Arial" w:cs="Arial"/>
          <w:sz w:val="22"/>
          <w:szCs w:val="22"/>
        </w:rPr>
        <w:t xml:space="preserve">the </w:t>
      </w:r>
      <w:r w:rsidR="00B82697" w:rsidRPr="00B82697">
        <w:rPr>
          <w:rFonts w:ascii="Arial" w:hAnsi="Arial" w:cs="Arial"/>
          <w:sz w:val="22"/>
          <w:szCs w:val="22"/>
        </w:rPr>
        <w:t xml:space="preserve">impact of </w:t>
      </w:r>
      <w:r w:rsidR="000F66A2">
        <w:rPr>
          <w:rFonts w:ascii="Arial" w:hAnsi="Arial" w:cs="Arial"/>
          <w:sz w:val="22"/>
          <w:szCs w:val="22"/>
        </w:rPr>
        <w:t xml:space="preserve">assessment within </w:t>
      </w:r>
      <w:r w:rsidR="00B82697" w:rsidRPr="00B82697">
        <w:rPr>
          <w:rFonts w:ascii="Arial" w:hAnsi="Arial" w:cs="Arial"/>
          <w:sz w:val="22"/>
          <w:szCs w:val="22"/>
        </w:rPr>
        <w:t xml:space="preserve">HRA Approval on </w:t>
      </w:r>
      <w:r w:rsidR="00B82697">
        <w:rPr>
          <w:rFonts w:ascii="Arial" w:hAnsi="Arial" w:cs="Arial"/>
          <w:sz w:val="22"/>
          <w:szCs w:val="22"/>
        </w:rPr>
        <w:t xml:space="preserve">the number of </w:t>
      </w:r>
      <w:r w:rsidR="000F66A2">
        <w:rPr>
          <w:rFonts w:ascii="Arial" w:hAnsi="Arial" w:cs="Arial"/>
          <w:sz w:val="22"/>
          <w:szCs w:val="22"/>
        </w:rPr>
        <w:t xml:space="preserve">REC </w:t>
      </w:r>
      <w:r w:rsidR="00B82697" w:rsidRPr="00B82697">
        <w:rPr>
          <w:rFonts w:ascii="Arial" w:hAnsi="Arial" w:cs="Arial"/>
          <w:sz w:val="22"/>
          <w:szCs w:val="22"/>
        </w:rPr>
        <w:t xml:space="preserve">provisional opinions and </w:t>
      </w:r>
      <w:r w:rsidR="000F66A2" w:rsidRPr="000F66A2">
        <w:rPr>
          <w:rFonts w:ascii="Arial" w:hAnsi="Arial" w:cs="Arial"/>
          <w:sz w:val="22"/>
          <w:szCs w:val="22"/>
        </w:rPr>
        <w:t>other savings from improved quality of applications received</w:t>
      </w:r>
      <w:r w:rsidR="00B82697" w:rsidRPr="00B82697">
        <w:rPr>
          <w:rFonts w:ascii="Arial" w:hAnsi="Arial" w:cs="Arial"/>
          <w:sz w:val="22"/>
          <w:szCs w:val="22"/>
        </w:rPr>
        <w:t>.</w:t>
      </w:r>
    </w:p>
    <w:p w:rsidR="00187E34" w:rsidRDefault="00187E34" w:rsidP="000772E5">
      <w:pPr>
        <w:pStyle w:val="ListParagraph"/>
        <w:ind w:left="0"/>
        <w:jc w:val="both"/>
        <w:rPr>
          <w:rFonts w:ascii="Arial" w:hAnsi="Arial" w:cs="Arial"/>
          <w:sz w:val="22"/>
          <w:szCs w:val="22"/>
        </w:rPr>
      </w:pPr>
    </w:p>
    <w:p w:rsidR="002B6533" w:rsidRPr="005C5BA2" w:rsidRDefault="00865654" w:rsidP="002B6533">
      <w:pPr>
        <w:pStyle w:val="ListParagraph"/>
        <w:numPr>
          <w:ilvl w:val="0"/>
          <w:numId w:val="20"/>
        </w:numPr>
        <w:jc w:val="both"/>
        <w:rPr>
          <w:rFonts w:ascii="Arial" w:hAnsi="Arial" w:cs="Arial"/>
          <w:b/>
          <w:sz w:val="22"/>
          <w:szCs w:val="22"/>
        </w:rPr>
      </w:pPr>
      <w:r w:rsidRPr="005C5BA2">
        <w:rPr>
          <w:rFonts w:ascii="Arial" w:hAnsi="Arial" w:cs="Arial"/>
          <w:b/>
          <w:sz w:val="22"/>
          <w:szCs w:val="22"/>
        </w:rPr>
        <w:t>Capital plans for 201</w:t>
      </w:r>
      <w:r w:rsidR="00D57029">
        <w:rPr>
          <w:rFonts w:ascii="Arial" w:hAnsi="Arial" w:cs="Arial"/>
          <w:b/>
          <w:sz w:val="22"/>
          <w:szCs w:val="22"/>
        </w:rPr>
        <w:t>6</w:t>
      </w:r>
      <w:r w:rsidRPr="005C5BA2">
        <w:rPr>
          <w:rFonts w:ascii="Arial" w:hAnsi="Arial" w:cs="Arial"/>
          <w:b/>
          <w:sz w:val="22"/>
          <w:szCs w:val="22"/>
        </w:rPr>
        <w:t>/1</w:t>
      </w:r>
      <w:r w:rsidR="00D57029">
        <w:rPr>
          <w:rFonts w:ascii="Arial" w:hAnsi="Arial" w:cs="Arial"/>
          <w:b/>
          <w:sz w:val="22"/>
          <w:szCs w:val="22"/>
        </w:rPr>
        <w:t>7</w:t>
      </w:r>
      <w:r w:rsidR="002B47F2" w:rsidRPr="005C5BA2">
        <w:rPr>
          <w:rFonts w:ascii="Arial" w:hAnsi="Arial" w:cs="Arial"/>
          <w:b/>
          <w:sz w:val="22"/>
          <w:szCs w:val="22"/>
        </w:rPr>
        <w:t xml:space="preserve"> and beyond</w:t>
      </w:r>
      <w:r w:rsidR="00B74A9E" w:rsidRPr="005C5BA2">
        <w:rPr>
          <w:rFonts w:ascii="Arial" w:hAnsi="Arial" w:cs="Arial"/>
          <w:b/>
          <w:sz w:val="22"/>
          <w:szCs w:val="22"/>
        </w:rPr>
        <w:t xml:space="preserve"> </w:t>
      </w:r>
    </w:p>
    <w:p w:rsidR="005C5BA2" w:rsidRPr="005C5BA2" w:rsidRDefault="005C5BA2" w:rsidP="005C5BA2">
      <w:pPr>
        <w:pStyle w:val="ListParagraph"/>
        <w:ind w:left="360"/>
        <w:jc w:val="both"/>
        <w:rPr>
          <w:rFonts w:ascii="Arial" w:hAnsi="Arial" w:cs="Arial"/>
          <w:sz w:val="22"/>
          <w:szCs w:val="22"/>
        </w:rPr>
      </w:pPr>
    </w:p>
    <w:p w:rsidR="003C3B65" w:rsidRDefault="00716AC4" w:rsidP="00716AC4">
      <w:pPr>
        <w:jc w:val="both"/>
        <w:rPr>
          <w:rFonts w:ascii="Arial" w:hAnsi="Arial" w:cs="Arial"/>
          <w:sz w:val="22"/>
          <w:szCs w:val="22"/>
        </w:rPr>
      </w:pPr>
      <w:r w:rsidRPr="006976EC">
        <w:rPr>
          <w:rFonts w:ascii="Arial" w:hAnsi="Arial" w:cs="Arial"/>
          <w:sz w:val="22"/>
          <w:szCs w:val="22"/>
        </w:rPr>
        <w:t xml:space="preserve">The HRA opening capital resource limit </w:t>
      </w:r>
      <w:r w:rsidR="006B7621" w:rsidRPr="006976EC">
        <w:rPr>
          <w:rFonts w:ascii="Arial" w:hAnsi="Arial" w:cs="Arial"/>
          <w:sz w:val="22"/>
          <w:szCs w:val="22"/>
        </w:rPr>
        <w:t>ha</w:t>
      </w:r>
      <w:r w:rsidR="003C3B65">
        <w:rPr>
          <w:rFonts w:ascii="Arial" w:hAnsi="Arial" w:cs="Arial"/>
          <w:sz w:val="22"/>
          <w:szCs w:val="22"/>
        </w:rPr>
        <w:t>s</w:t>
      </w:r>
      <w:r w:rsidR="006B7621" w:rsidRPr="006976EC">
        <w:rPr>
          <w:rFonts w:ascii="Arial" w:hAnsi="Arial" w:cs="Arial"/>
          <w:sz w:val="22"/>
          <w:szCs w:val="22"/>
        </w:rPr>
        <w:t xml:space="preserve"> </w:t>
      </w:r>
      <w:r w:rsidR="003C3B65">
        <w:rPr>
          <w:rFonts w:ascii="Arial" w:hAnsi="Arial" w:cs="Arial"/>
          <w:sz w:val="22"/>
          <w:szCs w:val="22"/>
        </w:rPr>
        <w:t>no</w:t>
      </w:r>
      <w:r w:rsidR="005C5BA2">
        <w:rPr>
          <w:rFonts w:ascii="Arial" w:hAnsi="Arial" w:cs="Arial"/>
          <w:sz w:val="22"/>
          <w:szCs w:val="22"/>
        </w:rPr>
        <w:t>t</w:t>
      </w:r>
      <w:r w:rsidR="003C3B65">
        <w:rPr>
          <w:rFonts w:ascii="Arial" w:hAnsi="Arial" w:cs="Arial"/>
          <w:sz w:val="22"/>
          <w:szCs w:val="22"/>
        </w:rPr>
        <w:t xml:space="preserve"> been </w:t>
      </w:r>
      <w:r w:rsidRPr="006976EC">
        <w:rPr>
          <w:rFonts w:ascii="Arial" w:hAnsi="Arial" w:cs="Arial"/>
          <w:sz w:val="22"/>
          <w:szCs w:val="22"/>
        </w:rPr>
        <w:t xml:space="preserve">confirmed </w:t>
      </w:r>
      <w:r w:rsidR="002D25C2" w:rsidRPr="006976EC">
        <w:rPr>
          <w:rFonts w:ascii="Arial" w:hAnsi="Arial" w:cs="Arial"/>
          <w:sz w:val="22"/>
          <w:szCs w:val="22"/>
        </w:rPr>
        <w:t>by DH</w:t>
      </w:r>
      <w:r w:rsidR="005C5BA2">
        <w:rPr>
          <w:rFonts w:ascii="Arial" w:hAnsi="Arial" w:cs="Arial"/>
          <w:sz w:val="22"/>
          <w:szCs w:val="22"/>
        </w:rPr>
        <w:t>, however t</w:t>
      </w:r>
      <w:r w:rsidR="00865654">
        <w:rPr>
          <w:rFonts w:ascii="Arial" w:hAnsi="Arial" w:cs="Arial"/>
          <w:sz w:val="22"/>
          <w:szCs w:val="22"/>
        </w:rPr>
        <w:t>he business plan for 201</w:t>
      </w:r>
      <w:r w:rsidR="00D57029">
        <w:rPr>
          <w:rFonts w:ascii="Arial" w:hAnsi="Arial" w:cs="Arial"/>
          <w:sz w:val="22"/>
          <w:szCs w:val="22"/>
        </w:rPr>
        <w:t>6</w:t>
      </w:r>
      <w:r w:rsidR="00865654">
        <w:rPr>
          <w:rFonts w:ascii="Arial" w:hAnsi="Arial" w:cs="Arial"/>
          <w:sz w:val="22"/>
          <w:szCs w:val="22"/>
        </w:rPr>
        <w:t>/1</w:t>
      </w:r>
      <w:r w:rsidR="00D57029">
        <w:rPr>
          <w:rFonts w:ascii="Arial" w:hAnsi="Arial" w:cs="Arial"/>
          <w:sz w:val="22"/>
          <w:szCs w:val="22"/>
        </w:rPr>
        <w:t>7</w:t>
      </w:r>
      <w:r w:rsidR="006976EC">
        <w:rPr>
          <w:rFonts w:ascii="Arial" w:hAnsi="Arial" w:cs="Arial"/>
          <w:sz w:val="22"/>
          <w:szCs w:val="22"/>
        </w:rPr>
        <w:t xml:space="preserve"> set out </w:t>
      </w:r>
      <w:r w:rsidR="00865654">
        <w:rPr>
          <w:rFonts w:ascii="Arial" w:hAnsi="Arial" w:cs="Arial"/>
          <w:sz w:val="22"/>
          <w:szCs w:val="22"/>
        </w:rPr>
        <w:t xml:space="preserve">a request for </w:t>
      </w:r>
      <w:r w:rsidR="005C5BA2">
        <w:rPr>
          <w:rFonts w:ascii="Arial" w:hAnsi="Arial" w:cs="Arial"/>
          <w:sz w:val="22"/>
          <w:szCs w:val="22"/>
        </w:rPr>
        <w:t xml:space="preserve">circa </w:t>
      </w:r>
      <w:r w:rsidR="00865654">
        <w:rPr>
          <w:rFonts w:ascii="Arial" w:hAnsi="Arial" w:cs="Arial"/>
          <w:sz w:val="22"/>
          <w:szCs w:val="22"/>
        </w:rPr>
        <w:t>£</w:t>
      </w:r>
      <w:r w:rsidR="00D57029">
        <w:rPr>
          <w:rFonts w:ascii="Arial" w:hAnsi="Arial" w:cs="Arial"/>
          <w:sz w:val="22"/>
          <w:szCs w:val="22"/>
        </w:rPr>
        <w:t>0</w:t>
      </w:r>
      <w:r w:rsidR="005C5BA2">
        <w:rPr>
          <w:rFonts w:ascii="Arial" w:hAnsi="Arial" w:cs="Arial"/>
          <w:sz w:val="22"/>
          <w:szCs w:val="22"/>
        </w:rPr>
        <w:t>.</w:t>
      </w:r>
      <w:r w:rsidR="00D57029">
        <w:rPr>
          <w:rFonts w:ascii="Arial" w:hAnsi="Arial" w:cs="Arial"/>
          <w:sz w:val="22"/>
          <w:szCs w:val="22"/>
        </w:rPr>
        <w:t>9</w:t>
      </w:r>
      <w:r w:rsidR="00865654">
        <w:rPr>
          <w:rFonts w:ascii="Arial" w:hAnsi="Arial" w:cs="Arial"/>
          <w:sz w:val="22"/>
          <w:szCs w:val="22"/>
        </w:rPr>
        <w:t>m</w:t>
      </w:r>
      <w:r w:rsidR="003C3B65">
        <w:rPr>
          <w:rFonts w:ascii="Arial" w:hAnsi="Arial" w:cs="Arial"/>
          <w:sz w:val="22"/>
          <w:szCs w:val="22"/>
        </w:rPr>
        <w:t xml:space="preserve">. </w:t>
      </w:r>
      <w:r w:rsidR="00D57029">
        <w:rPr>
          <w:rFonts w:ascii="Arial" w:hAnsi="Arial" w:cs="Arial"/>
          <w:sz w:val="22"/>
          <w:szCs w:val="22"/>
        </w:rPr>
        <w:t xml:space="preserve">The main area of investment is </w:t>
      </w:r>
      <w:r w:rsidR="005C5BA2">
        <w:rPr>
          <w:rFonts w:ascii="Arial" w:hAnsi="Arial" w:cs="Arial"/>
          <w:sz w:val="22"/>
          <w:szCs w:val="22"/>
        </w:rPr>
        <w:t xml:space="preserve">IRAS </w:t>
      </w:r>
      <w:r w:rsidR="00D57029">
        <w:rPr>
          <w:rFonts w:ascii="Arial" w:hAnsi="Arial" w:cs="Arial"/>
          <w:sz w:val="22"/>
          <w:szCs w:val="22"/>
        </w:rPr>
        <w:t xml:space="preserve">and </w:t>
      </w:r>
      <w:r w:rsidR="005C5BA2">
        <w:rPr>
          <w:rFonts w:ascii="Arial" w:hAnsi="Arial" w:cs="Arial"/>
          <w:sz w:val="22"/>
          <w:szCs w:val="22"/>
        </w:rPr>
        <w:t>include</w:t>
      </w:r>
      <w:r w:rsidR="00D57029">
        <w:rPr>
          <w:rFonts w:ascii="Arial" w:hAnsi="Arial" w:cs="Arial"/>
          <w:sz w:val="22"/>
          <w:szCs w:val="22"/>
        </w:rPr>
        <w:t>s</w:t>
      </w:r>
      <w:r w:rsidR="005C5BA2">
        <w:rPr>
          <w:rFonts w:ascii="Arial" w:hAnsi="Arial" w:cs="Arial"/>
          <w:sz w:val="22"/>
          <w:szCs w:val="22"/>
        </w:rPr>
        <w:t xml:space="preserve"> an initial assessment of plans for including further advice and guidance through that system</w:t>
      </w:r>
      <w:r w:rsidR="00B82697">
        <w:rPr>
          <w:rFonts w:ascii="Arial" w:hAnsi="Arial" w:cs="Arial"/>
          <w:sz w:val="22"/>
          <w:szCs w:val="22"/>
        </w:rPr>
        <w:t>, i</w:t>
      </w:r>
      <w:r w:rsidR="00B82697" w:rsidRPr="00B82697">
        <w:rPr>
          <w:rFonts w:ascii="Arial" w:hAnsi="Arial" w:cs="Arial"/>
          <w:sz w:val="22"/>
          <w:szCs w:val="22"/>
        </w:rPr>
        <w:t xml:space="preserve">n line with the remit for </w:t>
      </w:r>
      <w:r w:rsidR="00B82697">
        <w:rPr>
          <w:rFonts w:ascii="Arial" w:hAnsi="Arial" w:cs="Arial"/>
          <w:sz w:val="22"/>
          <w:szCs w:val="22"/>
        </w:rPr>
        <w:t xml:space="preserve">the </w:t>
      </w:r>
      <w:r w:rsidR="00B82697" w:rsidRPr="00B82697">
        <w:rPr>
          <w:rFonts w:ascii="Arial" w:hAnsi="Arial" w:cs="Arial"/>
          <w:sz w:val="22"/>
          <w:szCs w:val="22"/>
        </w:rPr>
        <w:t xml:space="preserve">HRA to </w:t>
      </w:r>
      <w:r w:rsidR="000F66A2">
        <w:rPr>
          <w:rFonts w:ascii="Arial" w:hAnsi="Arial" w:cs="Arial"/>
          <w:sz w:val="22"/>
          <w:szCs w:val="22"/>
        </w:rPr>
        <w:t xml:space="preserve">support the </w:t>
      </w:r>
      <w:r w:rsidR="00B82697" w:rsidRPr="00B82697">
        <w:rPr>
          <w:rFonts w:ascii="Arial" w:hAnsi="Arial" w:cs="Arial"/>
          <w:sz w:val="22"/>
          <w:szCs w:val="22"/>
        </w:rPr>
        <w:t>simplif</w:t>
      </w:r>
      <w:r w:rsidR="000F66A2">
        <w:rPr>
          <w:rFonts w:ascii="Arial" w:hAnsi="Arial" w:cs="Arial"/>
          <w:sz w:val="22"/>
          <w:szCs w:val="22"/>
        </w:rPr>
        <w:t>ication</w:t>
      </w:r>
      <w:r w:rsidR="00B82697" w:rsidRPr="00B82697">
        <w:rPr>
          <w:rFonts w:ascii="Arial" w:hAnsi="Arial" w:cs="Arial"/>
          <w:sz w:val="22"/>
          <w:szCs w:val="22"/>
        </w:rPr>
        <w:t xml:space="preserve"> and coordinat</w:t>
      </w:r>
      <w:r w:rsidR="000F66A2">
        <w:rPr>
          <w:rFonts w:ascii="Arial" w:hAnsi="Arial" w:cs="Arial"/>
          <w:sz w:val="22"/>
          <w:szCs w:val="22"/>
        </w:rPr>
        <w:t xml:space="preserve">ion of </w:t>
      </w:r>
      <w:r w:rsidR="00B82697" w:rsidRPr="00B82697">
        <w:rPr>
          <w:rFonts w:ascii="Arial" w:hAnsi="Arial" w:cs="Arial"/>
          <w:sz w:val="22"/>
          <w:szCs w:val="22"/>
        </w:rPr>
        <w:t>the regulatory system</w:t>
      </w:r>
      <w:r w:rsidR="000F66A2">
        <w:rPr>
          <w:rFonts w:ascii="Arial" w:hAnsi="Arial" w:cs="Arial"/>
          <w:sz w:val="22"/>
          <w:szCs w:val="22"/>
        </w:rPr>
        <w:t xml:space="preserve"> for health research.</w:t>
      </w:r>
    </w:p>
    <w:p w:rsidR="003C3B65" w:rsidRDefault="003C3B65" w:rsidP="00716AC4">
      <w:pPr>
        <w:jc w:val="both"/>
        <w:rPr>
          <w:rFonts w:ascii="Arial" w:hAnsi="Arial" w:cs="Arial"/>
          <w:sz w:val="22"/>
          <w:szCs w:val="22"/>
        </w:rPr>
      </w:pPr>
    </w:p>
    <w:p w:rsidR="0016735B" w:rsidRDefault="003C3B65" w:rsidP="00716AC4">
      <w:pPr>
        <w:jc w:val="both"/>
        <w:rPr>
          <w:rFonts w:ascii="Arial" w:hAnsi="Arial" w:cs="Arial"/>
          <w:sz w:val="22"/>
          <w:szCs w:val="22"/>
        </w:rPr>
      </w:pPr>
      <w:r>
        <w:rPr>
          <w:rFonts w:ascii="Arial" w:hAnsi="Arial" w:cs="Arial"/>
          <w:sz w:val="22"/>
          <w:szCs w:val="22"/>
        </w:rPr>
        <w:t xml:space="preserve">EMT </w:t>
      </w:r>
      <w:r w:rsidR="00A778E9">
        <w:rPr>
          <w:rFonts w:ascii="Arial" w:hAnsi="Arial" w:cs="Arial"/>
          <w:sz w:val="22"/>
          <w:szCs w:val="22"/>
        </w:rPr>
        <w:t xml:space="preserve">and the Board are </w:t>
      </w:r>
      <w:r>
        <w:rPr>
          <w:rFonts w:ascii="Arial" w:hAnsi="Arial" w:cs="Arial"/>
          <w:sz w:val="22"/>
          <w:szCs w:val="22"/>
        </w:rPr>
        <w:t xml:space="preserve">asked to review the plan and approve the high level </w:t>
      </w:r>
      <w:r w:rsidR="0016735B">
        <w:rPr>
          <w:rFonts w:ascii="Arial" w:hAnsi="Arial" w:cs="Arial"/>
          <w:sz w:val="22"/>
          <w:szCs w:val="22"/>
        </w:rPr>
        <w:t>allocation</w:t>
      </w:r>
      <w:r>
        <w:rPr>
          <w:rFonts w:ascii="Arial" w:hAnsi="Arial" w:cs="Arial"/>
          <w:sz w:val="22"/>
          <w:szCs w:val="22"/>
        </w:rPr>
        <w:t xml:space="preserve">.  </w:t>
      </w:r>
      <w:r w:rsidR="00BC78AB">
        <w:rPr>
          <w:rFonts w:ascii="Arial" w:hAnsi="Arial" w:cs="Arial"/>
          <w:sz w:val="22"/>
          <w:szCs w:val="22"/>
        </w:rPr>
        <w:t xml:space="preserve">  </w:t>
      </w:r>
      <w:r w:rsidR="0016735B">
        <w:rPr>
          <w:rFonts w:ascii="Arial" w:hAnsi="Arial" w:cs="Arial"/>
          <w:sz w:val="22"/>
          <w:szCs w:val="22"/>
        </w:rPr>
        <w:t>In lin</w:t>
      </w:r>
      <w:r w:rsidR="00220954">
        <w:rPr>
          <w:rFonts w:ascii="Arial" w:hAnsi="Arial" w:cs="Arial"/>
          <w:sz w:val="22"/>
          <w:szCs w:val="22"/>
        </w:rPr>
        <w:t>e with the Authority’s standing orders, t</w:t>
      </w:r>
      <w:r w:rsidR="0016735B">
        <w:rPr>
          <w:rFonts w:ascii="Arial" w:hAnsi="Arial" w:cs="Arial"/>
          <w:sz w:val="22"/>
          <w:szCs w:val="22"/>
        </w:rPr>
        <w:t xml:space="preserve">he Board must </w:t>
      </w:r>
      <w:r w:rsidR="00220954">
        <w:rPr>
          <w:rFonts w:ascii="Arial" w:hAnsi="Arial" w:cs="Arial"/>
          <w:sz w:val="22"/>
          <w:szCs w:val="22"/>
        </w:rPr>
        <w:t>approve capital expenditure</w:t>
      </w:r>
      <w:r w:rsidR="002B47F2">
        <w:rPr>
          <w:rFonts w:ascii="Arial" w:hAnsi="Arial" w:cs="Arial"/>
          <w:sz w:val="22"/>
          <w:szCs w:val="22"/>
        </w:rPr>
        <w:t xml:space="preserve"> in due course.</w:t>
      </w:r>
    </w:p>
    <w:p w:rsidR="0016735B" w:rsidRDefault="0016735B" w:rsidP="00716AC4">
      <w:pPr>
        <w:jc w:val="both"/>
        <w:rPr>
          <w:rFonts w:ascii="Arial" w:hAnsi="Arial" w:cs="Arial"/>
          <w:sz w:val="22"/>
          <w:szCs w:val="22"/>
        </w:rPr>
      </w:pPr>
    </w:p>
    <w:p w:rsidR="002B47F2" w:rsidRPr="002B47F2" w:rsidRDefault="00865654" w:rsidP="0016735B">
      <w:pPr>
        <w:spacing w:after="200" w:line="276" w:lineRule="auto"/>
        <w:rPr>
          <w:rFonts w:ascii="Arial" w:hAnsi="Arial" w:cs="Arial"/>
          <w:b/>
          <w:sz w:val="22"/>
          <w:szCs w:val="22"/>
          <w:u w:val="single"/>
        </w:rPr>
      </w:pPr>
      <w:r>
        <w:rPr>
          <w:rFonts w:ascii="Arial" w:hAnsi="Arial" w:cs="Arial"/>
          <w:b/>
          <w:sz w:val="22"/>
          <w:szCs w:val="22"/>
          <w:u w:val="single"/>
        </w:rPr>
        <w:t xml:space="preserve">Table </w:t>
      </w:r>
      <w:r w:rsidR="000F66A2">
        <w:rPr>
          <w:rFonts w:ascii="Arial" w:hAnsi="Arial" w:cs="Arial"/>
          <w:b/>
          <w:sz w:val="22"/>
          <w:szCs w:val="22"/>
          <w:u w:val="single"/>
        </w:rPr>
        <w:t>6</w:t>
      </w:r>
      <w:r w:rsidR="002B47F2" w:rsidRPr="002B47F2">
        <w:rPr>
          <w:rFonts w:ascii="Arial" w:hAnsi="Arial" w:cs="Arial"/>
          <w:b/>
          <w:sz w:val="22"/>
          <w:szCs w:val="22"/>
          <w:u w:val="single"/>
        </w:rPr>
        <w:t>:  Capital Spend Plans.</w:t>
      </w:r>
    </w:p>
    <w:p w:rsidR="003C3B65" w:rsidRDefault="004E3577" w:rsidP="00716AC4">
      <w:pPr>
        <w:spacing w:after="200" w:line="276" w:lineRule="auto"/>
        <w:rPr>
          <w:rFonts w:ascii="Arial" w:hAnsi="Arial" w:cs="Arial"/>
          <w:color w:val="FF0000"/>
          <w:sz w:val="22"/>
          <w:szCs w:val="22"/>
        </w:rPr>
      </w:pPr>
      <w:r w:rsidRPr="004E3577">
        <w:rPr>
          <w:noProof/>
        </w:rPr>
        <w:drawing>
          <wp:inline distT="0" distB="0" distL="0" distR="0">
            <wp:extent cx="41529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1219200"/>
                    </a:xfrm>
                    <a:prstGeom prst="rect">
                      <a:avLst/>
                    </a:prstGeom>
                    <a:noFill/>
                    <a:ln>
                      <a:noFill/>
                    </a:ln>
                  </pic:spPr>
                </pic:pic>
              </a:graphicData>
            </a:graphic>
          </wp:inline>
        </w:drawing>
      </w:r>
    </w:p>
    <w:p w:rsidR="004E3577" w:rsidRDefault="004B390C" w:rsidP="002B6533">
      <w:pPr>
        <w:spacing w:after="200" w:line="276" w:lineRule="auto"/>
        <w:rPr>
          <w:rFonts w:ascii="Arial" w:hAnsi="Arial" w:cs="Arial"/>
          <w:b/>
          <w:sz w:val="22"/>
          <w:szCs w:val="22"/>
        </w:rPr>
      </w:pPr>
      <w:r>
        <w:rPr>
          <w:rFonts w:ascii="Arial" w:hAnsi="Arial" w:cs="Arial"/>
          <w:b/>
          <w:sz w:val="22"/>
          <w:szCs w:val="22"/>
        </w:rPr>
        <w:t>9</w:t>
      </w:r>
      <w:r w:rsidR="002B6533" w:rsidRPr="002B6533">
        <w:rPr>
          <w:rFonts w:ascii="Arial" w:hAnsi="Arial" w:cs="Arial"/>
          <w:b/>
          <w:sz w:val="22"/>
          <w:szCs w:val="22"/>
        </w:rPr>
        <w:t>.</w:t>
      </w:r>
      <w:r w:rsidR="002B6533" w:rsidRPr="002B6533">
        <w:rPr>
          <w:rFonts w:ascii="Arial" w:hAnsi="Arial" w:cs="Arial"/>
          <w:b/>
          <w:sz w:val="22"/>
          <w:szCs w:val="22"/>
        </w:rPr>
        <w:tab/>
      </w:r>
      <w:r w:rsidR="00AF0158">
        <w:rPr>
          <w:rFonts w:ascii="Arial" w:hAnsi="Arial" w:cs="Arial"/>
          <w:b/>
          <w:sz w:val="22"/>
          <w:szCs w:val="22"/>
        </w:rPr>
        <w:t>Risks to the financial plan 2016/17</w:t>
      </w:r>
    </w:p>
    <w:p w:rsidR="002975AB" w:rsidRDefault="005C5BA2" w:rsidP="002B6533">
      <w:pPr>
        <w:spacing w:after="200" w:line="276" w:lineRule="auto"/>
        <w:rPr>
          <w:rFonts w:ascii="Arial" w:hAnsi="Arial" w:cs="Arial"/>
          <w:sz w:val="22"/>
          <w:szCs w:val="22"/>
        </w:rPr>
      </w:pPr>
      <w:r>
        <w:rPr>
          <w:rFonts w:ascii="Arial" w:hAnsi="Arial" w:cs="Arial"/>
          <w:sz w:val="22"/>
          <w:szCs w:val="22"/>
        </w:rPr>
        <w:t>The financial position will be much tighter this financial year</w:t>
      </w:r>
      <w:r w:rsidR="00AF0158">
        <w:rPr>
          <w:rFonts w:ascii="Arial" w:hAnsi="Arial" w:cs="Arial"/>
          <w:sz w:val="22"/>
          <w:szCs w:val="22"/>
        </w:rPr>
        <w:t xml:space="preserve">.  EMT </w:t>
      </w:r>
      <w:r w:rsidR="00A778E9">
        <w:rPr>
          <w:rFonts w:ascii="Arial" w:hAnsi="Arial" w:cs="Arial"/>
          <w:sz w:val="22"/>
          <w:szCs w:val="22"/>
        </w:rPr>
        <w:t xml:space="preserve">and the Board </w:t>
      </w:r>
      <w:r w:rsidR="00AF0158">
        <w:rPr>
          <w:rFonts w:ascii="Arial" w:hAnsi="Arial" w:cs="Arial"/>
          <w:sz w:val="22"/>
          <w:szCs w:val="22"/>
        </w:rPr>
        <w:t xml:space="preserve">are asked to note a number of risks related to this. </w:t>
      </w:r>
      <w:r>
        <w:rPr>
          <w:rFonts w:ascii="Arial" w:hAnsi="Arial" w:cs="Arial"/>
          <w:sz w:val="22"/>
          <w:szCs w:val="22"/>
        </w:rPr>
        <w:t xml:space="preserve"> </w:t>
      </w:r>
      <w:r w:rsidR="000F66A2" w:rsidRPr="000F66A2">
        <w:rPr>
          <w:noProof/>
        </w:rPr>
        <w:drawing>
          <wp:inline distT="0" distB="0" distL="0" distR="0" wp14:anchorId="1C146D1F" wp14:editId="56AAFB07">
            <wp:extent cx="6120130" cy="4634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634575"/>
                    </a:xfrm>
                    <a:prstGeom prst="rect">
                      <a:avLst/>
                    </a:prstGeom>
                    <a:noFill/>
                    <a:ln>
                      <a:noFill/>
                    </a:ln>
                  </pic:spPr>
                </pic:pic>
              </a:graphicData>
            </a:graphic>
          </wp:inline>
        </w:drawing>
      </w:r>
    </w:p>
    <w:p w:rsidR="00D837D9" w:rsidRPr="000F66A2" w:rsidRDefault="002975AB" w:rsidP="002B6533">
      <w:pPr>
        <w:spacing w:after="200" w:line="276" w:lineRule="auto"/>
        <w:rPr>
          <w:rFonts w:ascii="Arial" w:hAnsi="Arial" w:cs="Arial"/>
          <w:sz w:val="22"/>
          <w:szCs w:val="22"/>
        </w:rPr>
      </w:pPr>
      <w:r>
        <w:rPr>
          <w:rFonts w:ascii="Arial" w:hAnsi="Arial" w:cs="Arial"/>
          <w:sz w:val="22"/>
          <w:szCs w:val="22"/>
        </w:rPr>
        <w:lastRenderedPageBreak/>
        <w:t>To further strengthen the forecasting regime</w:t>
      </w:r>
      <w:r w:rsidR="00D837D9">
        <w:rPr>
          <w:rFonts w:ascii="Arial" w:hAnsi="Arial" w:cs="Arial"/>
          <w:sz w:val="22"/>
          <w:szCs w:val="22"/>
        </w:rPr>
        <w:t xml:space="preserve"> and to </w:t>
      </w:r>
      <w:proofErr w:type="gramStart"/>
      <w:r w:rsidR="00D837D9">
        <w:rPr>
          <w:rFonts w:ascii="Arial" w:hAnsi="Arial" w:cs="Arial"/>
          <w:sz w:val="22"/>
          <w:szCs w:val="22"/>
        </w:rPr>
        <w:t>mitigate</w:t>
      </w:r>
      <w:proofErr w:type="gramEnd"/>
      <w:r w:rsidR="00D837D9">
        <w:rPr>
          <w:rFonts w:ascii="Arial" w:hAnsi="Arial" w:cs="Arial"/>
          <w:sz w:val="22"/>
          <w:szCs w:val="22"/>
        </w:rPr>
        <w:t xml:space="preserve"> against the reputational risks of an unexpected shift in the financial position, </w:t>
      </w:r>
      <w:r w:rsidR="000F66A2">
        <w:rPr>
          <w:rFonts w:ascii="Arial" w:hAnsi="Arial" w:cs="Arial"/>
          <w:sz w:val="22"/>
          <w:szCs w:val="22"/>
        </w:rPr>
        <w:t xml:space="preserve">it is recommended that </w:t>
      </w:r>
      <w:r w:rsidR="00D837D9" w:rsidRPr="000F66A2">
        <w:rPr>
          <w:rFonts w:ascii="Arial" w:hAnsi="Arial" w:cs="Arial"/>
          <w:sz w:val="22"/>
          <w:szCs w:val="22"/>
        </w:rPr>
        <w:t>attendance at the budget manager training provided by finance</w:t>
      </w:r>
      <w:r w:rsidR="000F66A2" w:rsidRPr="000F66A2">
        <w:rPr>
          <w:rFonts w:ascii="Arial" w:hAnsi="Arial" w:cs="Arial"/>
          <w:sz w:val="22"/>
          <w:szCs w:val="22"/>
        </w:rPr>
        <w:t xml:space="preserve"> is mandated</w:t>
      </w:r>
      <w:r w:rsidR="00D837D9" w:rsidRPr="000F66A2">
        <w:rPr>
          <w:rFonts w:ascii="Arial" w:hAnsi="Arial" w:cs="Arial"/>
          <w:sz w:val="22"/>
          <w:szCs w:val="22"/>
        </w:rPr>
        <w:t xml:space="preserve">. </w:t>
      </w:r>
    </w:p>
    <w:p w:rsidR="00D837D9" w:rsidRDefault="00D837D9" w:rsidP="002B6533">
      <w:pPr>
        <w:spacing w:after="200" w:line="276" w:lineRule="auto"/>
        <w:rPr>
          <w:rFonts w:ascii="Arial" w:hAnsi="Arial" w:cs="Arial"/>
          <w:sz w:val="22"/>
          <w:szCs w:val="22"/>
        </w:rPr>
      </w:pPr>
      <w:r>
        <w:rPr>
          <w:rFonts w:ascii="Arial" w:hAnsi="Arial" w:cs="Arial"/>
          <w:sz w:val="22"/>
          <w:szCs w:val="22"/>
        </w:rPr>
        <w:t>Additional tools ahead of the Health Group Internal Audit on budget management include:</w:t>
      </w:r>
    </w:p>
    <w:p w:rsidR="00D837D9" w:rsidRDefault="00D837D9" w:rsidP="00D837D9">
      <w:pPr>
        <w:pStyle w:val="ListParagraph"/>
        <w:numPr>
          <w:ilvl w:val="1"/>
          <w:numId w:val="21"/>
        </w:numPr>
        <w:spacing w:after="200" w:line="276" w:lineRule="auto"/>
        <w:rPr>
          <w:rFonts w:ascii="Arial" w:hAnsi="Arial" w:cs="Arial"/>
          <w:sz w:val="22"/>
          <w:szCs w:val="22"/>
        </w:rPr>
      </w:pPr>
      <w:r w:rsidRPr="00D837D9">
        <w:rPr>
          <w:rFonts w:ascii="Arial" w:hAnsi="Arial" w:cs="Arial"/>
          <w:sz w:val="22"/>
          <w:szCs w:val="22"/>
        </w:rPr>
        <w:t xml:space="preserve">a budget manager manual,  </w:t>
      </w:r>
    </w:p>
    <w:p w:rsidR="00D837D9" w:rsidRDefault="005C5BA2" w:rsidP="00D837D9">
      <w:pPr>
        <w:pStyle w:val="ListParagraph"/>
        <w:numPr>
          <w:ilvl w:val="1"/>
          <w:numId w:val="21"/>
        </w:numPr>
        <w:spacing w:after="200" w:line="276" w:lineRule="auto"/>
        <w:rPr>
          <w:rFonts w:ascii="Arial" w:hAnsi="Arial" w:cs="Arial"/>
          <w:sz w:val="22"/>
          <w:szCs w:val="22"/>
        </w:rPr>
      </w:pPr>
      <w:proofErr w:type="gramStart"/>
      <w:r w:rsidRPr="00D837D9">
        <w:rPr>
          <w:rFonts w:ascii="Arial" w:hAnsi="Arial" w:cs="Arial"/>
          <w:sz w:val="22"/>
          <w:szCs w:val="22"/>
        </w:rPr>
        <w:t>a</w:t>
      </w:r>
      <w:proofErr w:type="gramEnd"/>
      <w:r w:rsidRPr="00D837D9">
        <w:rPr>
          <w:rFonts w:ascii="Arial" w:hAnsi="Arial" w:cs="Arial"/>
          <w:sz w:val="22"/>
          <w:szCs w:val="22"/>
        </w:rPr>
        <w:t xml:space="preserve"> </w:t>
      </w:r>
      <w:r w:rsidR="003D2BF4" w:rsidRPr="00D837D9">
        <w:rPr>
          <w:rFonts w:ascii="Arial" w:hAnsi="Arial" w:cs="Arial"/>
          <w:sz w:val="22"/>
          <w:szCs w:val="22"/>
        </w:rPr>
        <w:t xml:space="preserve">strengthened </w:t>
      </w:r>
      <w:r w:rsidRPr="00D837D9">
        <w:rPr>
          <w:rFonts w:ascii="Arial" w:hAnsi="Arial" w:cs="Arial"/>
          <w:sz w:val="22"/>
          <w:szCs w:val="22"/>
        </w:rPr>
        <w:t>budget manager meeting checklist a</w:t>
      </w:r>
      <w:r w:rsidR="003D2BF4" w:rsidRPr="00D837D9">
        <w:rPr>
          <w:rFonts w:ascii="Arial" w:hAnsi="Arial" w:cs="Arial"/>
          <w:sz w:val="22"/>
          <w:szCs w:val="22"/>
        </w:rPr>
        <w:t xml:space="preserve">longside </w:t>
      </w:r>
      <w:r w:rsidR="002975AB" w:rsidRPr="00D837D9">
        <w:rPr>
          <w:rFonts w:ascii="Arial" w:hAnsi="Arial" w:cs="Arial"/>
          <w:sz w:val="22"/>
          <w:szCs w:val="22"/>
        </w:rPr>
        <w:t>a</w:t>
      </w:r>
      <w:r w:rsidRPr="00D837D9">
        <w:rPr>
          <w:rFonts w:ascii="Arial" w:hAnsi="Arial" w:cs="Arial"/>
          <w:sz w:val="22"/>
          <w:szCs w:val="22"/>
        </w:rPr>
        <w:t xml:space="preserve"> requirement for budget managers to </w:t>
      </w:r>
      <w:r w:rsidR="00D837D9" w:rsidRPr="00D837D9">
        <w:rPr>
          <w:rFonts w:ascii="Arial" w:hAnsi="Arial" w:cs="Arial"/>
          <w:sz w:val="22"/>
          <w:szCs w:val="22"/>
        </w:rPr>
        <w:t xml:space="preserve">review and agree their </w:t>
      </w:r>
      <w:r w:rsidR="003D2BF4" w:rsidRPr="00D837D9">
        <w:rPr>
          <w:rFonts w:ascii="Arial" w:hAnsi="Arial" w:cs="Arial"/>
          <w:sz w:val="22"/>
          <w:szCs w:val="22"/>
        </w:rPr>
        <w:t xml:space="preserve">profiled </w:t>
      </w:r>
      <w:r w:rsidRPr="00D837D9">
        <w:rPr>
          <w:rFonts w:ascii="Arial" w:hAnsi="Arial" w:cs="Arial"/>
          <w:sz w:val="22"/>
          <w:szCs w:val="22"/>
        </w:rPr>
        <w:t>spend plan</w:t>
      </w:r>
      <w:r w:rsidR="00D837D9" w:rsidRPr="00D837D9">
        <w:rPr>
          <w:rFonts w:ascii="Arial" w:hAnsi="Arial" w:cs="Arial"/>
          <w:sz w:val="22"/>
          <w:szCs w:val="22"/>
        </w:rPr>
        <w:t xml:space="preserve">s </w:t>
      </w:r>
      <w:r w:rsidR="00D837D9">
        <w:rPr>
          <w:rFonts w:ascii="Arial" w:hAnsi="Arial" w:cs="Arial"/>
          <w:sz w:val="22"/>
          <w:szCs w:val="22"/>
        </w:rPr>
        <w:t>following discussion with their Director.</w:t>
      </w:r>
    </w:p>
    <w:p w:rsidR="007D4FE9" w:rsidRPr="00D837D9" w:rsidRDefault="00D837D9" w:rsidP="00D837D9">
      <w:pPr>
        <w:pStyle w:val="ListParagraph"/>
        <w:numPr>
          <w:ilvl w:val="1"/>
          <w:numId w:val="21"/>
        </w:numPr>
        <w:spacing w:after="200" w:line="276" w:lineRule="auto"/>
        <w:rPr>
          <w:rFonts w:ascii="Arial" w:hAnsi="Arial" w:cs="Arial"/>
          <w:sz w:val="22"/>
          <w:szCs w:val="22"/>
        </w:rPr>
      </w:pPr>
      <w:r>
        <w:rPr>
          <w:rFonts w:ascii="Arial" w:hAnsi="Arial" w:cs="Arial"/>
          <w:sz w:val="22"/>
          <w:szCs w:val="22"/>
        </w:rPr>
        <w:t xml:space="preserve">For </w:t>
      </w:r>
      <w:r w:rsidR="002975AB" w:rsidRPr="00D837D9">
        <w:rPr>
          <w:rFonts w:ascii="Arial" w:hAnsi="Arial" w:cs="Arial"/>
          <w:sz w:val="22"/>
          <w:szCs w:val="22"/>
        </w:rPr>
        <w:t xml:space="preserve">cost centres </w:t>
      </w:r>
      <w:r w:rsidR="003D2BF4" w:rsidRPr="00D837D9">
        <w:rPr>
          <w:rFonts w:ascii="Arial" w:hAnsi="Arial" w:cs="Arial"/>
          <w:sz w:val="22"/>
          <w:szCs w:val="22"/>
        </w:rPr>
        <w:t>which appear to be reflecting a forecast under spend</w:t>
      </w:r>
      <w:r w:rsidR="002975AB" w:rsidRPr="00D837D9">
        <w:rPr>
          <w:rFonts w:ascii="Arial" w:hAnsi="Arial" w:cs="Arial"/>
          <w:sz w:val="22"/>
          <w:szCs w:val="22"/>
        </w:rPr>
        <w:t xml:space="preserve"> but for which budget managers are predicting a </w:t>
      </w:r>
      <w:proofErr w:type="spellStart"/>
      <w:r w:rsidR="002975AB" w:rsidRPr="00D837D9">
        <w:rPr>
          <w:rFonts w:ascii="Arial" w:hAnsi="Arial" w:cs="Arial"/>
          <w:sz w:val="22"/>
          <w:szCs w:val="22"/>
        </w:rPr>
        <w:t>break even</w:t>
      </w:r>
      <w:proofErr w:type="spellEnd"/>
      <w:r>
        <w:rPr>
          <w:rFonts w:ascii="Arial" w:hAnsi="Arial" w:cs="Arial"/>
          <w:sz w:val="22"/>
          <w:szCs w:val="22"/>
        </w:rPr>
        <w:t xml:space="preserve"> </w:t>
      </w:r>
      <w:proofErr w:type="gramStart"/>
      <w:r>
        <w:rPr>
          <w:rFonts w:ascii="Arial" w:hAnsi="Arial" w:cs="Arial"/>
          <w:sz w:val="22"/>
          <w:szCs w:val="22"/>
        </w:rPr>
        <w:t xml:space="preserve">- </w:t>
      </w:r>
      <w:r w:rsidR="005C5BA2" w:rsidRPr="00D837D9">
        <w:rPr>
          <w:rFonts w:ascii="Arial" w:hAnsi="Arial" w:cs="Arial"/>
          <w:sz w:val="22"/>
          <w:szCs w:val="22"/>
        </w:rPr>
        <w:t xml:space="preserve"> spend</w:t>
      </w:r>
      <w:proofErr w:type="gramEnd"/>
      <w:r w:rsidR="005C5BA2" w:rsidRPr="00D837D9">
        <w:rPr>
          <w:rFonts w:ascii="Arial" w:hAnsi="Arial" w:cs="Arial"/>
          <w:sz w:val="22"/>
          <w:szCs w:val="22"/>
        </w:rPr>
        <w:t xml:space="preserve"> plans will also require </w:t>
      </w:r>
      <w:r>
        <w:rPr>
          <w:rFonts w:ascii="Arial" w:hAnsi="Arial" w:cs="Arial"/>
          <w:sz w:val="22"/>
          <w:szCs w:val="22"/>
        </w:rPr>
        <w:t xml:space="preserve">additional </w:t>
      </w:r>
      <w:r w:rsidR="005C5BA2" w:rsidRPr="00D837D9">
        <w:rPr>
          <w:rFonts w:ascii="Arial" w:hAnsi="Arial" w:cs="Arial"/>
          <w:sz w:val="22"/>
          <w:szCs w:val="22"/>
        </w:rPr>
        <w:t xml:space="preserve">review </w:t>
      </w:r>
      <w:r>
        <w:rPr>
          <w:rFonts w:ascii="Arial" w:hAnsi="Arial" w:cs="Arial"/>
          <w:sz w:val="22"/>
          <w:szCs w:val="22"/>
        </w:rPr>
        <w:t xml:space="preserve">in year </w:t>
      </w:r>
      <w:r w:rsidR="005C5BA2" w:rsidRPr="00D837D9">
        <w:rPr>
          <w:rFonts w:ascii="Arial" w:hAnsi="Arial" w:cs="Arial"/>
          <w:sz w:val="22"/>
          <w:szCs w:val="22"/>
        </w:rPr>
        <w:t xml:space="preserve">and </w:t>
      </w:r>
      <w:r>
        <w:rPr>
          <w:rFonts w:ascii="Arial" w:hAnsi="Arial" w:cs="Arial"/>
          <w:sz w:val="22"/>
          <w:szCs w:val="22"/>
        </w:rPr>
        <w:t xml:space="preserve">formal </w:t>
      </w:r>
      <w:r w:rsidR="005C5BA2" w:rsidRPr="00D837D9">
        <w:rPr>
          <w:rFonts w:ascii="Arial" w:hAnsi="Arial" w:cs="Arial"/>
          <w:sz w:val="22"/>
          <w:szCs w:val="22"/>
        </w:rPr>
        <w:t>sign off by the budget managers line manager.</w:t>
      </w:r>
    </w:p>
    <w:p w:rsidR="002B6533" w:rsidRDefault="004B390C" w:rsidP="002B6533">
      <w:pPr>
        <w:spacing w:after="200" w:line="276" w:lineRule="auto"/>
        <w:rPr>
          <w:rFonts w:ascii="Arial" w:hAnsi="Arial" w:cs="Arial"/>
          <w:b/>
          <w:sz w:val="22"/>
          <w:szCs w:val="22"/>
        </w:rPr>
      </w:pPr>
      <w:r>
        <w:rPr>
          <w:rFonts w:ascii="Arial" w:hAnsi="Arial" w:cs="Arial"/>
          <w:b/>
          <w:sz w:val="22"/>
          <w:szCs w:val="22"/>
        </w:rPr>
        <w:t>10</w:t>
      </w:r>
      <w:r w:rsidR="002B6533" w:rsidRPr="002B6533">
        <w:rPr>
          <w:rFonts w:ascii="Arial" w:hAnsi="Arial" w:cs="Arial"/>
          <w:b/>
          <w:sz w:val="22"/>
          <w:szCs w:val="22"/>
        </w:rPr>
        <w:t>.</w:t>
      </w:r>
      <w:r w:rsidR="002B6533" w:rsidRPr="002B6533">
        <w:rPr>
          <w:rFonts w:ascii="Arial" w:hAnsi="Arial" w:cs="Arial"/>
          <w:b/>
          <w:sz w:val="22"/>
          <w:szCs w:val="22"/>
        </w:rPr>
        <w:tab/>
        <w:t>Cash plans and handling for 201</w:t>
      </w:r>
      <w:r w:rsidR="00D57029">
        <w:rPr>
          <w:rFonts w:ascii="Arial" w:hAnsi="Arial" w:cs="Arial"/>
          <w:b/>
          <w:sz w:val="22"/>
          <w:szCs w:val="22"/>
        </w:rPr>
        <w:t>6</w:t>
      </w:r>
      <w:r w:rsidR="002B6533" w:rsidRPr="002B6533">
        <w:rPr>
          <w:rFonts w:ascii="Arial" w:hAnsi="Arial" w:cs="Arial"/>
          <w:b/>
          <w:sz w:val="22"/>
          <w:szCs w:val="22"/>
        </w:rPr>
        <w:t>/1</w:t>
      </w:r>
      <w:r w:rsidR="00D57029">
        <w:rPr>
          <w:rFonts w:ascii="Arial" w:hAnsi="Arial" w:cs="Arial"/>
          <w:b/>
          <w:sz w:val="22"/>
          <w:szCs w:val="22"/>
        </w:rPr>
        <w:t>7</w:t>
      </w:r>
      <w:r w:rsidR="002B6533" w:rsidRPr="002B6533">
        <w:rPr>
          <w:rFonts w:ascii="Arial" w:hAnsi="Arial" w:cs="Arial"/>
          <w:b/>
          <w:sz w:val="22"/>
          <w:szCs w:val="22"/>
        </w:rPr>
        <w:t>;</w:t>
      </w:r>
    </w:p>
    <w:p w:rsidR="007627F5" w:rsidRDefault="00BA4988" w:rsidP="00B40EA9">
      <w:pPr>
        <w:tabs>
          <w:tab w:val="left" w:pos="2172"/>
        </w:tabs>
        <w:contextualSpacing/>
        <w:rPr>
          <w:rFonts w:ascii="Arial" w:hAnsi="Arial" w:cs="Arial"/>
          <w:sz w:val="22"/>
          <w:szCs w:val="22"/>
        </w:rPr>
      </w:pPr>
      <w:r w:rsidRPr="00BA4988">
        <w:rPr>
          <w:rFonts w:ascii="Arial" w:hAnsi="Arial" w:cs="Arial"/>
          <w:sz w:val="22"/>
          <w:szCs w:val="22"/>
        </w:rPr>
        <w:t>The cash</w:t>
      </w:r>
      <w:r>
        <w:rPr>
          <w:rFonts w:ascii="Arial" w:hAnsi="Arial" w:cs="Arial"/>
          <w:sz w:val="22"/>
          <w:szCs w:val="22"/>
        </w:rPr>
        <w:t xml:space="preserve"> </w:t>
      </w:r>
      <w:r w:rsidRPr="00BA4988">
        <w:rPr>
          <w:rFonts w:ascii="Arial" w:hAnsi="Arial" w:cs="Arial"/>
          <w:sz w:val="22"/>
          <w:szCs w:val="22"/>
        </w:rPr>
        <w:t xml:space="preserve">flow forecast for the year </w:t>
      </w:r>
      <w:r w:rsidR="003D2BF4">
        <w:rPr>
          <w:rFonts w:ascii="Arial" w:hAnsi="Arial" w:cs="Arial"/>
          <w:sz w:val="22"/>
          <w:szCs w:val="22"/>
        </w:rPr>
        <w:t xml:space="preserve">will be </w:t>
      </w:r>
      <w:r w:rsidR="007627F5">
        <w:rPr>
          <w:rFonts w:ascii="Arial" w:hAnsi="Arial" w:cs="Arial"/>
          <w:sz w:val="22"/>
          <w:szCs w:val="22"/>
        </w:rPr>
        <w:t xml:space="preserve">presented </w:t>
      </w:r>
      <w:r w:rsidR="003D2BF4">
        <w:rPr>
          <w:rFonts w:ascii="Arial" w:hAnsi="Arial" w:cs="Arial"/>
          <w:sz w:val="22"/>
          <w:szCs w:val="22"/>
        </w:rPr>
        <w:t xml:space="preserve">on agreement of the financial plan and included within </w:t>
      </w:r>
      <w:r w:rsidR="00D837D9">
        <w:rPr>
          <w:rFonts w:ascii="Arial" w:hAnsi="Arial" w:cs="Arial"/>
          <w:sz w:val="22"/>
          <w:szCs w:val="22"/>
        </w:rPr>
        <w:t>quarterly financial reporting.</w:t>
      </w:r>
    </w:p>
    <w:p w:rsidR="003D2BF4" w:rsidRDefault="003D2BF4" w:rsidP="00B40EA9">
      <w:pPr>
        <w:tabs>
          <w:tab w:val="left" w:pos="2172"/>
        </w:tabs>
        <w:contextualSpacing/>
        <w:rPr>
          <w:rFonts w:ascii="Arial" w:hAnsi="Arial" w:cs="Arial"/>
          <w:sz w:val="22"/>
          <w:szCs w:val="22"/>
        </w:rPr>
      </w:pPr>
    </w:p>
    <w:p w:rsidR="001A2303" w:rsidRDefault="007627F5" w:rsidP="00B40EA9">
      <w:pPr>
        <w:tabs>
          <w:tab w:val="left" w:pos="2172"/>
        </w:tabs>
        <w:contextualSpacing/>
        <w:rPr>
          <w:rFonts w:ascii="Arial" w:hAnsi="Arial" w:cs="Arial"/>
          <w:sz w:val="22"/>
          <w:szCs w:val="22"/>
          <w:highlight w:val="yellow"/>
        </w:rPr>
      </w:pPr>
      <w:r>
        <w:rPr>
          <w:rFonts w:ascii="Arial" w:hAnsi="Arial" w:cs="Arial"/>
          <w:sz w:val="22"/>
          <w:szCs w:val="22"/>
        </w:rPr>
        <w:t xml:space="preserve">There will be close monitoring of </w:t>
      </w:r>
      <w:proofErr w:type="gramStart"/>
      <w:r>
        <w:rPr>
          <w:rFonts w:ascii="Arial" w:hAnsi="Arial" w:cs="Arial"/>
          <w:sz w:val="22"/>
          <w:szCs w:val="22"/>
        </w:rPr>
        <w:t>both expenditure</w:t>
      </w:r>
      <w:proofErr w:type="gramEnd"/>
      <w:r>
        <w:rPr>
          <w:rFonts w:ascii="Arial" w:hAnsi="Arial" w:cs="Arial"/>
          <w:sz w:val="22"/>
          <w:szCs w:val="22"/>
        </w:rPr>
        <w:t>, forecasts and cash throughout the year.</w:t>
      </w:r>
      <w:r w:rsidR="002B1ABB" w:rsidRPr="00C4745A">
        <w:rPr>
          <w:rFonts w:ascii="Arial" w:hAnsi="Arial" w:cs="Arial"/>
          <w:sz w:val="22"/>
          <w:szCs w:val="22"/>
          <w:highlight w:val="yellow"/>
        </w:rPr>
        <w:t xml:space="preserve">    </w:t>
      </w:r>
    </w:p>
    <w:p w:rsidR="00BA4988" w:rsidRDefault="00BA4988" w:rsidP="00B40EA9">
      <w:pPr>
        <w:tabs>
          <w:tab w:val="left" w:pos="2172"/>
        </w:tabs>
        <w:contextualSpacing/>
        <w:rPr>
          <w:rFonts w:ascii="Arial" w:hAnsi="Arial" w:cs="Arial"/>
          <w:sz w:val="22"/>
          <w:szCs w:val="22"/>
          <w:highlight w:val="yellow"/>
        </w:rPr>
      </w:pPr>
    </w:p>
    <w:p w:rsidR="00D57029" w:rsidRDefault="00D57029" w:rsidP="00B40EA9">
      <w:pPr>
        <w:jc w:val="both"/>
        <w:rPr>
          <w:rFonts w:ascii="Arial" w:hAnsi="Arial" w:cs="Arial"/>
          <w:b/>
          <w:sz w:val="22"/>
          <w:szCs w:val="22"/>
        </w:rPr>
      </w:pPr>
    </w:p>
    <w:p w:rsidR="00B40EA9" w:rsidRPr="0047213E" w:rsidRDefault="004B390C" w:rsidP="00B40EA9">
      <w:pPr>
        <w:jc w:val="both"/>
        <w:rPr>
          <w:rFonts w:ascii="Arial" w:hAnsi="Arial" w:cs="Arial"/>
          <w:b/>
          <w:sz w:val="22"/>
          <w:szCs w:val="22"/>
        </w:rPr>
      </w:pPr>
      <w:r>
        <w:rPr>
          <w:rFonts w:ascii="Arial" w:hAnsi="Arial" w:cs="Arial"/>
          <w:b/>
          <w:sz w:val="22"/>
          <w:szCs w:val="22"/>
        </w:rPr>
        <w:t>11</w:t>
      </w:r>
      <w:r w:rsidR="00B40EA9" w:rsidRPr="0047213E">
        <w:rPr>
          <w:rFonts w:ascii="Arial" w:hAnsi="Arial" w:cs="Arial"/>
          <w:b/>
          <w:sz w:val="22"/>
          <w:szCs w:val="22"/>
        </w:rPr>
        <w:t>. Recommendations</w:t>
      </w:r>
    </w:p>
    <w:p w:rsidR="00B40EA9" w:rsidRPr="00C4745A" w:rsidRDefault="00B40EA9" w:rsidP="00B40EA9">
      <w:pPr>
        <w:jc w:val="both"/>
        <w:rPr>
          <w:rFonts w:ascii="Arial" w:hAnsi="Arial" w:cs="Arial"/>
          <w:b/>
          <w:sz w:val="22"/>
          <w:szCs w:val="22"/>
          <w:highlight w:val="yellow"/>
        </w:rPr>
      </w:pPr>
    </w:p>
    <w:p w:rsidR="00DD4CAC" w:rsidRDefault="00B40EA9" w:rsidP="00115E84">
      <w:pPr>
        <w:overflowPunct w:val="0"/>
        <w:autoSpaceDE w:val="0"/>
        <w:autoSpaceDN w:val="0"/>
        <w:adjustRightInd w:val="0"/>
        <w:textAlignment w:val="baseline"/>
        <w:rPr>
          <w:rFonts w:ascii="Arial" w:hAnsi="Arial" w:cs="Arial"/>
          <w:sz w:val="22"/>
          <w:szCs w:val="22"/>
        </w:rPr>
      </w:pPr>
      <w:proofErr w:type="gramStart"/>
      <w:r w:rsidRPr="0047213E">
        <w:rPr>
          <w:rFonts w:ascii="Arial" w:hAnsi="Arial" w:cs="Arial"/>
          <w:sz w:val="22"/>
          <w:szCs w:val="22"/>
        </w:rPr>
        <w:t xml:space="preserve">That the Executive Management Team (EMT) </w:t>
      </w:r>
      <w:r w:rsidR="00F06479" w:rsidRPr="0047213E">
        <w:rPr>
          <w:rFonts w:ascii="Arial" w:hAnsi="Arial" w:cs="Arial"/>
          <w:sz w:val="22"/>
          <w:szCs w:val="22"/>
        </w:rPr>
        <w:t>approves</w:t>
      </w:r>
      <w:r w:rsidRPr="0047213E">
        <w:rPr>
          <w:rFonts w:ascii="Arial" w:hAnsi="Arial" w:cs="Arial"/>
          <w:sz w:val="22"/>
          <w:szCs w:val="22"/>
        </w:rPr>
        <w:t xml:space="preserve"> the </w:t>
      </w:r>
      <w:r w:rsidR="00866B7A">
        <w:rPr>
          <w:rFonts w:ascii="Arial" w:hAnsi="Arial" w:cs="Arial"/>
          <w:sz w:val="22"/>
          <w:szCs w:val="22"/>
        </w:rPr>
        <w:t>f</w:t>
      </w:r>
      <w:r w:rsidRPr="0047213E">
        <w:rPr>
          <w:rFonts w:ascii="Arial" w:hAnsi="Arial" w:cs="Arial"/>
          <w:sz w:val="22"/>
          <w:szCs w:val="22"/>
        </w:rPr>
        <w:t xml:space="preserve">inancial </w:t>
      </w:r>
      <w:r w:rsidR="00866B7A">
        <w:rPr>
          <w:rFonts w:ascii="Arial" w:hAnsi="Arial" w:cs="Arial"/>
          <w:sz w:val="22"/>
          <w:szCs w:val="22"/>
        </w:rPr>
        <w:t>plan</w:t>
      </w:r>
      <w:r w:rsidR="00115E84" w:rsidRPr="0047213E">
        <w:rPr>
          <w:rFonts w:ascii="Arial" w:hAnsi="Arial" w:cs="Arial"/>
          <w:sz w:val="22"/>
          <w:szCs w:val="22"/>
        </w:rPr>
        <w:t xml:space="preserve"> </w:t>
      </w:r>
      <w:r w:rsidR="0047213E">
        <w:rPr>
          <w:rFonts w:ascii="Arial" w:hAnsi="Arial" w:cs="Arial"/>
          <w:sz w:val="22"/>
          <w:szCs w:val="22"/>
        </w:rPr>
        <w:t>prior to reporting to the HRA Board</w:t>
      </w:r>
      <w:r w:rsidR="00DD4CAC">
        <w:rPr>
          <w:rFonts w:ascii="Arial" w:hAnsi="Arial" w:cs="Arial"/>
          <w:sz w:val="22"/>
          <w:szCs w:val="22"/>
        </w:rPr>
        <w:t>.</w:t>
      </w:r>
      <w:proofErr w:type="gramEnd"/>
    </w:p>
    <w:p w:rsidR="00DD4CAC" w:rsidRDefault="00DD4CAC" w:rsidP="00115E84">
      <w:pPr>
        <w:overflowPunct w:val="0"/>
        <w:autoSpaceDE w:val="0"/>
        <w:autoSpaceDN w:val="0"/>
        <w:adjustRightInd w:val="0"/>
        <w:textAlignment w:val="baseline"/>
        <w:rPr>
          <w:rFonts w:ascii="Arial" w:hAnsi="Arial" w:cs="Arial"/>
          <w:sz w:val="22"/>
          <w:szCs w:val="22"/>
        </w:rPr>
      </w:pPr>
    </w:p>
    <w:p w:rsidR="001A2303" w:rsidRPr="0047213E" w:rsidRDefault="00DD4CAC" w:rsidP="00115E84">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That the EMT </w:t>
      </w:r>
      <w:r w:rsidR="00A778E9">
        <w:rPr>
          <w:rFonts w:ascii="Arial" w:hAnsi="Arial" w:cs="Arial"/>
          <w:sz w:val="22"/>
          <w:szCs w:val="22"/>
        </w:rPr>
        <w:t xml:space="preserve">and the Board </w:t>
      </w:r>
      <w:r w:rsidR="00115E84" w:rsidRPr="0047213E">
        <w:rPr>
          <w:rFonts w:ascii="Arial" w:hAnsi="Arial" w:cs="Arial"/>
          <w:sz w:val="22"/>
          <w:szCs w:val="22"/>
        </w:rPr>
        <w:t>note the position relating to</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D837D9" w:rsidRDefault="00D837D9"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Income assumptions</w:t>
      </w:r>
    </w:p>
    <w:p w:rsidR="003D2BF4" w:rsidRPr="00D837D9" w:rsidRDefault="003D2BF4"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D837D9">
        <w:rPr>
          <w:rFonts w:ascii="Arial" w:hAnsi="Arial" w:cs="Arial"/>
          <w:sz w:val="22"/>
          <w:szCs w:val="22"/>
        </w:rPr>
        <w:t xml:space="preserve">Expenditure assumptions. </w:t>
      </w:r>
    </w:p>
    <w:p w:rsidR="00DD4CAC" w:rsidRDefault="00DD4CA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Workforce planning assumptions.</w:t>
      </w:r>
    </w:p>
    <w:p w:rsidR="00DD4CAC" w:rsidRDefault="00DD4CA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High level capital plan.</w:t>
      </w:r>
    </w:p>
    <w:p w:rsidR="00D837D9" w:rsidRDefault="00D837D9"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Risks associated with the financial plan.</w:t>
      </w:r>
    </w:p>
    <w:p w:rsidR="00BC78AB" w:rsidRDefault="00BC78AB"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A reconciliation of the movement between years for the Operations Directorate will be provided shortly.</w:t>
      </w:r>
    </w:p>
    <w:p w:rsidR="00BC78AB" w:rsidRDefault="00BC78AB"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Further information related to 2017/18 budgets and plans will begin to be compiled alongside discussions on the HRA strategy to enable a longer term strategic financial plan to be presented.</w:t>
      </w:r>
    </w:p>
    <w:p w:rsidR="00CE1147" w:rsidRDefault="00CE1147" w:rsidP="00CE1147">
      <w:pPr>
        <w:pStyle w:val="ListParagraph"/>
        <w:overflowPunct w:val="0"/>
        <w:autoSpaceDE w:val="0"/>
        <w:autoSpaceDN w:val="0"/>
        <w:adjustRightInd w:val="0"/>
        <w:spacing w:line="276" w:lineRule="auto"/>
        <w:ind w:left="780"/>
        <w:textAlignment w:val="baseline"/>
        <w:rPr>
          <w:rFonts w:ascii="Arial" w:hAnsi="Arial" w:cs="Arial"/>
          <w:sz w:val="22"/>
          <w:szCs w:val="22"/>
        </w:rPr>
      </w:pPr>
    </w:p>
    <w:p w:rsidR="00DD4CAC" w:rsidRDefault="00DD4CAC" w:rsidP="00DD4CAC">
      <w:pPr>
        <w:overflowPunct w:val="0"/>
        <w:autoSpaceDE w:val="0"/>
        <w:autoSpaceDN w:val="0"/>
        <w:adjustRightInd w:val="0"/>
        <w:spacing w:line="276" w:lineRule="auto"/>
        <w:textAlignment w:val="baseline"/>
        <w:rPr>
          <w:rFonts w:ascii="Arial" w:hAnsi="Arial" w:cs="Arial"/>
          <w:sz w:val="22"/>
          <w:szCs w:val="22"/>
        </w:rPr>
      </w:pPr>
      <w:r>
        <w:rPr>
          <w:rFonts w:ascii="Arial" w:hAnsi="Arial" w:cs="Arial"/>
          <w:sz w:val="22"/>
          <w:szCs w:val="22"/>
        </w:rPr>
        <w:t xml:space="preserve">That the EMT </w:t>
      </w:r>
      <w:r w:rsidR="00A778E9">
        <w:rPr>
          <w:rFonts w:ascii="Arial" w:hAnsi="Arial" w:cs="Arial"/>
          <w:sz w:val="22"/>
          <w:szCs w:val="22"/>
        </w:rPr>
        <w:t xml:space="preserve">and the Board </w:t>
      </w:r>
      <w:r>
        <w:rPr>
          <w:rFonts w:ascii="Arial" w:hAnsi="Arial" w:cs="Arial"/>
          <w:sz w:val="22"/>
          <w:szCs w:val="22"/>
        </w:rPr>
        <w:t>approve the following:</w:t>
      </w:r>
    </w:p>
    <w:p w:rsidR="00DD4CAC" w:rsidRDefault="00DD4CAC" w:rsidP="00B74A9E">
      <w:pPr>
        <w:pStyle w:val="ListParagraph"/>
        <w:overflowPunct w:val="0"/>
        <w:autoSpaceDE w:val="0"/>
        <w:autoSpaceDN w:val="0"/>
        <w:adjustRightInd w:val="0"/>
        <w:ind w:left="780"/>
        <w:textAlignment w:val="baseline"/>
        <w:rPr>
          <w:rFonts w:ascii="Arial" w:hAnsi="Arial" w:cs="Arial"/>
          <w:sz w:val="22"/>
          <w:szCs w:val="22"/>
        </w:rPr>
      </w:pPr>
    </w:p>
    <w:p w:rsidR="00DD4CAC" w:rsidRDefault="00DD4CAC" w:rsidP="00DD4CAC">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High level capital plan requirements in the context of the governance arrangements set out.</w:t>
      </w:r>
    </w:p>
    <w:p w:rsidR="000F66A2" w:rsidRDefault="000F66A2" w:rsidP="000F66A2">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A</w:t>
      </w:r>
      <w:r w:rsidRPr="000F66A2">
        <w:rPr>
          <w:rFonts w:ascii="Arial" w:hAnsi="Arial" w:cs="Arial"/>
          <w:sz w:val="22"/>
          <w:szCs w:val="22"/>
        </w:rPr>
        <w:t>ttendance at the budget manager training provided by finance is mandated.</w:t>
      </w:r>
    </w:p>
    <w:p w:rsidR="00B74A9E" w:rsidRPr="0047213E" w:rsidRDefault="00B74A9E" w:rsidP="00B74A9E">
      <w:pPr>
        <w:pStyle w:val="ListParagraph"/>
        <w:overflowPunct w:val="0"/>
        <w:autoSpaceDE w:val="0"/>
        <w:autoSpaceDN w:val="0"/>
        <w:adjustRightInd w:val="0"/>
        <w:ind w:left="780"/>
        <w:textAlignment w:val="baseline"/>
        <w:rPr>
          <w:rFonts w:ascii="Arial" w:hAnsi="Arial" w:cs="Arial"/>
          <w:sz w:val="22"/>
          <w:szCs w:val="22"/>
        </w:rPr>
      </w:pPr>
    </w:p>
    <w:p w:rsidR="00DD4CAC" w:rsidRPr="00DD4CAC" w:rsidRDefault="00DD4CAC" w:rsidP="00DD4CAC">
      <w:pPr>
        <w:overflowPunct w:val="0"/>
        <w:autoSpaceDE w:val="0"/>
        <w:autoSpaceDN w:val="0"/>
        <w:adjustRightInd w:val="0"/>
        <w:spacing w:line="276" w:lineRule="auto"/>
        <w:textAlignment w:val="baseline"/>
        <w:rPr>
          <w:rFonts w:ascii="Arial" w:hAnsi="Arial" w:cs="Arial"/>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D837D9">
        <w:rPr>
          <w:rFonts w:ascii="Arial" w:hAnsi="Arial" w:cs="Arial"/>
          <w:b/>
          <w:sz w:val="22"/>
          <w:szCs w:val="22"/>
        </w:rPr>
        <w:t>, Procurement &amp; Estates</w:t>
      </w:r>
    </w:p>
    <w:p w:rsidR="00DD4CAC" w:rsidRDefault="003D2BF4" w:rsidP="00CA686D">
      <w:pPr>
        <w:spacing w:line="276" w:lineRule="auto"/>
        <w:rPr>
          <w:rFonts w:ascii="Arial" w:hAnsi="Arial" w:cs="Arial"/>
          <w:b/>
          <w:sz w:val="22"/>
          <w:szCs w:val="22"/>
        </w:rPr>
      </w:pPr>
      <w:r>
        <w:rPr>
          <w:rFonts w:ascii="Arial" w:hAnsi="Arial" w:cs="Arial"/>
          <w:b/>
          <w:sz w:val="22"/>
          <w:szCs w:val="22"/>
        </w:rPr>
        <w:t>2</w:t>
      </w:r>
      <w:r w:rsidR="00D837D9">
        <w:rPr>
          <w:rFonts w:ascii="Arial" w:hAnsi="Arial" w:cs="Arial"/>
          <w:b/>
          <w:sz w:val="22"/>
          <w:szCs w:val="22"/>
        </w:rPr>
        <w:t>6 March 2016</w:t>
      </w:r>
    </w:p>
    <w:p w:rsidR="00B8345D" w:rsidRDefault="00B8345D" w:rsidP="00CA686D">
      <w:pPr>
        <w:spacing w:line="276" w:lineRule="auto"/>
        <w:rPr>
          <w:rFonts w:ascii="Arial" w:hAnsi="Arial" w:cs="Arial"/>
          <w:b/>
          <w:sz w:val="22"/>
          <w:szCs w:val="22"/>
        </w:rPr>
      </w:pPr>
    </w:p>
    <w:p w:rsidR="00B8345D" w:rsidRDefault="00B8345D" w:rsidP="00CA686D">
      <w:pPr>
        <w:spacing w:line="276" w:lineRule="auto"/>
        <w:rPr>
          <w:rFonts w:ascii="Arial" w:hAnsi="Arial" w:cs="Arial"/>
          <w:b/>
          <w:sz w:val="22"/>
          <w:szCs w:val="22"/>
        </w:rPr>
      </w:pPr>
    </w:p>
    <w:p w:rsidR="00B8345D" w:rsidRDefault="00B8345D" w:rsidP="00CA686D">
      <w:pPr>
        <w:spacing w:line="276" w:lineRule="auto"/>
        <w:rPr>
          <w:rFonts w:ascii="Arial" w:hAnsi="Arial" w:cs="Arial"/>
          <w:b/>
          <w:sz w:val="22"/>
          <w:szCs w:val="22"/>
        </w:rPr>
      </w:pPr>
    </w:p>
    <w:p w:rsidR="00B8345D" w:rsidRDefault="00B8345D" w:rsidP="00CA686D">
      <w:pPr>
        <w:spacing w:line="276" w:lineRule="auto"/>
        <w:rPr>
          <w:rFonts w:ascii="Arial" w:hAnsi="Arial" w:cs="Arial"/>
          <w:b/>
          <w:sz w:val="22"/>
          <w:szCs w:val="22"/>
        </w:rPr>
      </w:pPr>
    </w:p>
    <w:p w:rsidR="00D57029" w:rsidRDefault="00D57029" w:rsidP="00CA686D">
      <w:pPr>
        <w:spacing w:line="276" w:lineRule="auto"/>
        <w:rPr>
          <w:rFonts w:ascii="Arial" w:hAnsi="Arial" w:cs="Arial"/>
          <w:b/>
          <w:sz w:val="22"/>
          <w:szCs w:val="22"/>
        </w:rPr>
      </w:pPr>
    </w:p>
    <w:p w:rsidR="00B8345D" w:rsidRDefault="00B8345D" w:rsidP="00B8345D">
      <w:pPr>
        <w:spacing w:line="276" w:lineRule="auto"/>
        <w:jc w:val="right"/>
        <w:rPr>
          <w:rFonts w:ascii="Arial" w:hAnsi="Arial" w:cs="Arial"/>
          <w:b/>
          <w:sz w:val="22"/>
          <w:szCs w:val="22"/>
        </w:rPr>
      </w:pPr>
      <w:bookmarkStart w:id="0" w:name="_GoBack"/>
      <w:bookmarkEnd w:id="0"/>
      <w:r>
        <w:rPr>
          <w:rFonts w:ascii="Arial" w:hAnsi="Arial" w:cs="Arial"/>
          <w:b/>
          <w:sz w:val="22"/>
          <w:szCs w:val="22"/>
        </w:rPr>
        <w:lastRenderedPageBreak/>
        <w:t>Appendix 1</w:t>
      </w:r>
    </w:p>
    <w:p w:rsidR="00B8345D" w:rsidRDefault="00B8345D" w:rsidP="00CA686D">
      <w:pPr>
        <w:spacing w:line="276" w:lineRule="auto"/>
        <w:rPr>
          <w:rFonts w:ascii="Arial" w:hAnsi="Arial" w:cs="Arial"/>
          <w:b/>
          <w:sz w:val="22"/>
          <w:szCs w:val="22"/>
        </w:rPr>
      </w:pPr>
    </w:p>
    <w:p w:rsidR="00B8345D" w:rsidRDefault="00B8345D" w:rsidP="00CA686D">
      <w:pPr>
        <w:spacing w:line="276" w:lineRule="auto"/>
        <w:rPr>
          <w:rFonts w:ascii="Arial" w:hAnsi="Arial" w:cs="Arial"/>
          <w:b/>
          <w:sz w:val="22"/>
          <w:szCs w:val="22"/>
        </w:rPr>
      </w:pPr>
      <w:r w:rsidRPr="00B8345D">
        <w:rPr>
          <w:noProof/>
        </w:rPr>
        <w:drawing>
          <wp:inline distT="0" distB="0" distL="0" distR="0" wp14:anchorId="60EA3564" wp14:editId="140F1FC9">
            <wp:extent cx="5676900" cy="6467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6467475"/>
                    </a:xfrm>
                    <a:prstGeom prst="rect">
                      <a:avLst/>
                    </a:prstGeom>
                    <a:noFill/>
                    <a:ln>
                      <a:noFill/>
                    </a:ln>
                  </pic:spPr>
                </pic:pic>
              </a:graphicData>
            </a:graphic>
          </wp:inline>
        </w:drawing>
      </w:r>
    </w:p>
    <w:p w:rsidR="00B8345D" w:rsidRDefault="00B8345D" w:rsidP="00CA686D">
      <w:pPr>
        <w:spacing w:line="276" w:lineRule="auto"/>
        <w:rPr>
          <w:rFonts w:ascii="Arial" w:hAnsi="Arial" w:cs="Arial"/>
          <w:b/>
          <w:sz w:val="22"/>
          <w:szCs w:val="22"/>
        </w:rPr>
      </w:pPr>
    </w:p>
    <w:p w:rsidR="00B8345D" w:rsidRDefault="00B8345D" w:rsidP="00CA686D">
      <w:pPr>
        <w:spacing w:line="276" w:lineRule="auto"/>
        <w:rPr>
          <w:rFonts w:asciiTheme="minorHAnsi" w:eastAsiaTheme="minorHAnsi" w:hAnsiTheme="minorHAnsi" w:cstheme="minorHAnsi"/>
          <w:lang w:eastAsia="en-US"/>
        </w:rPr>
      </w:pPr>
    </w:p>
    <w:sectPr w:rsidR="00B8345D" w:rsidSect="0042637E">
      <w:headerReference w:type="even" r:id="rId17"/>
      <w:headerReference w:type="default" r:id="rId18"/>
      <w:footerReference w:type="even" r:id="rId19"/>
      <w:footerReference w:type="default" r:id="rId20"/>
      <w:headerReference w:type="first" r:id="rId21"/>
      <w:footerReference w:type="first" r:id="rId22"/>
      <w:pgSz w:w="11906" w:h="16838"/>
      <w:pgMar w:top="709" w:right="992"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37" w:rsidRDefault="00A55637" w:rsidP="00412C00">
      <w:r>
        <w:separator/>
      </w:r>
    </w:p>
  </w:endnote>
  <w:endnote w:type="continuationSeparator" w:id="0">
    <w:p w:rsidR="00A55637" w:rsidRDefault="00A55637"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AB" w:rsidRDefault="00BC7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AB" w:rsidRDefault="00BC7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AB" w:rsidRDefault="00BC7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37" w:rsidRDefault="00A55637" w:rsidP="00412C00">
      <w:r>
        <w:separator/>
      </w:r>
    </w:p>
  </w:footnote>
  <w:footnote w:type="continuationSeparator" w:id="0">
    <w:p w:rsidR="00A55637" w:rsidRDefault="00A55637"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AB" w:rsidRDefault="00BC7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0631"/>
      <w:docPartObj>
        <w:docPartGallery w:val="Watermarks"/>
        <w:docPartUnique/>
      </w:docPartObj>
    </w:sdtPr>
    <w:sdtContent>
      <w:p w:rsidR="00A55637" w:rsidRDefault="00BC78A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5571" o:spid="_x0000_s2050"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AB" w:rsidRDefault="00BC7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96"/>
    <w:multiLevelType w:val="hybridMultilevel"/>
    <w:tmpl w:val="3BDA8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2">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276C05DA"/>
    <w:multiLevelType w:val="hybridMultilevel"/>
    <w:tmpl w:val="0CA8057C"/>
    <w:lvl w:ilvl="0" w:tplc="B5C60892">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10">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4032F3"/>
    <w:multiLevelType w:val="hybridMultilevel"/>
    <w:tmpl w:val="4CFA8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B35E3"/>
    <w:multiLevelType w:val="hybridMultilevel"/>
    <w:tmpl w:val="6EC04D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410DAF"/>
    <w:multiLevelType w:val="hybridMultilevel"/>
    <w:tmpl w:val="84901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95B43"/>
    <w:multiLevelType w:val="hybridMultilevel"/>
    <w:tmpl w:val="C54C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C26E2"/>
    <w:multiLevelType w:val="hybridMultilevel"/>
    <w:tmpl w:val="A79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12D61"/>
    <w:multiLevelType w:val="hybridMultilevel"/>
    <w:tmpl w:val="D36C8992"/>
    <w:lvl w:ilvl="0" w:tplc="139E0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9"/>
  </w:num>
  <w:num w:numId="4">
    <w:abstractNumId w:val="23"/>
  </w:num>
  <w:num w:numId="5">
    <w:abstractNumId w:val="15"/>
  </w:num>
  <w:num w:numId="6">
    <w:abstractNumId w:val="4"/>
  </w:num>
  <w:num w:numId="7">
    <w:abstractNumId w:val="5"/>
  </w:num>
  <w:num w:numId="8">
    <w:abstractNumId w:val="17"/>
  </w:num>
  <w:num w:numId="9">
    <w:abstractNumId w:val="12"/>
  </w:num>
  <w:num w:numId="10">
    <w:abstractNumId w:val="10"/>
  </w:num>
  <w:num w:numId="11">
    <w:abstractNumId w:val="8"/>
  </w:num>
  <w:num w:numId="12">
    <w:abstractNumId w:val="1"/>
  </w:num>
  <w:num w:numId="13">
    <w:abstractNumId w:val="6"/>
  </w:num>
  <w:num w:numId="14">
    <w:abstractNumId w:val="11"/>
  </w:num>
  <w:num w:numId="15">
    <w:abstractNumId w:val="3"/>
  </w:num>
  <w:num w:numId="16">
    <w:abstractNumId w:val="18"/>
  </w:num>
  <w:num w:numId="17">
    <w:abstractNumId w:val="22"/>
  </w:num>
  <w:num w:numId="18">
    <w:abstractNumId w:val="19"/>
  </w:num>
  <w:num w:numId="19">
    <w:abstractNumId w:val="13"/>
  </w:num>
  <w:num w:numId="20">
    <w:abstractNumId w:val="0"/>
  </w:num>
  <w:num w:numId="21">
    <w:abstractNumId w:val="14"/>
  </w:num>
  <w:num w:numId="22">
    <w:abstractNumId w:val="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6A45"/>
    <w:rsid w:val="00015D1D"/>
    <w:rsid w:val="00015FE0"/>
    <w:rsid w:val="00022301"/>
    <w:rsid w:val="0002376C"/>
    <w:rsid w:val="000239F7"/>
    <w:rsid w:val="00024BC8"/>
    <w:rsid w:val="000271F4"/>
    <w:rsid w:val="00030167"/>
    <w:rsid w:val="0003250E"/>
    <w:rsid w:val="00032940"/>
    <w:rsid w:val="00033BC9"/>
    <w:rsid w:val="0003507B"/>
    <w:rsid w:val="00037838"/>
    <w:rsid w:val="00040F35"/>
    <w:rsid w:val="0004442F"/>
    <w:rsid w:val="00044467"/>
    <w:rsid w:val="0004446C"/>
    <w:rsid w:val="000514AC"/>
    <w:rsid w:val="00052011"/>
    <w:rsid w:val="00054430"/>
    <w:rsid w:val="0006430C"/>
    <w:rsid w:val="000658EF"/>
    <w:rsid w:val="00070A74"/>
    <w:rsid w:val="000772E5"/>
    <w:rsid w:val="00090AC3"/>
    <w:rsid w:val="0009793E"/>
    <w:rsid w:val="000C1DF1"/>
    <w:rsid w:val="000C6150"/>
    <w:rsid w:val="000C6D92"/>
    <w:rsid w:val="000D1E92"/>
    <w:rsid w:val="000D2212"/>
    <w:rsid w:val="000D2990"/>
    <w:rsid w:val="000D3D3A"/>
    <w:rsid w:val="000D4449"/>
    <w:rsid w:val="000D471E"/>
    <w:rsid w:val="000D5B3D"/>
    <w:rsid w:val="000D6B10"/>
    <w:rsid w:val="000D711F"/>
    <w:rsid w:val="000E0B72"/>
    <w:rsid w:val="000E66A4"/>
    <w:rsid w:val="000E694D"/>
    <w:rsid w:val="000F0C7B"/>
    <w:rsid w:val="000F15BA"/>
    <w:rsid w:val="000F66A2"/>
    <w:rsid w:val="000F71C0"/>
    <w:rsid w:val="00105649"/>
    <w:rsid w:val="00105927"/>
    <w:rsid w:val="001059BA"/>
    <w:rsid w:val="0011341B"/>
    <w:rsid w:val="00115E84"/>
    <w:rsid w:val="00116098"/>
    <w:rsid w:val="00124893"/>
    <w:rsid w:val="00124AA3"/>
    <w:rsid w:val="00132DB0"/>
    <w:rsid w:val="001339A4"/>
    <w:rsid w:val="001504B0"/>
    <w:rsid w:val="001516FA"/>
    <w:rsid w:val="001528FE"/>
    <w:rsid w:val="0015351D"/>
    <w:rsid w:val="00153E82"/>
    <w:rsid w:val="00154E36"/>
    <w:rsid w:val="001609ED"/>
    <w:rsid w:val="00160F9B"/>
    <w:rsid w:val="00163A5A"/>
    <w:rsid w:val="0016735B"/>
    <w:rsid w:val="001679C3"/>
    <w:rsid w:val="001774D5"/>
    <w:rsid w:val="00185C18"/>
    <w:rsid w:val="00187E34"/>
    <w:rsid w:val="001924BC"/>
    <w:rsid w:val="00194738"/>
    <w:rsid w:val="00194AB0"/>
    <w:rsid w:val="001965A9"/>
    <w:rsid w:val="001A2303"/>
    <w:rsid w:val="001A387F"/>
    <w:rsid w:val="001A6027"/>
    <w:rsid w:val="001B0071"/>
    <w:rsid w:val="001B12BA"/>
    <w:rsid w:val="001B4F9E"/>
    <w:rsid w:val="001B52B4"/>
    <w:rsid w:val="001B686D"/>
    <w:rsid w:val="001C2AB3"/>
    <w:rsid w:val="001D039E"/>
    <w:rsid w:val="001D083E"/>
    <w:rsid w:val="001D76BF"/>
    <w:rsid w:val="001E4B23"/>
    <w:rsid w:val="001E5CAA"/>
    <w:rsid w:val="001F0FB2"/>
    <w:rsid w:val="00201909"/>
    <w:rsid w:val="00204E97"/>
    <w:rsid w:val="0020509F"/>
    <w:rsid w:val="002132BF"/>
    <w:rsid w:val="00220954"/>
    <w:rsid w:val="002260C0"/>
    <w:rsid w:val="002279D6"/>
    <w:rsid w:val="00234F1A"/>
    <w:rsid w:val="00237BF3"/>
    <w:rsid w:val="00240999"/>
    <w:rsid w:val="00241A21"/>
    <w:rsid w:val="002436F9"/>
    <w:rsid w:val="002441AD"/>
    <w:rsid w:val="00244AB6"/>
    <w:rsid w:val="0024697B"/>
    <w:rsid w:val="002510CE"/>
    <w:rsid w:val="0025337B"/>
    <w:rsid w:val="002570C1"/>
    <w:rsid w:val="00265C5D"/>
    <w:rsid w:val="002672C3"/>
    <w:rsid w:val="00272143"/>
    <w:rsid w:val="00272C4C"/>
    <w:rsid w:val="00274232"/>
    <w:rsid w:val="002742C7"/>
    <w:rsid w:val="00285E21"/>
    <w:rsid w:val="002905D6"/>
    <w:rsid w:val="00297100"/>
    <w:rsid w:val="002974DC"/>
    <w:rsid w:val="002975AB"/>
    <w:rsid w:val="002A6EF8"/>
    <w:rsid w:val="002B1ABB"/>
    <w:rsid w:val="002B2061"/>
    <w:rsid w:val="002B2EAA"/>
    <w:rsid w:val="002B3AF7"/>
    <w:rsid w:val="002B41F8"/>
    <w:rsid w:val="002B47F2"/>
    <w:rsid w:val="002B587B"/>
    <w:rsid w:val="002B5F19"/>
    <w:rsid w:val="002B6533"/>
    <w:rsid w:val="002B6BA1"/>
    <w:rsid w:val="002B72F1"/>
    <w:rsid w:val="002B7A58"/>
    <w:rsid w:val="002C274E"/>
    <w:rsid w:val="002C31D0"/>
    <w:rsid w:val="002C5578"/>
    <w:rsid w:val="002D0957"/>
    <w:rsid w:val="002D19A0"/>
    <w:rsid w:val="002D2375"/>
    <w:rsid w:val="002D25C2"/>
    <w:rsid w:val="002E0613"/>
    <w:rsid w:val="002E488E"/>
    <w:rsid w:val="002E5EDF"/>
    <w:rsid w:val="002E7DBF"/>
    <w:rsid w:val="002F4277"/>
    <w:rsid w:val="002F5E6A"/>
    <w:rsid w:val="003001BE"/>
    <w:rsid w:val="00301714"/>
    <w:rsid w:val="00306F9F"/>
    <w:rsid w:val="003078FC"/>
    <w:rsid w:val="00307E54"/>
    <w:rsid w:val="00307FB7"/>
    <w:rsid w:val="00310095"/>
    <w:rsid w:val="00310852"/>
    <w:rsid w:val="00313F03"/>
    <w:rsid w:val="00316BE4"/>
    <w:rsid w:val="003179D5"/>
    <w:rsid w:val="00320F7E"/>
    <w:rsid w:val="00322070"/>
    <w:rsid w:val="00323ABE"/>
    <w:rsid w:val="00335C3B"/>
    <w:rsid w:val="003374E1"/>
    <w:rsid w:val="00344985"/>
    <w:rsid w:val="003449ED"/>
    <w:rsid w:val="00354EC4"/>
    <w:rsid w:val="00355186"/>
    <w:rsid w:val="0035753F"/>
    <w:rsid w:val="00357BF3"/>
    <w:rsid w:val="00360238"/>
    <w:rsid w:val="00364482"/>
    <w:rsid w:val="00375EE1"/>
    <w:rsid w:val="003837D4"/>
    <w:rsid w:val="003874BD"/>
    <w:rsid w:val="0039154E"/>
    <w:rsid w:val="00392D76"/>
    <w:rsid w:val="003B135C"/>
    <w:rsid w:val="003C0EA6"/>
    <w:rsid w:val="003C3B65"/>
    <w:rsid w:val="003C64BE"/>
    <w:rsid w:val="003C6EBD"/>
    <w:rsid w:val="003D17A0"/>
    <w:rsid w:val="003D2BF4"/>
    <w:rsid w:val="003D2D79"/>
    <w:rsid w:val="003D4747"/>
    <w:rsid w:val="003D54A5"/>
    <w:rsid w:val="003E109C"/>
    <w:rsid w:val="003F1874"/>
    <w:rsid w:val="003F3BB4"/>
    <w:rsid w:val="003F57C1"/>
    <w:rsid w:val="00406C23"/>
    <w:rsid w:val="00407B6C"/>
    <w:rsid w:val="00412C00"/>
    <w:rsid w:val="00412F67"/>
    <w:rsid w:val="00413148"/>
    <w:rsid w:val="00413357"/>
    <w:rsid w:val="00416EA8"/>
    <w:rsid w:val="0042146B"/>
    <w:rsid w:val="00425DFA"/>
    <w:rsid w:val="0042637E"/>
    <w:rsid w:val="00435640"/>
    <w:rsid w:val="004356D8"/>
    <w:rsid w:val="004365C6"/>
    <w:rsid w:val="0043662D"/>
    <w:rsid w:val="00442D4D"/>
    <w:rsid w:val="004458A7"/>
    <w:rsid w:val="00445C3C"/>
    <w:rsid w:val="00447C0C"/>
    <w:rsid w:val="00457D8F"/>
    <w:rsid w:val="00461E1B"/>
    <w:rsid w:val="00463D2C"/>
    <w:rsid w:val="00467624"/>
    <w:rsid w:val="0047014D"/>
    <w:rsid w:val="004704FD"/>
    <w:rsid w:val="00470C6B"/>
    <w:rsid w:val="00470CB0"/>
    <w:rsid w:val="00471B85"/>
    <w:rsid w:val="0047213E"/>
    <w:rsid w:val="004802BC"/>
    <w:rsid w:val="00480953"/>
    <w:rsid w:val="0048525C"/>
    <w:rsid w:val="0048709F"/>
    <w:rsid w:val="004916BD"/>
    <w:rsid w:val="00497F63"/>
    <w:rsid w:val="004A250F"/>
    <w:rsid w:val="004A26E0"/>
    <w:rsid w:val="004B26A9"/>
    <w:rsid w:val="004B2A24"/>
    <w:rsid w:val="004B390C"/>
    <w:rsid w:val="004B5487"/>
    <w:rsid w:val="004C3A2F"/>
    <w:rsid w:val="004C536A"/>
    <w:rsid w:val="004C5CF8"/>
    <w:rsid w:val="004C7812"/>
    <w:rsid w:val="004D3744"/>
    <w:rsid w:val="004E3577"/>
    <w:rsid w:val="004E7CF0"/>
    <w:rsid w:val="004F1024"/>
    <w:rsid w:val="004F1E1A"/>
    <w:rsid w:val="004F3A45"/>
    <w:rsid w:val="005064E8"/>
    <w:rsid w:val="00513000"/>
    <w:rsid w:val="00513557"/>
    <w:rsid w:val="00517BEE"/>
    <w:rsid w:val="0052112F"/>
    <w:rsid w:val="00521B03"/>
    <w:rsid w:val="00527EDD"/>
    <w:rsid w:val="00530ADB"/>
    <w:rsid w:val="005373EA"/>
    <w:rsid w:val="00537CC2"/>
    <w:rsid w:val="00540FAA"/>
    <w:rsid w:val="005431F7"/>
    <w:rsid w:val="0054372F"/>
    <w:rsid w:val="005477F2"/>
    <w:rsid w:val="00574331"/>
    <w:rsid w:val="005743EE"/>
    <w:rsid w:val="00575DD6"/>
    <w:rsid w:val="00577406"/>
    <w:rsid w:val="0058476E"/>
    <w:rsid w:val="00584F18"/>
    <w:rsid w:val="00585FFC"/>
    <w:rsid w:val="0059044A"/>
    <w:rsid w:val="00597AF4"/>
    <w:rsid w:val="005A1A0A"/>
    <w:rsid w:val="005A2A17"/>
    <w:rsid w:val="005A2D22"/>
    <w:rsid w:val="005B2ED3"/>
    <w:rsid w:val="005B62D4"/>
    <w:rsid w:val="005B75E5"/>
    <w:rsid w:val="005C0DAE"/>
    <w:rsid w:val="005C11A4"/>
    <w:rsid w:val="005C269A"/>
    <w:rsid w:val="005C4B0A"/>
    <w:rsid w:val="005C5BA2"/>
    <w:rsid w:val="005C6E51"/>
    <w:rsid w:val="005C76AA"/>
    <w:rsid w:val="005D3904"/>
    <w:rsid w:val="005E10A2"/>
    <w:rsid w:val="005F3EF3"/>
    <w:rsid w:val="005F5AB4"/>
    <w:rsid w:val="006006D4"/>
    <w:rsid w:val="0060330C"/>
    <w:rsid w:val="006059DC"/>
    <w:rsid w:val="00606CBA"/>
    <w:rsid w:val="006115B8"/>
    <w:rsid w:val="00611AF4"/>
    <w:rsid w:val="006120D4"/>
    <w:rsid w:val="00612681"/>
    <w:rsid w:val="00613941"/>
    <w:rsid w:val="00616C9F"/>
    <w:rsid w:val="00622610"/>
    <w:rsid w:val="00623DCB"/>
    <w:rsid w:val="0063161D"/>
    <w:rsid w:val="00632979"/>
    <w:rsid w:val="00633BB4"/>
    <w:rsid w:val="00634E33"/>
    <w:rsid w:val="00637E98"/>
    <w:rsid w:val="00641123"/>
    <w:rsid w:val="00645669"/>
    <w:rsid w:val="00646A2F"/>
    <w:rsid w:val="00646BC4"/>
    <w:rsid w:val="00647D7D"/>
    <w:rsid w:val="00661E0A"/>
    <w:rsid w:val="00673ADE"/>
    <w:rsid w:val="00684B3B"/>
    <w:rsid w:val="006874A4"/>
    <w:rsid w:val="0068754E"/>
    <w:rsid w:val="006908F4"/>
    <w:rsid w:val="006941E3"/>
    <w:rsid w:val="006976EC"/>
    <w:rsid w:val="006A08E2"/>
    <w:rsid w:val="006A29F0"/>
    <w:rsid w:val="006A4B31"/>
    <w:rsid w:val="006A67BA"/>
    <w:rsid w:val="006B46EE"/>
    <w:rsid w:val="006B7621"/>
    <w:rsid w:val="006B78E4"/>
    <w:rsid w:val="006D14D3"/>
    <w:rsid w:val="006D3824"/>
    <w:rsid w:val="006E1B99"/>
    <w:rsid w:val="006E232B"/>
    <w:rsid w:val="006E24B3"/>
    <w:rsid w:val="006E46EB"/>
    <w:rsid w:val="006E7D8D"/>
    <w:rsid w:val="006F1994"/>
    <w:rsid w:val="006F2E59"/>
    <w:rsid w:val="006F3E2E"/>
    <w:rsid w:val="006F53B9"/>
    <w:rsid w:val="007024E6"/>
    <w:rsid w:val="007044AB"/>
    <w:rsid w:val="00714DBE"/>
    <w:rsid w:val="00714E4B"/>
    <w:rsid w:val="007162EA"/>
    <w:rsid w:val="00716AC4"/>
    <w:rsid w:val="0073688F"/>
    <w:rsid w:val="007414C0"/>
    <w:rsid w:val="007435B4"/>
    <w:rsid w:val="00743D40"/>
    <w:rsid w:val="007456F7"/>
    <w:rsid w:val="00745FAD"/>
    <w:rsid w:val="00747756"/>
    <w:rsid w:val="0075125F"/>
    <w:rsid w:val="007517B3"/>
    <w:rsid w:val="007521C3"/>
    <w:rsid w:val="00752B9D"/>
    <w:rsid w:val="00754060"/>
    <w:rsid w:val="00755465"/>
    <w:rsid w:val="0076244F"/>
    <w:rsid w:val="007627F5"/>
    <w:rsid w:val="00772701"/>
    <w:rsid w:val="00774CB5"/>
    <w:rsid w:val="0078207C"/>
    <w:rsid w:val="007948D4"/>
    <w:rsid w:val="00795A02"/>
    <w:rsid w:val="007B0F30"/>
    <w:rsid w:val="007B5BC7"/>
    <w:rsid w:val="007C7418"/>
    <w:rsid w:val="007D0D17"/>
    <w:rsid w:val="007D4FE9"/>
    <w:rsid w:val="007D5E35"/>
    <w:rsid w:val="007D6292"/>
    <w:rsid w:val="007E017B"/>
    <w:rsid w:val="007E24B3"/>
    <w:rsid w:val="007F4552"/>
    <w:rsid w:val="00800FEF"/>
    <w:rsid w:val="0080199A"/>
    <w:rsid w:val="008037DE"/>
    <w:rsid w:val="008053CB"/>
    <w:rsid w:val="00806A53"/>
    <w:rsid w:val="00807CE9"/>
    <w:rsid w:val="00811F22"/>
    <w:rsid w:val="00812EC2"/>
    <w:rsid w:val="00814606"/>
    <w:rsid w:val="00814DFD"/>
    <w:rsid w:val="00820091"/>
    <w:rsid w:val="00820C02"/>
    <w:rsid w:val="008232B7"/>
    <w:rsid w:val="00826F20"/>
    <w:rsid w:val="00832373"/>
    <w:rsid w:val="00832B7D"/>
    <w:rsid w:val="00833D9C"/>
    <w:rsid w:val="00834604"/>
    <w:rsid w:val="00834D31"/>
    <w:rsid w:val="00834DF7"/>
    <w:rsid w:val="00841354"/>
    <w:rsid w:val="00841ADE"/>
    <w:rsid w:val="00844B51"/>
    <w:rsid w:val="008506B4"/>
    <w:rsid w:val="00853914"/>
    <w:rsid w:val="008618C5"/>
    <w:rsid w:val="00861C72"/>
    <w:rsid w:val="00862AA9"/>
    <w:rsid w:val="00863A5C"/>
    <w:rsid w:val="00865654"/>
    <w:rsid w:val="00866B7A"/>
    <w:rsid w:val="0087383E"/>
    <w:rsid w:val="00877858"/>
    <w:rsid w:val="00881798"/>
    <w:rsid w:val="00881A60"/>
    <w:rsid w:val="00882591"/>
    <w:rsid w:val="00885376"/>
    <w:rsid w:val="0088643D"/>
    <w:rsid w:val="0088730C"/>
    <w:rsid w:val="008876BF"/>
    <w:rsid w:val="00890D27"/>
    <w:rsid w:val="0089642A"/>
    <w:rsid w:val="008A0B50"/>
    <w:rsid w:val="008A2D27"/>
    <w:rsid w:val="008B70B1"/>
    <w:rsid w:val="008C0981"/>
    <w:rsid w:val="008C1699"/>
    <w:rsid w:val="008C3DB3"/>
    <w:rsid w:val="008C6ADC"/>
    <w:rsid w:val="008D1704"/>
    <w:rsid w:val="008D435D"/>
    <w:rsid w:val="008D5822"/>
    <w:rsid w:val="008E4FF4"/>
    <w:rsid w:val="008E7A72"/>
    <w:rsid w:val="008F0929"/>
    <w:rsid w:val="008F1582"/>
    <w:rsid w:val="008F7981"/>
    <w:rsid w:val="00907BC3"/>
    <w:rsid w:val="00910362"/>
    <w:rsid w:val="0091291C"/>
    <w:rsid w:val="00930CA5"/>
    <w:rsid w:val="009312AC"/>
    <w:rsid w:val="00931495"/>
    <w:rsid w:val="00933B61"/>
    <w:rsid w:val="00941B5E"/>
    <w:rsid w:val="00941C34"/>
    <w:rsid w:val="009440A7"/>
    <w:rsid w:val="00954A12"/>
    <w:rsid w:val="0095535D"/>
    <w:rsid w:val="00960E89"/>
    <w:rsid w:val="0097609F"/>
    <w:rsid w:val="009804CC"/>
    <w:rsid w:val="00986583"/>
    <w:rsid w:val="00994215"/>
    <w:rsid w:val="009972EE"/>
    <w:rsid w:val="009A430F"/>
    <w:rsid w:val="009A5789"/>
    <w:rsid w:val="009A6EA9"/>
    <w:rsid w:val="009B0129"/>
    <w:rsid w:val="009B097E"/>
    <w:rsid w:val="009C23E7"/>
    <w:rsid w:val="009C594C"/>
    <w:rsid w:val="009C6E35"/>
    <w:rsid w:val="009C71BF"/>
    <w:rsid w:val="009D2B26"/>
    <w:rsid w:val="009D452E"/>
    <w:rsid w:val="009D60C8"/>
    <w:rsid w:val="009E0E2F"/>
    <w:rsid w:val="009E14D7"/>
    <w:rsid w:val="009E247C"/>
    <w:rsid w:val="009E2B50"/>
    <w:rsid w:val="009E2CCC"/>
    <w:rsid w:val="009E6647"/>
    <w:rsid w:val="009F0FA3"/>
    <w:rsid w:val="009F5BD4"/>
    <w:rsid w:val="00A0085E"/>
    <w:rsid w:val="00A0358D"/>
    <w:rsid w:val="00A04F32"/>
    <w:rsid w:val="00A05E1F"/>
    <w:rsid w:val="00A1300C"/>
    <w:rsid w:val="00A14A2E"/>
    <w:rsid w:val="00A17BBC"/>
    <w:rsid w:val="00A21BF0"/>
    <w:rsid w:val="00A22A03"/>
    <w:rsid w:val="00A30B13"/>
    <w:rsid w:val="00A344D9"/>
    <w:rsid w:val="00A422D8"/>
    <w:rsid w:val="00A51C72"/>
    <w:rsid w:val="00A52ADF"/>
    <w:rsid w:val="00A53CE8"/>
    <w:rsid w:val="00A55637"/>
    <w:rsid w:val="00A56AA7"/>
    <w:rsid w:val="00A6685A"/>
    <w:rsid w:val="00A70357"/>
    <w:rsid w:val="00A72531"/>
    <w:rsid w:val="00A74E5F"/>
    <w:rsid w:val="00A778E9"/>
    <w:rsid w:val="00A8262C"/>
    <w:rsid w:val="00A86A0C"/>
    <w:rsid w:val="00A87591"/>
    <w:rsid w:val="00A91714"/>
    <w:rsid w:val="00AA57D2"/>
    <w:rsid w:val="00AA636C"/>
    <w:rsid w:val="00AB5E74"/>
    <w:rsid w:val="00AB76F7"/>
    <w:rsid w:val="00AC163C"/>
    <w:rsid w:val="00AC26DF"/>
    <w:rsid w:val="00AC4D15"/>
    <w:rsid w:val="00AD27CB"/>
    <w:rsid w:val="00AD76CF"/>
    <w:rsid w:val="00AE0798"/>
    <w:rsid w:val="00AE471C"/>
    <w:rsid w:val="00AE63A6"/>
    <w:rsid w:val="00AE63B8"/>
    <w:rsid w:val="00AE78EA"/>
    <w:rsid w:val="00AF0158"/>
    <w:rsid w:val="00AF2EE1"/>
    <w:rsid w:val="00AF37DF"/>
    <w:rsid w:val="00B01A5D"/>
    <w:rsid w:val="00B01D16"/>
    <w:rsid w:val="00B01FC4"/>
    <w:rsid w:val="00B0474A"/>
    <w:rsid w:val="00B06515"/>
    <w:rsid w:val="00B076D7"/>
    <w:rsid w:val="00B07E4C"/>
    <w:rsid w:val="00B11638"/>
    <w:rsid w:val="00B17169"/>
    <w:rsid w:val="00B2011F"/>
    <w:rsid w:val="00B21BB6"/>
    <w:rsid w:val="00B27B15"/>
    <w:rsid w:val="00B27E7E"/>
    <w:rsid w:val="00B3402D"/>
    <w:rsid w:val="00B40EA9"/>
    <w:rsid w:val="00B41C51"/>
    <w:rsid w:val="00B430A1"/>
    <w:rsid w:val="00B43880"/>
    <w:rsid w:val="00B4473B"/>
    <w:rsid w:val="00B465A2"/>
    <w:rsid w:val="00B5340D"/>
    <w:rsid w:val="00B5494A"/>
    <w:rsid w:val="00B55417"/>
    <w:rsid w:val="00B5745C"/>
    <w:rsid w:val="00B65461"/>
    <w:rsid w:val="00B654E3"/>
    <w:rsid w:val="00B7000D"/>
    <w:rsid w:val="00B73336"/>
    <w:rsid w:val="00B74A9E"/>
    <w:rsid w:val="00B75EB4"/>
    <w:rsid w:val="00B803BF"/>
    <w:rsid w:val="00B80F37"/>
    <w:rsid w:val="00B82697"/>
    <w:rsid w:val="00B8345D"/>
    <w:rsid w:val="00B85394"/>
    <w:rsid w:val="00B91545"/>
    <w:rsid w:val="00B93553"/>
    <w:rsid w:val="00B9445F"/>
    <w:rsid w:val="00BA4988"/>
    <w:rsid w:val="00BA60A6"/>
    <w:rsid w:val="00BA72BF"/>
    <w:rsid w:val="00BB25EF"/>
    <w:rsid w:val="00BB55C4"/>
    <w:rsid w:val="00BC027A"/>
    <w:rsid w:val="00BC4BDF"/>
    <w:rsid w:val="00BC5B1C"/>
    <w:rsid w:val="00BC78AB"/>
    <w:rsid w:val="00BD2C95"/>
    <w:rsid w:val="00BD54BB"/>
    <w:rsid w:val="00BD6E9A"/>
    <w:rsid w:val="00BD7646"/>
    <w:rsid w:val="00BE0E5C"/>
    <w:rsid w:val="00BF0ED2"/>
    <w:rsid w:val="00BF2643"/>
    <w:rsid w:val="00C003A9"/>
    <w:rsid w:val="00C06E7F"/>
    <w:rsid w:val="00C1071F"/>
    <w:rsid w:val="00C11CD4"/>
    <w:rsid w:val="00C20315"/>
    <w:rsid w:val="00C2170D"/>
    <w:rsid w:val="00C247A6"/>
    <w:rsid w:val="00C25B34"/>
    <w:rsid w:val="00C25D57"/>
    <w:rsid w:val="00C27943"/>
    <w:rsid w:val="00C31944"/>
    <w:rsid w:val="00C409A5"/>
    <w:rsid w:val="00C40EA7"/>
    <w:rsid w:val="00C40FC4"/>
    <w:rsid w:val="00C42136"/>
    <w:rsid w:val="00C45ED2"/>
    <w:rsid w:val="00C4745A"/>
    <w:rsid w:val="00C4787B"/>
    <w:rsid w:val="00C52506"/>
    <w:rsid w:val="00C550A2"/>
    <w:rsid w:val="00C60C6D"/>
    <w:rsid w:val="00C649DD"/>
    <w:rsid w:val="00C64C09"/>
    <w:rsid w:val="00C75C3C"/>
    <w:rsid w:val="00C76FF6"/>
    <w:rsid w:val="00C8038E"/>
    <w:rsid w:val="00C9206F"/>
    <w:rsid w:val="00C92F82"/>
    <w:rsid w:val="00C931C3"/>
    <w:rsid w:val="00CA50D9"/>
    <w:rsid w:val="00CA57A5"/>
    <w:rsid w:val="00CA686D"/>
    <w:rsid w:val="00CB024E"/>
    <w:rsid w:val="00CB16E6"/>
    <w:rsid w:val="00CB3CF6"/>
    <w:rsid w:val="00CB3D94"/>
    <w:rsid w:val="00CB49D6"/>
    <w:rsid w:val="00CB5436"/>
    <w:rsid w:val="00CC0121"/>
    <w:rsid w:val="00CC757F"/>
    <w:rsid w:val="00CD6AB7"/>
    <w:rsid w:val="00CE1147"/>
    <w:rsid w:val="00CE2BA7"/>
    <w:rsid w:val="00CE3A4A"/>
    <w:rsid w:val="00CE4D6A"/>
    <w:rsid w:val="00CF2087"/>
    <w:rsid w:val="00D0058C"/>
    <w:rsid w:val="00D070F4"/>
    <w:rsid w:val="00D1033E"/>
    <w:rsid w:val="00D1288F"/>
    <w:rsid w:val="00D15B88"/>
    <w:rsid w:val="00D2020A"/>
    <w:rsid w:val="00D224B0"/>
    <w:rsid w:val="00D33070"/>
    <w:rsid w:val="00D33CFD"/>
    <w:rsid w:val="00D363C2"/>
    <w:rsid w:val="00D37753"/>
    <w:rsid w:val="00D4764A"/>
    <w:rsid w:val="00D50BFA"/>
    <w:rsid w:val="00D552C4"/>
    <w:rsid w:val="00D55E1F"/>
    <w:rsid w:val="00D57029"/>
    <w:rsid w:val="00D6518F"/>
    <w:rsid w:val="00D65E0A"/>
    <w:rsid w:val="00D66419"/>
    <w:rsid w:val="00D81504"/>
    <w:rsid w:val="00D831E5"/>
    <w:rsid w:val="00D837D9"/>
    <w:rsid w:val="00D87321"/>
    <w:rsid w:val="00D925D5"/>
    <w:rsid w:val="00D95040"/>
    <w:rsid w:val="00D954B1"/>
    <w:rsid w:val="00D9761D"/>
    <w:rsid w:val="00DA7186"/>
    <w:rsid w:val="00DA7558"/>
    <w:rsid w:val="00DA758A"/>
    <w:rsid w:val="00DB1FC5"/>
    <w:rsid w:val="00DB3CAC"/>
    <w:rsid w:val="00DB4864"/>
    <w:rsid w:val="00DC397D"/>
    <w:rsid w:val="00DC4E09"/>
    <w:rsid w:val="00DC573E"/>
    <w:rsid w:val="00DD302A"/>
    <w:rsid w:val="00DD4CAC"/>
    <w:rsid w:val="00DD64AD"/>
    <w:rsid w:val="00DD6897"/>
    <w:rsid w:val="00DE33D0"/>
    <w:rsid w:val="00DE38D6"/>
    <w:rsid w:val="00DE3B1C"/>
    <w:rsid w:val="00DE6AB0"/>
    <w:rsid w:val="00DE71FC"/>
    <w:rsid w:val="00DF1AD3"/>
    <w:rsid w:val="00DF3EE3"/>
    <w:rsid w:val="00E011DA"/>
    <w:rsid w:val="00E02E6F"/>
    <w:rsid w:val="00E05E15"/>
    <w:rsid w:val="00E106C1"/>
    <w:rsid w:val="00E1349C"/>
    <w:rsid w:val="00E13E6E"/>
    <w:rsid w:val="00E21205"/>
    <w:rsid w:val="00E2464D"/>
    <w:rsid w:val="00E31839"/>
    <w:rsid w:val="00E31CA4"/>
    <w:rsid w:val="00E34821"/>
    <w:rsid w:val="00E4531A"/>
    <w:rsid w:val="00E475D3"/>
    <w:rsid w:val="00E50A0E"/>
    <w:rsid w:val="00E50E55"/>
    <w:rsid w:val="00E5355C"/>
    <w:rsid w:val="00E53B49"/>
    <w:rsid w:val="00E601B0"/>
    <w:rsid w:val="00E628C5"/>
    <w:rsid w:val="00E63F79"/>
    <w:rsid w:val="00E6420E"/>
    <w:rsid w:val="00E82962"/>
    <w:rsid w:val="00E82F54"/>
    <w:rsid w:val="00EA10AB"/>
    <w:rsid w:val="00EA77E1"/>
    <w:rsid w:val="00EB148B"/>
    <w:rsid w:val="00EB3C17"/>
    <w:rsid w:val="00EC0486"/>
    <w:rsid w:val="00EC157E"/>
    <w:rsid w:val="00EC64D7"/>
    <w:rsid w:val="00ED1516"/>
    <w:rsid w:val="00ED1A56"/>
    <w:rsid w:val="00ED7806"/>
    <w:rsid w:val="00EE6EE0"/>
    <w:rsid w:val="00EE76E6"/>
    <w:rsid w:val="00EF081D"/>
    <w:rsid w:val="00EF2180"/>
    <w:rsid w:val="00EF4A75"/>
    <w:rsid w:val="00EF6841"/>
    <w:rsid w:val="00F004E6"/>
    <w:rsid w:val="00F02709"/>
    <w:rsid w:val="00F03BF0"/>
    <w:rsid w:val="00F0408B"/>
    <w:rsid w:val="00F06479"/>
    <w:rsid w:val="00F1414F"/>
    <w:rsid w:val="00F15412"/>
    <w:rsid w:val="00F16278"/>
    <w:rsid w:val="00F17BDD"/>
    <w:rsid w:val="00F23CD5"/>
    <w:rsid w:val="00F273CB"/>
    <w:rsid w:val="00F37988"/>
    <w:rsid w:val="00F44579"/>
    <w:rsid w:val="00F5045F"/>
    <w:rsid w:val="00F508EC"/>
    <w:rsid w:val="00F56A77"/>
    <w:rsid w:val="00F5706D"/>
    <w:rsid w:val="00F576C4"/>
    <w:rsid w:val="00F62B36"/>
    <w:rsid w:val="00F63339"/>
    <w:rsid w:val="00F64C33"/>
    <w:rsid w:val="00F70CFF"/>
    <w:rsid w:val="00F732A2"/>
    <w:rsid w:val="00F8062D"/>
    <w:rsid w:val="00F8505C"/>
    <w:rsid w:val="00F85838"/>
    <w:rsid w:val="00F90C53"/>
    <w:rsid w:val="00FB56CC"/>
    <w:rsid w:val="00FC6EBF"/>
    <w:rsid w:val="00FD22AD"/>
    <w:rsid w:val="00FD451A"/>
    <w:rsid w:val="00FD47B4"/>
    <w:rsid w:val="00FD63FF"/>
    <w:rsid w:val="00FF0EB3"/>
    <w:rsid w:val="00FF25A5"/>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customStyle="1" w:styleId="Default">
    <w:name w:val="Default"/>
    <w:rsid w:val="001673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508E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 w:type="paragraph" w:customStyle="1" w:styleId="Default">
    <w:name w:val="Default"/>
    <w:rsid w:val="001673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508E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95450100">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4129724">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801018">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78616737">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0507730">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1969350">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65796651">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3367988">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22291597">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81613275">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2167462">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6966378">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996374977">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7243520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527200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949570">
      <w:bodyDiv w:val="1"/>
      <w:marLeft w:val="0"/>
      <w:marRight w:val="0"/>
      <w:marTop w:val="0"/>
      <w:marBottom w:val="0"/>
      <w:divBdr>
        <w:top w:val="none" w:sz="0" w:space="0" w:color="auto"/>
        <w:left w:val="none" w:sz="0" w:space="0" w:color="auto"/>
        <w:bottom w:val="none" w:sz="0" w:space="0" w:color="auto"/>
        <w:right w:val="none" w:sz="0" w:space="0" w:color="auto"/>
      </w:divBdr>
    </w:div>
    <w:div w:id="1301570153">
      <w:bodyDiv w:val="1"/>
      <w:marLeft w:val="0"/>
      <w:marRight w:val="0"/>
      <w:marTop w:val="0"/>
      <w:marBottom w:val="0"/>
      <w:divBdr>
        <w:top w:val="none" w:sz="0" w:space="0" w:color="auto"/>
        <w:left w:val="none" w:sz="0" w:space="0" w:color="auto"/>
        <w:bottom w:val="none" w:sz="0" w:space="0" w:color="auto"/>
        <w:right w:val="none" w:sz="0" w:space="0" w:color="auto"/>
      </w:divBdr>
    </w:div>
    <w:div w:id="1323773259">
      <w:bodyDiv w:val="1"/>
      <w:marLeft w:val="0"/>
      <w:marRight w:val="0"/>
      <w:marTop w:val="0"/>
      <w:marBottom w:val="0"/>
      <w:divBdr>
        <w:top w:val="none" w:sz="0" w:space="0" w:color="auto"/>
        <w:left w:val="none" w:sz="0" w:space="0" w:color="auto"/>
        <w:bottom w:val="none" w:sz="0" w:space="0" w:color="auto"/>
        <w:right w:val="none" w:sz="0" w:space="0" w:color="auto"/>
      </w:divBdr>
    </w:div>
    <w:div w:id="1325470663">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5303763">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05058158">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3439536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2215404">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8225-D03A-4CC9-8414-C6781096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Debbie Corrigan</cp:lastModifiedBy>
  <cp:revision>2</cp:revision>
  <cp:lastPrinted>2015-03-16T12:50:00Z</cp:lastPrinted>
  <dcterms:created xsi:type="dcterms:W3CDTF">2016-04-06T09:39:00Z</dcterms:created>
  <dcterms:modified xsi:type="dcterms:W3CDTF">2016-04-06T09:39:00Z</dcterms:modified>
</cp:coreProperties>
</file>