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bookmarkStart w:id="0" w:name="_GoBack"/>
      <w:bookmarkEnd w:id="0"/>
      <w:r>
        <w:rPr>
          <w:rFonts w:ascii="Arial" w:hAnsi="Arial" w:cs="Arial"/>
          <w:b/>
          <w:lang w:val="en-GB"/>
        </w:rPr>
        <w:tab/>
      </w:r>
      <w:r w:rsidR="00E34821">
        <w:rPr>
          <w:rFonts w:ascii="Arial" w:hAnsi="Arial" w:cs="Arial"/>
          <w:b/>
          <w:noProof/>
          <w:lang w:val="en-GB" w:eastAsia="en-GB"/>
        </w:rPr>
        <w:drawing>
          <wp:inline distT="0" distB="0" distL="0" distR="0" wp14:anchorId="47EA4DD9" wp14:editId="02B9653D">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DF3EE3" w:rsidP="00DF3EE3">
            <w:pPr>
              <w:jc w:val="center"/>
              <w:rPr>
                <w:rFonts w:asciiTheme="minorHAnsi" w:hAnsiTheme="minorHAnsi" w:cstheme="minorHAnsi"/>
                <w:b/>
                <w:sz w:val="44"/>
                <w:szCs w:val="44"/>
                <w:lang w:eastAsia="en-US"/>
              </w:rPr>
            </w:pP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DF3EE3" w:rsidP="00DF3EE3">
            <w:pPr>
              <w:jc w:val="center"/>
              <w:rPr>
                <w:rFonts w:asciiTheme="minorHAnsi" w:hAnsiTheme="minorHAnsi" w:cstheme="minorHAnsi"/>
                <w:b/>
                <w:sz w:val="44"/>
                <w:szCs w:val="44"/>
                <w:lang w:eastAsia="en-US"/>
              </w:rPr>
            </w:pP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AD4685">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6C6D07" w:rsidRPr="00A5757C" w:rsidRDefault="00AD4685" w:rsidP="00006BA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17</w:t>
            </w:r>
            <w:r w:rsidRPr="00AD4685">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May 2017</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A76C3F">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8D3436">
              <w:rPr>
                <w:rFonts w:asciiTheme="minorHAnsi" w:hAnsiTheme="minorHAnsi" w:cstheme="minorHAnsi"/>
              </w:rPr>
              <w:t xml:space="preserve"> - </w:t>
            </w:r>
            <w:r w:rsidR="00A76C3F">
              <w:rPr>
                <w:rFonts w:asciiTheme="minorHAnsi" w:hAnsiTheme="minorHAnsi" w:cstheme="minorHAnsi"/>
              </w:rPr>
              <w:t>for the year ended 31 March</w:t>
            </w:r>
            <w:r w:rsidR="00FA0CFC">
              <w:rPr>
                <w:rFonts w:asciiTheme="minorHAnsi" w:hAnsiTheme="minorHAnsi" w:cstheme="minorHAnsi"/>
              </w:rPr>
              <w:t xml:space="preserve"> 2017</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5F1D45" w:rsidRDefault="009F5C1B"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5F1D45">
              <w:rPr>
                <w:rFonts w:asciiTheme="minorHAnsi" w:eastAsiaTheme="minorHAnsi" w:hAnsiTheme="minorHAnsi" w:cstheme="minorHAnsi"/>
                <w:lang w:eastAsia="en-US"/>
              </w:rPr>
              <w:t xml:space="preserve">enable </w:t>
            </w:r>
            <w:r w:rsidR="000F7175">
              <w:rPr>
                <w:rFonts w:asciiTheme="minorHAnsi" w:eastAsiaTheme="minorHAnsi" w:hAnsiTheme="minorHAnsi" w:cstheme="minorHAnsi"/>
                <w:lang w:eastAsia="en-US"/>
              </w:rPr>
              <w:t xml:space="preserve">an </w:t>
            </w:r>
            <w:r w:rsidR="005F1D45" w:rsidRPr="005F1D45">
              <w:rPr>
                <w:rFonts w:asciiTheme="minorHAnsi" w:eastAsiaTheme="minorHAnsi" w:hAnsiTheme="minorHAnsi" w:cstheme="minorHAnsi"/>
                <w:lang w:eastAsia="en-US"/>
              </w:rPr>
              <w:t xml:space="preserve">informed understanding of our financial </w:t>
            </w:r>
            <w:r w:rsidR="00B07207" w:rsidRPr="005F1D45">
              <w:rPr>
                <w:rFonts w:asciiTheme="minorHAnsi" w:eastAsiaTheme="minorHAnsi" w:hAnsiTheme="minorHAnsi" w:cstheme="minorHAnsi"/>
                <w:lang w:eastAsia="en-US"/>
              </w:rPr>
              <w:t>performance</w:t>
            </w:r>
            <w:r w:rsidR="00DF3EE3" w:rsidRPr="005F1D45">
              <w:rPr>
                <w:rFonts w:asciiTheme="minorHAnsi" w:eastAsiaTheme="minorHAnsi" w:hAnsiTheme="minorHAnsi" w:cstheme="minorHAnsi"/>
                <w:lang w:eastAsia="en-US"/>
              </w:rPr>
              <w:t xml:space="preserve"> </w:t>
            </w:r>
            <w:r w:rsidR="00A76C3F" w:rsidRPr="005F1D45">
              <w:rPr>
                <w:rFonts w:asciiTheme="minorHAnsi" w:eastAsiaTheme="minorHAnsi" w:hAnsiTheme="minorHAnsi" w:cstheme="minorHAnsi"/>
                <w:lang w:eastAsia="en-US"/>
              </w:rPr>
              <w:t xml:space="preserve">for the year-ended </w:t>
            </w:r>
            <w:r w:rsidR="005F1D45" w:rsidRPr="005F1D45">
              <w:rPr>
                <w:rFonts w:asciiTheme="minorHAnsi" w:eastAsiaTheme="minorHAnsi" w:hAnsiTheme="minorHAnsi" w:cstheme="minorHAnsi"/>
                <w:lang w:eastAsia="en-US"/>
              </w:rPr>
              <w:t>31 March 2017</w:t>
            </w:r>
          </w:p>
          <w:p w:rsidR="0025092F" w:rsidRPr="005F1D45" w:rsidRDefault="005F1D45"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improve decision making by increasing financial literacy particularly in relation to </w:t>
            </w:r>
            <w:r w:rsidRPr="005F1D45">
              <w:rPr>
                <w:rFonts w:asciiTheme="minorHAnsi" w:eastAsiaTheme="minorHAnsi" w:hAnsiTheme="minorHAnsi" w:cstheme="minorHAnsi"/>
                <w:lang w:eastAsia="en-US"/>
              </w:rPr>
              <w:t xml:space="preserve">our 2017/18 financial </w:t>
            </w:r>
            <w:r>
              <w:rPr>
                <w:rFonts w:asciiTheme="minorHAnsi" w:eastAsiaTheme="minorHAnsi" w:hAnsiTheme="minorHAnsi" w:cstheme="minorHAnsi"/>
                <w:lang w:eastAsia="en-US"/>
              </w:rPr>
              <w:t xml:space="preserve">plan </w:t>
            </w:r>
            <w:r w:rsidRPr="005F1D45">
              <w:rPr>
                <w:rFonts w:asciiTheme="minorHAnsi" w:eastAsiaTheme="minorHAnsi" w:hAnsiTheme="minorHAnsi" w:cstheme="minorHAnsi"/>
                <w:lang w:eastAsia="en-US"/>
              </w:rPr>
              <w:t xml:space="preserve">and future financial strategy. </w:t>
            </w:r>
          </w:p>
        </w:tc>
      </w:tr>
      <w:tr w:rsidR="00DF3EE3" w:rsidRPr="00DF3EE3" w:rsidTr="00EA6CFB">
        <w:trPr>
          <w:trHeight w:val="1660"/>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0F7175" w:rsidRDefault="005F1D45"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Board</w:t>
            </w:r>
            <w:r w:rsidR="000F7175">
              <w:rPr>
                <w:rFonts w:asciiTheme="minorHAnsi" w:eastAsiaTheme="minorHAnsi" w:hAnsiTheme="minorHAnsi" w:cstheme="minorHAnsi"/>
                <w:lang w:eastAsia="en-US"/>
              </w:rPr>
              <w:t>, Accounting Officer</w:t>
            </w:r>
            <w:r>
              <w:rPr>
                <w:rFonts w:asciiTheme="minorHAnsi" w:eastAsiaTheme="minorHAnsi" w:hAnsiTheme="minorHAnsi" w:cstheme="minorHAnsi"/>
                <w:lang w:eastAsia="en-US"/>
              </w:rPr>
              <w:t xml:space="preserve"> and </w:t>
            </w:r>
            <w:r w:rsidR="00A76C3F">
              <w:rPr>
                <w:rFonts w:asciiTheme="minorHAnsi" w:eastAsiaTheme="minorHAnsi" w:hAnsiTheme="minorHAnsi" w:cstheme="minorHAnsi"/>
                <w:lang w:eastAsia="en-US"/>
              </w:rPr>
              <w:t xml:space="preserve">Leadership Team </w:t>
            </w:r>
            <w:r>
              <w:rPr>
                <w:rFonts w:asciiTheme="minorHAnsi" w:eastAsiaTheme="minorHAnsi" w:hAnsiTheme="minorHAnsi" w:cstheme="minorHAnsi"/>
                <w:lang w:eastAsia="en-US"/>
              </w:rPr>
              <w:t xml:space="preserve">have a key governance role </w:t>
            </w:r>
            <w:r w:rsidR="000F7175">
              <w:rPr>
                <w:rFonts w:asciiTheme="minorHAnsi" w:eastAsiaTheme="minorHAnsi" w:hAnsiTheme="minorHAnsi" w:cstheme="minorHAnsi"/>
                <w:lang w:eastAsia="en-US"/>
              </w:rPr>
              <w:t>in</w:t>
            </w:r>
            <w:r w:rsidR="00A76C3F">
              <w:rPr>
                <w:rFonts w:asciiTheme="minorHAnsi" w:eastAsiaTheme="minorHAnsi" w:hAnsiTheme="minorHAnsi" w:cstheme="minorHAnsi"/>
                <w:lang w:eastAsia="en-US"/>
              </w:rPr>
              <w:t xml:space="preserve"> the</w:t>
            </w:r>
            <w:r w:rsidR="004A176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financial stewardship of the HRA. </w:t>
            </w:r>
          </w:p>
          <w:p w:rsidR="00FA0CFC" w:rsidRPr="00731002" w:rsidRDefault="005F1D45" w:rsidP="00D07ECB">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w:t>
            </w:r>
            <w:r w:rsidR="000F7175">
              <w:rPr>
                <w:rFonts w:asciiTheme="minorHAnsi" w:eastAsiaTheme="minorHAnsi" w:hAnsiTheme="minorHAnsi" w:cstheme="minorHAnsi"/>
                <w:lang w:eastAsia="en-US"/>
              </w:rPr>
              <w:t>supports this</w:t>
            </w:r>
            <w:r w:rsidR="00731002">
              <w:rPr>
                <w:rFonts w:asciiTheme="minorHAnsi" w:eastAsiaTheme="minorHAnsi" w:hAnsiTheme="minorHAnsi" w:cstheme="minorHAnsi"/>
                <w:lang w:eastAsia="en-US"/>
              </w:rPr>
              <w:t xml:space="preserve"> </w:t>
            </w:r>
            <w:r w:rsidR="000F7175">
              <w:rPr>
                <w:rFonts w:asciiTheme="minorHAnsi" w:eastAsiaTheme="minorHAnsi" w:hAnsiTheme="minorHAnsi" w:cstheme="minorHAnsi"/>
                <w:lang w:eastAsia="en-US"/>
              </w:rPr>
              <w:t>element</w:t>
            </w:r>
            <w:r w:rsidR="00731002">
              <w:rPr>
                <w:rFonts w:asciiTheme="minorHAnsi" w:eastAsiaTheme="minorHAnsi" w:hAnsiTheme="minorHAnsi" w:cstheme="minorHAnsi"/>
                <w:lang w:eastAsia="en-US"/>
              </w:rPr>
              <w:t xml:space="preserve"> </w:t>
            </w:r>
            <w:r w:rsidR="000F7175">
              <w:rPr>
                <w:rFonts w:asciiTheme="minorHAnsi" w:eastAsiaTheme="minorHAnsi" w:hAnsiTheme="minorHAnsi" w:cstheme="minorHAnsi"/>
                <w:lang w:eastAsia="en-US"/>
              </w:rPr>
              <w:t>of the</w:t>
            </w:r>
            <w:r w:rsidR="00731002">
              <w:rPr>
                <w:rFonts w:asciiTheme="minorHAnsi" w:eastAsiaTheme="minorHAnsi" w:hAnsiTheme="minorHAnsi" w:cstheme="minorHAnsi"/>
                <w:lang w:eastAsia="en-US"/>
              </w:rPr>
              <w:t xml:space="preserve"> governance framework, providing the Board</w:t>
            </w:r>
            <w:r w:rsidR="000F7175">
              <w:rPr>
                <w:rFonts w:asciiTheme="minorHAnsi" w:eastAsiaTheme="minorHAnsi" w:hAnsiTheme="minorHAnsi" w:cstheme="minorHAnsi"/>
                <w:lang w:eastAsia="en-US"/>
              </w:rPr>
              <w:t>, Accounting Officer</w:t>
            </w:r>
            <w:r w:rsidR="00731002">
              <w:rPr>
                <w:rFonts w:asciiTheme="minorHAnsi" w:eastAsiaTheme="minorHAnsi" w:hAnsiTheme="minorHAnsi" w:cstheme="minorHAnsi"/>
                <w:lang w:eastAsia="en-US"/>
              </w:rPr>
              <w:t xml:space="preserve"> and senior management with essential financial information to inform strategy</w:t>
            </w:r>
            <w:r w:rsidR="000F7175">
              <w:rPr>
                <w:rFonts w:asciiTheme="minorHAnsi" w:eastAsiaTheme="minorHAnsi" w:hAnsiTheme="minorHAnsi" w:cstheme="minorHAnsi"/>
                <w:lang w:eastAsia="en-US"/>
              </w:rPr>
              <w:t>, inform</w:t>
            </w:r>
            <w:r w:rsidR="00731002">
              <w:rPr>
                <w:rFonts w:asciiTheme="minorHAnsi" w:eastAsiaTheme="minorHAnsi" w:hAnsiTheme="minorHAnsi" w:cstheme="minorHAnsi"/>
                <w:lang w:eastAsia="en-US"/>
              </w:rPr>
              <w:t xml:space="preserve"> decision making</w:t>
            </w:r>
            <w:r w:rsidR="000F7175">
              <w:rPr>
                <w:rFonts w:asciiTheme="minorHAnsi" w:eastAsiaTheme="minorHAnsi" w:hAnsiTheme="minorHAnsi" w:cstheme="minorHAnsi"/>
                <w:lang w:eastAsia="en-US"/>
              </w:rPr>
              <w:t xml:space="preserve"> and ensure </w:t>
            </w:r>
            <w:r w:rsidR="00D07ECB">
              <w:rPr>
                <w:rFonts w:asciiTheme="minorHAnsi" w:eastAsiaTheme="minorHAnsi" w:hAnsiTheme="minorHAnsi" w:cstheme="minorHAnsi"/>
                <w:lang w:eastAsia="en-US"/>
              </w:rPr>
              <w:t>robust financial management</w:t>
            </w:r>
            <w:r w:rsidR="00731002">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774E04" w:rsidP="001677C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Steve Tebbutt</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181165" w:rsidRDefault="00FA0CFC"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Year to date</w:t>
            </w:r>
            <w:r w:rsidR="00181165">
              <w:rPr>
                <w:rFonts w:asciiTheme="minorHAnsi" w:eastAsiaTheme="minorHAnsi" w:hAnsiTheme="minorHAnsi" w:cstheme="minorHAnsi"/>
                <w:lang w:eastAsia="en-US"/>
              </w:rPr>
              <w:t xml:space="preserve"> financial performance </w:t>
            </w:r>
            <w:r w:rsidR="00950174">
              <w:rPr>
                <w:rFonts w:asciiTheme="minorHAnsi" w:eastAsiaTheme="minorHAnsi" w:hAnsiTheme="minorHAnsi" w:cstheme="minorHAnsi"/>
                <w:lang w:eastAsia="en-US"/>
              </w:rPr>
              <w:t>reports a small</w:t>
            </w:r>
            <w:r>
              <w:rPr>
                <w:rFonts w:asciiTheme="minorHAnsi" w:eastAsiaTheme="minorHAnsi" w:hAnsiTheme="minorHAnsi" w:cstheme="minorHAnsi"/>
                <w:lang w:eastAsia="en-US"/>
              </w:rPr>
              <w:t xml:space="preserve">  </w:t>
            </w:r>
            <w:r w:rsidR="001677C5">
              <w:rPr>
                <w:rFonts w:asciiTheme="minorHAnsi" w:eastAsiaTheme="minorHAnsi" w:hAnsiTheme="minorHAnsi" w:cstheme="minorHAnsi"/>
                <w:lang w:eastAsia="en-US"/>
              </w:rPr>
              <w:t>under</w:t>
            </w:r>
            <w:r w:rsidR="00181165">
              <w:rPr>
                <w:rFonts w:asciiTheme="minorHAnsi" w:eastAsiaTheme="minorHAnsi" w:hAnsiTheme="minorHAnsi" w:cstheme="minorHAnsi"/>
                <w:lang w:eastAsia="en-US"/>
              </w:rPr>
              <w:t>spend position</w:t>
            </w:r>
            <w:r>
              <w:rPr>
                <w:rFonts w:asciiTheme="minorHAnsi" w:eastAsiaTheme="minorHAnsi" w:hAnsiTheme="minorHAnsi" w:cstheme="minorHAnsi"/>
                <w:lang w:eastAsia="en-US"/>
              </w:rPr>
              <w:t xml:space="preserve"> of </w:t>
            </w:r>
            <w:r w:rsidR="00181165">
              <w:rPr>
                <w:rFonts w:asciiTheme="minorHAnsi" w:eastAsiaTheme="minorHAnsi" w:hAnsiTheme="minorHAnsi" w:cstheme="minorHAnsi"/>
                <w:lang w:eastAsia="en-US"/>
              </w:rPr>
              <w:t>£</w:t>
            </w:r>
            <w:r w:rsidR="00316468">
              <w:rPr>
                <w:rFonts w:asciiTheme="minorHAnsi" w:eastAsiaTheme="minorHAnsi" w:hAnsiTheme="minorHAnsi" w:cstheme="minorHAnsi"/>
                <w:lang w:eastAsia="en-US"/>
              </w:rPr>
              <w:t>323</w:t>
            </w:r>
            <w:r w:rsidR="00181165">
              <w:rPr>
                <w:rFonts w:asciiTheme="minorHAnsi" w:eastAsiaTheme="minorHAnsi" w:hAnsiTheme="minorHAnsi" w:cstheme="minorHAnsi"/>
                <w:lang w:eastAsia="en-US"/>
              </w:rPr>
              <w:t>k (</w:t>
            </w:r>
            <w:r w:rsidR="00316468">
              <w:rPr>
                <w:rFonts w:asciiTheme="minorHAnsi" w:eastAsiaTheme="minorHAnsi" w:hAnsiTheme="minorHAnsi" w:cstheme="minorHAnsi"/>
                <w:lang w:eastAsia="en-US"/>
              </w:rPr>
              <w:t>2.4</w:t>
            </w:r>
            <w:r w:rsidR="00181165">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on re</w:t>
            </w:r>
            <w:r w:rsidR="00181165">
              <w:rPr>
                <w:rFonts w:asciiTheme="minorHAnsi" w:eastAsiaTheme="minorHAnsi" w:hAnsiTheme="minorHAnsi" w:cstheme="minorHAnsi"/>
                <w:lang w:eastAsia="en-US"/>
              </w:rPr>
              <w:t xml:space="preserve">venue expenditure </w:t>
            </w:r>
            <w:r>
              <w:rPr>
                <w:rFonts w:asciiTheme="minorHAnsi" w:eastAsiaTheme="minorHAnsi" w:hAnsiTheme="minorHAnsi" w:cstheme="minorHAnsi"/>
                <w:lang w:eastAsia="en-US"/>
              </w:rPr>
              <w:t>a</w:t>
            </w:r>
            <w:r w:rsidR="00181165">
              <w:rPr>
                <w:rFonts w:asciiTheme="minorHAnsi" w:eastAsiaTheme="minorHAnsi" w:hAnsiTheme="minorHAnsi" w:cstheme="minorHAnsi"/>
                <w:lang w:eastAsia="en-US"/>
              </w:rPr>
              <w:t>nd £</w:t>
            </w:r>
            <w:r w:rsidR="00316468">
              <w:rPr>
                <w:rFonts w:asciiTheme="minorHAnsi" w:eastAsiaTheme="minorHAnsi" w:hAnsiTheme="minorHAnsi" w:cstheme="minorHAnsi"/>
                <w:lang w:eastAsia="en-US"/>
              </w:rPr>
              <w:t>140</w:t>
            </w:r>
            <w:r w:rsidR="00181165">
              <w:rPr>
                <w:rFonts w:asciiTheme="minorHAnsi" w:eastAsiaTheme="minorHAnsi" w:hAnsiTheme="minorHAnsi" w:cstheme="minorHAnsi"/>
                <w:lang w:eastAsia="en-US"/>
              </w:rPr>
              <w:t>k (</w:t>
            </w:r>
            <w:r w:rsidR="00316468">
              <w:rPr>
                <w:rFonts w:asciiTheme="minorHAnsi" w:eastAsiaTheme="minorHAnsi" w:hAnsiTheme="minorHAnsi" w:cstheme="minorHAnsi"/>
                <w:lang w:eastAsia="en-US"/>
              </w:rPr>
              <w:t>15.4</w:t>
            </w:r>
            <w:r w:rsidR="00181165">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 xml:space="preserve">underspend </w:t>
            </w:r>
            <w:r>
              <w:rPr>
                <w:rFonts w:asciiTheme="minorHAnsi" w:eastAsiaTheme="minorHAnsi" w:hAnsiTheme="minorHAnsi" w:cstheme="minorHAnsi"/>
                <w:lang w:eastAsia="en-US"/>
              </w:rPr>
              <w:t>o</w:t>
            </w:r>
            <w:r w:rsidR="00181165">
              <w:rPr>
                <w:rFonts w:asciiTheme="minorHAnsi" w:eastAsiaTheme="minorHAnsi" w:hAnsiTheme="minorHAnsi" w:cstheme="minorHAnsi"/>
                <w:lang w:eastAsia="en-US"/>
              </w:rPr>
              <w:t xml:space="preserve">n capital expenditure </w:t>
            </w:r>
          </w:p>
          <w:p w:rsidR="005C163A" w:rsidRDefault="00950174"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A</w:t>
            </w:r>
            <w:r w:rsidR="00731002">
              <w:rPr>
                <w:rFonts w:asciiTheme="minorHAnsi" w:eastAsiaTheme="minorHAnsi" w:hAnsiTheme="minorHAnsi" w:cstheme="minorHAnsi"/>
                <w:lang w:eastAsia="en-US"/>
              </w:rPr>
              <w:t xml:space="preserve"> good performance, within our </w:t>
            </w:r>
            <w:r w:rsidR="005C163A">
              <w:rPr>
                <w:rFonts w:asciiTheme="minorHAnsi" w:eastAsiaTheme="minorHAnsi" w:hAnsiTheme="minorHAnsi" w:cstheme="minorHAnsi"/>
                <w:lang w:eastAsia="en-US"/>
              </w:rPr>
              <w:t xml:space="preserve">allocated </w:t>
            </w:r>
            <w:r>
              <w:rPr>
                <w:rFonts w:asciiTheme="minorHAnsi" w:eastAsiaTheme="minorHAnsi" w:hAnsiTheme="minorHAnsi" w:cstheme="minorHAnsi"/>
                <w:lang w:eastAsia="en-US"/>
              </w:rPr>
              <w:t xml:space="preserve">resource </w:t>
            </w:r>
            <w:r w:rsidR="00731002">
              <w:rPr>
                <w:rFonts w:asciiTheme="minorHAnsi" w:eastAsiaTheme="minorHAnsi" w:hAnsiTheme="minorHAnsi" w:cstheme="minorHAnsi"/>
                <w:lang w:eastAsia="en-US"/>
              </w:rPr>
              <w:t>and capital limits</w:t>
            </w:r>
            <w:r>
              <w:rPr>
                <w:rFonts w:asciiTheme="minorHAnsi" w:eastAsiaTheme="minorHAnsi" w:hAnsiTheme="minorHAnsi" w:cstheme="minorHAnsi"/>
                <w:lang w:eastAsia="en-US"/>
              </w:rPr>
              <w:t xml:space="preserve">, </w:t>
            </w:r>
            <w:r w:rsidR="00D07ECB">
              <w:rPr>
                <w:rFonts w:asciiTheme="minorHAnsi" w:eastAsiaTheme="minorHAnsi" w:hAnsiTheme="minorHAnsi" w:cstheme="minorHAnsi"/>
                <w:lang w:eastAsia="en-US"/>
              </w:rPr>
              <w:t>significant</w:t>
            </w:r>
            <w:r>
              <w:rPr>
                <w:rFonts w:asciiTheme="minorHAnsi" w:eastAsiaTheme="minorHAnsi" w:hAnsiTheme="minorHAnsi" w:cstheme="minorHAnsi"/>
                <w:lang w:eastAsia="en-US"/>
              </w:rPr>
              <w:t>ly</w:t>
            </w:r>
            <w:r w:rsidR="00D07ECB">
              <w:rPr>
                <w:rFonts w:asciiTheme="minorHAnsi" w:eastAsiaTheme="minorHAnsi" w:hAnsiTheme="minorHAnsi" w:cstheme="minorHAnsi"/>
                <w:lang w:eastAsia="en-US"/>
              </w:rPr>
              <w:t xml:space="preserve"> improv</w:t>
            </w:r>
            <w:r>
              <w:rPr>
                <w:rFonts w:asciiTheme="minorHAnsi" w:eastAsiaTheme="minorHAnsi" w:hAnsiTheme="minorHAnsi" w:cstheme="minorHAnsi"/>
                <w:lang w:eastAsia="en-US"/>
              </w:rPr>
              <w:t>ing</w:t>
            </w:r>
            <w:r w:rsidR="00D07ECB">
              <w:rPr>
                <w:rFonts w:asciiTheme="minorHAnsi" w:eastAsiaTheme="minorHAnsi" w:hAnsiTheme="minorHAnsi" w:cstheme="minorHAnsi"/>
                <w:lang w:eastAsia="en-US"/>
              </w:rPr>
              <w:t xml:space="preserve"> on 2015/16</w:t>
            </w:r>
            <w:r>
              <w:rPr>
                <w:rFonts w:asciiTheme="minorHAnsi" w:eastAsiaTheme="minorHAnsi" w:hAnsiTheme="minorHAnsi" w:cstheme="minorHAnsi"/>
                <w:lang w:eastAsia="en-US"/>
              </w:rPr>
              <w:t xml:space="preserve"> underspend</w:t>
            </w:r>
            <w:r w:rsidR="00731002">
              <w:rPr>
                <w:rFonts w:asciiTheme="minorHAnsi" w:eastAsiaTheme="minorHAnsi" w:hAnsiTheme="minorHAnsi" w:cstheme="minorHAnsi"/>
                <w:lang w:eastAsia="en-US"/>
              </w:rPr>
              <w:t xml:space="preserve">. </w:t>
            </w:r>
          </w:p>
          <w:p w:rsidR="004C1D2E" w:rsidRDefault="00367080"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Performance</w:t>
            </w:r>
            <w:r w:rsidR="00731002" w:rsidRPr="00D07ECB">
              <w:rPr>
                <w:rFonts w:asciiTheme="minorHAnsi" w:eastAsiaTheme="minorHAnsi" w:hAnsiTheme="minorHAnsi" w:cstheme="minorHAnsi"/>
                <w:lang w:eastAsia="en-US"/>
              </w:rPr>
              <w:t xml:space="preserve"> reflects targeted improvements in </w:t>
            </w:r>
            <w:r w:rsidR="00316468">
              <w:rPr>
                <w:rFonts w:asciiTheme="minorHAnsi" w:eastAsiaTheme="minorHAnsi" w:hAnsiTheme="minorHAnsi" w:cstheme="minorHAnsi"/>
                <w:lang w:eastAsia="en-US"/>
              </w:rPr>
              <w:t>financial management implemented in year</w:t>
            </w:r>
          </w:p>
          <w:p w:rsidR="00774E04" w:rsidRDefault="00774E04"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Pressure on strategic funds will intensify due to tightening fiscal environment and expanded </w:t>
            </w:r>
            <w:r>
              <w:rPr>
                <w:rFonts w:asciiTheme="minorHAnsi" w:eastAsiaTheme="minorHAnsi" w:hAnsiTheme="minorHAnsi" w:cstheme="minorHAnsi"/>
                <w:lang w:eastAsia="en-US"/>
              </w:rPr>
              <w:lastRenderedPageBreak/>
              <w:t>operational remit</w:t>
            </w:r>
          </w:p>
          <w:p w:rsidR="002C0638" w:rsidRPr="000B483A" w:rsidRDefault="00181165" w:rsidP="00950174">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HRA continue</w:t>
            </w:r>
            <w:r w:rsidR="00950174">
              <w:rPr>
                <w:rFonts w:asciiTheme="minorHAnsi" w:eastAsiaTheme="minorHAnsi" w:hAnsiTheme="minorHAnsi" w:cstheme="minorHAnsi"/>
                <w:lang w:eastAsia="en-US"/>
              </w:rPr>
              <w:t>s</w:t>
            </w:r>
            <w:r>
              <w:rPr>
                <w:rFonts w:asciiTheme="minorHAnsi" w:eastAsiaTheme="minorHAnsi" w:hAnsiTheme="minorHAnsi" w:cstheme="minorHAnsi"/>
                <w:lang w:eastAsia="en-US"/>
              </w:rPr>
              <w:t xml:space="preserve"> to meet its regulatory requirements in paying invoices</w:t>
            </w:r>
            <w:r w:rsidR="00826FF2" w:rsidRPr="0064012C">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quickly.</w:t>
            </w:r>
            <w:r w:rsidR="00FF2551">
              <w:rPr>
                <w:rFonts w:asciiTheme="minorHAnsi" w:eastAsiaTheme="minorHAnsi" w:hAnsiTheme="minorHAnsi" w:cstheme="minorHAnsi"/>
                <w:lang w:eastAsia="en-US"/>
              </w:rPr>
              <w:t xml:space="preserve">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D07ECB">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Yes,  following </w:t>
            </w:r>
            <w:r w:rsidR="00D07ECB">
              <w:rPr>
                <w:rFonts w:asciiTheme="minorHAnsi" w:eastAsiaTheme="minorHAnsi" w:hAnsiTheme="minorHAnsi" w:cstheme="minorHAnsi"/>
                <w:b/>
                <w:lang w:eastAsia="en-US"/>
              </w:rPr>
              <w:t xml:space="preserve">Leadership Team and Board </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4159BE"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Karen Williams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826FF2" w:rsidP="00BA069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BA069C">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Procurement</w:t>
            </w:r>
            <w:r w:rsidR="00BA069C">
              <w:rPr>
                <w:rFonts w:asciiTheme="minorHAnsi" w:eastAsiaTheme="minorHAnsi" w:hAnsiTheme="minorHAnsi" w:cstheme="minorHAnsi"/>
                <w:lang w:eastAsia="en-US"/>
              </w:rPr>
              <w:t xml:space="preserve"> and Estates</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367080" w:rsidP="0036708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10</w:t>
            </w:r>
            <w:r w:rsidRPr="00367080">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w:t>
            </w:r>
            <w:r w:rsidR="00D07ECB">
              <w:rPr>
                <w:rFonts w:asciiTheme="minorHAnsi" w:eastAsiaTheme="minorHAnsi" w:hAnsiTheme="minorHAnsi" w:cstheme="minorHAnsi"/>
                <w:lang w:eastAsia="en-US"/>
              </w:rPr>
              <w:t>May 2017</w:t>
            </w:r>
          </w:p>
        </w:tc>
      </w:tr>
    </w:tbl>
    <w:p w:rsidR="00150CE4" w:rsidRDefault="00150CE4" w:rsidP="00AD76CF">
      <w:pPr>
        <w:rPr>
          <w:rFonts w:ascii="Arial" w:hAnsi="Arial" w:cs="Arial"/>
          <w:b/>
          <w:sz w:val="22"/>
          <w:szCs w:val="22"/>
        </w:rPr>
      </w:pPr>
    </w:p>
    <w:p w:rsidR="001677C5" w:rsidRDefault="001677C5">
      <w:pPr>
        <w:spacing w:after="200" w:line="276" w:lineRule="auto"/>
        <w:rPr>
          <w:rFonts w:ascii="Arial" w:hAnsi="Arial" w:cs="Arial"/>
          <w:b/>
          <w:sz w:val="22"/>
          <w:szCs w:val="22"/>
        </w:rPr>
      </w:pPr>
      <w:r>
        <w:rPr>
          <w:rFonts w:ascii="Arial" w:hAnsi="Arial" w:cs="Arial"/>
          <w:b/>
          <w:sz w:val="22"/>
          <w:szCs w:val="22"/>
        </w:rPr>
        <w:br w:type="page"/>
      </w:r>
    </w:p>
    <w:p w:rsidR="006C7396" w:rsidRPr="0044673F" w:rsidRDefault="006C7396" w:rsidP="006C7396">
      <w:pPr>
        <w:rPr>
          <w:rFonts w:ascii="Arial" w:hAnsi="Arial" w:cs="Arial"/>
          <w:b/>
          <w:sz w:val="22"/>
          <w:szCs w:val="22"/>
        </w:rPr>
      </w:pPr>
      <w:r w:rsidRPr="0044673F">
        <w:rPr>
          <w:rFonts w:ascii="Arial" w:hAnsi="Arial" w:cs="Arial"/>
          <w:b/>
          <w:sz w:val="22"/>
          <w:szCs w:val="22"/>
        </w:rPr>
        <w:lastRenderedPageBreak/>
        <w:t>Finance Report - Financial Year 2016/17</w:t>
      </w:r>
    </w:p>
    <w:p w:rsidR="006C7396" w:rsidRDefault="006C7396" w:rsidP="006C7396">
      <w:pPr>
        <w:rPr>
          <w:rFonts w:ascii="Arial" w:hAnsi="Arial" w:cs="Arial"/>
          <w:b/>
          <w:sz w:val="22"/>
          <w:szCs w:val="22"/>
        </w:rPr>
      </w:pPr>
      <w:r w:rsidRPr="0044673F">
        <w:rPr>
          <w:rFonts w:ascii="Arial" w:hAnsi="Arial" w:cs="Arial"/>
          <w:b/>
          <w:sz w:val="22"/>
          <w:szCs w:val="22"/>
        </w:rPr>
        <w:t xml:space="preserve">Health Research Authority as at </w:t>
      </w:r>
      <w:r w:rsidR="00D07ECB">
        <w:rPr>
          <w:rFonts w:ascii="Arial" w:hAnsi="Arial" w:cs="Arial"/>
          <w:b/>
          <w:sz w:val="22"/>
          <w:szCs w:val="22"/>
        </w:rPr>
        <w:t>31</w:t>
      </w:r>
      <w:r w:rsidR="005030CD">
        <w:rPr>
          <w:rFonts w:ascii="Arial" w:hAnsi="Arial" w:cs="Arial"/>
          <w:b/>
          <w:sz w:val="22"/>
          <w:szCs w:val="22"/>
        </w:rPr>
        <w:t xml:space="preserve"> </w:t>
      </w:r>
      <w:r w:rsidR="00D07ECB">
        <w:rPr>
          <w:rFonts w:ascii="Arial" w:hAnsi="Arial" w:cs="Arial"/>
          <w:b/>
          <w:sz w:val="22"/>
          <w:szCs w:val="22"/>
        </w:rPr>
        <w:t>March</w:t>
      </w:r>
      <w:r w:rsidR="001677C5">
        <w:rPr>
          <w:rFonts w:ascii="Arial" w:hAnsi="Arial" w:cs="Arial"/>
          <w:b/>
          <w:sz w:val="22"/>
          <w:szCs w:val="22"/>
        </w:rPr>
        <w:t xml:space="preserve"> 2017</w:t>
      </w:r>
    </w:p>
    <w:p w:rsidR="006C7396" w:rsidRDefault="006C7396"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r w:rsidR="007055AB">
        <w:rPr>
          <w:rFonts w:ascii="Arial" w:hAnsi="Arial" w:cs="Arial"/>
          <w:b/>
          <w:sz w:val="22"/>
          <w:szCs w:val="22"/>
        </w:rPr>
        <w:t>–</w:t>
      </w:r>
      <w:r>
        <w:rPr>
          <w:rFonts w:ascii="Arial" w:hAnsi="Arial" w:cs="Arial"/>
          <w:b/>
          <w:sz w:val="22"/>
          <w:szCs w:val="22"/>
        </w:rPr>
        <w:t xml:space="preserve"> Headlines</w:t>
      </w:r>
    </w:p>
    <w:p w:rsidR="00D07ECB" w:rsidRDefault="00D07ECB" w:rsidP="00092A9E">
      <w:pPr>
        <w:rPr>
          <w:rFonts w:ascii="Arial" w:hAnsi="Arial" w:cs="Arial"/>
          <w:b/>
          <w:sz w:val="22"/>
          <w:szCs w:val="22"/>
        </w:rPr>
      </w:pPr>
    </w:p>
    <w:p w:rsidR="00D1262E" w:rsidRDefault="006C7396" w:rsidP="006C7396">
      <w:pPr>
        <w:pStyle w:val="ListParagraph"/>
        <w:numPr>
          <w:ilvl w:val="0"/>
          <w:numId w:val="2"/>
        </w:numPr>
        <w:spacing w:after="200" w:line="276" w:lineRule="auto"/>
        <w:rPr>
          <w:rFonts w:ascii="Arial" w:eastAsiaTheme="minorHAnsi" w:hAnsi="Arial" w:cs="Arial"/>
          <w:sz w:val="22"/>
          <w:szCs w:val="22"/>
          <w:lang w:eastAsia="en-US"/>
        </w:rPr>
      </w:pPr>
      <w:r w:rsidRPr="006C7396">
        <w:rPr>
          <w:rFonts w:ascii="Arial" w:eastAsiaTheme="minorHAnsi" w:hAnsi="Arial" w:cs="Arial"/>
          <w:sz w:val="22"/>
          <w:szCs w:val="22"/>
          <w:lang w:eastAsia="en-US"/>
        </w:rPr>
        <w:t>The HRA</w:t>
      </w:r>
      <w:r w:rsidR="00D07ECB">
        <w:rPr>
          <w:rFonts w:ascii="Arial" w:eastAsiaTheme="minorHAnsi" w:hAnsi="Arial" w:cs="Arial"/>
          <w:sz w:val="22"/>
          <w:szCs w:val="22"/>
          <w:lang w:eastAsia="en-US"/>
        </w:rPr>
        <w:t xml:space="preserve"> </w:t>
      </w:r>
      <w:r w:rsidR="00950174">
        <w:rPr>
          <w:rFonts w:ascii="Arial" w:eastAsiaTheme="minorHAnsi" w:hAnsi="Arial" w:cs="Arial"/>
          <w:sz w:val="22"/>
          <w:szCs w:val="22"/>
          <w:lang w:eastAsia="en-US"/>
        </w:rPr>
        <w:t xml:space="preserve">2016/17 </w:t>
      </w:r>
      <w:r w:rsidR="00D07ECB">
        <w:rPr>
          <w:rFonts w:ascii="Arial" w:eastAsiaTheme="minorHAnsi" w:hAnsi="Arial" w:cs="Arial"/>
          <w:sz w:val="22"/>
          <w:szCs w:val="22"/>
          <w:lang w:eastAsia="en-US"/>
        </w:rPr>
        <w:t>outturn was £</w:t>
      </w:r>
      <w:r w:rsidR="00C46F55">
        <w:rPr>
          <w:rFonts w:ascii="Arial" w:eastAsiaTheme="minorHAnsi" w:hAnsi="Arial" w:cs="Arial"/>
          <w:sz w:val="22"/>
          <w:szCs w:val="22"/>
          <w:lang w:eastAsia="en-US"/>
        </w:rPr>
        <w:t>12,932k</w:t>
      </w:r>
      <w:r w:rsidR="00D07ECB">
        <w:rPr>
          <w:rFonts w:ascii="Arial" w:eastAsiaTheme="minorHAnsi" w:hAnsi="Arial" w:cs="Arial"/>
          <w:sz w:val="22"/>
          <w:szCs w:val="22"/>
          <w:lang w:eastAsia="en-US"/>
        </w:rPr>
        <w:t xml:space="preserve"> (2015/16: £</w:t>
      </w:r>
      <w:r w:rsidR="00714994">
        <w:rPr>
          <w:rFonts w:ascii="Arial" w:eastAsiaTheme="minorHAnsi" w:hAnsi="Arial" w:cs="Arial"/>
          <w:sz w:val="22"/>
          <w:szCs w:val="22"/>
          <w:lang w:eastAsia="en-US"/>
        </w:rPr>
        <w:t>12</w:t>
      </w:r>
      <w:r w:rsidR="00D07ECB">
        <w:rPr>
          <w:rFonts w:ascii="Arial" w:eastAsiaTheme="minorHAnsi" w:hAnsi="Arial" w:cs="Arial"/>
          <w:sz w:val="22"/>
          <w:szCs w:val="22"/>
          <w:lang w:eastAsia="en-US"/>
        </w:rPr>
        <w:t>,</w:t>
      </w:r>
      <w:r w:rsidR="00714994">
        <w:rPr>
          <w:rFonts w:ascii="Arial" w:eastAsiaTheme="minorHAnsi" w:hAnsi="Arial" w:cs="Arial"/>
          <w:sz w:val="22"/>
          <w:szCs w:val="22"/>
          <w:lang w:eastAsia="en-US"/>
        </w:rPr>
        <w:t>960</w:t>
      </w:r>
      <w:r w:rsidR="00D07ECB">
        <w:rPr>
          <w:rFonts w:ascii="Arial" w:eastAsiaTheme="minorHAnsi" w:hAnsi="Arial" w:cs="Arial"/>
          <w:sz w:val="22"/>
          <w:szCs w:val="22"/>
          <w:lang w:eastAsia="en-US"/>
        </w:rPr>
        <w:t>k) and £</w:t>
      </w:r>
      <w:r w:rsidR="00482FAD">
        <w:rPr>
          <w:rFonts w:ascii="Arial" w:eastAsiaTheme="minorHAnsi" w:hAnsi="Arial" w:cs="Arial"/>
          <w:sz w:val="22"/>
          <w:szCs w:val="22"/>
          <w:lang w:eastAsia="en-US"/>
        </w:rPr>
        <w:t>770</w:t>
      </w:r>
      <w:r w:rsidR="00D07ECB">
        <w:rPr>
          <w:rFonts w:ascii="Arial" w:eastAsiaTheme="minorHAnsi" w:hAnsi="Arial" w:cs="Arial"/>
          <w:sz w:val="22"/>
          <w:szCs w:val="22"/>
          <w:lang w:eastAsia="en-US"/>
        </w:rPr>
        <w:t>k (2015/16 £</w:t>
      </w:r>
      <w:r w:rsidR="00482FAD">
        <w:rPr>
          <w:rFonts w:ascii="Arial" w:eastAsiaTheme="minorHAnsi" w:hAnsi="Arial" w:cs="Arial"/>
          <w:sz w:val="22"/>
          <w:szCs w:val="22"/>
          <w:lang w:eastAsia="en-US"/>
        </w:rPr>
        <w:t>960</w:t>
      </w:r>
      <w:r w:rsidR="00D07ECB">
        <w:rPr>
          <w:rFonts w:ascii="Arial" w:eastAsiaTheme="minorHAnsi" w:hAnsi="Arial" w:cs="Arial"/>
          <w:sz w:val="22"/>
          <w:szCs w:val="22"/>
          <w:lang w:eastAsia="en-US"/>
        </w:rPr>
        <w:t>k) capital. On revenue expenditure</w:t>
      </w:r>
      <w:r w:rsidR="004C1D2E">
        <w:rPr>
          <w:rFonts w:ascii="Arial" w:eastAsiaTheme="minorHAnsi" w:hAnsi="Arial" w:cs="Arial"/>
          <w:sz w:val="22"/>
          <w:szCs w:val="22"/>
          <w:lang w:eastAsia="en-US"/>
        </w:rPr>
        <w:t xml:space="preserve"> th</w:t>
      </w:r>
      <w:r w:rsidR="00D07ECB">
        <w:rPr>
          <w:rFonts w:ascii="Arial" w:eastAsiaTheme="minorHAnsi" w:hAnsi="Arial" w:cs="Arial"/>
          <w:sz w:val="22"/>
          <w:szCs w:val="22"/>
          <w:lang w:eastAsia="en-US"/>
        </w:rPr>
        <w:t>is represented a £</w:t>
      </w:r>
      <w:r w:rsidR="00A04F66">
        <w:rPr>
          <w:rFonts w:ascii="Arial" w:eastAsiaTheme="minorHAnsi" w:hAnsi="Arial" w:cs="Arial"/>
          <w:sz w:val="22"/>
          <w:szCs w:val="22"/>
          <w:lang w:eastAsia="en-US"/>
        </w:rPr>
        <w:t>323</w:t>
      </w:r>
      <w:r w:rsidR="00D07ECB">
        <w:rPr>
          <w:rFonts w:ascii="Arial" w:eastAsiaTheme="minorHAnsi" w:hAnsi="Arial" w:cs="Arial"/>
          <w:sz w:val="22"/>
          <w:szCs w:val="22"/>
          <w:lang w:eastAsia="en-US"/>
        </w:rPr>
        <w:t>k</w:t>
      </w:r>
      <w:r w:rsidR="004C1D2E">
        <w:rPr>
          <w:rFonts w:ascii="Arial" w:eastAsiaTheme="minorHAnsi" w:hAnsi="Arial" w:cs="Arial"/>
          <w:sz w:val="22"/>
          <w:szCs w:val="22"/>
          <w:lang w:eastAsia="en-US"/>
        </w:rPr>
        <w:t xml:space="preserve">, </w:t>
      </w:r>
      <w:r w:rsidR="00A04F66">
        <w:rPr>
          <w:rFonts w:ascii="Arial" w:eastAsiaTheme="minorHAnsi" w:hAnsi="Arial" w:cs="Arial"/>
          <w:sz w:val="22"/>
          <w:szCs w:val="22"/>
          <w:lang w:eastAsia="en-US"/>
        </w:rPr>
        <w:t>2.4</w:t>
      </w:r>
      <w:r w:rsidR="004C1D2E">
        <w:rPr>
          <w:rFonts w:ascii="Arial" w:eastAsiaTheme="minorHAnsi" w:hAnsi="Arial" w:cs="Arial"/>
          <w:sz w:val="22"/>
          <w:szCs w:val="22"/>
          <w:lang w:eastAsia="en-US"/>
        </w:rPr>
        <w:t>%</w:t>
      </w:r>
      <w:r w:rsidR="00D07ECB">
        <w:rPr>
          <w:rFonts w:ascii="Arial" w:eastAsiaTheme="minorHAnsi" w:hAnsi="Arial" w:cs="Arial"/>
          <w:sz w:val="22"/>
          <w:szCs w:val="22"/>
          <w:lang w:eastAsia="en-US"/>
        </w:rPr>
        <w:t xml:space="preserve"> (2015/16 £</w:t>
      </w:r>
      <w:r w:rsidR="00A04F66">
        <w:rPr>
          <w:rFonts w:ascii="Arial" w:eastAsiaTheme="minorHAnsi" w:hAnsi="Arial" w:cs="Arial"/>
          <w:sz w:val="22"/>
          <w:szCs w:val="22"/>
          <w:lang w:eastAsia="en-US"/>
        </w:rPr>
        <w:t>929</w:t>
      </w:r>
      <w:r w:rsidR="00D07ECB">
        <w:rPr>
          <w:rFonts w:ascii="Arial" w:eastAsiaTheme="minorHAnsi" w:hAnsi="Arial" w:cs="Arial"/>
          <w:sz w:val="22"/>
          <w:szCs w:val="22"/>
          <w:lang w:eastAsia="en-US"/>
        </w:rPr>
        <w:t>k</w:t>
      </w:r>
      <w:r w:rsidR="004C1D2E">
        <w:rPr>
          <w:rFonts w:ascii="Arial" w:eastAsiaTheme="minorHAnsi" w:hAnsi="Arial" w:cs="Arial"/>
          <w:sz w:val="22"/>
          <w:szCs w:val="22"/>
          <w:lang w:eastAsia="en-US"/>
        </w:rPr>
        <w:t xml:space="preserve">, </w:t>
      </w:r>
      <w:r w:rsidR="00A04F66">
        <w:rPr>
          <w:rFonts w:ascii="Arial" w:eastAsiaTheme="minorHAnsi" w:hAnsi="Arial" w:cs="Arial"/>
          <w:sz w:val="22"/>
          <w:szCs w:val="22"/>
          <w:lang w:eastAsia="en-US"/>
        </w:rPr>
        <w:t>6.7</w:t>
      </w:r>
      <w:r w:rsidR="004C1D2E">
        <w:rPr>
          <w:rFonts w:ascii="Arial" w:eastAsiaTheme="minorHAnsi" w:hAnsi="Arial" w:cs="Arial"/>
          <w:sz w:val="22"/>
          <w:szCs w:val="22"/>
          <w:lang w:eastAsia="en-US"/>
        </w:rPr>
        <w:t>%</w:t>
      </w:r>
      <w:r w:rsidR="00D07ECB">
        <w:rPr>
          <w:rFonts w:ascii="Arial" w:eastAsiaTheme="minorHAnsi" w:hAnsi="Arial" w:cs="Arial"/>
          <w:sz w:val="22"/>
          <w:szCs w:val="22"/>
          <w:lang w:eastAsia="en-US"/>
        </w:rPr>
        <w:t>) underspend</w:t>
      </w:r>
      <w:r w:rsidR="004C1D2E">
        <w:rPr>
          <w:rFonts w:ascii="Arial" w:eastAsiaTheme="minorHAnsi" w:hAnsi="Arial" w:cs="Arial"/>
          <w:sz w:val="22"/>
          <w:szCs w:val="22"/>
          <w:lang w:eastAsia="en-US"/>
        </w:rPr>
        <w:t xml:space="preserve"> and on capital expenditure a £</w:t>
      </w:r>
      <w:r w:rsidR="00A04F66">
        <w:rPr>
          <w:rFonts w:ascii="Arial" w:eastAsiaTheme="minorHAnsi" w:hAnsi="Arial" w:cs="Arial"/>
          <w:sz w:val="22"/>
          <w:szCs w:val="22"/>
          <w:lang w:eastAsia="en-US"/>
        </w:rPr>
        <w:t>140</w:t>
      </w:r>
      <w:r w:rsidR="004C1D2E">
        <w:rPr>
          <w:rFonts w:ascii="Arial" w:eastAsiaTheme="minorHAnsi" w:hAnsi="Arial" w:cs="Arial"/>
          <w:sz w:val="22"/>
          <w:szCs w:val="22"/>
          <w:lang w:eastAsia="en-US"/>
        </w:rPr>
        <w:t xml:space="preserve">k, </w:t>
      </w:r>
      <w:r w:rsidR="00A04F66">
        <w:rPr>
          <w:rFonts w:ascii="Arial" w:eastAsiaTheme="minorHAnsi" w:hAnsi="Arial" w:cs="Arial"/>
          <w:sz w:val="22"/>
          <w:szCs w:val="22"/>
          <w:lang w:eastAsia="en-US"/>
        </w:rPr>
        <w:t>15.4</w:t>
      </w:r>
      <w:r w:rsidR="004C1D2E">
        <w:rPr>
          <w:rFonts w:ascii="Arial" w:eastAsiaTheme="minorHAnsi" w:hAnsi="Arial" w:cs="Arial"/>
          <w:sz w:val="22"/>
          <w:szCs w:val="22"/>
          <w:lang w:eastAsia="en-US"/>
        </w:rPr>
        <w:t>% underspend (2015/16 £</w:t>
      </w:r>
      <w:r w:rsidR="00A04F66">
        <w:rPr>
          <w:rFonts w:ascii="Arial" w:eastAsiaTheme="minorHAnsi" w:hAnsi="Arial" w:cs="Arial"/>
          <w:sz w:val="22"/>
          <w:szCs w:val="22"/>
          <w:lang w:eastAsia="en-US"/>
        </w:rPr>
        <w:t>190</w:t>
      </w:r>
      <w:r w:rsidR="004C1D2E">
        <w:rPr>
          <w:rFonts w:ascii="Arial" w:eastAsiaTheme="minorHAnsi" w:hAnsi="Arial" w:cs="Arial"/>
          <w:sz w:val="22"/>
          <w:szCs w:val="22"/>
          <w:lang w:eastAsia="en-US"/>
        </w:rPr>
        <w:t xml:space="preserve">k, </w:t>
      </w:r>
      <w:r w:rsidR="00A04F66">
        <w:rPr>
          <w:rFonts w:ascii="Arial" w:eastAsiaTheme="minorHAnsi" w:hAnsi="Arial" w:cs="Arial"/>
          <w:sz w:val="22"/>
          <w:szCs w:val="22"/>
          <w:lang w:eastAsia="en-US"/>
        </w:rPr>
        <w:t>17.9</w:t>
      </w:r>
      <w:r w:rsidR="004C1D2E">
        <w:rPr>
          <w:rFonts w:ascii="Arial" w:eastAsiaTheme="minorHAnsi" w:hAnsi="Arial" w:cs="Arial"/>
          <w:sz w:val="22"/>
          <w:szCs w:val="22"/>
          <w:lang w:eastAsia="en-US"/>
        </w:rPr>
        <w:t xml:space="preserve">%). </w:t>
      </w:r>
      <w:r w:rsidR="00FA0CFC">
        <w:rPr>
          <w:rFonts w:ascii="Arial" w:eastAsiaTheme="minorHAnsi" w:hAnsi="Arial" w:cs="Arial"/>
          <w:sz w:val="22"/>
          <w:szCs w:val="22"/>
          <w:lang w:eastAsia="en-US"/>
        </w:rPr>
        <w:t xml:space="preserve"> </w:t>
      </w:r>
    </w:p>
    <w:p w:rsidR="00D1262E" w:rsidRDefault="00D1262E" w:rsidP="00D1262E">
      <w:pPr>
        <w:pStyle w:val="ListParagraph"/>
        <w:spacing w:after="200" w:line="276" w:lineRule="auto"/>
        <w:rPr>
          <w:rFonts w:ascii="Arial" w:eastAsiaTheme="minorHAnsi" w:hAnsi="Arial" w:cs="Arial"/>
          <w:sz w:val="22"/>
          <w:szCs w:val="22"/>
          <w:lang w:eastAsia="en-US"/>
        </w:rPr>
      </w:pPr>
    </w:p>
    <w:p w:rsidR="004C1D2E" w:rsidRDefault="004C1D2E" w:rsidP="004C1D2E">
      <w:pPr>
        <w:pStyle w:val="ListParagraph"/>
        <w:numPr>
          <w:ilvl w:val="0"/>
          <w:numId w:val="2"/>
        </w:numPr>
        <w:spacing w:after="200" w:line="276" w:lineRule="auto"/>
        <w:rPr>
          <w:rFonts w:ascii="Arial" w:eastAsiaTheme="minorHAnsi" w:hAnsi="Arial" w:cs="Arial"/>
          <w:sz w:val="22"/>
          <w:szCs w:val="22"/>
          <w:lang w:eastAsia="en-US"/>
        </w:rPr>
      </w:pPr>
      <w:r w:rsidRPr="00950174">
        <w:rPr>
          <w:rFonts w:ascii="Arial" w:eastAsiaTheme="minorHAnsi" w:hAnsi="Arial" w:cs="Arial"/>
          <w:sz w:val="22"/>
          <w:szCs w:val="22"/>
          <w:lang w:eastAsia="en-US"/>
        </w:rPr>
        <w:t xml:space="preserve">2016/17 </w:t>
      </w:r>
      <w:r w:rsidR="006C7396" w:rsidRPr="00950174">
        <w:rPr>
          <w:rFonts w:ascii="Arial" w:eastAsiaTheme="minorHAnsi" w:hAnsi="Arial" w:cs="Arial"/>
          <w:sz w:val="22"/>
          <w:szCs w:val="22"/>
          <w:lang w:eastAsia="en-US"/>
        </w:rPr>
        <w:t>financial performance</w:t>
      </w:r>
      <w:r w:rsidRPr="00950174">
        <w:rPr>
          <w:rFonts w:ascii="Arial" w:eastAsiaTheme="minorHAnsi" w:hAnsi="Arial" w:cs="Arial"/>
          <w:sz w:val="22"/>
          <w:szCs w:val="22"/>
          <w:lang w:eastAsia="en-US"/>
        </w:rPr>
        <w:t xml:space="preserve"> closely </w:t>
      </w:r>
      <w:r w:rsidR="00950174" w:rsidRPr="00950174">
        <w:rPr>
          <w:rFonts w:ascii="Arial" w:eastAsiaTheme="minorHAnsi" w:hAnsi="Arial" w:cs="Arial"/>
          <w:sz w:val="22"/>
          <w:szCs w:val="22"/>
          <w:lang w:eastAsia="en-US"/>
        </w:rPr>
        <w:t>aligns with</w:t>
      </w:r>
      <w:r w:rsidRPr="00950174">
        <w:rPr>
          <w:rFonts w:ascii="Arial" w:eastAsiaTheme="minorHAnsi" w:hAnsi="Arial" w:cs="Arial"/>
          <w:sz w:val="22"/>
          <w:szCs w:val="22"/>
          <w:lang w:eastAsia="en-US"/>
        </w:rPr>
        <w:t xml:space="preserve"> the forecast outturn</w:t>
      </w:r>
      <w:r w:rsidR="00950174" w:rsidRPr="00950174">
        <w:rPr>
          <w:rFonts w:ascii="Arial" w:eastAsiaTheme="minorHAnsi" w:hAnsi="Arial" w:cs="Arial"/>
          <w:sz w:val="22"/>
          <w:szCs w:val="22"/>
          <w:lang w:eastAsia="en-US"/>
        </w:rPr>
        <w:t>,</w:t>
      </w:r>
      <w:r w:rsidR="00F1107F" w:rsidRPr="00950174">
        <w:rPr>
          <w:rFonts w:ascii="Arial" w:eastAsiaTheme="minorHAnsi" w:hAnsi="Arial" w:cs="Arial"/>
          <w:sz w:val="22"/>
          <w:szCs w:val="22"/>
          <w:lang w:eastAsia="en-US"/>
        </w:rPr>
        <w:t xml:space="preserve"> </w:t>
      </w:r>
      <w:r w:rsidR="00950174" w:rsidRPr="00950174">
        <w:rPr>
          <w:rFonts w:ascii="Arial" w:eastAsiaTheme="minorHAnsi" w:hAnsi="Arial" w:cs="Arial"/>
          <w:sz w:val="22"/>
          <w:szCs w:val="22"/>
          <w:lang w:eastAsia="en-US"/>
        </w:rPr>
        <w:t>due to improvements implemented in year to enhance</w:t>
      </w:r>
      <w:r w:rsidRPr="00950174">
        <w:rPr>
          <w:rFonts w:ascii="Arial" w:eastAsiaTheme="minorHAnsi" w:hAnsi="Arial" w:cs="Arial"/>
          <w:sz w:val="22"/>
          <w:szCs w:val="22"/>
          <w:lang w:eastAsia="en-US"/>
        </w:rPr>
        <w:t xml:space="preserve"> financial </w:t>
      </w:r>
      <w:r w:rsidR="00367080">
        <w:rPr>
          <w:rFonts w:ascii="Arial" w:eastAsiaTheme="minorHAnsi" w:hAnsi="Arial" w:cs="Arial"/>
          <w:sz w:val="22"/>
          <w:szCs w:val="22"/>
          <w:lang w:eastAsia="en-US"/>
        </w:rPr>
        <w:t xml:space="preserve">management and strategic resource allocation. </w:t>
      </w:r>
      <w:r w:rsidRPr="00950174">
        <w:rPr>
          <w:rFonts w:ascii="Arial" w:eastAsiaTheme="minorHAnsi" w:hAnsi="Arial" w:cs="Arial"/>
          <w:sz w:val="22"/>
          <w:szCs w:val="22"/>
          <w:lang w:eastAsia="en-US"/>
        </w:rPr>
        <w:t xml:space="preserve"> </w:t>
      </w:r>
    </w:p>
    <w:p w:rsidR="00950174" w:rsidRPr="00950174" w:rsidRDefault="00950174" w:rsidP="00950174">
      <w:pPr>
        <w:pStyle w:val="ListParagraph"/>
        <w:spacing w:after="200" w:line="276" w:lineRule="auto"/>
        <w:rPr>
          <w:rFonts w:ascii="Arial" w:eastAsiaTheme="minorHAnsi" w:hAnsi="Arial" w:cs="Arial"/>
          <w:sz w:val="22"/>
          <w:szCs w:val="22"/>
          <w:lang w:eastAsia="en-US"/>
        </w:rPr>
      </w:pPr>
    </w:p>
    <w:p w:rsidR="00403E01" w:rsidRDefault="004C1D2E" w:rsidP="00403E01">
      <w:pPr>
        <w:pStyle w:val="ListParagraph"/>
        <w:numPr>
          <w:ilvl w:val="0"/>
          <w:numId w:val="2"/>
        </w:numPr>
        <w:spacing w:after="200" w:line="276" w:lineRule="auto"/>
        <w:rPr>
          <w:rFonts w:ascii="Arial" w:eastAsiaTheme="minorHAnsi" w:hAnsi="Arial" w:cs="Arial"/>
          <w:sz w:val="22"/>
          <w:szCs w:val="22"/>
          <w:lang w:eastAsia="en-US"/>
        </w:rPr>
      </w:pPr>
      <w:r w:rsidRPr="001B0417">
        <w:rPr>
          <w:rFonts w:ascii="Arial" w:eastAsiaTheme="minorHAnsi" w:hAnsi="Arial" w:cs="Arial"/>
          <w:sz w:val="22"/>
          <w:szCs w:val="22"/>
          <w:lang w:eastAsia="en-US"/>
        </w:rPr>
        <w:t xml:space="preserve">This year sees a shift in the HRA’s expenditure distribution with a greater proportion being allocated to business as usual (service delivery) and less proportionately on </w:t>
      </w:r>
      <w:r w:rsidR="00774E04">
        <w:rPr>
          <w:rFonts w:ascii="Arial" w:eastAsiaTheme="minorHAnsi" w:hAnsi="Arial" w:cs="Arial"/>
          <w:sz w:val="22"/>
          <w:szCs w:val="22"/>
          <w:lang w:eastAsia="en-US"/>
        </w:rPr>
        <w:t>strategic</w:t>
      </w:r>
      <w:r w:rsidRPr="001B0417">
        <w:rPr>
          <w:rFonts w:ascii="Arial" w:eastAsiaTheme="minorHAnsi" w:hAnsi="Arial" w:cs="Arial"/>
          <w:sz w:val="22"/>
          <w:szCs w:val="22"/>
          <w:lang w:eastAsia="en-US"/>
        </w:rPr>
        <w:t xml:space="preserve"> projects</w:t>
      </w:r>
      <w:r w:rsidR="00367080">
        <w:rPr>
          <w:rFonts w:ascii="Arial" w:eastAsiaTheme="minorHAnsi" w:hAnsi="Arial" w:cs="Arial"/>
          <w:sz w:val="22"/>
          <w:szCs w:val="22"/>
          <w:lang w:eastAsia="en-US"/>
        </w:rPr>
        <w:t xml:space="preserve"> following the implementation of HRA Approval</w:t>
      </w:r>
      <w:r w:rsidRPr="001B0417">
        <w:rPr>
          <w:rFonts w:ascii="Arial" w:eastAsiaTheme="minorHAnsi" w:hAnsi="Arial" w:cs="Arial"/>
          <w:sz w:val="22"/>
          <w:szCs w:val="22"/>
          <w:lang w:eastAsia="en-US"/>
        </w:rPr>
        <w:t xml:space="preserve">. </w:t>
      </w:r>
    </w:p>
    <w:p w:rsidR="001B0417" w:rsidRPr="001B0417" w:rsidRDefault="001B0417" w:rsidP="001B0417">
      <w:pPr>
        <w:pStyle w:val="ListParagraph"/>
        <w:spacing w:after="200" w:line="276" w:lineRule="auto"/>
        <w:rPr>
          <w:rFonts w:ascii="Arial" w:eastAsiaTheme="minorHAnsi" w:hAnsi="Arial" w:cs="Arial"/>
          <w:sz w:val="22"/>
          <w:szCs w:val="22"/>
          <w:lang w:eastAsia="en-US"/>
        </w:rPr>
      </w:pPr>
    </w:p>
    <w:p w:rsidR="00A04F66" w:rsidRDefault="00403E01" w:rsidP="00A04F66">
      <w:pPr>
        <w:pStyle w:val="ListParagraph"/>
        <w:numPr>
          <w:ilvl w:val="0"/>
          <w:numId w:val="2"/>
        </w:numPr>
        <w:spacing w:after="200" w:line="276" w:lineRule="auto"/>
        <w:rPr>
          <w:rFonts w:ascii="Arial" w:eastAsiaTheme="minorHAnsi" w:hAnsi="Arial" w:cs="Arial"/>
          <w:sz w:val="22"/>
          <w:szCs w:val="22"/>
          <w:lang w:eastAsia="en-US"/>
        </w:rPr>
      </w:pPr>
      <w:r w:rsidRPr="00A04F66">
        <w:rPr>
          <w:rFonts w:ascii="Arial" w:eastAsiaTheme="minorHAnsi" w:hAnsi="Arial" w:cs="Arial"/>
          <w:sz w:val="22"/>
          <w:szCs w:val="22"/>
          <w:lang w:eastAsia="en-US"/>
        </w:rPr>
        <w:t xml:space="preserve">The HRA continues to drive efficiencies in its activities in order to ensure public money is managed well and to meet Department of Health spending review requirements. </w:t>
      </w:r>
    </w:p>
    <w:p w:rsidR="00A04F66" w:rsidRPr="00A04F66" w:rsidRDefault="00A04F66" w:rsidP="00A04F66">
      <w:pPr>
        <w:pStyle w:val="ListParagraph"/>
        <w:rPr>
          <w:rFonts w:ascii="Arial" w:eastAsiaTheme="minorHAnsi" w:hAnsi="Arial" w:cs="Arial"/>
          <w:sz w:val="22"/>
          <w:szCs w:val="22"/>
          <w:lang w:eastAsia="en-US"/>
        </w:rPr>
      </w:pPr>
    </w:p>
    <w:p w:rsidR="000D2F24" w:rsidRDefault="00A04F66" w:rsidP="006C7396">
      <w:pPr>
        <w:pStyle w:val="ListParagraph"/>
        <w:numPr>
          <w:ilvl w:val="0"/>
          <w:numId w:val="2"/>
        </w:numPr>
        <w:spacing w:after="200" w:line="276" w:lineRule="auto"/>
        <w:rPr>
          <w:rFonts w:ascii="Arial" w:eastAsiaTheme="minorHAnsi" w:hAnsi="Arial" w:cs="Arial"/>
          <w:sz w:val="22"/>
          <w:szCs w:val="22"/>
          <w:lang w:eastAsia="en-US"/>
        </w:rPr>
      </w:pPr>
      <w:r w:rsidRPr="000D2F24">
        <w:rPr>
          <w:rFonts w:ascii="Arial" w:eastAsiaTheme="minorHAnsi" w:hAnsi="Arial" w:cs="Arial"/>
          <w:sz w:val="22"/>
          <w:szCs w:val="22"/>
          <w:lang w:eastAsia="en-US"/>
        </w:rPr>
        <w:t xml:space="preserve">Our </w:t>
      </w:r>
      <w:r w:rsidR="004C1D2E" w:rsidRPr="000D2F24">
        <w:rPr>
          <w:rFonts w:ascii="Arial" w:eastAsiaTheme="minorHAnsi" w:hAnsi="Arial" w:cs="Arial"/>
          <w:sz w:val="22"/>
          <w:szCs w:val="22"/>
          <w:lang w:eastAsia="en-US"/>
        </w:rPr>
        <w:t xml:space="preserve">future financial strategy and associated business plan will need to </w:t>
      </w:r>
      <w:r w:rsidR="000D2F24" w:rsidRPr="000D2F24">
        <w:rPr>
          <w:rFonts w:ascii="Arial" w:eastAsiaTheme="minorHAnsi" w:hAnsi="Arial" w:cs="Arial"/>
          <w:sz w:val="22"/>
          <w:szCs w:val="22"/>
          <w:lang w:eastAsia="en-US"/>
        </w:rPr>
        <w:t>develop a business model that</w:t>
      </w:r>
      <w:r w:rsidR="004C1D2E" w:rsidRPr="000D2F24">
        <w:rPr>
          <w:rFonts w:ascii="Arial" w:eastAsiaTheme="minorHAnsi" w:hAnsi="Arial" w:cs="Arial"/>
          <w:sz w:val="22"/>
          <w:szCs w:val="22"/>
          <w:lang w:eastAsia="en-US"/>
        </w:rPr>
        <w:t xml:space="preserve"> </w:t>
      </w:r>
      <w:r w:rsidR="00316468">
        <w:rPr>
          <w:rFonts w:ascii="Arial" w:eastAsiaTheme="minorHAnsi" w:hAnsi="Arial" w:cs="Arial"/>
          <w:sz w:val="22"/>
          <w:szCs w:val="22"/>
          <w:lang w:eastAsia="en-US"/>
        </w:rPr>
        <w:t xml:space="preserve">creates capacity to </w:t>
      </w:r>
      <w:r w:rsidRPr="000D2F24">
        <w:rPr>
          <w:rFonts w:ascii="Arial" w:eastAsiaTheme="minorHAnsi" w:hAnsi="Arial" w:cs="Arial"/>
          <w:sz w:val="22"/>
          <w:szCs w:val="22"/>
          <w:lang w:eastAsia="en-US"/>
        </w:rPr>
        <w:t xml:space="preserve">support </w:t>
      </w:r>
      <w:r w:rsidR="004C1D2E" w:rsidRPr="000D2F24">
        <w:rPr>
          <w:rFonts w:ascii="Arial" w:eastAsiaTheme="minorHAnsi" w:hAnsi="Arial" w:cs="Arial"/>
          <w:sz w:val="22"/>
          <w:szCs w:val="22"/>
          <w:lang w:eastAsia="en-US"/>
        </w:rPr>
        <w:t xml:space="preserve">our </w:t>
      </w:r>
      <w:r w:rsidRPr="000D2F24">
        <w:rPr>
          <w:rFonts w:ascii="Arial" w:eastAsiaTheme="minorHAnsi" w:hAnsi="Arial" w:cs="Arial"/>
          <w:sz w:val="22"/>
          <w:szCs w:val="22"/>
          <w:lang w:eastAsia="en-US"/>
        </w:rPr>
        <w:t>emerging strategic ambiti</w:t>
      </w:r>
      <w:r w:rsidR="000D2F24" w:rsidRPr="000D2F24">
        <w:rPr>
          <w:rFonts w:ascii="Arial" w:eastAsiaTheme="minorHAnsi" w:hAnsi="Arial" w:cs="Arial"/>
          <w:sz w:val="22"/>
          <w:szCs w:val="22"/>
          <w:lang w:eastAsia="en-US"/>
        </w:rPr>
        <w:t>o</w:t>
      </w:r>
      <w:r w:rsidRPr="000D2F24">
        <w:rPr>
          <w:rFonts w:ascii="Arial" w:eastAsiaTheme="minorHAnsi" w:hAnsi="Arial" w:cs="Arial"/>
          <w:sz w:val="22"/>
          <w:szCs w:val="22"/>
          <w:lang w:eastAsia="en-US"/>
        </w:rPr>
        <w:t>n</w:t>
      </w:r>
      <w:r w:rsidR="004C1D2E" w:rsidRPr="000D2F24">
        <w:rPr>
          <w:rFonts w:ascii="Arial" w:eastAsiaTheme="minorHAnsi" w:hAnsi="Arial" w:cs="Arial"/>
          <w:sz w:val="22"/>
          <w:szCs w:val="22"/>
          <w:lang w:eastAsia="en-US"/>
        </w:rPr>
        <w:t xml:space="preserve"> whilst also ensuring our service delivery </w:t>
      </w:r>
      <w:r w:rsidR="000D2F24" w:rsidRPr="000D2F24">
        <w:rPr>
          <w:rFonts w:ascii="Arial" w:eastAsiaTheme="minorHAnsi" w:hAnsi="Arial" w:cs="Arial"/>
          <w:sz w:val="22"/>
          <w:szCs w:val="22"/>
          <w:lang w:eastAsia="en-US"/>
        </w:rPr>
        <w:t xml:space="preserve">continues to </w:t>
      </w:r>
      <w:r w:rsidR="004C1D2E" w:rsidRPr="000D2F24">
        <w:rPr>
          <w:rFonts w:ascii="Arial" w:eastAsiaTheme="minorHAnsi" w:hAnsi="Arial" w:cs="Arial"/>
          <w:sz w:val="22"/>
          <w:szCs w:val="22"/>
          <w:lang w:eastAsia="en-US"/>
        </w:rPr>
        <w:t>meet customer need</w:t>
      </w:r>
      <w:r w:rsidR="001B0417">
        <w:rPr>
          <w:rFonts w:ascii="Arial" w:eastAsiaTheme="minorHAnsi" w:hAnsi="Arial" w:cs="Arial"/>
          <w:sz w:val="22"/>
          <w:szCs w:val="22"/>
          <w:lang w:eastAsia="en-US"/>
        </w:rPr>
        <w:t xml:space="preserve"> and ou</w:t>
      </w:r>
      <w:r w:rsidR="00367080">
        <w:rPr>
          <w:rFonts w:ascii="Arial" w:eastAsiaTheme="minorHAnsi" w:hAnsi="Arial" w:cs="Arial"/>
          <w:sz w:val="22"/>
          <w:szCs w:val="22"/>
          <w:lang w:eastAsia="en-US"/>
        </w:rPr>
        <w:t>r</w:t>
      </w:r>
      <w:r w:rsidR="001B0417">
        <w:rPr>
          <w:rFonts w:ascii="Arial" w:eastAsiaTheme="minorHAnsi" w:hAnsi="Arial" w:cs="Arial"/>
          <w:sz w:val="22"/>
          <w:szCs w:val="22"/>
          <w:lang w:eastAsia="en-US"/>
        </w:rPr>
        <w:t xml:space="preserve"> statutory obligations</w:t>
      </w:r>
      <w:r w:rsidR="004C1D2E" w:rsidRPr="000D2F24">
        <w:rPr>
          <w:rFonts w:ascii="Arial" w:eastAsiaTheme="minorHAnsi" w:hAnsi="Arial" w:cs="Arial"/>
          <w:sz w:val="22"/>
          <w:szCs w:val="22"/>
          <w:lang w:eastAsia="en-US"/>
        </w:rPr>
        <w:t>.</w:t>
      </w:r>
      <w:r w:rsidR="00367080">
        <w:rPr>
          <w:rFonts w:ascii="Arial" w:eastAsiaTheme="minorHAnsi" w:hAnsi="Arial" w:cs="Arial"/>
          <w:sz w:val="22"/>
          <w:szCs w:val="22"/>
          <w:lang w:eastAsia="en-US"/>
        </w:rPr>
        <w:t xml:space="preserve"> Our service improvement programme (SIP) is an integral part in this. </w:t>
      </w:r>
      <w:r w:rsidR="004C1D2E" w:rsidRPr="000D2F24">
        <w:rPr>
          <w:rFonts w:ascii="Arial" w:eastAsiaTheme="minorHAnsi" w:hAnsi="Arial" w:cs="Arial"/>
          <w:sz w:val="22"/>
          <w:szCs w:val="22"/>
          <w:lang w:eastAsia="en-US"/>
        </w:rPr>
        <w:t xml:space="preserve"> </w:t>
      </w:r>
    </w:p>
    <w:p w:rsidR="000D2F24" w:rsidRPr="000D2F24" w:rsidRDefault="000D2F24" w:rsidP="000D2F24">
      <w:pPr>
        <w:pStyle w:val="ListParagraph"/>
        <w:rPr>
          <w:rFonts w:ascii="Arial" w:eastAsiaTheme="minorHAnsi" w:hAnsi="Arial" w:cs="Arial"/>
          <w:sz w:val="22"/>
          <w:szCs w:val="22"/>
          <w:lang w:eastAsia="en-US"/>
        </w:rPr>
      </w:pPr>
    </w:p>
    <w:p w:rsidR="00403E01" w:rsidRPr="000D2F24" w:rsidRDefault="00403E01" w:rsidP="006C7396">
      <w:pPr>
        <w:pStyle w:val="ListParagraph"/>
        <w:numPr>
          <w:ilvl w:val="0"/>
          <w:numId w:val="2"/>
        </w:numPr>
        <w:spacing w:after="200" w:line="276" w:lineRule="auto"/>
        <w:rPr>
          <w:rFonts w:ascii="Arial" w:eastAsiaTheme="minorHAnsi" w:hAnsi="Arial" w:cs="Arial"/>
          <w:sz w:val="22"/>
          <w:szCs w:val="22"/>
          <w:lang w:eastAsia="en-US"/>
        </w:rPr>
      </w:pPr>
      <w:r w:rsidRPr="000D2F24">
        <w:rPr>
          <w:rFonts w:ascii="Arial" w:eastAsiaTheme="minorHAnsi" w:hAnsi="Arial" w:cs="Arial"/>
          <w:sz w:val="22"/>
          <w:szCs w:val="22"/>
          <w:lang w:eastAsia="en-US"/>
        </w:rPr>
        <w:t>2017/18 budget has been agreed and requires a further £</w:t>
      </w:r>
      <w:r w:rsidR="00316468">
        <w:rPr>
          <w:rFonts w:ascii="Arial" w:eastAsiaTheme="minorHAnsi" w:hAnsi="Arial" w:cs="Arial"/>
          <w:sz w:val="22"/>
          <w:szCs w:val="22"/>
          <w:lang w:eastAsia="en-US"/>
        </w:rPr>
        <w:t>9</w:t>
      </w:r>
      <w:r w:rsidR="000D2F24" w:rsidRPr="000D2F24">
        <w:rPr>
          <w:rFonts w:ascii="Arial" w:eastAsiaTheme="minorHAnsi" w:hAnsi="Arial" w:cs="Arial"/>
          <w:sz w:val="22"/>
          <w:szCs w:val="22"/>
          <w:lang w:eastAsia="en-US"/>
        </w:rPr>
        <w:t>0</w:t>
      </w:r>
      <w:r w:rsidRPr="000D2F24">
        <w:rPr>
          <w:rFonts w:ascii="Arial" w:eastAsiaTheme="minorHAnsi" w:hAnsi="Arial" w:cs="Arial"/>
          <w:sz w:val="22"/>
          <w:szCs w:val="22"/>
          <w:lang w:eastAsia="en-US"/>
        </w:rPr>
        <w:t xml:space="preserve">k savings to meet our resource allocation. This is achievable although will put pressure on resources </w:t>
      </w:r>
      <w:r w:rsidR="00E56B7E" w:rsidRPr="000D2F24">
        <w:rPr>
          <w:rFonts w:ascii="Arial" w:eastAsiaTheme="minorHAnsi" w:hAnsi="Arial" w:cs="Arial"/>
          <w:sz w:val="22"/>
          <w:szCs w:val="22"/>
          <w:lang w:eastAsia="en-US"/>
        </w:rPr>
        <w:t>for</w:t>
      </w:r>
      <w:r w:rsidRPr="000D2F24">
        <w:rPr>
          <w:rFonts w:ascii="Arial" w:eastAsiaTheme="minorHAnsi" w:hAnsi="Arial" w:cs="Arial"/>
          <w:sz w:val="22"/>
          <w:szCs w:val="22"/>
          <w:lang w:eastAsia="en-US"/>
        </w:rPr>
        <w:t xml:space="preserve"> innovat</w:t>
      </w:r>
      <w:r w:rsidR="00E56B7E" w:rsidRPr="000D2F24">
        <w:rPr>
          <w:rFonts w:ascii="Arial" w:eastAsiaTheme="minorHAnsi" w:hAnsi="Arial" w:cs="Arial"/>
          <w:sz w:val="22"/>
          <w:szCs w:val="22"/>
          <w:lang w:eastAsia="en-US"/>
        </w:rPr>
        <w:t>ion</w:t>
      </w:r>
      <w:r w:rsidRPr="000D2F24">
        <w:rPr>
          <w:rFonts w:ascii="Arial" w:eastAsiaTheme="minorHAnsi" w:hAnsi="Arial" w:cs="Arial"/>
          <w:sz w:val="22"/>
          <w:szCs w:val="22"/>
          <w:lang w:eastAsia="en-US"/>
        </w:rPr>
        <w:t xml:space="preserve"> and </w:t>
      </w:r>
      <w:r w:rsidR="000D2F24" w:rsidRPr="000D2F24">
        <w:rPr>
          <w:rFonts w:ascii="Arial" w:eastAsiaTheme="minorHAnsi" w:hAnsi="Arial" w:cs="Arial"/>
          <w:sz w:val="22"/>
          <w:szCs w:val="22"/>
          <w:lang w:eastAsia="en-US"/>
        </w:rPr>
        <w:t>projects</w:t>
      </w:r>
      <w:r w:rsidRPr="000D2F24">
        <w:rPr>
          <w:rFonts w:ascii="Arial" w:eastAsiaTheme="minorHAnsi" w:hAnsi="Arial" w:cs="Arial"/>
          <w:sz w:val="22"/>
          <w:szCs w:val="22"/>
          <w:lang w:eastAsia="en-US"/>
        </w:rPr>
        <w:t xml:space="preserve">. </w:t>
      </w:r>
      <w:r w:rsidR="001B0417">
        <w:rPr>
          <w:rFonts w:ascii="Arial" w:eastAsiaTheme="minorHAnsi" w:hAnsi="Arial" w:cs="Arial"/>
          <w:sz w:val="22"/>
          <w:szCs w:val="22"/>
          <w:lang w:eastAsia="en-US"/>
        </w:rPr>
        <w:t>To address this w</w:t>
      </w:r>
      <w:r w:rsidRPr="000D2F24">
        <w:rPr>
          <w:rFonts w:ascii="Arial" w:eastAsiaTheme="minorHAnsi" w:hAnsi="Arial" w:cs="Arial"/>
          <w:sz w:val="22"/>
          <w:szCs w:val="22"/>
          <w:lang w:eastAsia="en-US"/>
        </w:rPr>
        <w:t xml:space="preserve">e are developing initiatives including a savings plan and business case to DH’s transformation pot to create sufficient </w:t>
      </w:r>
      <w:r w:rsidR="001B0417">
        <w:rPr>
          <w:rFonts w:ascii="Arial" w:eastAsiaTheme="minorHAnsi" w:hAnsi="Arial" w:cs="Arial"/>
          <w:sz w:val="22"/>
          <w:szCs w:val="22"/>
          <w:lang w:eastAsia="en-US"/>
        </w:rPr>
        <w:t xml:space="preserve">financial </w:t>
      </w:r>
      <w:r w:rsidRPr="000D2F24">
        <w:rPr>
          <w:rFonts w:ascii="Arial" w:eastAsiaTheme="minorHAnsi" w:hAnsi="Arial" w:cs="Arial"/>
          <w:sz w:val="22"/>
          <w:szCs w:val="22"/>
          <w:lang w:eastAsia="en-US"/>
        </w:rPr>
        <w:t>capacity</w:t>
      </w:r>
      <w:r w:rsidR="001B0417">
        <w:rPr>
          <w:rFonts w:ascii="Arial" w:eastAsiaTheme="minorHAnsi" w:hAnsi="Arial" w:cs="Arial"/>
          <w:sz w:val="22"/>
          <w:szCs w:val="22"/>
          <w:lang w:eastAsia="en-US"/>
        </w:rPr>
        <w:t xml:space="preserve"> despite reducing budgets. </w:t>
      </w:r>
    </w:p>
    <w:p w:rsidR="00423AEF" w:rsidRPr="00423AEF" w:rsidRDefault="00423AEF" w:rsidP="00423AEF">
      <w:pPr>
        <w:pStyle w:val="ListParagraph"/>
        <w:rPr>
          <w:rFonts w:ascii="Arial" w:eastAsiaTheme="minorHAnsi" w:hAnsi="Arial" w:cs="Arial"/>
          <w:sz w:val="22"/>
          <w:szCs w:val="22"/>
          <w:lang w:eastAsia="en-US"/>
        </w:rPr>
      </w:pPr>
    </w:p>
    <w:p w:rsidR="00423AEF" w:rsidRPr="00386ED9" w:rsidRDefault="00386ED9" w:rsidP="00386ED9">
      <w:pPr>
        <w:pStyle w:val="ListParagraph"/>
        <w:numPr>
          <w:ilvl w:val="0"/>
          <w:numId w:val="24"/>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The HRA</w:t>
      </w:r>
      <w:r w:rsidRPr="00386ED9">
        <w:rPr>
          <w:rFonts w:ascii="Arial" w:eastAsiaTheme="minorHAnsi" w:hAnsi="Arial" w:cs="Arial"/>
          <w:sz w:val="22"/>
          <w:szCs w:val="22"/>
          <w:lang w:eastAsia="en-US"/>
        </w:rPr>
        <w:t xml:space="preserve"> </w:t>
      </w:r>
      <w:r w:rsidRPr="006C7396">
        <w:rPr>
          <w:rFonts w:ascii="Arial" w:eastAsiaTheme="minorHAnsi" w:hAnsi="Arial" w:cs="Arial"/>
          <w:sz w:val="22"/>
          <w:szCs w:val="22"/>
          <w:lang w:eastAsia="en-US"/>
        </w:rPr>
        <w:t>continued to meet its regulatory requirements in paying invoices</w:t>
      </w:r>
      <w:r w:rsidR="001B0417">
        <w:rPr>
          <w:rFonts w:ascii="Arial" w:eastAsiaTheme="minorHAnsi" w:hAnsi="Arial" w:cs="Arial"/>
          <w:sz w:val="22"/>
          <w:szCs w:val="22"/>
          <w:lang w:eastAsia="en-US"/>
        </w:rPr>
        <w:t xml:space="preserve"> quickly</w:t>
      </w:r>
    </w:p>
    <w:p w:rsidR="00195D4C" w:rsidRDefault="00B325BB" w:rsidP="00B62D6B">
      <w:pPr>
        <w:jc w:val="both"/>
        <w:rPr>
          <w:rFonts w:ascii="Arial" w:hAnsi="Arial" w:cs="Arial"/>
          <w:b/>
          <w:sz w:val="22"/>
          <w:szCs w:val="22"/>
        </w:rPr>
      </w:pPr>
      <w:r>
        <w:rPr>
          <w:rFonts w:ascii="Arial" w:hAnsi="Arial" w:cs="Arial"/>
          <w:b/>
          <w:sz w:val="22"/>
          <w:szCs w:val="22"/>
        </w:rPr>
        <w:t>Revenue f</w:t>
      </w:r>
      <w:r w:rsidR="00B62D6B">
        <w:rPr>
          <w:rFonts w:ascii="Arial" w:hAnsi="Arial" w:cs="Arial"/>
          <w:b/>
          <w:sz w:val="22"/>
          <w:szCs w:val="22"/>
        </w:rPr>
        <w:t xml:space="preserve">inancial performance </w:t>
      </w:r>
      <w:r w:rsidR="000D2F24">
        <w:rPr>
          <w:rFonts w:ascii="Arial" w:hAnsi="Arial" w:cs="Arial"/>
          <w:b/>
          <w:sz w:val="22"/>
          <w:szCs w:val="22"/>
        </w:rPr>
        <w:t>for</w:t>
      </w:r>
      <w:r w:rsidR="00B62D6B">
        <w:rPr>
          <w:rFonts w:ascii="Arial" w:hAnsi="Arial" w:cs="Arial"/>
          <w:b/>
          <w:sz w:val="22"/>
          <w:szCs w:val="22"/>
        </w:rPr>
        <w:t xml:space="preserve"> </w:t>
      </w:r>
      <w:r w:rsidR="000D2F24">
        <w:rPr>
          <w:rFonts w:ascii="Arial" w:hAnsi="Arial" w:cs="Arial"/>
          <w:b/>
          <w:sz w:val="22"/>
          <w:szCs w:val="22"/>
        </w:rPr>
        <w:t xml:space="preserve">the year-ended </w:t>
      </w:r>
      <w:r w:rsidR="00810820">
        <w:rPr>
          <w:rFonts w:ascii="Arial" w:hAnsi="Arial" w:cs="Arial"/>
          <w:b/>
          <w:sz w:val="22"/>
          <w:szCs w:val="22"/>
        </w:rPr>
        <w:t>3</w:t>
      </w:r>
      <w:r w:rsidR="00423AEF">
        <w:rPr>
          <w:rFonts w:ascii="Arial" w:hAnsi="Arial" w:cs="Arial"/>
          <w:b/>
          <w:sz w:val="22"/>
          <w:szCs w:val="22"/>
        </w:rPr>
        <w:t>1</w:t>
      </w:r>
      <w:r w:rsidR="00810820">
        <w:rPr>
          <w:rFonts w:ascii="Arial" w:hAnsi="Arial" w:cs="Arial"/>
          <w:b/>
          <w:sz w:val="22"/>
          <w:szCs w:val="22"/>
        </w:rPr>
        <w:t xml:space="preserve"> </w:t>
      </w:r>
      <w:r w:rsidR="00403E01">
        <w:rPr>
          <w:rFonts w:ascii="Arial" w:hAnsi="Arial" w:cs="Arial"/>
          <w:b/>
          <w:sz w:val="22"/>
          <w:szCs w:val="22"/>
        </w:rPr>
        <w:t>March</w:t>
      </w:r>
      <w:r w:rsidR="00736CB7">
        <w:rPr>
          <w:rFonts w:ascii="Arial" w:hAnsi="Arial" w:cs="Arial"/>
          <w:b/>
          <w:sz w:val="22"/>
          <w:szCs w:val="22"/>
        </w:rPr>
        <w:t xml:space="preserve"> </w:t>
      </w:r>
      <w:r w:rsidR="00B62D6B">
        <w:rPr>
          <w:rFonts w:ascii="Arial" w:hAnsi="Arial" w:cs="Arial"/>
          <w:b/>
          <w:sz w:val="22"/>
          <w:szCs w:val="22"/>
        </w:rPr>
        <w:t>201</w:t>
      </w:r>
      <w:r w:rsidR="00423AEF">
        <w:rPr>
          <w:rFonts w:ascii="Arial" w:hAnsi="Arial" w:cs="Arial"/>
          <w:b/>
          <w:sz w:val="22"/>
          <w:szCs w:val="22"/>
        </w:rPr>
        <w:t>7</w:t>
      </w:r>
      <w:r w:rsidR="00AD76CF" w:rsidRPr="00AD76CF">
        <w:rPr>
          <w:rFonts w:ascii="Arial" w:hAnsi="Arial" w:cs="Arial"/>
          <w:b/>
          <w:sz w:val="22"/>
          <w:szCs w:val="22"/>
        </w:rPr>
        <w:t xml:space="preserve"> </w:t>
      </w:r>
    </w:p>
    <w:p w:rsidR="000D2F24" w:rsidRPr="00195D4C" w:rsidRDefault="000D2F24" w:rsidP="00B62D6B">
      <w:pPr>
        <w:jc w:val="both"/>
        <w:rPr>
          <w:rFonts w:ascii="Arial" w:hAnsi="Arial" w:cs="Arial"/>
          <w:b/>
          <w:sz w:val="22"/>
          <w:szCs w:val="22"/>
        </w:rPr>
      </w:pPr>
    </w:p>
    <w:tbl>
      <w:tblPr>
        <w:tblW w:w="10200" w:type="dxa"/>
        <w:tblInd w:w="108" w:type="dxa"/>
        <w:tblLook w:val="04A0" w:firstRow="1" w:lastRow="0" w:firstColumn="1" w:lastColumn="0" w:noHBand="0" w:noVBand="1"/>
      </w:tblPr>
      <w:tblGrid>
        <w:gridCol w:w="3374"/>
        <w:gridCol w:w="319"/>
        <w:gridCol w:w="1138"/>
        <w:gridCol w:w="1406"/>
        <w:gridCol w:w="1350"/>
        <w:gridCol w:w="336"/>
        <w:gridCol w:w="959"/>
        <w:gridCol w:w="1318"/>
      </w:tblGrid>
      <w:tr w:rsidR="000D2F24" w:rsidRPr="000D2F24" w:rsidTr="00C80EBC">
        <w:trPr>
          <w:trHeight w:val="300"/>
        </w:trPr>
        <w:tc>
          <w:tcPr>
            <w:tcW w:w="3374" w:type="dxa"/>
            <w:tcBorders>
              <w:left w:val="nil"/>
              <w:bottom w:val="nil"/>
            </w:tcBorders>
            <w:shd w:val="clear" w:color="auto" w:fill="95B3D7" w:themeFill="accent1" w:themeFillTint="99"/>
            <w:vAlign w:val="center"/>
            <w:hideMark/>
          </w:tcPr>
          <w:p w:rsidR="000D2F24" w:rsidRPr="00C80EBC" w:rsidRDefault="000D2F24" w:rsidP="000D2F24">
            <w:pPr>
              <w:jc w:val="center"/>
              <w:rPr>
                <w:rFonts w:ascii="Arial" w:hAnsi="Arial" w:cs="Arial"/>
                <w:b/>
                <w:bCs/>
                <w:color w:val="FFFFFF" w:themeColor="background1"/>
                <w:sz w:val="20"/>
                <w:szCs w:val="20"/>
              </w:rPr>
            </w:pPr>
            <w:r w:rsidRPr="00C80EBC">
              <w:rPr>
                <w:rFonts w:ascii="Arial" w:hAnsi="Arial" w:cs="Arial"/>
                <w:b/>
                <w:bCs/>
                <w:color w:val="FFFFFF" w:themeColor="background1"/>
                <w:sz w:val="20"/>
                <w:szCs w:val="20"/>
              </w:rPr>
              <w:t> </w:t>
            </w:r>
          </w:p>
        </w:tc>
        <w:tc>
          <w:tcPr>
            <w:tcW w:w="319" w:type="dxa"/>
            <w:tcBorders>
              <w:bottom w:val="nil"/>
            </w:tcBorders>
            <w:shd w:val="clear" w:color="auto" w:fill="95B3D7" w:themeFill="accent1" w:themeFillTint="99"/>
            <w:vAlign w:val="center"/>
            <w:hideMark/>
          </w:tcPr>
          <w:p w:rsidR="000D2F24" w:rsidRPr="00C80EBC" w:rsidRDefault="000D2F24" w:rsidP="000D2F24">
            <w:pPr>
              <w:jc w:val="center"/>
              <w:rPr>
                <w:rFonts w:ascii="Arial" w:hAnsi="Arial" w:cs="Arial"/>
                <w:b/>
                <w:bCs/>
                <w:color w:val="FFFFFF" w:themeColor="background1"/>
                <w:sz w:val="20"/>
                <w:szCs w:val="20"/>
              </w:rPr>
            </w:pPr>
          </w:p>
        </w:tc>
        <w:tc>
          <w:tcPr>
            <w:tcW w:w="3894" w:type="dxa"/>
            <w:gridSpan w:val="3"/>
            <w:tcBorders>
              <w:bottom w:val="nil"/>
            </w:tcBorders>
            <w:shd w:val="clear" w:color="auto" w:fill="95B3D7" w:themeFill="accent1" w:themeFillTint="99"/>
            <w:vAlign w:val="center"/>
            <w:hideMark/>
          </w:tcPr>
          <w:p w:rsidR="000D2F24" w:rsidRPr="00C80EBC" w:rsidRDefault="000D2F24" w:rsidP="000D2F24">
            <w:pPr>
              <w:jc w:val="center"/>
              <w:rPr>
                <w:rFonts w:ascii="Arial" w:hAnsi="Arial" w:cs="Arial"/>
                <w:b/>
                <w:bCs/>
                <w:color w:val="FFFFFF" w:themeColor="background1"/>
                <w:sz w:val="20"/>
                <w:szCs w:val="20"/>
              </w:rPr>
            </w:pPr>
            <w:r w:rsidRPr="00C80EBC">
              <w:rPr>
                <w:rFonts w:ascii="Arial" w:hAnsi="Arial" w:cs="Arial"/>
                <w:b/>
                <w:bCs/>
                <w:color w:val="FFFFFF" w:themeColor="background1"/>
                <w:sz w:val="20"/>
                <w:szCs w:val="20"/>
              </w:rPr>
              <w:t>Full Year 2016/17 £000</w:t>
            </w:r>
          </w:p>
        </w:tc>
        <w:tc>
          <w:tcPr>
            <w:tcW w:w="336" w:type="dxa"/>
            <w:tcBorders>
              <w:bottom w:val="nil"/>
            </w:tcBorders>
            <w:shd w:val="clear" w:color="auto" w:fill="95B3D7" w:themeFill="accent1" w:themeFillTint="99"/>
            <w:noWrap/>
            <w:vAlign w:val="bottom"/>
            <w:hideMark/>
          </w:tcPr>
          <w:p w:rsidR="000D2F24" w:rsidRPr="00C80EBC" w:rsidRDefault="000D2F24" w:rsidP="000D2F24">
            <w:pPr>
              <w:rPr>
                <w:rFonts w:ascii="Calibri" w:hAnsi="Calibri" w:cs="Calibri"/>
                <w:color w:val="FFFFFF" w:themeColor="background1"/>
                <w:sz w:val="20"/>
                <w:szCs w:val="20"/>
              </w:rPr>
            </w:pPr>
          </w:p>
        </w:tc>
        <w:tc>
          <w:tcPr>
            <w:tcW w:w="2277" w:type="dxa"/>
            <w:gridSpan w:val="2"/>
            <w:tcBorders>
              <w:bottom w:val="nil"/>
              <w:right w:val="nil"/>
            </w:tcBorders>
            <w:shd w:val="clear" w:color="auto" w:fill="95B3D7" w:themeFill="accent1" w:themeFillTint="99"/>
            <w:vAlign w:val="center"/>
            <w:hideMark/>
          </w:tcPr>
          <w:p w:rsidR="000D2F24" w:rsidRPr="00C80EBC" w:rsidRDefault="000D2F24" w:rsidP="000D2F24">
            <w:pPr>
              <w:jc w:val="center"/>
              <w:rPr>
                <w:rFonts w:ascii="Arial" w:hAnsi="Arial" w:cs="Arial"/>
                <w:b/>
                <w:bCs/>
                <w:color w:val="FFFFFF" w:themeColor="background1"/>
                <w:sz w:val="20"/>
                <w:szCs w:val="20"/>
              </w:rPr>
            </w:pPr>
            <w:r w:rsidRPr="00C80EBC">
              <w:rPr>
                <w:rFonts w:ascii="Arial" w:hAnsi="Arial" w:cs="Arial"/>
                <w:b/>
                <w:bCs/>
                <w:color w:val="FFFFFF" w:themeColor="background1"/>
                <w:sz w:val="20"/>
                <w:szCs w:val="20"/>
              </w:rPr>
              <w:t>FY 2015/16 £000</w:t>
            </w:r>
          </w:p>
        </w:tc>
      </w:tr>
      <w:tr w:rsidR="000D2F24" w:rsidRPr="000D2F24" w:rsidTr="00C80EBC">
        <w:trPr>
          <w:trHeight w:val="588"/>
        </w:trPr>
        <w:tc>
          <w:tcPr>
            <w:tcW w:w="3374" w:type="dxa"/>
            <w:tcBorders>
              <w:top w:val="nil"/>
              <w:left w:val="nil"/>
            </w:tcBorders>
            <w:shd w:val="clear" w:color="auto" w:fill="95B3D7" w:themeFill="accent1" w:themeFillTint="99"/>
            <w:vAlign w:val="center"/>
            <w:hideMark/>
          </w:tcPr>
          <w:p w:rsidR="000D2F24" w:rsidRPr="00C80EBC" w:rsidRDefault="000D2F24" w:rsidP="000D2F24">
            <w:pPr>
              <w:jc w:val="cente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Income</w:t>
            </w:r>
          </w:p>
        </w:tc>
        <w:tc>
          <w:tcPr>
            <w:tcW w:w="319" w:type="dxa"/>
            <w:tcBorders>
              <w:top w:val="nil"/>
            </w:tcBorders>
            <w:shd w:val="clear" w:color="auto" w:fill="95B3D7" w:themeFill="accent1" w:themeFillTint="99"/>
            <w:vAlign w:val="center"/>
            <w:hideMark/>
          </w:tcPr>
          <w:p w:rsidR="000D2F24" w:rsidRPr="00C80EBC" w:rsidRDefault="000D2F24" w:rsidP="000D2F24">
            <w:pPr>
              <w:jc w:val="center"/>
              <w:rPr>
                <w:rFonts w:ascii="Calibri" w:hAnsi="Calibri" w:cs="Calibri"/>
                <w:b/>
                <w:bCs/>
                <w:color w:val="FFFFFF" w:themeColor="background1"/>
                <w:sz w:val="22"/>
                <w:szCs w:val="22"/>
              </w:rPr>
            </w:pPr>
          </w:p>
        </w:tc>
        <w:tc>
          <w:tcPr>
            <w:tcW w:w="1138" w:type="dxa"/>
            <w:tcBorders>
              <w:top w:val="nil"/>
            </w:tcBorders>
            <w:shd w:val="clear" w:color="auto" w:fill="95B3D7" w:themeFill="accent1" w:themeFillTint="99"/>
            <w:vAlign w:val="center"/>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Budget</w:t>
            </w:r>
          </w:p>
        </w:tc>
        <w:tc>
          <w:tcPr>
            <w:tcW w:w="1406" w:type="dxa"/>
            <w:tcBorders>
              <w:top w:val="nil"/>
            </w:tcBorders>
            <w:shd w:val="clear" w:color="auto" w:fill="95B3D7" w:themeFill="accent1" w:themeFillTint="99"/>
            <w:vAlign w:val="center"/>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Actual</w:t>
            </w:r>
          </w:p>
        </w:tc>
        <w:tc>
          <w:tcPr>
            <w:tcW w:w="1350" w:type="dxa"/>
            <w:tcBorders>
              <w:top w:val="nil"/>
            </w:tcBorders>
            <w:shd w:val="clear" w:color="auto" w:fill="95B3D7" w:themeFill="accent1" w:themeFillTint="99"/>
            <w:vAlign w:val="center"/>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Variance vs budget</w:t>
            </w:r>
          </w:p>
        </w:tc>
        <w:tc>
          <w:tcPr>
            <w:tcW w:w="336" w:type="dxa"/>
            <w:tcBorders>
              <w:top w:val="nil"/>
            </w:tcBorders>
            <w:shd w:val="clear" w:color="auto" w:fill="95B3D7" w:themeFill="accent1" w:themeFillTint="99"/>
            <w:noWrap/>
            <w:vAlign w:val="bottom"/>
            <w:hideMark/>
          </w:tcPr>
          <w:p w:rsidR="000D2F24" w:rsidRPr="00C80EBC" w:rsidRDefault="000D2F24" w:rsidP="000D2F24">
            <w:pPr>
              <w:rPr>
                <w:rFonts w:ascii="Calibri" w:hAnsi="Calibri" w:cs="Calibri"/>
                <w:color w:val="FFFFFF" w:themeColor="background1"/>
                <w:sz w:val="22"/>
                <w:szCs w:val="22"/>
              </w:rPr>
            </w:pPr>
          </w:p>
        </w:tc>
        <w:tc>
          <w:tcPr>
            <w:tcW w:w="959" w:type="dxa"/>
            <w:tcBorders>
              <w:top w:val="nil"/>
            </w:tcBorders>
            <w:shd w:val="clear" w:color="auto" w:fill="95B3D7" w:themeFill="accent1" w:themeFillTint="99"/>
            <w:vAlign w:val="center"/>
            <w:hideMark/>
          </w:tcPr>
          <w:p w:rsidR="000D2F24" w:rsidRPr="00C80EBC" w:rsidRDefault="000D2F24" w:rsidP="000D2F24">
            <w:pPr>
              <w:jc w:val="cente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Actual</w:t>
            </w:r>
          </w:p>
        </w:tc>
        <w:tc>
          <w:tcPr>
            <w:tcW w:w="1318" w:type="dxa"/>
            <w:tcBorders>
              <w:top w:val="nil"/>
            </w:tcBorders>
            <w:shd w:val="clear" w:color="auto" w:fill="95B3D7" w:themeFill="accent1" w:themeFillTint="99"/>
            <w:vAlign w:val="center"/>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Variance vs 2016/17</w:t>
            </w:r>
          </w:p>
        </w:tc>
      </w:tr>
      <w:tr w:rsidR="000D2F24" w:rsidRPr="000D2F24" w:rsidTr="00C80EBC">
        <w:trPr>
          <w:trHeight w:val="300"/>
        </w:trPr>
        <w:tc>
          <w:tcPr>
            <w:tcW w:w="3374" w:type="dxa"/>
            <w:tcBorders>
              <w:left w:val="single" w:sz="8" w:space="0" w:color="FFFFFF"/>
              <w:bottom w:val="single" w:sz="8" w:space="0" w:color="FFFFFF"/>
              <w:right w:val="single" w:sz="8" w:space="0" w:color="FFFFFF"/>
            </w:tcBorders>
            <w:shd w:val="clear" w:color="auto" w:fill="auto"/>
            <w:vAlign w:val="bottom"/>
            <w:hideMark/>
          </w:tcPr>
          <w:p w:rsidR="000D2F24" w:rsidRPr="000D2F24" w:rsidRDefault="000D2F24" w:rsidP="000D2F24">
            <w:pPr>
              <w:rPr>
                <w:rFonts w:ascii="Calibri" w:hAnsi="Calibri" w:cs="Calibri"/>
                <w:color w:val="000000"/>
                <w:sz w:val="22"/>
                <w:szCs w:val="22"/>
              </w:rPr>
            </w:pPr>
            <w:r w:rsidRPr="000D2F24">
              <w:rPr>
                <w:rFonts w:ascii="Calibri" w:hAnsi="Calibri" w:cs="Calibri"/>
                <w:color w:val="000000"/>
                <w:sz w:val="22"/>
                <w:szCs w:val="22"/>
              </w:rPr>
              <w:t>HRA income</w:t>
            </w:r>
          </w:p>
        </w:tc>
        <w:tc>
          <w:tcPr>
            <w:tcW w:w="319" w:type="dxa"/>
            <w:tcBorders>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1138" w:type="dxa"/>
            <w:tcBorders>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176</w:t>
            </w:r>
          </w:p>
        </w:tc>
        <w:tc>
          <w:tcPr>
            <w:tcW w:w="1406" w:type="dxa"/>
            <w:tcBorders>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181</w:t>
            </w:r>
          </w:p>
        </w:tc>
        <w:tc>
          <w:tcPr>
            <w:tcW w:w="1350" w:type="dxa"/>
            <w:tcBorders>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5</w:t>
            </w:r>
          </w:p>
        </w:tc>
        <w:tc>
          <w:tcPr>
            <w:tcW w:w="336" w:type="dxa"/>
            <w:tcBorders>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959" w:type="dxa"/>
            <w:tcBorders>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198</w:t>
            </w:r>
          </w:p>
        </w:tc>
        <w:tc>
          <w:tcPr>
            <w:tcW w:w="1318" w:type="dxa"/>
            <w:tcBorders>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(17)</w:t>
            </w:r>
          </w:p>
        </w:tc>
      </w:tr>
      <w:tr w:rsidR="000D2F24" w:rsidRPr="000D2F24" w:rsidTr="00C80EBC">
        <w:trPr>
          <w:trHeight w:val="300"/>
        </w:trPr>
        <w:tc>
          <w:tcPr>
            <w:tcW w:w="3374" w:type="dxa"/>
            <w:tcBorders>
              <w:top w:val="nil"/>
              <w:left w:val="single" w:sz="8" w:space="0" w:color="FFFFFF"/>
              <w:bottom w:val="single" w:sz="8" w:space="0" w:color="FFFFFF"/>
              <w:right w:val="single" w:sz="8" w:space="0" w:color="FFFFFF"/>
            </w:tcBorders>
            <w:shd w:val="clear" w:color="auto" w:fill="auto"/>
            <w:vAlign w:val="bottom"/>
            <w:hideMark/>
          </w:tcPr>
          <w:p w:rsidR="000D2F24" w:rsidRPr="000D2F24" w:rsidRDefault="000D2F24" w:rsidP="000D2F24">
            <w:pPr>
              <w:rPr>
                <w:rFonts w:ascii="Calibri" w:hAnsi="Calibri" w:cs="Calibri"/>
                <w:color w:val="000000"/>
                <w:sz w:val="22"/>
                <w:szCs w:val="22"/>
              </w:rPr>
            </w:pPr>
            <w:r w:rsidRPr="000D2F24">
              <w:rPr>
                <w:rFonts w:ascii="Calibri" w:hAnsi="Calibri" w:cs="Calibri"/>
                <w:color w:val="000000"/>
                <w:sz w:val="22"/>
                <w:szCs w:val="22"/>
              </w:rPr>
              <w:t>Grant in Aid confirmed</w:t>
            </w:r>
          </w:p>
        </w:tc>
        <w:tc>
          <w:tcPr>
            <w:tcW w:w="319"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12,629</w:t>
            </w:r>
          </w:p>
        </w:tc>
        <w:tc>
          <w:tcPr>
            <w:tcW w:w="1406"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12,341</w:t>
            </w:r>
          </w:p>
        </w:tc>
        <w:tc>
          <w:tcPr>
            <w:tcW w:w="1350"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(288)</w:t>
            </w:r>
          </w:p>
        </w:tc>
        <w:tc>
          <w:tcPr>
            <w:tcW w:w="336"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12,509</w:t>
            </w:r>
          </w:p>
        </w:tc>
        <w:tc>
          <w:tcPr>
            <w:tcW w:w="1318"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(168)</w:t>
            </w:r>
          </w:p>
        </w:tc>
      </w:tr>
      <w:tr w:rsidR="000D2F24" w:rsidRPr="000D2F24" w:rsidTr="00C80EBC">
        <w:trPr>
          <w:trHeight w:val="288"/>
        </w:trPr>
        <w:tc>
          <w:tcPr>
            <w:tcW w:w="3374" w:type="dxa"/>
            <w:tcBorders>
              <w:top w:val="nil"/>
              <w:left w:val="single" w:sz="8" w:space="0" w:color="FFFFFF"/>
              <w:bottom w:val="nil"/>
              <w:right w:val="single" w:sz="8" w:space="0" w:color="FFFFFF"/>
            </w:tcBorders>
            <w:shd w:val="clear" w:color="auto" w:fill="auto"/>
            <w:vAlign w:val="bottom"/>
            <w:hideMark/>
          </w:tcPr>
          <w:p w:rsidR="000D2F24" w:rsidRPr="000D2F24" w:rsidRDefault="000D2F24" w:rsidP="000D2F24">
            <w:pPr>
              <w:rPr>
                <w:rFonts w:ascii="Calibri" w:hAnsi="Calibri" w:cs="Calibri"/>
                <w:color w:val="000000"/>
                <w:sz w:val="22"/>
                <w:szCs w:val="22"/>
              </w:rPr>
            </w:pPr>
            <w:r w:rsidRPr="000D2F24">
              <w:rPr>
                <w:rFonts w:ascii="Calibri" w:hAnsi="Calibri" w:cs="Calibri"/>
                <w:color w:val="000000"/>
                <w:sz w:val="22"/>
                <w:szCs w:val="22"/>
              </w:rPr>
              <w:t>Non cash revenue (depreciation)</w:t>
            </w:r>
          </w:p>
        </w:tc>
        <w:tc>
          <w:tcPr>
            <w:tcW w:w="319"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450</w:t>
            </w:r>
          </w:p>
        </w:tc>
        <w:tc>
          <w:tcPr>
            <w:tcW w:w="1406"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410</w:t>
            </w:r>
          </w:p>
        </w:tc>
        <w:tc>
          <w:tcPr>
            <w:tcW w:w="1350"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(40)</w:t>
            </w:r>
          </w:p>
        </w:tc>
        <w:tc>
          <w:tcPr>
            <w:tcW w:w="336"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253</w:t>
            </w:r>
          </w:p>
        </w:tc>
        <w:tc>
          <w:tcPr>
            <w:tcW w:w="1318"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157</w:t>
            </w:r>
          </w:p>
        </w:tc>
      </w:tr>
      <w:tr w:rsidR="000D2F24" w:rsidRPr="000D2F24" w:rsidTr="00C80EBC">
        <w:trPr>
          <w:trHeight w:val="288"/>
        </w:trPr>
        <w:tc>
          <w:tcPr>
            <w:tcW w:w="3374" w:type="dxa"/>
            <w:tcBorders>
              <w:top w:val="nil"/>
              <w:left w:val="single" w:sz="8" w:space="0" w:color="FFFFFF"/>
              <w:bottom w:val="nil"/>
              <w:right w:val="single" w:sz="8" w:space="0" w:color="FFFFFF"/>
            </w:tcBorders>
            <w:shd w:val="clear" w:color="auto" w:fill="365F91" w:themeFill="accent1" w:themeFillShade="BF"/>
            <w:vAlign w:val="bottom"/>
            <w:hideMark/>
          </w:tcPr>
          <w:p w:rsidR="000D2F24" w:rsidRPr="00C80EBC" w:rsidRDefault="000D2F24" w:rsidP="000D2F24">
            <w:pP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 xml:space="preserve"> </w:t>
            </w:r>
            <w:r w:rsidRPr="00C80EBC">
              <w:rPr>
                <w:rFonts w:ascii="Calibri" w:hAnsi="Calibri" w:cs="Calibri"/>
                <w:b/>
                <w:bCs/>
                <w:color w:val="FFFFFF" w:themeColor="background1"/>
                <w:sz w:val="22"/>
                <w:szCs w:val="22"/>
                <w:shd w:val="clear" w:color="auto" w:fill="365F91" w:themeFill="accent1" w:themeFillShade="BF"/>
              </w:rPr>
              <w:t>Total Income</w:t>
            </w:r>
          </w:p>
        </w:tc>
        <w:tc>
          <w:tcPr>
            <w:tcW w:w="319"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 </w:t>
            </w:r>
          </w:p>
        </w:tc>
        <w:tc>
          <w:tcPr>
            <w:tcW w:w="1138"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13,255</w:t>
            </w:r>
          </w:p>
        </w:tc>
        <w:tc>
          <w:tcPr>
            <w:tcW w:w="1406"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12,932</w:t>
            </w:r>
          </w:p>
        </w:tc>
        <w:tc>
          <w:tcPr>
            <w:tcW w:w="1350"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(323)</w:t>
            </w:r>
          </w:p>
        </w:tc>
        <w:tc>
          <w:tcPr>
            <w:tcW w:w="336" w:type="dxa"/>
            <w:tcBorders>
              <w:top w:val="nil"/>
              <w:left w:val="nil"/>
              <w:bottom w:val="nil"/>
              <w:right w:val="nil"/>
            </w:tcBorders>
            <w:shd w:val="clear" w:color="auto" w:fill="365F91" w:themeFill="accent1" w:themeFillShade="BF"/>
            <w:noWrap/>
            <w:vAlign w:val="bottom"/>
            <w:hideMark/>
          </w:tcPr>
          <w:p w:rsidR="000D2F24" w:rsidRPr="00C80EBC" w:rsidRDefault="000D2F24" w:rsidP="000D2F24">
            <w:pPr>
              <w:rPr>
                <w:rFonts w:ascii="Calibri" w:hAnsi="Calibri" w:cs="Calibri"/>
                <w:color w:val="FFFFFF" w:themeColor="background1"/>
                <w:sz w:val="22"/>
                <w:szCs w:val="22"/>
              </w:rPr>
            </w:pPr>
          </w:p>
        </w:tc>
        <w:tc>
          <w:tcPr>
            <w:tcW w:w="959" w:type="dxa"/>
            <w:tcBorders>
              <w:top w:val="nil"/>
              <w:left w:val="single" w:sz="8" w:space="0" w:color="FFFFFF"/>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12,960</w:t>
            </w:r>
          </w:p>
        </w:tc>
        <w:tc>
          <w:tcPr>
            <w:tcW w:w="1318"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(28)</w:t>
            </w:r>
          </w:p>
        </w:tc>
      </w:tr>
      <w:tr w:rsidR="000D2F24" w:rsidRPr="000D2F24" w:rsidTr="00C80EBC">
        <w:trPr>
          <w:trHeight w:val="288"/>
        </w:trPr>
        <w:tc>
          <w:tcPr>
            <w:tcW w:w="3374" w:type="dxa"/>
            <w:tcBorders>
              <w:top w:val="nil"/>
              <w:left w:val="nil"/>
              <w:right w:val="nil"/>
            </w:tcBorders>
            <w:shd w:val="clear" w:color="auto" w:fill="auto"/>
            <w:vAlign w:val="bottom"/>
            <w:hideMark/>
          </w:tcPr>
          <w:p w:rsidR="000D2F24" w:rsidRPr="000D2F24" w:rsidRDefault="000D2F24" w:rsidP="000D2F24">
            <w:pPr>
              <w:rPr>
                <w:rFonts w:ascii="Arial" w:hAnsi="Arial" w:cs="Arial"/>
                <w:b/>
                <w:bCs/>
                <w:color w:val="000000"/>
                <w:sz w:val="18"/>
                <w:szCs w:val="18"/>
              </w:rPr>
            </w:pPr>
          </w:p>
        </w:tc>
        <w:tc>
          <w:tcPr>
            <w:tcW w:w="319" w:type="dxa"/>
            <w:tcBorders>
              <w:top w:val="nil"/>
              <w:left w:val="nil"/>
              <w:right w:val="nil"/>
            </w:tcBorders>
            <w:shd w:val="clear" w:color="auto" w:fill="auto"/>
            <w:vAlign w:val="bottom"/>
            <w:hideMark/>
          </w:tcPr>
          <w:p w:rsidR="000D2F24" w:rsidRPr="000D2F24" w:rsidRDefault="000D2F24" w:rsidP="000D2F24">
            <w:pPr>
              <w:jc w:val="right"/>
              <w:rPr>
                <w:rFonts w:ascii="Arial" w:hAnsi="Arial" w:cs="Arial"/>
                <w:b/>
                <w:bCs/>
                <w:color w:val="000000"/>
                <w:sz w:val="18"/>
                <w:szCs w:val="18"/>
              </w:rPr>
            </w:pPr>
          </w:p>
        </w:tc>
        <w:tc>
          <w:tcPr>
            <w:tcW w:w="1138" w:type="dxa"/>
            <w:tcBorders>
              <w:top w:val="nil"/>
              <w:left w:val="nil"/>
              <w:right w:val="nil"/>
            </w:tcBorders>
            <w:shd w:val="clear" w:color="auto" w:fill="auto"/>
            <w:vAlign w:val="bottom"/>
            <w:hideMark/>
          </w:tcPr>
          <w:p w:rsidR="000D2F24" w:rsidRPr="000D2F24" w:rsidRDefault="000D2F24" w:rsidP="000D2F24">
            <w:pPr>
              <w:jc w:val="right"/>
              <w:rPr>
                <w:rFonts w:ascii="Arial" w:hAnsi="Arial" w:cs="Arial"/>
                <w:b/>
                <w:bCs/>
                <w:color w:val="000000"/>
                <w:sz w:val="18"/>
                <w:szCs w:val="18"/>
              </w:rPr>
            </w:pPr>
          </w:p>
        </w:tc>
        <w:tc>
          <w:tcPr>
            <w:tcW w:w="1406" w:type="dxa"/>
            <w:tcBorders>
              <w:top w:val="nil"/>
              <w:left w:val="nil"/>
              <w:right w:val="nil"/>
            </w:tcBorders>
            <w:shd w:val="clear" w:color="auto" w:fill="auto"/>
            <w:vAlign w:val="bottom"/>
            <w:hideMark/>
          </w:tcPr>
          <w:p w:rsidR="000D2F24" w:rsidRPr="000D2F24" w:rsidRDefault="000D2F24" w:rsidP="000D2F24">
            <w:pPr>
              <w:rPr>
                <w:rFonts w:ascii="Arial" w:hAnsi="Arial" w:cs="Arial"/>
                <w:b/>
                <w:bCs/>
                <w:color w:val="000000"/>
                <w:sz w:val="18"/>
                <w:szCs w:val="18"/>
              </w:rPr>
            </w:pPr>
          </w:p>
        </w:tc>
        <w:tc>
          <w:tcPr>
            <w:tcW w:w="1350" w:type="dxa"/>
            <w:tcBorders>
              <w:top w:val="nil"/>
              <w:left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336" w:type="dxa"/>
            <w:tcBorders>
              <w:top w:val="nil"/>
              <w:left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959" w:type="dxa"/>
            <w:tcBorders>
              <w:top w:val="nil"/>
              <w:left w:val="nil"/>
              <w:right w:val="nil"/>
            </w:tcBorders>
            <w:shd w:val="clear" w:color="auto" w:fill="auto"/>
            <w:vAlign w:val="bottom"/>
            <w:hideMark/>
          </w:tcPr>
          <w:p w:rsidR="000D2F24" w:rsidRPr="000D2F24" w:rsidRDefault="000D2F24" w:rsidP="000D2F24">
            <w:pPr>
              <w:jc w:val="right"/>
              <w:rPr>
                <w:rFonts w:ascii="Arial" w:hAnsi="Arial" w:cs="Arial"/>
                <w:b/>
                <w:bCs/>
                <w:color w:val="000000"/>
                <w:sz w:val="18"/>
                <w:szCs w:val="18"/>
              </w:rPr>
            </w:pPr>
          </w:p>
        </w:tc>
        <w:tc>
          <w:tcPr>
            <w:tcW w:w="1318" w:type="dxa"/>
            <w:tcBorders>
              <w:top w:val="nil"/>
              <w:left w:val="nil"/>
              <w:right w:val="nil"/>
            </w:tcBorders>
            <w:shd w:val="clear" w:color="auto" w:fill="auto"/>
            <w:vAlign w:val="bottom"/>
            <w:hideMark/>
          </w:tcPr>
          <w:p w:rsidR="000D2F24" w:rsidRPr="000D2F24" w:rsidRDefault="000D2F24" w:rsidP="000D2F24">
            <w:pPr>
              <w:rPr>
                <w:rFonts w:ascii="Arial" w:hAnsi="Arial" w:cs="Arial"/>
                <w:b/>
                <w:bCs/>
                <w:color w:val="000000"/>
                <w:sz w:val="18"/>
                <w:szCs w:val="18"/>
              </w:rPr>
            </w:pPr>
          </w:p>
        </w:tc>
      </w:tr>
      <w:tr w:rsidR="000D2F24" w:rsidRPr="000D2F24" w:rsidTr="00C80EBC">
        <w:trPr>
          <w:trHeight w:val="588"/>
        </w:trPr>
        <w:tc>
          <w:tcPr>
            <w:tcW w:w="3374" w:type="dxa"/>
            <w:tcBorders>
              <w:top w:val="nil"/>
              <w:left w:val="nil"/>
            </w:tcBorders>
            <w:shd w:val="clear" w:color="auto" w:fill="95B3D7" w:themeFill="accent1" w:themeFillTint="99"/>
            <w:vAlign w:val="center"/>
            <w:hideMark/>
          </w:tcPr>
          <w:p w:rsidR="000D2F24" w:rsidRPr="00C80EBC" w:rsidRDefault="000D2F24" w:rsidP="000D2F24">
            <w:pPr>
              <w:jc w:val="cente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Expenditure</w:t>
            </w:r>
          </w:p>
        </w:tc>
        <w:tc>
          <w:tcPr>
            <w:tcW w:w="319" w:type="dxa"/>
            <w:tcBorders>
              <w:top w:val="nil"/>
            </w:tcBorders>
            <w:shd w:val="clear" w:color="auto" w:fill="95B3D7" w:themeFill="accent1" w:themeFillTint="99"/>
            <w:vAlign w:val="center"/>
            <w:hideMark/>
          </w:tcPr>
          <w:p w:rsidR="000D2F24" w:rsidRPr="00C80EBC" w:rsidRDefault="000D2F24" w:rsidP="000D2F24">
            <w:pPr>
              <w:jc w:val="center"/>
              <w:rPr>
                <w:rFonts w:ascii="Arial" w:hAnsi="Arial" w:cs="Arial"/>
                <w:b/>
                <w:bCs/>
                <w:color w:val="FFFFFF" w:themeColor="background1"/>
                <w:sz w:val="20"/>
                <w:szCs w:val="20"/>
              </w:rPr>
            </w:pPr>
          </w:p>
        </w:tc>
        <w:tc>
          <w:tcPr>
            <w:tcW w:w="1138" w:type="dxa"/>
            <w:tcBorders>
              <w:top w:val="nil"/>
            </w:tcBorders>
            <w:shd w:val="clear" w:color="auto" w:fill="95B3D7" w:themeFill="accent1" w:themeFillTint="99"/>
            <w:vAlign w:val="center"/>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Budget</w:t>
            </w:r>
          </w:p>
        </w:tc>
        <w:tc>
          <w:tcPr>
            <w:tcW w:w="1406" w:type="dxa"/>
            <w:tcBorders>
              <w:top w:val="nil"/>
            </w:tcBorders>
            <w:shd w:val="clear" w:color="auto" w:fill="95B3D7" w:themeFill="accent1" w:themeFillTint="99"/>
            <w:vAlign w:val="center"/>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Actual</w:t>
            </w:r>
          </w:p>
        </w:tc>
        <w:tc>
          <w:tcPr>
            <w:tcW w:w="1350" w:type="dxa"/>
            <w:tcBorders>
              <w:top w:val="nil"/>
            </w:tcBorders>
            <w:shd w:val="clear" w:color="auto" w:fill="95B3D7" w:themeFill="accent1" w:themeFillTint="99"/>
            <w:vAlign w:val="center"/>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Variance vs budget</w:t>
            </w:r>
          </w:p>
        </w:tc>
        <w:tc>
          <w:tcPr>
            <w:tcW w:w="336" w:type="dxa"/>
            <w:tcBorders>
              <w:top w:val="nil"/>
            </w:tcBorders>
            <w:shd w:val="clear" w:color="auto" w:fill="95B3D7" w:themeFill="accent1" w:themeFillTint="99"/>
            <w:noWrap/>
            <w:vAlign w:val="bottom"/>
            <w:hideMark/>
          </w:tcPr>
          <w:p w:rsidR="000D2F24" w:rsidRPr="00C80EBC" w:rsidRDefault="000D2F24" w:rsidP="000D2F24">
            <w:pPr>
              <w:rPr>
                <w:rFonts w:ascii="Calibri" w:hAnsi="Calibri" w:cs="Calibri"/>
                <w:color w:val="FFFFFF" w:themeColor="background1"/>
                <w:sz w:val="20"/>
                <w:szCs w:val="20"/>
              </w:rPr>
            </w:pPr>
          </w:p>
        </w:tc>
        <w:tc>
          <w:tcPr>
            <w:tcW w:w="959" w:type="dxa"/>
            <w:tcBorders>
              <w:top w:val="nil"/>
            </w:tcBorders>
            <w:shd w:val="clear" w:color="auto" w:fill="95B3D7" w:themeFill="accent1" w:themeFillTint="99"/>
            <w:vAlign w:val="center"/>
            <w:hideMark/>
          </w:tcPr>
          <w:p w:rsidR="000D2F24" w:rsidRPr="00C80EBC" w:rsidRDefault="000D2F24" w:rsidP="000D2F24">
            <w:pPr>
              <w:jc w:val="cente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Actual</w:t>
            </w:r>
          </w:p>
        </w:tc>
        <w:tc>
          <w:tcPr>
            <w:tcW w:w="1318" w:type="dxa"/>
            <w:tcBorders>
              <w:top w:val="nil"/>
            </w:tcBorders>
            <w:shd w:val="clear" w:color="auto" w:fill="95B3D7" w:themeFill="accent1" w:themeFillTint="99"/>
            <w:vAlign w:val="center"/>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Variance vs 2016/17</w:t>
            </w:r>
          </w:p>
        </w:tc>
      </w:tr>
      <w:tr w:rsidR="000D2F24" w:rsidRPr="000D2F24" w:rsidTr="00C80EBC">
        <w:trPr>
          <w:trHeight w:val="300"/>
        </w:trPr>
        <w:tc>
          <w:tcPr>
            <w:tcW w:w="3374" w:type="dxa"/>
            <w:tcBorders>
              <w:left w:val="single" w:sz="8" w:space="0" w:color="FFFFFF"/>
              <w:bottom w:val="single" w:sz="8" w:space="0" w:color="FFFFFF"/>
              <w:right w:val="single" w:sz="8" w:space="0" w:color="FFFFFF"/>
            </w:tcBorders>
            <w:shd w:val="clear" w:color="auto" w:fill="auto"/>
            <w:vAlign w:val="bottom"/>
            <w:hideMark/>
          </w:tcPr>
          <w:p w:rsidR="000D2F24" w:rsidRPr="000D2F24" w:rsidRDefault="000D2F24" w:rsidP="00007DD1">
            <w:pPr>
              <w:rPr>
                <w:rFonts w:ascii="Calibri" w:hAnsi="Calibri" w:cs="Calibri"/>
                <w:color w:val="000000"/>
                <w:sz w:val="22"/>
                <w:szCs w:val="22"/>
              </w:rPr>
            </w:pPr>
            <w:r w:rsidRPr="000D2F24">
              <w:rPr>
                <w:rFonts w:ascii="Calibri" w:hAnsi="Calibri" w:cs="Calibri"/>
                <w:color w:val="000000"/>
                <w:sz w:val="22"/>
                <w:szCs w:val="22"/>
              </w:rPr>
              <w:t xml:space="preserve">HRA Approval </w:t>
            </w:r>
            <w:proofErr w:type="spellStart"/>
            <w:r w:rsidRPr="000D2F24">
              <w:rPr>
                <w:rFonts w:ascii="Calibri" w:hAnsi="Calibri" w:cs="Calibri"/>
                <w:color w:val="000000"/>
                <w:sz w:val="22"/>
                <w:szCs w:val="22"/>
              </w:rPr>
              <w:t>inc</w:t>
            </w:r>
            <w:r w:rsidR="00007DD1">
              <w:rPr>
                <w:rFonts w:ascii="Calibri" w:hAnsi="Calibri" w:cs="Calibri"/>
                <w:color w:val="000000"/>
                <w:sz w:val="22"/>
                <w:szCs w:val="22"/>
              </w:rPr>
              <w:t>.</w:t>
            </w:r>
            <w:proofErr w:type="spellEnd"/>
            <w:r w:rsidRPr="000D2F24">
              <w:rPr>
                <w:rFonts w:ascii="Calibri" w:hAnsi="Calibri" w:cs="Calibri"/>
                <w:color w:val="000000"/>
                <w:sz w:val="22"/>
                <w:szCs w:val="22"/>
              </w:rPr>
              <w:t xml:space="preserve"> RES</w:t>
            </w:r>
          </w:p>
        </w:tc>
        <w:tc>
          <w:tcPr>
            <w:tcW w:w="319" w:type="dxa"/>
            <w:tcBorders>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1138" w:type="dxa"/>
            <w:tcBorders>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7,406</w:t>
            </w:r>
          </w:p>
        </w:tc>
        <w:tc>
          <w:tcPr>
            <w:tcW w:w="1406" w:type="dxa"/>
            <w:tcBorders>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7,318</w:t>
            </w:r>
          </w:p>
        </w:tc>
        <w:tc>
          <w:tcPr>
            <w:tcW w:w="1350" w:type="dxa"/>
            <w:tcBorders>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(88)</w:t>
            </w:r>
          </w:p>
        </w:tc>
        <w:tc>
          <w:tcPr>
            <w:tcW w:w="336" w:type="dxa"/>
            <w:tcBorders>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959" w:type="dxa"/>
            <w:tcBorders>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8,055</w:t>
            </w:r>
          </w:p>
        </w:tc>
        <w:tc>
          <w:tcPr>
            <w:tcW w:w="1318" w:type="dxa"/>
            <w:tcBorders>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(737)</w:t>
            </w:r>
          </w:p>
        </w:tc>
      </w:tr>
      <w:tr w:rsidR="000D2F24" w:rsidRPr="000D2F24" w:rsidTr="00C80EBC">
        <w:trPr>
          <w:trHeight w:val="300"/>
        </w:trPr>
        <w:tc>
          <w:tcPr>
            <w:tcW w:w="3374" w:type="dxa"/>
            <w:tcBorders>
              <w:top w:val="nil"/>
              <w:left w:val="single" w:sz="8" w:space="0" w:color="FFFFFF"/>
              <w:bottom w:val="single" w:sz="8" w:space="0" w:color="FFFFFF"/>
              <w:right w:val="single" w:sz="8" w:space="0" w:color="FFFFFF"/>
            </w:tcBorders>
            <w:shd w:val="clear" w:color="auto" w:fill="auto"/>
            <w:vAlign w:val="bottom"/>
            <w:hideMark/>
          </w:tcPr>
          <w:p w:rsidR="000D2F24" w:rsidRPr="000D2F24" w:rsidRDefault="000D2F24" w:rsidP="00007DD1">
            <w:pPr>
              <w:rPr>
                <w:rFonts w:ascii="Calibri" w:hAnsi="Calibri" w:cs="Calibri"/>
                <w:color w:val="000000"/>
                <w:sz w:val="22"/>
                <w:szCs w:val="22"/>
              </w:rPr>
            </w:pPr>
            <w:r w:rsidRPr="000D2F24">
              <w:rPr>
                <w:rFonts w:ascii="Calibri" w:hAnsi="Calibri" w:cs="Calibri"/>
                <w:color w:val="000000"/>
                <w:sz w:val="22"/>
                <w:szCs w:val="22"/>
              </w:rPr>
              <w:t xml:space="preserve">Chief Executive </w:t>
            </w:r>
            <w:proofErr w:type="spellStart"/>
            <w:r w:rsidRPr="000D2F24">
              <w:rPr>
                <w:rFonts w:ascii="Calibri" w:hAnsi="Calibri" w:cs="Calibri"/>
                <w:color w:val="000000"/>
                <w:sz w:val="22"/>
                <w:szCs w:val="22"/>
              </w:rPr>
              <w:t>inc.</w:t>
            </w:r>
            <w:proofErr w:type="spellEnd"/>
            <w:r w:rsidRPr="000D2F24">
              <w:rPr>
                <w:rFonts w:ascii="Calibri" w:hAnsi="Calibri" w:cs="Calibri"/>
                <w:color w:val="000000"/>
                <w:sz w:val="22"/>
                <w:szCs w:val="22"/>
              </w:rPr>
              <w:t xml:space="preserve"> </w:t>
            </w:r>
            <w:r w:rsidR="00007DD1">
              <w:rPr>
                <w:rFonts w:ascii="Calibri" w:hAnsi="Calibri" w:cs="Calibri"/>
                <w:color w:val="000000"/>
                <w:sz w:val="22"/>
                <w:szCs w:val="22"/>
              </w:rPr>
              <w:t>Governance</w:t>
            </w:r>
          </w:p>
        </w:tc>
        <w:tc>
          <w:tcPr>
            <w:tcW w:w="319"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1,573</w:t>
            </w:r>
          </w:p>
        </w:tc>
        <w:tc>
          <w:tcPr>
            <w:tcW w:w="1406"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1,607</w:t>
            </w:r>
          </w:p>
        </w:tc>
        <w:tc>
          <w:tcPr>
            <w:tcW w:w="1350"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34</w:t>
            </w:r>
          </w:p>
        </w:tc>
        <w:tc>
          <w:tcPr>
            <w:tcW w:w="336"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1,568</w:t>
            </w:r>
          </w:p>
        </w:tc>
        <w:tc>
          <w:tcPr>
            <w:tcW w:w="1318"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39</w:t>
            </w:r>
          </w:p>
        </w:tc>
      </w:tr>
      <w:tr w:rsidR="000D2F24" w:rsidRPr="000D2F24" w:rsidTr="00C80EBC">
        <w:trPr>
          <w:trHeight w:val="300"/>
        </w:trPr>
        <w:tc>
          <w:tcPr>
            <w:tcW w:w="3374" w:type="dxa"/>
            <w:tcBorders>
              <w:top w:val="nil"/>
              <w:left w:val="single" w:sz="8" w:space="0" w:color="FFFFFF"/>
              <w:bottom w:val="single" w:sz="8" w:space="0" w:color="FFFFFF"/>
              <w:right w:val="single" w:sz="8" w:space="0" w:color="FFFFFF"/>
            </w:tcBorders>
            <w:shd w:val="clear" w:color="auto" w:fill="auto"/>
            <w:vAlign w:val="bottom"/>
            <w:hideMark/>
          </w:tcPr>
          <w:p w:rsidR="000D2F24" w:rsidRPr="000D2F24" w:rsidRDefault="000D2F24" w:rsidP="000D2F24">
            <w:pPr>
              <w:rPr>
                <w:rFonts w:ascii="Calibri" w:hAnsi="Calibri" w:cs="Calibri"/>
                <w:color w:val="000000"/>
                <w:sz w:val="22"/>
                <w:szCs w:val="22"/>
              </w:rPr>
            </w:pPr>
            <w:r w:rsidRPr="000D2F24">
              <w:rPr>
                <w:rFonts w:ascii="Calibri" w:hAnsi="Calibri" w:cs="Calibri"/>
                <w:color w:val="000000"/>
                <w:sz w:val="22"/>
                <w:szCs w:val="22"/>
              </w:rPr>
              <w:t>Corporate Services</w:t>
            </w:r>
          </w:p>
        </w:tc>
        <w:tc>
          <w:tcPr>
            <w:tcW w:w="319"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2,937</w:t>
            </w:r>
          </w:p>
        </w:tc>
        <w:tc>
          <w:tcPr>
            <w:tcW w:w="1406"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2,876</w:t>
            </w:r>
          </w:p>
        </w:tc>
        <w:tc>
          <w:tcPr>
            <w:tcW w:w="1350"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(61)</w:t>
            </w:r>
          </w:p>
        </w:tc>
        <w:tc>
          <w:tcPr>
            <w:tcW w:w="336"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1,828</w:t>
            </w:r>
          </w:p>
        </w:tc>
        <w:tc>
          <w:tcPr>
            <w:tcW w:w="1318"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1,048</w:t>
            </w:r>
          </w:p>
        </w:tc>
      </w:tr>
      <w:tr w:rsidR="000D2F24" w:rsidRPr="000D2F24" w:rsidTr="00C80EBC">
        <w:trPr>
          <w:trHeight w:val="300"/>
        </w:trPr>
        <w:tc>
          <w:tcPr>
            <w:tcW w:w="3374" w:type="dxa"/>
            <w:tcBorders>
              <w:top w:val="nil"/>
              <w:left w:val="single" w:sz="8" w:space="0" w:color="FFFFFF"/>
              <w:bottom w:val="single" w:sz="8" w:space="0" w:color="FFFFFF"/>
              <w:right w:val="single" w:sz="8" w:space="0" w:color="FFFFFF"/>
            </w:tcBorders>
            <w:shd w:val="clear" w:color="auto" w:fill="auto"/>
            <w:vAlign w:val="bottom"/>
            <w:hideMark/>
          </w:tcPr>
          <w:p w:rsidR="000D2F24" w:rsidRPr="000D2F24" w:rsidRDefault="000D2F24" w:rsidP="000D2F24">
            <w:pPr>
              <w:rPr>
                <w:rFonts w:ascii="Calibri" w:hAnsi="Calibri" w:cs="Calibri"/>
                <w:color w:val="000000"/>
                <w:sz w:val="22"/>
                <w:szCs w:val="22"/>
              </w:rPr>
            </w:pPr>
            <w:r w:rsidRPr="000D2F24">
              <w:rPr>
                <w:rFonts w:ascii="Calibri" w:hAnsi="Calibri" w:cs="Calibri"/>
                <w:color w:val="000000"/>
                <w:sz w:val="22"/>
                <w:szCs w:val="22"/>
              </w:rPr>
              <w:t>Finance, Procurement and Estates</w:t>
            </w:r>
          </w:p>
        </w:tc>
        <w:tc>
          <w:tcPr>
            <w:tcW w:w="319"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889</w:t>
            </w:r>
          </w:p>
        </w:tc>
        <w:tc>
          <w:tcPr>
            <w:tcW w:w="1406"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721</w:t>
            </w:r>
          </w:p>
        </w:tc>
        <w:tc>
          <w:tcPr>
            <w:tcW w:w="1350"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(168)</w:t>
            </w:r>
          </w:p>
        </w:tc>
        <w:tc>
          <w:tcPr>
            <w:tcW w:w="336"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1,256</w:t>
            </w:r>
          </w:p>
        </w:tc>
        <w:tc>
          <w:tcPr>
            <w:tcW w:w="1318"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(535)</w:t>
            </w:r>
          </w:p>
        </w:tc>
      </w:tr>
      <w:tr w:rsidR="000D2F24" w:rsidRPr="000D2F24" w:rsidTr="00C80EBC">
        <w:trPr>
          <w:trHeight w:val="300"/>
        </w:trPr>
        <w:tc>
          <w:tcPr>
            <w:tcW w:w="3374" w:type="dxa"/>
            <w:tcBorders>
              <w:top w:val="nil"/>
              <w:left w:val="single" w:sz="8" w:space="0" w:color="FFFFFF"/>
              <w:bottom w:val="single" w:sz="8" w:space="0" w:color="FFFFFF"/>
              <w:right w:val="single" w:sz="8" w:space="0" w:color="FFFFFF"/>
            </w:tcBorders>
            <w:shd w:val="clear" w:color="auto" w:fill="auto"/>
            <w:vAlign w:val="bottom"/>
            <w:hideMark/>
          </w:tcPr>
          <w:p w:rsidR="000D2F24" w:rsidRPr="000D2F24" w:rsidRDefault="000D2F24" w:rsidP="000D2F24">
            <w:pPr>
              <w:rPr>
                <w:rFonts w:ascii="Calibri" w:hAnsi="Calibri" w:cs="Calibri"/>
                <w:color w:val="000000"/>
                <w:sz w:val="22"/>
                <w:szCs w:val="22"/>
              </w:rPr>
            </w:pPr>
            <w:r w:rsidRPr="000D2F24">
              <w:rPr>
                <w:rFonts w:ascii="Calibri" w:hAnsi="Calibri" w:cs="Calibri"/>
                <w:color w:val="000000"/>
                <w:sz w:val="22"/>
                <w:szCs w:val="22"/>
              </w:rPr>
              <w:t>Depreciation</w:t>
            </w:r>
          </w:p>
        </w:tc>
        <w:tc>
          <w:tcPr>
            <w:tcW w:w="319"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450</w:t>
            </w:r>
          </w:p>
        </w:tc>
        <w:tc>
          <w:tcPr>
            <w:tcW w:w="1406"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410</w:t>
            </w:r>
          </w:p>
        </w:tc>
        <w:tc>
          <w:tcPr>
            <w:tcW w:w="1350"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(40)</w:t>
            </w:r>
          </w:p>
        </w:tc>
        <w:tc>
          <w:tcPr>
            <w:tcW w:w="336"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253</w:t>
            </w:r>
          </w:p>
        </w:tc>
        <w:tc>
          <w:tcPr>
            <w:tcW w:w="1318" w:type="dxa"/>
            <w:tcBorders>
              <w:top w:val="nil"/>
              <w:left w:val="nil"/>
              <w:bottom w:val="nil"/>
              <w:right w:val="nil"/>
            </w:tcBorders>
            <w:shd w:val="clear" w:color="auto" w:fill="auto"/>
            <w:noWrap/>
            <w:vAlign w:val="bottom"/>
            <w:hideMark/>
          </w:tcPr>
          <w:p w:rsidR="000D2F24" w:rsidRPr="000D2F24" w:rsidRDefault="000D2F24" w:rsidP="000D2F24">
            <w:pPr>
              <w:jc w:val="right"/>
              <w:rPr>
                <w:rFonts w:ascii="Calibri" w:hAnsi="Calibri" w:cs="Calibri"/>
                <w:color w:val="000000"/>
                <w:sz w:val="22"/>
                <w:szCs w:val="22"/>
              </w:rPr>
            </w:pPr>
            <w:r w:rsidRPr="000D2F24">
              <w:rPr>
                <w:rFonts w:ascii="Calibri" w:hAnsi="Calibri" w:cs="Calibri"/>
                <w:color w:val="000000"/>
                <w:sz w:val="22"/>
                <w:szCs w:val="22"/>
              </w:rPr>
              <w:t>157</w:t>
            </w:r>
          </w:p>
        </w:tc>
      </w:tr>
      <w:tr w:rsidR="000D2F24" w:rsidRPr="000D2F24" w:rsidTr="00C80EBC">
        <w:trPr>
          <w:trHeight w:val="288"/>
        </w:trPr>
        <w:tc>
          <w:tcPr>
            <w:tcW w:w="3374" w:type="dxa"/>
            <w:tcBorders>
              <w:top w:val="nil"/>
              <w:left w:val="single" w:sz="8" w:space="0" w:color="FFFFFF"/>
              <w:bottom w:val="nil"/>
              <w:right w:val="single" w:sz="8" w:space="0" w:color="FFFFFF"/>
            </w:tcBorders>
            <w:shd w:val="clear" w:color="auto" w:fill="365F91" w:themeFill="accent1" w:themeFillShade="BF"/>
            <w:vAlign w:val="bottom"/>
            <w:hideMark/>
          </w:tcPr>
          <w:p w:rsidR="000D2F24" w:rsidRPr="00C80EBC" w:rsidRDefault="000D2F24" w:rsidP="000D2F24">
            <w:pP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 xml:space="preserve"> Total Expenditure</w:t>
            </w:r>
          </w:p>
        </w:tc>
        <w:tc>
          <w:tcPr>
            <w:tcW w:w="319"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Arial" w:hAnsi="Arial" w:cs="Arial"/>
                <w:b/>
                <w:bCs/>
                <w:color w:val="FFFFFF" w:themeColor="background1"/>
                <w:sz w:val="18"/>
                <w:szCs w:val="18"/>
              </w:rPr>
            </w:pPr>
            <w:r w:rsidRPr="00C80EBC">
              <w:rPr>
                <w:rFonts w:ascii="Arial" w:hAnsi="Arial" w:cs="Arial"/>
                <w:b/>
                <w:bCs/>
                <w:color w:val="FFFFFF" w:themeColor="background1"/>
                <w:sz w:val="18"/>
                <w:szCs w:val="18"/>
              </w:rPr>
              <w:t> </w:t>
            </w:r>
          </w:p>
        </w:tc>
        <w:tc>
          <w:tcPr>
            <w:tcW w:w="1138"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13,255</w:t>
            </w:r>
          </w:p>
        </w:tc>
        <w:tc>
          <w:tcPr>
            <w:tcW w:w="1406"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12,932</w:t>
            </w:r>
          </w:p>
        </w:tc>
        <w:tc>
          <w:tcPr>
            <w:tcW w:w="1350"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(323)</w:t>
            </w:r>
          </w:p>
        </w:tc>
        <w:tc>
          <w:tcPr>
            <w:tcW w:w="336" w:type="dxa"/>
            <w:tcBorders>
              <w:top w:val="nil"/>
              <w:left w:val="nil"/>
              <w:bottom w:val="nil"/>
              <w:right w:val="nil"/>
            </w:tcBorders>
            <w:shd w:val="clear" w:color="auto" w:fill="365F91" w:themeFill="accent1" w:themeFillShade="BF"/>
            <w:noWrap/>
            <w:vAlign w:val="bottom"/>
            <w:hideMark/>
          </w:tcPr>
          <w:p w:rsidR="000D2F24" w:rsidRPr="00C80EBC" w:rsidRDefault="000D2F24" w:rsidP="000D2F24">
            <w:pPr>
              <w:rPr>
                <w:rFonts w:ascii="Calibri" w:hAnsi="Calibri" w:cs="Calibri"/>
                <w:color w:val="FFFFFF" w:themeColor="background1"/>
                <w:sz w:val="22"/>
                <w:szCs w:val="22"/>
              </w:rPr>
            </w:pPr>
          </w:p>
        </w:tc>
        <w:tc>
          <w:tcPr>
            <w:tcW w:w="959" w:type="dxa"/>
            <w:tcBorders>
              <w:top w:val="nil"/>
              <w:left w:val="single" w:sz="8" w:space="0" w:color="FFFFFF"/>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12,960</w:t>
            </w:r>
          </w:p>
        </w:tc>
        <w:tc>
          <w:tcPr>
            <w:tcW w:w="1318"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(28)</w:t>
            </w:r>
          </w:p>
        </w:tc>
      </w:tr>
      <w:tr w:rsidR="000D2F24" w:rsidRPr="000D2F24" w:rsidTr="00C80EBC">
        <w:trPr>
          <w:trHeight w:val="288"/>
        </w:trPr>
        <w:tc>
          <w:tcPr>
            <w:tcW w:w="3374"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319"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1406"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1350"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336"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c>
          <w:tcPr>
            <w:tcW w:w="1318" w:type="dxa"/>
            <w:tcBorders>
              <w:top w:val="nil"/>
              <w:left w:val="nil"/>
              <w:bottom w:val="nil"/>
              <w:right w:val="nil"/>
            </w:tcBorders>
            <w:shd w:val="clear" w:color="auto" w:fill="auto"/>
            <w:noWrap/>
            <w:vAlign w:val="bottom"/>
            <w:hideMark/>
          </w:tcPr>
          <w:p w:rsidR="000D2F24" w:rsidRPr="000D2F24" w:rsidRDefault="000D2F24" w:rsidP="000D2F24">
            <w:pPr>
              <w:rPr>
                <w:rFonts w:ascii="Calibri" w:hAnsi="Calibri" w:cs="Calibri"/>
                <w:color w:val="000000"/>
                <w:sz w:val="22"/>
                <w:szCs w:val="22"/>
              </w:rPr>
            </w:pPr>
          </w:p>
        </w:tc>
      </w:tr>
      <w:tr w:rsidR="000D2F24" w:rsidRPr="000D2F24" w:rsidTr="00C80EBC">
        <w:trPr>
          <w:trHeight w:val="288"/>
        </w:trPr>
        <w:tc>
          <w:tcPr>
            <w:tcW w:w="3374" w:type="dxa"/>
            <w:tcBorders>
              <w:top w:val="nil"/>
              <w:left w:val="single" w:sz="8" w:space="0" w:color="FFFFFF"/>
              <w:bottom w:val="nil"/>
              <w:right w:val="single" w:sz="8" w:space="0" w:color="FFFFFF"/>
            </w:tcBorders>
            <w:shd w:val="clear" w:color="auto" w:fill="365F91" w:themeFill="accent1" w:themeFillShade="BF"/>
            <w:vAlign w:val="bottom"/>
            <w:hideMark/>
          </w:tcPr>
          <w:p w:rsidR="000D2F24" w:rsidRPr="00C80EBC" w:rsidRDefault="000D2F24" w:rsidP="000D2F24">
            <w:pP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Surplus /Deficit</w:t>
            </w:r>
          </w:p>
        </w:tc>
        <w:tc>
          <w:tcPr>
            <w:tcW w:w="319"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Arial" w:hAnsi="Arial" w:cs="Arial"/>
                <w:b/>
                <w:bCs/>
                <w:color w:val="FFFFFF" w:themeColor="background1"/>
                <w:sz w:val="18"/>
                <w:szCs w:val="18"/>
              </w:rPr>
            </w:pPr>
            <w:r w:rsidRPr="00C80EBC">
              <w:rPr>
                <w:rFonts w:ascii="Arial" w:hAnsi="Arial" w:cs="Arial"/>
                <w:b/>
                <w:bCs/>
                <w:color w:val="FFFFFF" w:themeColor="background1"/>
                <w:sz w:val="18"/>
                <w:szCs w:val="18"/>
              </w:rPr>
              <w:t> </w:t>
            </w:r>
          </w:p>
        </w:tc>
        <w:tc>
          <w:tcPr>
            <w:tcW w:w="1138"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0</w:t>
            </w:r>
          </w:p>
        </w:tc>
        <w:tc>
          <w:tcPr>
            <w:tcW w:w="1406"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0</w:t>
            </w:r>
          </w:p>
        </w:tc>
        <w:tc>
          <w:tcPr>
            <w:tcW w:w="1350"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0</w:t>
            </w:r>
          </w:p>
        </w:tc>
        <w:tc>
          <w:tcPr>
            <w:tcW w:w="336" w:type="dxa"/>
            <w:tcBorders>
              <w:top w:val="nil"/>
              <w:left w:val="nil"/>
              <w:bottom w:val="nil"/>
              <w:right w:val="nil"/>
            </w:tcBorders>
            <w:shd w:val="clear" w:color="auto" w:fill="365F91" w:themeFill="accent1" w:themeFillShade="BF"/>
            <w:noWrap/>
            <w:vAlign w:val="bottom"/>
            <w:hideMark/>
          </w:tcPr>
          <w:p w:rsidR="000D2F24" w:rsidRPr="00C80EBC" w:rsidRDefault="000D2F24" w:rsidP="000D2F24">
            <w:pPr>
              <w:rPr>
                <w:rFonts w:ascii="Calibri" w:hAnsi="Calibri" w:cs="Calibri"/>
                <w:color w:val="FFFFFF" w:themeColor="background1"/>
                <w:sz w:val="22"/>
                <w:szCs w:val="22"/>
              </w:rPr>
            </w:pPr>
          </w:p>
        </w:tc>
        <w:tc>
          <w:tcPr>
            <w:tcW w:w="959" w:type="dxa"/>
            <w:tcBorders>
              <w:top w:val="nil"/>
              <w:left w:val="single" w:sz="8" w:space="0" w:color="FFFFFF"/>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0</w:t>
            </w:r>
          </w:p>
        </w:tc>
        <w:tc>
          <w:tcPr>
            <w:tcW w:w="1318" w:type="dxa"/>
            <w:tcBorders>
              <w:top w:val="nil"/>
              <w:left w:val="nil"/>
              <w:bottom w:val="nil"/>
              <w:right w:val="single" w:sz="8" w:space="0" w:color="FFFFFF"/>
            </w:tcBorders>
            <w:shd w:val="clear" w:color="auto" w:fill="365F91" w:themeFill="accent1" w:themeFillShade="BF"/>
            <w:vAlign w:val="bottom"/>
            <w:hideMark/>
          </w:tcPr>
          <w:p w:rsidR="000D2F24" w:rsidRPr="00C80EBC" w:rsidRDefault="000D2F24" w:rsidP="000D2F24">
            <w:pPr>
              <w:jc w:val="right"/>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0</w:t>
            </w:r>
          </w:p>
        </w:tc>
      </w:tr>
    </w:tbl>
    <w:p w:rsidR="00F1107F" w:rsidRDefault="00F1107F" w:rsidP="007C5117">
      <w:pPr>
        <w:spacing w:after="200" w:line="276" w:lineRule="auto"/>
        <w:rPr>
          <w:rFonts w:ascii="Arial" w:hAnsi="Arial" w:cs="Arial"/>
          <w:b/>
          <w:sz w:val="22"/>
          <w:szCs w:val="22"/>
        </w:rPr>
      </w:pPr>
    </w:p>
    <w:p w:rsidR="001B0417" w:rsidRDefault="001B0417" w:rsidP="007C5117">
      <w:pPr>
        <w:spacing w:after="200" w:line="276" w:lineRule="auto"/>
        <w:rPr>
          <w:rFonts w:ascii="Arial" w:hAnsi="Arial" w:cs="Arial"/>
          <w:b/>
          <w:sz w:val="22"/>
          <w:szCs w:val="22"/>
        </w:rPr>
      </w:pPr>
      <w:r>
        <w:rPr>
          <w:rFonts w:ascii="Arial" w:hAnsi="Arial" w:cs="Arial"/>
          <w:b/>
          <w:sz w:val="22"/>
          <w:szCs w:val="22"/>
        </w:rPr>
        <w:t xml:space="preserve">Key </w:t>
      </w:r>
      <w:r w:rsidR="00F5159E">
        <w:rPr>
          <w:rFonts w:ascii="Arial" w:hAnsi="Arial" w:cs="Arial"/>
          <w:b/>
          <w:sz w:val="22"/>
          <w:szCs w:val="22"/>
        </w:rPr>
        <w:t>areas to highlight</w:t>
      </w:r>
      <w:r>
        <w:rPr>
          <w:rFonts w:ascii="Arial" w:hAnsi="Arial" w:cs="Arial"/>
          <w:b/>
          <w:sz w:val="22"/>
          <w:szCs w:val="22"/>
        </w:rPr>
        <w:t>:</w:t>
      </w:r>
    </w:p>
    <w:p w:rsidR="001B0417" w:rsidRPr="005E6832" w:rsidRDefault="004226F6" w:rsidP="007C5117">
      <w:pPr>
        <w:spacing w:after="200" w:line="276" w:lineRule="auto"/>
        <w:rPr>
          <w:rFonts w:ascii="Arial" w:eastAsiaTheme="minorHAnsi" w:hAnsi="Arial" w:cs="Arial"/>
          <w:b/>
          <w:i/>
          <w:sz w:val="22"/>
          <w:szCs w:val="22"/>
          <w:lang w:eastAsia="en-US"/>
        </w:rPr>
      </w:pPr>
      <w:r w:rsidRPr="005E6832">
        <w:rPr>
          <w:rFonts w:ascii="Arial" w:eastAsiaTheme="minorHAnsi" w:hAnsi="Arial" w:cs="Arial"/>
          <w:b/>
          <w:i/>
          <w:sz w:val="22"/>
          <w:szCs w:val="22"/>
          <w:lang w:eastAsia="en-US"/>
        </w:rPr>
        <w:t>HRA Approval including Research E</w:t>
      </w:r>
      <w:r w:rsidR="001B0417" w:rsidRPr="005E6832">
        <w:rPr>
          <w:rFonts w:ascii="Arial" w:eastAsiaTheme="minorHAnsi" w:hAnsi="Arial" w:cs="Arial"/>
          <w:b/>
          <w:i/>
          <w:sz w:val="22"/>
          <w:szCs w:val="22"/>
          <w:lang w:eastAsia="en-US"/>
        </w:rPr>
        <w:t xml:space="preserve">thics </w:t>
      </w:r>
      <w:r w:rsidRPr="005E6832">
        <w:rPr>
          <w:rFonts w:ascii="Arial" w:eastAsiaTheme="minorHAnsi" w:hAnsi="Arial" w:cs="Arial"/>
          <w:b/>
          <w:i/>
          <w:sz w:val="22"/>
          <w:szCs w:val="22"/>
          <w:lang w:eastAsia="en-US"/>
        </w:rPr>
        <w:t>S</w:t>
      </w:r>
      <w:r w:rsidR="001B0417" w:rsidRPr="005E6832">
        <w:rPr>
          <w:rFonts w:ascii="Arial" w:eastAsiaTheme="minorHAnsi" w:hAnsi="Arial" w:cs="Arial"/>
          <w:b/>
          <w:i/>
          <w:sz w:val="22"/>
          <w:szCs w:val="22"/>
          <w:lang w:eastAsia="en-US"/>
        </w:rPr>
        <w:t>ervice</w:t>
      </w:r>
      <w:r w:rsidR="00264356" w:rsidRPr="005E6832">
        <w:rPr>
          <w:rFonts w:ascii="Arial" w:eastAsiaTheme="minorHAnsi" w:hAnsi="Arial" w:cs="Arial"/>
          <w:b/>
          <w:i/>
          <w:sz w:val="22"/>
          <w:szCs w:val="22"/>
          <w:lang w:eastAsia="en-US"/>
        </w:rPr>
        <w:t>, £88k</w:t>
      </w:r>
      <w:r w:rsidR="00F5159E">
        <w:rPr>
          <w:rFonts w:ascii="Arial" w:eastAsiaTheme="minorHAnsi" w:hAnsi="Arial" w:cs="Arial"/>
          <w:b/>
          <w:i/>
          <w:sz w:val="22"/>
          <w:szCs w:val="22"/>
          <w:lang w:eastAsia="en-US"/>
        </w:rPr>
        <w:t xml:space="preserve"> underspend</w:t>
      </w:r>
      <w:r w:rsidR="00264356" w:rsidRPr="005E6832">
        <w:rPr>
          <w:rFonts w:ascii="Arial" w:eastAsiaTheme="minorHAnsi" w:hAnsi="Arial" w:cs="Arial"/>
          <w:b/>
          <w:i/>
          <w:sz w:val="22"/>
          <w:szCs w:val="22"/>
          <w:lang w:eastAsia="en-US"/>
        </w:rPr>
        <w:t xml:space="preserve">, </w:t>
      </w:r>
      <w:r w:rsidR="005E6832" w:rsidRPr="005E6832">
        <w:rPr>
          <w:rFonts w:ascii="Arial" w:eastAsiaTheme="minorHAnsi" w:hAnsi="Arial" w:cs="Arial"/>
          <w:b/>
          <w:i/>
          <w:sz w:val="22"/>
          <w:szCs w:val="22"/>
          <w:lang w:eastAsia="en-US"/>
        </w:rPr>
        <w:t>1% variance</w:t>
      </w:r>
      <w:r w:rsidRPr="005E6832">
        <w:rPr>
          <w:rFonts w:ascii="Arial" w:eastAsiaTheme="minorHAnsi" w:hAnsi="Arial" w:cs="Arial"/>
          <w:b/>
          <w:i/>
          <w:sz w:val="22"/>
          <w:szCs w:val="22"/>
          <w:lang w:eastAsia="en-US"/>
        </w:rPr>
        <w:t>:</w:t>
      </w:r>
    </w:p>
    <w:p w:rsidR="004226F6" w:rsidRPr="00F5159E" w:rsidRDefault="004226F6" w:rsidP="004226F6">
      <w:pPr>
        <w:pStyle w:val="ListParagraph"/>
        <w:numPr>
          <w:ilvl w:val="0"/>
          <w:numId w:val="24"/>
        </w:numPr>
        <w:spacing w:after="200" w:line="276" w:lineRule="auto"/>
        <w:rPr>
          <w:rFonts w:ascii="Arial" w:eastAsiaTheme="minorHAnsi" w:hAnsi="Arial" w:cs="Arial"/>
          <w:sz w:val="22"/>
          <w:szCs w:val="22"/>
          <w:lang w:eastAsia="en-US"/>
        </w:rPr>
      </w:pPr>
      <w:r w:rsidRPr="00F5159E">
        <w:rPr>
          <w:rFonts w:ascii="Arial" w:eastAsiaTheme="minorHAnsi" w:hAnsi="Arial" w:cs="Arial"/>
          <w:sz w:val="22"/>
          <w:szCs w:val="22"/>
          <w:lang w:eastAsia="en-US"/>
        </w:rPr>
        <w:t>Research Ethics Service within £10k</w:t>
      </w:r>
      <w:r w:rsidR="00367080">
        <w:rPr>
          <w:rFonts w:ascii="Arial" w:eastAsiaTheme="minorHAnsi" w:hAnsi="Arial" w:cs="Arial"/>
          <w:sz w:val="22"/>
          <w:szCs w:val="22"/>
          <w:lang w:eastAsia="en-US"/>
        </w:rPr>
        <w:t xml:space="preserve"> (0.25%)</w:t>
      </w:r>
      <w:r w:rsidRPr="00F5159E">
        <w:rPr>
          <w:rFonts w:ascii="Arial" w:eastAsiaTheme="minorHAnsi" w:hAnsi="Arial" w:cs="Arial"/>
          <w:sz w:val="22"/>
          <w:szCs w:val="22"/>
          <w:lang w:eastAsia="en-US"/>
        </w:rPr>
        <w:t xml:space="preserve"> of </w:t>
      </w:r>
      <w:r w:rsidR="00F5159E" w:rsidRPr="00F5159E">
        <w:rPr>
          <w:rFonts w:ascii="Arial" w:eastAsiaTheme="minorHAnsi" w:hAnsi="Arial" w:cs="Arial"/>
          <w:sz w:val="22"/>
          <w:szCs w:val="22"/>
          <w:lang w:eastAsia="en-US"/>
        </w:rPr>
        <w:t xml:space="preserve">their </w:t>
      </w:r>
      <w:r w:rsidRPr="00F5159E">
        <w:rPr>
          <w:rFonts w:ascii="Arial" w:eastAsiaTheme="minorHAnsi" w:hAnsi="Arial" w:cs="Arial"/>
          <w:sz w:val="22"/>
          <w:szCs w:val="22"/>
          <w:lang w:eastAsia="en-US"/>
        </w:rPr>
        <w:t>budget</w:t>
      </w:r>
      <w:r w:rsidR="00F5159E" w:rsidRPr="00F5159E">
        <w:rPr>
          <w:rFonts w:ascii="Arial" w:eastAsiaTheme="minorHAnsi" w:hAnsi="Arial" w:cs="Arial"/>
          <w:sz w:val="22"/>
          <w:szCs w:val="22"/>
          <w:lang w:eastAsia="en-US"/>
        </w:rPr>
        <w:t xml:space="preserve"> showing tight control of costs</w:t>
      </w:r>
      <w:r w:rsidRPr="00F5159E">
        <w:rPr>
          <w:rFonts w:ascii="Arial" w:eastAsiaTheme="minorHAnsi" w:hAnsi="Arial" w:cs="Arial"/>
          <w:sz w:val="22"/>
          <w:szCs w:val="22"/>
          <w:lang w:eastAsia="en-US"/>
        </w:rPr>
        <w:t xml:space="preserve"> </w:t>
      </w:r>
    </w:p>
    <w:p w:rsidR="004226F6" w:rsidRPr="00264356" w:rsidRDefault="004226F6" w:rsidP="004226F6">
      <w:pPr>
        <w:pStyle w:val="ListParagraph"/>
        <w:numPr>
          <w:ilvl w:val="0"/>
          <w:numId w:val="24"/>
        </w:numPr>
        <w:spacing w:after="200" w:line="276" w:lineRule="auto"/>
        <w:rPr>
          <w:rFonts w:ascii="Arial" w:eastAsiaTheme="minorHAnsi" w:hAnsi="Arial" w:cs="Arial"/>
          <w:sz w:val="22"/>
          <w:szCs w:val="22"/>
          <w:lang w:eastAsia="en-US"/>
        </w:rPr>
      </w:pPr>
      <w:r w:rsidRPr="00F5159E">
        <w:rPr>
          <w:rFonts w:ascii="Arial" w:eastAsiaTheme="minorHAnsi" w:hAnsi="Arial" w:cs="Arial"/>
          <w:sz w:val="22"/>
          <w:szCs w:val="22"/>
          <w:lang w:eastAsia="en-US"/>
        </w:rPr>
        <w:t xml:space="preserve">Confidentiality Advisory Group underspent by £65k (25%) </w:t>
      </w:r>
      <w:r w:rsidR="00264356" w:rsidRPr="00F5159E">
        <w:rPr>
          <w:rFonts w:ascii="Arial" w:eastAsiaTheme="minorHAnsi" w:hAnsi="Arial" w:cs="Arial"/>
          <w:sz w:val="22"/>
          <w:szCs w:val="22"/>
          <w:lang w:eastAsia="en-US"/>
        </w:rPr>
        <w:t xml:space="preserve">and </w:t>
      </w:r>
      <w:r w:rsidRPr="00F5159E">
        <w:rPr>
          <w:rFonts w:ascii="Arial" w:eastAsiaTheme="minorHAnsi" w:hAnsi="Arial" w:cs="Arial"/>
          <w:sz w:val="22"/>
          <w:szCs w:val="22"/>
          <w:lang w:eastAsia="en-US"/>
        </w:rPr>
        <w:t>Collaboration and Development team underspent by £26k (18%) due to staff vacancies</w:t>
      </w:r>
      <w:r w:rsidRPr="00264356">
        <w:rPr>
          <w:rFonts w:ascii="Arial" w:eastAsiaTheme="minorHAnsi" w:hAnsi="Arial" w:cs="Arial"/>
          <w:sz w:val="22"/>
          <w:szCs w:val="22"/>
          <w:lang w:eastAsia="en-US"/>
        </w:rPr>
        <w:t xml:space="preserve"> including parental leave</w:t>
      </w:r>
      <w:r w:rsidR="00264356" w:rsidRPr="00264356">
        <w:rPr>
          <w:rFonts w:ascii="Arial" w:eastAsiaTheme="minorHAnsi" w:hAnsi="Arial" w:cs="Arial"/>
          <w:sz w:val="22"/>
          <w:szCs w:val="22"/>
          <w:lang w:eastAsia="en-US"/>
        </w:rPr>
        <w:t xml:space="preserve"> which have been </w:t>
      </w:r>
      <w:r w:rsidR="00264356">
        <w:rPr>
          <w:rFonts w:ascii="Arial" w:eastAsiaTheme="minorHAnsi" w:hAnsi="Arial" w:cs="Arial"/>
          <w:sz w:val="22"/>
          <w:szCs w:val="22"/>
          <w:lang w:eastAsia="en-US"/>
        </w:rPr>
        <w:t xml:space="preserve">or are being </w:t>
      </w:r>
      <w:r w:rsidR="00264356" w:rsidRPr="00264356">
        <w:rPr>
          <w:rFonts w:ascii="Arial" w:eastAsiaTheme="minorHAnsi" w:hAnsi="Arial" w:cs="Arial"/>
          <w:sz w:val="22"/>
          <w:szCs w:val="22"/>
          <w:lang w:eastAsia="en-US"/>
        </w:rPr>
        <w:t>addressed</w:t>
      </w:r>
      <w:r w:rsidR="00264356">
        <w:rPr>
          <w:rFonts w:ascii="Arial" w:eastAsiaTheme="minorHAnsi" w:hAnsi="Arial" w:cs="Arial"/>
          <w:sz w:val="22"/>
          <w:szCs w:val="22"/>
          <w:lang w:eastAsia="en-US"/>
        </w:rPr>
        <w:t>.</w:t>
      </w:r>
    </w:p>
    <w:p w:rsidR="004226F6" w:rsidRPr="005E6832" w:rsidRDefault="004226F6" w:rsidP="004226F6">
      <w:pPr>
        <w:spacing w:after="200" w:line="276" w:lineRule="auto"/>
        <w:rPr>
          <w:rFonts w:ascii="Arial" w:eastAsiaTheme="minorHAnsi" w:hAnsi="Arial" w:cs="Arial"/>
          <w:b/>
          <w:i/>
          <w:sz w:val="22"/>
          <w:szCs w:val="22"/>
          <w:lang w:eastAsia="en-US"/>
        </w:rPr>
      </w:pPr>
      <w:r w:rsidRPr="005E6832">
        <w:rPr>
          <w:rFonts w:ascii="Arial" w:eastAsiaTheme="minorHAnsi" w:hAnsi="Arial" w:cs="Arial"/>
          <w:b/>
          <w:i/>
          <w:sz w:val="22"/>
          <w:szCs w:val="22"/>
          <w:lang w:eastAsia="en-US"/>
        </w:rPr>
        <w:t xml:space="preserve">Chief Executive </w:t>
      </w:r>
      <w:proofErr w:type="spellStart"/>
      <w:proofErr w:type="gramStart"/>
      <w:r w:rsidRPr="005E6832">
        <w:rPr>
          <w:rFonts w:ascii="Arial" w:eastAsiaTheme="minorHAnsi" w:hAnsi="Arial" w:cs="Arial"/>
          <w:b/>
          <w:i/>
          <w:sz w:val="22"/>
          <w:szCs w:val="22"/>
          <w:lang w:eastAsia="en-US"/>
        </w:rPr>
        <w:t>inc</w:t>
      </w:r>
      <w:proofErr w:type="gramEnd"/>
      <w:r w:rsidRPr="005E6832">
        <w:rPr>
          <w:rFonts w:ascii="Arial" w:eastAsiaTheme="minorHAnsi" w:hAnsi="Arial" w:cs="Arial"/>
          <w:b/>
          <w:i/>
          <w:sz w:val="22"/>
          <w:szCs w:val="22"/>
          <w:lang w:eastAsia="en-US"/>
        </w:rPr>
        <w:t>.</w:t>
      </w:r>
      <w:proofErr w:type="spellEnd"/>
      <w:r w:rsidRPr="005E6832">
        <w:rPr>
          <w:rFonts w:ascii="Arial" w:eastAsiaTheme="minorHAnsi" w:hAnsi="Arial" w:cs="Arial"/>
          <w:b/>
          <w:i/>
          <w:sz w:val="22"/>
          <w:szCs w:val="22"/>
          <w:lang w:eastAsia="en-US"/>
        </w:rPr>
        <w:t xml:space="preserve"> Governance</w:t>
      </w:r>
      <w:r w:rsidR="005E6832" w:rsidRPr="005E6832">
        <w:rPr>
          <w:rFonts w:ascii="Arial" w:eastAsiaTheme="minorHAnsi" w:hAnsi="Arial" w:cs="Arial"/>
          <w:b/>
          <w:i/>
          <w:sz w:val="22"/>
          <w:szCs w:val="22"/>
          <w:lang w:eastAsia="en-US"/>
        </w:rPr>
        <w:t xml:space="preserve"> £34k</w:t>
      </w:r>
      <w:r w:rsidR="00F5159E">
        <w:rPr>
          <w:rFonts w:ascii="Arial" w:eastAsiaTheme="minorHAnsi" w:hAnsi="Arial" w:cs="Arial"/>
          <w:b/>
          <w:i/>
          <w:sz w:val="22"/>
          <w:szCs w:val="22"/>
          <w:lang w:eastAsia="en-US"/>
        </w:rPr>
        <w:t xml:space="preserve"> overspend</w:t>
      </w:r>
      <w:r w:rsidR="005E6832" w:rsidRPr="005E6832">
        <w:rPr>
          <w:rFonts w:ascii="Arial" w:eastAsiaTheme="minorHAnsi" w:hAnsi="Arial" w:cs="Arial"/>
          <w:b/>
          <w:i/>
          <w:sz w:val="22"/>
          <w:szCs w:val="22"/>
          <w:lang w:eastAsia="en-US"/>
        </w:rPr>
        <w:t>, 2% variance</w:t>
      </w:r>
      <w:r w:rsidRPr="005E6832">
        <w:rPr>
          <w:rFonts w:ascii="Arial" w:eastAsiaTheme="minorHAnsi" w:hAnsi="Arial" w:cs="Arial"/>
          <w:b/>
          <w:i/>
          <w:sz w:val="22"/>
          <w:szCs w:val="22"/>
          <w:lang w:eastAsia="en-US"/>
        </w:rPr>
        <w:t>:</w:t>
      </w:r>
    </w:p>
    <w:p w:rsidR="004226F6" w:rsidRPr="005E6832" w:rsidRDefault="004226F6" w:rsidP="004226F6">
      <w:pPr>
        <w:pStyle w:val="ListParagraph"/>
        <w:numPr>
          <w:ilvl w:val="0"/>
          <w:numId w:val="38"/>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Staff costs greater than budget due to </w:t>
      </w:r>
      <w:r w:rsidRPr="005E6832">
        <w:rPr>
          <w:rFonts w:ascii="Arial" w:eastAsiaTheme="minorHAnsi" w:hAnsi="Arial" w:cs="Arial"/>
          <w:sz w:val="22"/>
          <w:szCs w:val="22"/>
          <w:lang w:eastAsia="en-US"/>
        </w:rPr>
        <w:t>interim Chief Executive arrangements and Finance Director role being recruited full time</w:t>
      </w:r>
      <w:r w:rsidR="00945749">
        <w:rPr>
          <w:rFonts w:ascii="Arial" w:eastAsiaTheme="minorHAnsi" w:hAnsi="Arial" w:cs="Arial"/>
          <w:sz w:val="22"/>
          <w:szCs w:val="22"/>
          <w:lang w:eastAsia="en-US"/>
        </w:rPr>
        <w:t xml:space="preserve"> (previously 0.7).</w:t>
      </w:r>
    </w:p>
    <w:p w:rsidR="004226F6" w:rsidRPr="005E6832" w:rsidRDefault="00264356" w:rsidP="004226F6">
      <w:pPr>
        <w:spacing w:after="200" w:line="276" w:lineRule="auto"/>
        <w:rPr>
          <w:rFonts w:ascii="Arial" w:eastAsiaTheme="minorHAnsi" w:hAnsi="Arial" w:cs="Arial"/>
          <w:b/>
          <w:i/>
          <w:sz w:val="22"/>
          <w:szCs w:val="22"/>
          <w:lang w:eastAsia="en-US"/>
        </w:rPr>
      </w:pPr>
      <w:r w:rsidRPr="005E6832">
        <w:rPr>
          <w:rFonts w:ascii="Arial" w:eastAsiaTheme="minorHAnsi" w:hAnsi="Arial" w:cs="Arial"/>
          <w:b/>
          <w:i/>
          <w:sz w:val="22"/>
          <w:szCs w:val="22"/>
          <w:lang w:eastAsia="en-US"/>
        </w:rPr>
        <w:t>Corporate Services</w:t>
      </w:r>
      <w:r w:rsidR="005E6832" w:rsidRPr="005E6832">
        <w:rPr>
          <w:rFonts w:ascii="Arial" w:eastAsiaTheme="minorHAnsi" w:hAnsi="Arial" w:cs="Arial"/>
          <w:b/>
          <w:i/>
          <w:sz w:val="22"/>
          <w:szCs w:val="22"/>
          <w:lang w:eastAsia="en-US"/>
        </w:rPr>
        <w:t xml:space="preserve"> £61k</w:t>
      </w:r>
      <w:r w:rsidR="00A30F13">
        <w:rPr>
          <w:rFonts w:ascii="Arial" w:eastAsiaTheme="minorHAnsi" w:hAnsi="Arial" w:cs="Arial"/>
          <w:b/>
          <w:i/>
          <w:sz w:val="22"/>
          <w:szCs w:val="22"/>
          <w:lang w:eastAsia="en-US"/>
        </w:rPr>
        <w:t xml:space="preserve"> underspend</w:t>
      </w:r>
      <w:r w:rsidR="005E6832" w:rsidRPr="005E6832">
        <w:rPr>
          <w:rFonts w:ascii="Arial" w:eastAsiaTheme="minorHAnsi" w:hAnsi="Arial" w:cs="Arial"/>
          <w:b/>
          <w:i/>
          <w:sz w:val="22"/>
          <w:szCs w:val="22"/>
          <w:lang w:eastAsia="en-US"/>
        </w:rPr>
        <w:t>; 2% variance:</w:t>
      </w:r>
    </w:p>
    <w:p w:rsidR="00264356" w:rsidRDefault="005E6832" w:rsidP="00264356">
      <w:pPr>
        <w:pStyle w:val="ListParagraph"/>
        <w:numPr>
          <w:ilvl w:val="0"/>
          <w:numId w:val="38"/>
        </w:numPr>
        <w:spacing w:after="200" w:line="276" w:lineRule="auto"/>
        <w:rPr>
          <w:rFonts w:ascii="Arial" w:eastAsiaTheme="minorHAnsi" w:hAnsi="Arial" w:cs="Arial"/>
          <w:sz w:val="22"/>
          <w:szCs w:val="22"/>
          <w:lang w:eastAsia="en-US"/>
        </w:rPr>
      </w:pPr>
      <w:r w:rsidRPr="00945749">
        <w:rPr>
          <w:rFonts w:ascii="Arial" w:eastAsiaTheme="minorHAnsi" w:hAnsi="Arial" w:cs="Arial"/>
          <w:sz w:val="22"/>
          <w:szCs w:val="22"/>
          <w:lang w:eastAsia="en-US"/>
        </w:rPr>
        <w:t>Research systems underspent by £78k due</w:t>
      </w:r>
      <w:r>
        <w:rPr>
          <w:rFonts w:ascii="Arial" w:eastAsiaTheme="minorHAnsi" w:hAnsi="Arial" w:cs="Arial"/>
          <w:sz w:val="22"/>
          <w:szCs w:val="22"/>
          <w:lang w:eastAsia="en-US"/>
        </w:rPr>
        <w:t xml:space="preserve"> in part to renegotiated contract with BGO</w:t>
      </w:r>
      <w:r w:rsidR="00C80EBC">
        <w:rPr>
          <w:rFonts w:ascii="Arial" w:eastAsiaTheme="minorHAnsi" w:hAnsi="Arial" w:cs="Arial"/>
          <w:sz w:val="22"/>
          <w:szCs w:val="22"/>
          <w:lang w:eastAsia="en-US"/>
        </w:rPr>
        <w:t xml:space="preserve">, a change in </w:t>
      </w:r>
      <w:r w:rsidR="00367080">
        <w:rPr>
          <w:rFonts w:ascii="Arial" w:eastAsiaTheme="minorHAnsi" w:hAnsi="Arial" w:cs="Arial"/>
          <w:sz w:val="22"/>
          <w:szCs w:val="22"/>
          <w:lang w:eastAsia="en-US"/>
        </w:rPr>
        <w:t xml:space="preserve">planned </w:t>
      </w:r>
      <w:r w:rsidR="00C80EBC">
        <w:rPr>
          <w:rFonts w:ascii="Arial" w:eastAsiaTheme="minorHAnsi" w:hAnsi="Arial" w:cs="Arial"/>
          <w:sz w:val="22"/>
          <w:szCs w:val="22"/>
          <w:lang w:eastAsia="en-US"/>
        </w:rPr>
        <w:t>approach to system resilience</w:t>
      </w:r>
      <w:r>
        <w:rPr>
          <w:rFonts w:ascii="Arial" w:eastAsiaTheme="minorHAnsi" w:hAnsi="Arial" w:cs="Arial"/>
          <w:sz w:val="22"/>
          <w:szCs w:val="22"/>
          <w:lang w:eastAsia="en-US"/>
        </w:rPr>
        <w:t xml:space="preserve"> and also changing </w:t>
      </w:r>
      <w:r w:rsidR="00945749">
        <w:rPr>
          <w:rFonts w:ascii="Arial" w:eastAsiaTheme="minorHAnsi" w:hAnsi="Arial" w:cs="Arial"/>
          <w:sz w:val="22"/>
          <w:szCs w:val="22"/>
          <w:lang w:eastAsia="en-US"/>
        </w:rPr>
        <w:t xml:space="preserve">to more economical </w:t>
      </w:r>
      <w:r>
        <w:rPr>
          <w:rFonts w:ascii="Arial" w:eastAsiaTheme="minorHAnsi" w:hAnsi="Arial" w:cs="Arial"/>
          <w:sz w:val="22"/>
          <w:szCs w:val="22"/>
          <w:lang w:eastAsia="en-US"/>
        </w:rPr>
        <w:t xml:space="preserve">contractual terms with the team </w:t>
      </w:r>
    </w:p>
    <w:p w:rsidR="005E6832" w:rsidRDefault="005E6832" w:rsidP="005E6832">
      <w:pPr>
        <w:pStyle w:val="ListParagraph"/>
        <w:spacing w:after="200" w:line="276" w:lineRule="auto"/>
        <w:rPr>
          <w:rFonts w:ascii="Arial" w:eastAsiaTheme="minorHAnsi" w:hAnsi="Arial" w:cs="Arial"/>
          <w:sz w:val="22"/>
          <w:szCs w:val="22"/>
          <w:lang w:eastAsia="en-US"/>
        </w:rPr>
      </w:pPr>
    </w:p>
    <w:p w:rsidR="005E6832" w:rsidRPr="005E6832" w:rsidRDefault="005E6832" w:rsidP="005E6832">
      <w:pPr>
        <w:pStyle w:val="ListParagraph"/>
        <w:spacing w:after="200" w:line="276" w:lineRule="auto"/>
        <w:ind w:left="0"/>
        <w:rPr>
          <w:rFonts w:ascii="Arial" w:eastAsiaTheme="minorHAnsi" w:hAnsi="Arial" w:cs="Arial"/>
          <w:b/>
          <w:i/>
          <w:sz w:val="22"/>
          <w:szCs w:val="22"/>
          <w:lang w:eastAsia="en-US"/>
        </w:rPr>
      </w:pPr>
      <w:r w:rsidRPr="005E6832">
        <w:rPr>
          <w:rFonts w:ascii="Arial" w:eastAsiaTheme="minorHAnsi" w:hAnsi="Arial" w:cs="Arial"/>
          <w:b/>
          <w:i/>
          <w:sz w:val="22"/>
          <w:szCs w:val="22"/>
          <w:lang w:eastAsia="en-US"/>
        </w:rPr>
        <w:t>Finance, Procurement and Estates £168k</w:t>
      </w:r>
      <w:r w:rsidR="00A30F13">
        <w:rPr>
          <w:rFonts w:ascii="Arial" w:eastAsiaTheme="minorHAnsi" w:hAnsi="Arial" w:cs="Arial"/>
          <w:b/>
          <w:i/>
          <w:sz w:val="22"/>
          <w:szCs w:val="22"/>
          <w:lang w:eastAsia="en-US"/>
        </w:rPr>
        <w:t xml:space="preserve"> underspend, 19</w:t>
      </w:r>
      <w:r w:rsidRPr="005E6832">
        <w:rPr>
          <w:rFonts w:ascii="Arial" w:eastAsiaTheme="minorHAnsi" w:hAnsi="Arial" w:cs="Arial"/>
          <w:b/>
          <w:i/>
          <w:sz w:val="22"/>
          <w:szCs w:val="22"/>
          <w:lang w:eastAsia="en-US"/>
        </w:rPr>
        <w:t>% variance:</w:t>
      </w:r>
    </w:p>
    <w:p w:rsidR="005E6832" w:rsidRDefault="005E6832" w:rsidP="005E6832">
      <w:pPr>
        <w:pStyle w:val="ListParagraph"/>
        <w:spacing w:after="200" w:line="276" w:lineRule="auto"/>
        <w:ind w:left="0"/>
        <w:rPr>
          <w:rFonts w:ascii="Arial" w:eastAsiaTheme="minorHAnsi" w:hAnsi="Arial" w:cs="Arial"/>
          <w:sz w:val="22"/>
          <w:szCs w:val="22"/>
          <w:lang w:eastAsia="en-US"/>
        </w:rPr>
      </w:pPr>
    </w:p>
    <w:p w:rsidR="005E6832" w:rsidRPr="00264356" w:rsidRDefault="005E6832" w:rsidP="005E6832">
      <w:pPr>
        <w:pStyle w:val="ListParagraph"/>
        <w:numPr>
          <w:ilvl w:val="0"/>
          <w:numId w:val="38"/>
        </w:numPr>
        <w:spacing w:after="200" w:line="276" w:lineRule="auto"/>
        <w:rPr>
          <w:rFonts w:ascii="Arial" w:eastAsiaTheme="minorHAnsi" w:hAnsi="Arial" w:cs="Arial"/>
          <w:sz w:val="22"/>
          <w:szCs w:val="22"/>
          <w:lang w:eastAsia="en-US"/>
        </w:rPr>
      </w:pPr>
      <w:r w:rsidRPr="00945749">
        <w:rPr>
          <w:rFonts w:ascii="Arial" w:eastAsiaTheme="minorHAnsi" w:hAnsi="Arial" w:cs="Arial"/>
          <w:sz w:val="22"/>
          <w:szCs w:val="22"/>
          <w:lang w:eastAsia="en-US"/>
        </w:rPr>
        <w:t>£158k underspend on reserves projects</w:t>
      </w:r>
      <w:r>
        <w:rPr>
          <w:rFonts w:ascii="Arial" w:eastAsiaTheme="minorHAnsi" w:hAnsi="Arial" w:cs="Arial"/>
          <w:sz w:val="22"/>
          <w:szCs w:val="22"/>
          <w:lang w:eastAsia="en-US"/>
        </w:rPr>
        <w:t xml:space="preserve"> including £70k earmarked for laptop replacement char</w:t>
      </w:r>
      <w:r w:rsidR="00945749">
        <w:rPr>
          <w:rFonts w:ascii="Arial" w:eastAsiaTheme="minorHAnsi" w:hAnsi="Arial" w:cs="Arial"/>
          <w:sz w:val="22"/>
          <w:szCs w:val="22"/>
          <w:lang w:eastAsia="en-US"/>
        </w:rPr>
        <w:t>ged to capital, £70k website dev</w:t>
      </w:r>
      <w:r>
        <w:rPr>
          <w:rFonts w:ascii="Arial" w:eastAsiaTheme="minorHAnsi" w:hAnsi="Arial" w:cs="Arial"/>
          <w:sz w:val="22"/>
          <w:szCs w:val="22"/>
          <w:lang w:eastAsia="en-US"/>
        </w:rPr>
        <w:t xml:space="preserve">elopment costs falling </w:t>
      </w:r>
      <w:r w:rsidR="00367080">
        <w:rPr>
          <w:rFonts w:ascii="Arial" w:eastAsiaTheme="minorHAnsi" w:hAnsi="Arial" w:cs="Arial"/>
          <w:sz w:val="22"/>
          <w:szCs w:val="22"/>
          <w:lang w:eastAsia="en-US"/>
        </w:rPr>
        <w:t>to</w:t>
      </w:r>
      <w:r>
        <w:rPr>
          <w:rFonts w:ascii="Arial" w:eastAsiaTheme="minorHAnsi" w:hAnsi="Arial" w:cs="Arial"/>
          <w:sz w:val="22"/>
          <w:szCs w:val="22"/>
          <w:lang w:eastAsia="en-US"/>
        </w:rPr>
        <w:t xml:space="preserve"> 2017/18 </w:t>
      </w:r>
      <w:r w:rsidR="00367080">
        <w:rPr>
          <w:rFonts w:ascii="Arial" w:eastAsiaTheme="minorHAnsi" w:hAnsi="Arial" w:cs="Arial"/>
          <w:sz w:val="22"/>
          <w:szCs w:val="22"/>
          <w:lang w:eastAsia="en-US"/>
        </w:rPr>
        <w:t>as well as</w:t>
      </w:r>
      <w:r>
        <w:rPr>
          <w:rFonts w:ascii="Arial" w:eastAsiaTheme="minorHAnsi" w:hAnsi="Arial" w:cs="Arial"/>
          <w:sz w:val="22"/>
          <w:szCs w:val="22"/>
          <w:lang w:eastAsia="en-US"/>
        </w:rPr>
        <w:t xml:space="preserve"> £25k HTA direct dialogue project now also falling </w:t>
      </w:r>
      <w:r w:rsidR="00367080">
        <w:rPr>
          <w:rFonts w:ascii="Arial" w:eastAsiaTheme="minorHAnsi" w:hAnsi="Arial" w:cs="Arial"/>
          <w:sz w:val="22"/>
          <w:szCs w:val="22"/>
          <w:lang w:eastAsia="en-US"/>
        </w:rPr>
        <w:t>to</w:t>
      </w:r>
      <w:r>
        <w:rPr>
          <w:rFonts w:ascii="Arial" w:eastAsiaTheme="minorHAnsi" w:hAnsi="Arial" w:cs="Arial"/>
          <w:sz w:val="22"/>
          <w:szCs w:val="22"/>
          <w:lang w:eastAsia="en-US"/>
        </w:rPr>
        <w:t xml:space="preserve"> 2017/18. </w:t>
      </w:r>
    </w:p>
    <w:p w:rsidR="00FF2551" w:rsidRPr="00471EAB" w:rsidRDefault="00891562" w:rsidP="007C5117">
      <w:pPr>
        <w:spacing w:after="200" w:line="276" w:lineRule="auto"/>
        <w:rPr>
          <w:rFonts w:ascii="Arial" w:hAnsi="Arial" w:cs="Arial"/>
          <w:b/>
          <w:sz w:val="22"/>
          <w:szCs w:val="22"/>
        </w:rPr>
      </w:pPr>
      <w:r>
        <w:rPr>
          <w:rFonts w:ascii="Arial" w:hAnsi="Arial" w:cs="Arial"/>
          <w:b/>
          <w:sz w:val="22"/>
          <w:szCs w:val="22"/>
        </w:rPr>
        <w:t>Pay costs by department</w:t>
      </w:r>
      <w:r w:rsidR="000D2F24">
        <w:rPr>
          <w:rFonts w:ascii="Arial" w:hAnsi="Arial" w:cs="Arial"/>
          <w:b/>
          <w:sz w:val="22"/>
          <w:szCs w:val="22"/>
        </w:rPr>
        <w:t xml:space="preserve"> for the year-ended 31 March 2017</w:t>
      </w:r>
    </w:p>
    <w:tbl>
      <w:tblPr>
        <w:tblW w:w="10557" w:type="dxa"/>
        <w:tblInd w:w="93" w:type="dxa"/>
        <w:tblLayout w:type="fixed"/>
        <w:tblLook w:val="04A0" w:firstRow="1" w:lastRow="0" w:firstColumn="1" w:lastColumn="0" w:noHBand="0" w:noVBand="1"/>
      </w:tblPr>
      <w:tblGrid>
        <w:gridCol w:w="3186"/>
        <w:gridCol w:w="992"/>
        <w:gridCol w:w="992"/>
        <w:gridCol w:w="992"/>
        <w:gridCol w:w="993"/>
        <w:gridCol w:w="1134"/>
        <w:gridCol w:w="251"/>
        <w:gridCol w:w="883"/>
        <w:gridCol w:w="1134"/>
      </w:tblGrid>
      <w:tr w:rsidR="009F4292" w:rsidRPr="00316468" w:rsidTr="00C80EBC">
        <w:trPr>
          <w:trHeight w:val="720"/>
        </w:trPr>
        <w:tc>
          <w:tcPr>
            <w:tcW w:w="3186" w:type="dxa"/>
            <w:vMerge w:val="restart"/>
            <w:tcBorders>
              <w:top w:val="single" w:sz="8" w:space="0" w:color="auto"/>
              <w:left w:val="single" w:sz="8" w:space="0" w:color="auto"/>
              <w:bottom w:val="nil"/>
              <w:right w:val="nil"/>
            </w:tcBorders>
            <w:shd w:val="clear" w:color="auto" w:fill="95B3D7" w:themeFill="accent1" w:themeFillTint="99"/>
            <w:vAlign w:val="center"/>
            <w:hideMark/>
          </w:tcPr>
          <w:p w:rsidR="009F4292" w:rsidRPr="00316468" w:rsidRDefault="009F4292" w:rsidP="009F4292">
            <w:pPr>
              <w:rPr>
                <w:rFonts w:ascii="Calibri" w:hAnsi="Calibri" w:cs="Calibri"/>
                <w:b/>
                <w:bCs/>
                <w:color w:val="FFFFFF"/>
                <w:sz w:val="22"/>
                <w:szCs w:val="22"/>
              </w:rPr>
            </w:pPr>
            <w:r w:rsidRPr="00316468">
              <w:rPr>
                <w:rFonts w:ascii="Calibri" w:hAnsi="Calibri" w:cs="Calibri"/>
                <w:b/>
                <w:bCs/>
                <w:color w:val="FFFFFF"/>
                <w:sz w:val="22"/>
                <w:szCs w:val="22"/>
              </w:rPr>
              <w:t>Directorate</w:t>
            </w:r>
          </w:p>
        </w:tc>
        <w:tc>
          <w:tcPr>
            <w:tcW w:w="992" w:type="dxa"/>
            <w:tcBorders>
              <w:top w:val="single" w:sz="8" w:space="0" w:color="auto"/>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2016/17 budget</w:t>
            </w:r>
          </w:p>
        </w:tc>
        <w:tc>
          <w:tcPr>
            <w:tcW w:w="992" w:type="dxa"/>
            <w:tcBorders>
              <w:top w:val="single" w:sz="8" w:space="0" w:color="auto"/>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2016/17 vacancy factor</w:t>
            </w:r>
          </w:p>
        </w:tc>
        <w:tc>
          <w:tcPr>
            <w:tcW w:w="992" w:type="dxa"/>
            <w:tcBorders>
              <w:top w:val="single" w:sz="8" w:space="0" w:color="auto"/>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2016/17 budget net of vacancy factor</w:t>
            </w:r>
          </w:p>
        </w:tc>
        <w:tc>
          <w:tcPr>
            <w:tcW w:w="993" w:type="dxa"/>
            <w:tcBorders>
              <w:top w:val="single" w:sz="8" w:space="0" w:color="auto"/>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2016/17  actual</w:t>
            </w:r>
          </w:p>
        </w:tc>
        <w:tc>
          <w:tcPr>
            <w:tcW w:w="1134" w:type="dxa"/>
            <w:tcBorders>
              <w:top w:val="single" w:sz="8" w:space="0" w:color="auto"/>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Variance vs original budget</w:t>
            </w:r>
          </w:p>
        </w:tc>
        <w:tc>
          <w:tcPr>
            <w:tcW w:w="1134" w:type="dxa"/>
            <w:gridSpan w:val="2"/>
            <w:tcBorders>
              <w:top w:val="single" w:sz="8" w:space="0" w:color="auto"/>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Variance vs budget net of vacancy factor</w:t>
            </w:r>
          </w:p>
        </w:tc>
        <w:tc>
          <w:tcPr>
            <w:tcW w:w="1134" w:type="dxa"/>
            <w:tcBorders>
              <w:top w:val="single" w:sz="8" w:space="0" w:color="auto"/>
              <w:left w:val="nil"/>
              <w:bottom w:val="nil"/>
              <w:right w:val="single" w:sz="8" w:space="0" w:color="auto"/>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 Variance net of vacancy factor</w:t>
            </w:r>
          </w:p>
        </w:tc>
      </w:tr>
      <w:tr w:rsidR="009F4292" w:rsidRPr="00316468" w:rsidTr="00C80EBC">
        <w:trPr>
          <w:trHeight w:val="288"/>
        </w:trPr>
        <w:tc>
          <w:tcPr>
            <w:tcW w:w="3186" w:type="dxa"/>
            <w:vMerge/>
            <w:tcBorders>
              <w:top w:val="single" w:sz="8" w:space="0" w:color="auto"/>
              <w:left w:val="single" w:sz="8" w:space="0" w:color="auto"/>
              <w:bottom w:val="nil"/>
              <w:right w:val="nil"/>
            </w:tcBorders>
            <w:shd w:val="clear" w:color="auto" w:fill="95B3D7" w:themeFill="accent1" w:themeFillTint="99"/>
            <w:vAlign w:val="center"/>
            <w:hideMark/>
          </w:tcPr>
          <w:p w:rsidR="009F4292" w:rsidRPr="00316468" w:rsidRDefault="009F4292" w:rsidP="009F4292">
            <w:pPr>
              <w:rPr>
                <w:rFonts w:ascii="Calibri" w:hAnsi="Calibri" w:cs="Calibri"/>
                <w:b/>
                <w:bCs/>
                <w:color w:val="FFFFFF"/>
                <w:sz w:val="22"/>
                <w:szCs w:val="22"/>
              </w:rPr>
            </w:pPr>
          </w:p>
        </w:tc>
        <w:tc>
          <w:tcPr>
            <w:tcW w:w="992" w:type="dxa"/>
            <w:tcBorders>
              <w:top w:val="nil"/>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 xml:space="preserve">£000 </w:t>
            </w:r>
          </w:p>
        </w:tc>
        <w:tc>
          <w:tcPr>
            <w:tcW w:w="992" w:type="dxa"/>
            <w:tcBorders>
              <w:top w:val="nil"/>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 xml:space="preserve">£000 </w:t>
            </w:r>
          </w:p>
        </w:tc>
        <w:tc>
          <w:tcPr>
            <w:tcW w:w="992" w:type="dxa"/>
            <w:tcBorders>
              <w:top w:val="nil"/>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 xml:space="preserve">£000 </w:t>
            </w:r>
          </w:p>
        </w:tc>
        <w:tc>
          <w:tcPr>
            <w:tcW w:w="993" w:type="dxa"/>
            <w:tcBorders>
              <w:top w:val="nil"/>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 xml:space="preserve">£000 </w:t>
            </w:r>
          </w:p>
        </w:tc>
        <w:tc>
          <w:tcPr>
            <w:tcW w:w="1385" w:type="dxa"/>
            <w:gridSpan w:val="2"/>
            <w:tcBorders>
              <w:top w:val="nil"/>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 xml:space="preserve">£000 </w:t>
            </w:r>
          </w:p>
        </w:tc>
        <w:tc>
          <w:tcPr>
            <w:tcW w:w="883" w:type="dxa"/>
            <w:tcBorders>
              <w:top w:val="nil"/>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 xml:space="preserve">£000 </w:t>
            </w:r>
          </w:p>
        </w:tc>
        <w:tc>
          <w:tcPr>
            <w:tcW w:w="1134" w:type="dxa"/>
            <w:tcBorders>
              <w:top w:val="nil"/>
              <w:left w:val="nil"/>
              <w:bottom w:val="nil"/>
              <w:right w:val="nil"/>
            </w:tcBorders>
            <w:shd w:val="clear" w:color="auto" w:fill="95B3D7" w:themeFill="accent1" w:themeFillTint="99"/>
            <w:vAlign w:val="center"/>
            <w:hideMark/>
          </w:tcPr>
          <w:p w:rsidR="009F4292" w:rsidRPr="00316468" w:rsidRDefault="009F4292" w:rsidP="009F4292">
            <w:pPr>
              <w:jc w:val="center"/>
              <w:rPr>
                <w:rFonts w:ascii="Calibri" w:hAnsi="Calibri" w:cs="Calibri"/>
                <w:b/>
                <w:bCs/>
                <w:color w:val="FFFFFF"/>
                <w:sz w:val="22"/>
                <w:szCs w:val="22"/>
              </w:rPr>
            </w:pPr>
            <w:r w:rsidRPr="00316468">
              <w:rPr>
                <w:rFonts w:ascii="Calibri" w:hAnsi="Calibri" w:cs="Calibri"/>
                <w:b/>
                <w:bCs/>
                <w:color w:val="FFFFFF"/>
                <w:sz w:val="22"/>
                <w:szCs w:val="22"/>
              </w:rPr>
              <w:t xml:space="preserve">£000 </w:t>
            </w:r>
          </w:p>
        </w:tc>
      </w:tr>
      <w:tr w:rsidR="009F4292" w:rsidRPr="00316468" w:rsidTr="005E6832">
        <w:trPr>
          <w:trHeight w:val="288"/>
        </w:trPr>
        <w:tc>
          <w:tcPr>
            <w:tcW w:w="3186" w:type="dxa"/>
            <w:tcBorders>
              <w:top w:val="nil"/>
              <w:left w:val="single" w:sz="8" w:space="0" w:color="auto"/>
              <w:bottom w:val="nil"/>
              <w:right w:val="nil"/>
            </w:tcBorders>
            <w:shd w:val="clear" w:color="auto" w:fill="auto"/>
            <w:vAlign w:val="center"/>
            <w:hideMark/>
          </w:tcPr>
          <w:p w:rsidR="009F4292" w:rsidRPr="00316468" w:rsidRDefault="009F4292" w:rsidP="009F4292">
            <w:pPr>
              <w:rPr>
                <w:rFonts w:ascii="Calibri" w:hAnsi="Calibri" w:cs="Calibri"/>
                <w:color w:val="000000"/>
                <w:sz w:val="22"/>
                <w:szCs w:val="22"/>
              </w:rPr>
            </w:pPr>
            <w:r w:rsidRPr="00316468">
              <w:rPr>
                <w:rFonts w:ascii="Calibri" w:hAnsi="Calibri" w:cs="Calibri"/>
                <w:color w:val="000000"/>
                <w:sz w:val="22"/>
                <w:szCs w:val="22"/>
              </w:rPr>
              <w:t xml:space="preserve">HRA Approval </w:t>
            </w:r>
            <w:proofErr w:type="spellStart"/>
            <w:r w:rsidRPr="00316468">
              <w:rPr>
                <w:rFonts w:ascii="Calibri" w:hAnsi="Calibri" w:cs="Calibri"/>
                <w:color w:val="000000"/>
                <w:sz w:val="22"/>
                <w:szCs w:val="22"/>
              </w:rPr>
              <w:t>inc.</w:t>
            </w:r>
            <w:proofErr w:type="spellEnd"/>
            <w:r w:rsidRPr="00316468">
              <w:rPr>
                <w:rFonts w:ascii="Calibri" w:hAnsi="Calibri" w:cs="Calibri"/>
                <w:color w:val="000000"/>
                <w:sz w:val="22"/>
                <w:szCs w:val="22"/>
              </w:rPr>
              <w:t xml:space="preserve"> RES</w:t>
            </w:r>
          </w:p>
        </w:tc>
        <w:tc>
          <w:tcPr>
            <w:tcW w:w="992"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5,757</w:t>
            </w:r>
          </w:p>
        </w:tc>
        <w:tc>
          <w:tcPr>
            <w:tcW w:w="992"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(113)</w:t>
            </w:r>
          </w:p>
        </w:tc>
        <w:tc>
          <w:tcPr>
            <w:tcW w:w="992"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5,644</w:t>
            </w:r>
          </w:p>
        </w:tc>
        <w:tc>
          <w:tcPr>
            <w:tcW w:w="993"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5,546</w:t>
            </w:r>
          </w:p>
        </w:tc>
        <w:tc>
          <w:tcPr>
            <w:tcW w:w="1385" w:type="dxa"/>
            <w:gridSpan w:val="2"/>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(211)</w:t>
            </w:r>
          </w:p>
        </w:tc>
        <w:tc>
          <w:tcPr>
            <w:tcW w:w="883"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(98)</w:t>
            </w:r>
          </w:p>
        </w:tc>
        <w:tc>
          <w:tcPr>
            <w:tcW w:w="1134" w:type="dxa"/>
            <w:tcBorders>
              <w:top w:val="nil"/>
              <w:left w:val="nil"/>
              <w:bottom w:val="nil"/>
              <w:right w:val="single" w:sz="8" w:space="0" w:color="auto"/>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(1.7)%</w:t>
            </w:r>
          </w:p>
        </w:tc>
      </w:tr>
      <w:tr w:rsidR="009F4292" w:rsidRPr="00316468" w:rsidTr="005E6832">
        <w:trPr>
          <w:trHeight w:val="288"/>
        </w:trPr>
        <w:tc>
          <w:tcPr>
            <w:tcW w:w="3186" w:type="dxa"/>
            <w:tcBorders>
              <w:top w:val="nil"/>
              <w:left w:val="single" w:sz="8" w:space="0" w:color="auto"/>
              <w:bottom w:val="nil"/>
              <w:right w:val="nil"/>
            </w:tcBorders>
            <w:shd w:val="clear" w:color="auto" w:fill="auto"/>
            <w:vAlign w:val="center"/>
            <w:hideMark/>
          </w:tcPr>
          <w:p w:rsidR="009F4292" w:rsidRPr="00316468" w:rsidRDefault="009F4292" w:rsidP="009F4292">
            <w:pPr>
              <w:rPr>
                <w:rFonts w:ascii="Calibri" w:hAnsi="Calibri" w:cs="Calibri"/>
                <w:color w:val="000000"/>
                <w:sz w:val="22"/>
                <w:szCs w:val="22"/>
              </w:rPr>
            </w:pPr>
            <w:r w:rsidRPr="00316468">
              <w:rPr>
                <w:rFonts w:ascii="Calibri" w:hAnsi="Calibri" w:cs="Calibri"/>
                <w:color w:val="000000"/>
                <w:sz w:val="22"/>
                <w:szCs w:val="22"/>
              </w:rPr>
              <w:t xml:space="preserve">Chief Executive </w:t>
            </w:r>
            <w:proofErr w:type="spellStart"/>
            <w:r w:rsidRPr="00316468">
              <w:rPr>
                <w:rFonts w:ascii="Calibri" w:hAnsi="Calibri" w:cs="Calibri"/>
                <w:color w:val="000000"/>
                <w:sz w:val="22"/>
                <w:szCs w:val="22"/>
              </w:rPr>
              <w:t>inc.</w:t>
            </w:r>
            <w:proofErr w:type="spellEnd"/>
            <w:r w:rsidRPr="00316468">
              <w:rPr>
                <w:rFonts w:ascii="Calibri" w:hAnsi="Calibri" w:cs="Calibri"/>
                <w:color w:val="000000"/>
                <w:sz w:val="22"/>
                <w:szCs w:val="22"/>
              </w:rPr>
              <w:t xml:space="preserve"> Governance</w:t>
            </w:r>
          </w:p>
        </w:tc>
        <w:tc>
          <w:tcPr>
            <w:tcW w:w="992"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1,379</w:t>
            </w:r>
          </w:p>
        </w:tc>
        <w:tc>
          <w:tcPr>
            <w:tcW w:w="992"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(15)</w:t>
            </w:r>
          </w:p>
        </w:tc>
        <w:tc>
          <w:tcPr>
            <w:tcW w:w="992"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1,364</w:t>
            </w:r>
          </w:p>
        </w:tc>
        <w:tc>
          <w:tcPr>
            <w:tcW w:w="993"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1,369</w:t>
            </w:r>
          </w:p>
        </w:tc>
        <w:tc>
          <w:tcPr>
            <w:tcW w:w="1385" w:type="dxa"/>
            <w:gridSpan w:val="2"/>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(10)</w:t>
            </w:r>
          </w:p>
        </w:tc>
        <w:tc>
          <w:tcPr>
            <w:tcW w:w="883"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5</w:t>
            </w:r>
          </w:p>
        </w:tc>
        <w:tc>
          <w:tcPr>
            <w:tcW w:w="1134" w:type="dxa"/>
            <w:tcBorders>
              <w:top w:val="nil"/>
              <w:left w:val="nil"/>
              <w:bottom w:val="nil"/>
              <w:right w:val="single" w:sz="8" w:space="0" w:color="auto"/>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0.4%</w:t>
            </w:r>
          </w:p>
        </w:tc>
      </w:tr>
      <w:tr w:rsidR="009F4292" w:rsidRPr="00316468" w:rsidTr="005E6832">
        <w:trPr>
          <w:trHeight w:val="288"/>
        </w:trPr>
        <w:tc>
          <w:tcPr>
            <w:tcW w:w="3186" w:type="dxa"/>
            <w:tcBorders>
              <w:top w:val="nil"/>
              <w:left w:val="single" w:sz="8" w:space="0" w:color="auto"/>
              <w:bottom w:val="nil"/>
              <w:right w:val="nil"/>
            </w:tcBorders>
            <w:shd w:val="clear" w:color="auto" w:fill="auto"/>
            <w:vAlign w:val="center"/>
            <w:hideMark/>
          </w:tcPr>
          <w:p w:rsidR="009F4292" w:rsidRPr="00316468" w:rsidRDefault="009F4292" w:rsidP="009F4292">
            <w:pPr>
              <w:rPr>
                <w:rFonts w:ascii="Calibri" w:hAnsi="Calibri" w:cs="Calibri"/>
                <w:color w:val="000000"/>
                <w:sz w:val="22"/>
                <w:szCs w:val="22"/>
              </w:rPr>
            </w:pPr>
            <w:r w:rsidRPr="00316468">
              <w:rPr>
                <w:rFonts w:ascii="Calibri" w:hAnsi="Calibri" w:cs="Calibri"/>
                <w:color w:val="000000"/>
                <w:sz w:val="22"/>
                <w:szCs w:val="22"/>
              </w:rPr>
              <w:t>Corporate Services</w:t>
            </w:r>
          </w:p>
        </w:tc>
        <w:tc>
          <w:tcPr>
            <w:tcW w:w="992"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1,446</w:t>
            </w:r>
          </w:p>
        </w:tc>
        <w:tc>
          <w:tcPr>
            <w:tcW w:w="992"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(18)</w:t>
            </w:r>
          </w:p>
        </w:tc>
        <w:tc>
          <w:tcPr>
            <w:tcW w:w="992"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1,427</w:t>
            </w:r>
          </w:p>
        </w:tc>
        <w:tc>
          <w:tcPr>
            <w:tcW w:w="993"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1,397</w:t>
            </w:r>
          </w:p>
        </w:tc>
        <w:tc>
          <w:tcPr>
            <w:tcW w:w="1385" w:type="dxa"/>
            <w:gridSpan w:val="2"/>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(49)</w:t>
            </w:r>
          </w:p>
        </w:tc>
        <w:tc>
          <w:tcPr>
            <w:tcW w:w="883"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(31)</w:t>
            </w:r>
          </w:p>
        </w:tc>
        <w:tc>
          <w:tcPr>
            <w:tcW w:w="1134" w:type="dxa"/>
            <w:tcBorders>
              <w:top w:val="nil"/>
              <w:left w:val="nil"/>
              <w:bottom w:val="nil"/>
              <w:right w:val="single" w:sz="8" w:space="0" w:color="auto"/>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(2.2)%</w:t>
            </w:r>
          </w:p>
        </w:tc>
      </w:tr>
      <w:tr w:rsidR="009F4292" w:rsidRPr="00316468" w:rsidTr="005E6832">
        <w:trPr>
          <w:trHeight w:val="300"/>
        </w:trPr>
        <w:tc>
          <w:tcPr>
            <w:tcW w:w="3186" w:type="dxa"/>
            <w:tcBorders>
              <w:top w:val="nil"/>
              <w:left w:val="single" w:sz="8" w:space="0" w:color="auto"/>
              <w:bottom w:val="nil"/>
              <w:right w:val="nil"/>
            </w:tcBorders>
            <w:shd w:val="clear" w:color="auto" w:fill="auto"/>
            <w:vAlign w:val="center"/>
            <w:hideMark/>
          </w:tcPr>
          <w:p w:rsidR="009F4292" w:rsidRPr="00316468" w:rsidRDefault="009F4292" w:rsidP="009F4292">
            <w:pPr>
              <w:rPr>
                <w:rFonts w:ascii="Calibri" w:hAnsi="Calibri" w:cs="Calibri"/>
                <w:color w:val="000000"/>
                <w:sz w:val="22"/>
                <w:szCs w:val="22"/>
              </w:rPr>
            </w:pPr>
            <w:r w:rsidRPr="00316468">
              <w:rPr>
                <w:rFonts w:ascii="Calibri" w:hAnsi="Calibri" w:cs="Calibri"/>
                <w:color w:val="000000"/>
                <w:sz w:val="22"/>
                <w:szCs w:val="22"/>
              </w:rPr>
              <w:t>Finance, Procurement &amp; Estates</w:t>
            </w:r>
          </w:p>
        </w:tc>
        <w:tc>
          <w:tcPr>
            <w:tcW w:w="992"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390</w:t>
            </w:r>
          </w:p>
        </w:tc>
        <w:tc>
          <w:tcPr>
            <w:tcW w:w="992"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(4)</w:t>
            </w:r>
          </w:p>
        </w:tc>
        <w:tc>
          <w:tcPr>
            <w:tcW w:w="992"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386</w:t>
            </w:r>
          </w:p>
        </w:tc>
        <w:tc>
          <w:tcPr>
            <w:tcW w:w="993"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403</w:t>
            </w:r>
          </w:p>
        </w:tc>
        <w:tc>
          <w:tcPr>
            <w:tcW w:w="1385" w:type="dxa"/>
            <w:gridSpan w:val="2"/>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13</w:t>
            </w:r>
          </w:p>
        </w:tc>
        <w:tc>
          <w:tcPr>
            <w:tcW w:w="883" w:type="dxa"/>
            <w:tcBorders>
              <w:top w:val="nil"/>
              <w:left w:val="nil"/>
              <w:bottom w:val="nil"/>
              <w:right w:val="nil"/>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17</w:t>
            </w:r>
          </w:p>
        </w:tc>
        <w:tc>
          <w:tcPr>
            <w:tcW w:w="1134" w:type="dxa"/>
            <w:tcBorders>
              <w:top w:val="nil"/>
              <w:left w:val="nil"/>
              <w:bottom w:val="nil"/>
              <w:right w:val="single" w:sz="8" w:space="0" w:color="auto"/>
            </w:tcBorders>
            <w:shd w:val="clear" w:color="auto" w:fill="auto"/>
            <w:noWrap/>
            <w:vAlign w:val="center"/>
            <w:hideMark/>
          </w:tcPr>
          <w:p w:rsidR="009F4292" w:rsidRPr="00316468" w:rsidRDefault="009F4292" w:rsidP="009F4292">
            <w:pPr>
              <w:jc w:val="center"/>
              <w:rPr>
                <w:rFonts w:ascii="Calibri" w:hAnsi="Calibri" w:cs="Calibri"/>
                <w:color w:val="000000"/>
                <w:sz w:val="22"/>
                <w:szCs w:val="22"/>
              </w:rPr>
            </w:pPr>
            <w:r w:rsidRPr="00316468">
              <w:rPr>
                <w:rFonts w:ascii="Calibri" w:hAnsi="Calibri" w:cs="Calibri"/>
                <w:color w:val="000000"/>
                <w:sz w:val="22"/>
                <w:szCs w:val="22"/>
              </w:rPr>
              <w:t>4.4%</w:t>
            </w:r>
          </w:p>
        </w:tc>
      </w:tr>
      <w:tr w:rsidR="009F4292" w:rsidRPr="00316468" w:rsidTr="00C80EBC">
        <w:trPr>
          <w:trHeight w:val="300"/>
        </w:trPr>
        <w:tc>
          <w:tcPr>
            <w:tcW w:w="3186" w:type="dxa"/>
            <w:tcBorders>
              <w:top w:val="nil"/>
              <w:left w:val="single" w:sz="8" w:space="0" w:color="auto"/>
              <w:bottom w:val="single" w:sz="8" w:space="0" w:color="auto"/>
              <w:right w:val="nil"/>
            </w:tcBorders>
            <w:shd w:val="clear" w:color="auto" w:fill="365F91" w:themeFill="accent1" w:themeFillShade="BF"/>
            <w:vAlign w:val="center"/>
            <w:hideMark/>
          </w:tcPr>
          <w:p w:rsidR="009F4292" w:rsidRPr="00C80EBC" w:rsidRDefault="009F4292" w:rsidP="009F4292">
            <w:pP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Total</w:t>
            </w:r>
          </w:p>
        </w:tc>
        <w:tc>
          <w:tcPr>
            <w:tcW w:w="992" w:type="dxa"/>
            <w:tcBorders>
              <w:top w:val="single" w:sz="8" w:space="0" w:color="auto"/>
              <w:left w:val="nil"/>
              <w:bottom w:val="single" w:sz="8" w:space="0" w:color="auto"/>
              <w:right w:val="nil"/>
            </w:tcBorders>
            <w:shd w:val="clear" w:color="auto" w:fill="365F91" w:themeFill="accent1" w:themeFillShade="BF"/>
            <w:noWrap/>
            <w:vAlign w:val="center"/>
            <w:hideMark/>
          </w:tcPr>
          <w:p w:rsidR="009F4292" w:rsidRPr="00C80EBC" w:rsidRDefault="009F4292" w:rsidP="009F4292">
            <w:pPr>
              <w:jc w:val="cente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8,972</w:t>
            </w:r>
          </w:p>
        </w:tc>
        <w:tc>
          <w:tcPr>
            <w:tcW w:w="992" w:type="dxa"/>
            <w:tcBorders>
              <w:top w:val="single" w:sz="8" w:space="0" w:color="auto"/>
              <w:left w:val="nil"/>
              <w:bottom w:val="single" w:sz="8" w:space="0" w:color="auto"/>
              <w:right w:val="nil"/>
            </w:tcBorders>
            <w:shd w:val="clear" w:color="auto" w:fill="365F91" w:themeFill="accent1" w:themeFillShade="BF"/>
            <w:noWrap/>
            <w:vAlign w:val="center"/>
            <w:hideMark/>
          </w:tcPr>
          <w:p w:rsidR="009F4292" w:rsidRPr="00C80EBC" w:rsidRDefault="009F4292" w:rsidP="009F4292">
            <w:pPr>
              <w:jc w:val="cente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(150)</w:t>
            </w:r>
          </w:p>
        </w:tc>
        <w:tc>
          <w:tcPr>
            <w:tcW w:w="992" w:type="dxa"/>
            <w:tcBorders>
              <w:top w:val="single" w:sz="8" w:space="0" w:color="auto"/>
              <w:left w:val="nil"/>
              <w:bottom w:val="single" w:sz="8" w:space="0" w:color="auto"/>
              <w:right w:val="nil"/>
            </w:tcBorders>
            <w:shd w:val="clear" w:color="auto" w:fill="365F91" w:themeFill="accent1" w:themeFillShade="BF"/>
            <w:noWrap/>
            <w:vAlign w:val="center"/>
            <w:hideMark/>
          </w:tcPr>
          <w:p w:rsidR="009F4292" w:rsidRPr="00C80EBC" w:rsidRDefault="009F4292" w:rsidP="009F4292">
            <w:pPr>
              <w:jc w:val="cente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8,822</w:t>
            </w:r>
          </w:p>
        </w:tc>
        <w:tc>
          <w:tcPr>
            <w:tcW w:w="993" w:type="dxa"/>
            <w:tcBorders>
              <w:top w:val="single" w:sz="8" w:space="0" w:color="auto"/>
              <w:left w:val="nil"/>
              <w:bottom w:val="single" w:sz="8" w:space="0" w:color="auto"/>
              <w:right w:val="nil"/>
            </w:tcBorders>
            <w:shd w:val="clear" w:color="auto" w:fill="365F91" w:themeFill="accent1" w:themeFillShade="BF"/>
            <w:noWrap/>
            <w:vAlign w:val="center"/>
            <w:hideMark/>
          </w:tcPr>
          <w:p w:rsidR="009F4292" w:rsidRPr="00C80EBC" w:rsidRDefault="009F4292" w:rsidP="009F4292">
            <w:pPr>
              <w:jc w:val="cente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8,715</w:t>
            </w:r>
          </w:p>
        </w:tc>
        <w:tc>
          <w:tcPr>
            <w:tcW w:w="1385" w:type="dxa"/>
            <w:gridSpan w:val="2"/>
            <w:tcBorders>
              <w:top w:val="single" w:sz="8" w:space="0" w:color="auto"/>
              <w:left w:val="nil"/>
              <w:bottom w:val="single" w:sz="8" w:space="0" w:color="auto"/>
              <w:right w:val="nil"/>
            </w:tcBorders>
            <w:shd w:val="clear" w:color="auto" w:fill="365F91" w:themeFill="accent1" w:themeFillShade="BF"/>
            <w:noWrap/>
            <w:vAlign w:val="center"/>
            <w:hideMark/>
          </w:tcPr>
          <w:p w:rsidR="009F4292" w:rsidRPr="00C80EBC" w:rsidRDefault="009F4292" w:rsidP="009F4292">
            <w:pPr>
              <w:jc w:val="cente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(257)</w:t>
            </w:r>
          </w:p>
        </w:tc>
        <w:tc>
          <w:tcPr>
            <w:tcW w:w="883" w:type="dxa"/>
            <w:tcBorders>
              <w:top w:val="single" w:sz="8" w:space="0" w:color="auto"/>
              <w:left w:val="nil"/>
              <w:bottom w:val="single" w:sz="8" w:space="0" w:color="auto"/>
              <w:right w:val="nil"/>
            </w:tcBorders>
            <w:shd w:val="clear" w:color="auto" w:fill="365F91" w:themeFill="accent1" w:themeFillShade="BF"/>
            <w:noWrap/>
            <w:vAlign w:val="center"/>
            <w:hideMark/>
          </w:tcPr>
          <w:p w:rsidR="009F4292" w:rsidRPr="00C80EBC" w:rsidRDefault="009F4292" w:rsidP="009F4292">
            <w:pPr>
              <w:jc w:val="cente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(107)</w:t>
            </w:r>
          </w:p>
        </w:tc>
        <w:tc>
          <w:tcPr>
            <w:tcW w:w="1134" w:type="dxa"/>
            <w:tcBorders>
              <w:top w:val="single" w:sz="8" w:space="0" w:color="auto"/>
              <w:left w:val="nil"/>
              <w:bottom w:val="single" w:sz="8" w:space="0" w:color="auto"/>
              <w:right w:val="single" w:sz="8" w:space="0" w:color="auto"/>
            </w:tcBorders>
            <w:shd w:val="clear" w:color="auto" w:fill="365F91" w:themeFill="accent1" w:themeFillShade="BF"/>
            <w:noWrap/>
            <w:vAlign w:val="center"/>
            <w:hideMark/>
          </w:tcPr>
          <w:p w:rsidR="009F4292" w:rsidRPr="00C80EBC" w:rsidRDefault="009F4292" w:rsidP="009F4292">
            <w:pPr>
              <w:jc w:val="center"/>
              <w:rPr>
                <w:rFonts w:ascii="Calibri" w:hAnsi="Calibri" w:cs="Calibri"/>
                <w:b/>
                <w:bCs/>
                <w:color w:val="FFFFFF" w:themeColor="background1"/>
                <w:sz w:val="22"/>
                <w:szCs w:val="22"/>
              </w:rPr>
            </w:pPr>
            <w:r w:rsidRPr="00C80EBC">
              <w:rPr>
                <w:rFonts w:ascii="Calibri" w:hAnsi="Calibri" w:cs="Calibri"/>
                <w:b/>
                <w:bCs/>
                <w:color w:val="FFFFFF" w:themeColor="background1"/>
                <w:sz w:val="22"/>
                <w:szCs w:val="22"/>
              </w:rPr>
              <w:t>(1.2)%</w:t>
            </w:r>
          </w:p>
        </w:tc>
      </w:tr>
    </w:tbl>
    <w:p w:rsidR="00CE23F1" w:rsidRDefault="00CE23F1" w:rsidP="007C5117">
      <w:pPr>
        <w:spacing w:after="200" w:line="276" w:lineRule="auto"/>
        <w:rPr>
          <w:rFonts w:ascii="Arial" w:hAnsi="Arial" w:cs="Arial"/>
          <w:sz w:val="22"/>
          <w:szCs w:val="22"/>
        </w:rPr>
      </w:pPr>
    </w:p>
    <w:p w:rsidR="00CE23F1" w:rsidRPr="00CE23F1" w:rsidRDefault="00CE23F1" w:rsidP="00FA6D17">
      <w:pPr>
        <w:spacing w:after="200" w:line="276" w:lineRule="auto"/>
        <w:rPr>
          <w:rFonts w:ascii="Arial" w:hAnsi="Arial" w:cs="Arial"/>
          <w:sz w:val="22"/>
          <w:szCs w:val="22"/>
        </w:rPr>
      </w:pPr>
      <w:r>
        <w:rPr>
          <w:rFonts w:ascii="Arial" w:hAnsi="Arial" w:cs="Arial"/>
          <w:sz w:val="22"/>
          <w:szCs w:val="22"/>
        </w:rPr>
        <w:t>P</w:t>
      </w:r>
      <w:r w:rsidR="007006FE">
        <w:rPr>
          <w:rFonts w:ascii="Arial" w:hAnsi="Arial" w:cs="Arial"/>
          <w:sz w:val="22"/>
          <w:szCs w:val="22"/>
        </w:rPr>
        <w:t>ay costs</w:t>
      </w:r>
      <w:r>
        <w:rPr>
          <w:rFonts w:ascii="Arial" w:hAnsi="Arial" w:cs="Arial"/>
          <w:sz w:val="22"/>
          <w:szCs w:val="22"/>
        </w:rPr>
        <w:t xml:space="preserve">, at </w:t>
      </w:r>
      <w:r w:rsidR="007006FE">
        <w:rPr>
          <w:rFonts w:ascii="Arial" w:hAnsi="Arial" w:cs="Arial"/>
          <w:sz w:val="22"/>
          <w:szCs w:val="22"/>
        </w:rPr>
        <w:t>6</w:t>
      </w:r>
      <w:r w:rsidR="009F4292">
        <w:rPr>
          <w:rFonts w:ascii="Arial" w:hAnsi="Arial" w:cs="Arial"/>
          <w:sz w:val="22"/>
          <w:szCs w:val="22"/>
        </w:rPr>
        <w:t>7</w:t>
      </w:r>
      <w:r w:rsidR="007006FE">
        <w:rPr>
          <w:rFonts w:ascii="Arial" w:hAnsi="Arial" w:cs="Arial"/>
          <w:sz w:val="22"/>
          <w:szCs w:val="22"/>
        </w:rPr>
        <w:t xml:space="preserve">% of total costs, </w:t>
      </w:r>
      <w:r>
        <w:rPr>
          <w:rFonts w:ascii="Arial" w:hAnsi="Arial" w:cs="Arial"/>
          <w:sz w:val="22"/>
          <w:szCs w:val="22"/>
        </w:rPr>
        <w:t xml:space="preserve">were </w:t>
      </w:r>
      <w:r w:rsidR="00945749">
        <w:rPr>
          <w:rFonts w:ascii="Arial" w:hAnsi="Arial" w:cs="Arial"/>
          <w:sz w:val="22"/>
          <w:szCs w:val="22"/>
        </w:rPr>
        <w:t>slightly underspent by</w:t>
      </w:r>
      <w:r>
        <w:rPr>
          <w:rFonts w:ascii="Arial" w:hAnsi="Arial" w:cs="Arial"/>
          <w:sz w:val="22"/>
          <w:szCs w:val="22"/>
        </w:rPr>
        <w:t xml:space="preserve"> </w:t>
      </w:r>
      <w:r w:rsidR="003B2F1E">
        <w:rPr>
          <w:rFonts w:ascii="Arial" w:hAnsi="Arial" w:cs="Arial"/>
          <w:sz w:val="22"/>
          <w:szCs w:val="22"/>
        </w:rPr>
        <w:t xml:space="preserve">£107k, </w:t>
      </w:r>
      <w:r w:rsidR="00145DEA">
        <w:rPr>
          <w:rFonts w:ascii="Arial" w:hAnsi="Arial" w:cs="Arial"/>
          <w:sz w:val="22"/>
          <w:szCs w:val="22"/>
        </w:rPr>
        <w:t>1.</w:t>
      </w:r>
      <w:r w:rsidR="009F4292">
        <w:rPr>
          <w:rFonts w:ascii="Arial" w:hAnsi="Arial" w:cs="Arial"/>
          <w:sz w:val="22"/>
          <w:szCs w:val="22"/>
        </w:rPr>
        <w:t>2</w:t>
      </w:r>
      <w:r w:rsidR="00145DEA">
        <w:rPr>
          <w:rFonts w:ascii="Arial" w:hAnsi="Arial" w:cs="Arial"/>
          <w:sz w:val="22"/>
          <w:szCs w:val="22"/>
        </w:rPr>
        <w:t xml:space="preserve">% </w:t>
      </w:r>
      <w:r w:rsidR="003B2F1E">
        <w:rPr>
          <w:rFonts w:ascii="Arial" w:hAnsi="Arial" w:cs="Arial"/>
          <w:sz w:val="22"/>
          <w:szCs w:val="22"/>
        </w:rPr>
        <w:t>after adjusting for the vacancy factor</w:t>
      </w:r>
      <w:r w:rsidR="00145DEA">
        <w:rPr>
          <w:rFonts w:ascii="Arial" w:hAnsi="Arial" w:cs="Arial"/>
          <w:sz w:val="22"/>
          <w:szCs w:val="22"/>
        </w:rPr>
        <w:t>.</w:t>
      </w:r>
      <w:r w:rsidR="003B2F1E">
        <w:rPr>
          <w:rFonts w:ascii="Arial" w:hAnsi="Arial" w:cs="Arial"/>
          <w:sz w:val="22"/>
          <w:szCs w:val="22"/>
        </w:rPr>
        <w:t xml:space="preserve"> </w:t>
      </w:r>
      <w:r w:rsidR="00145DEA">
        <w:rPr>
          <w:rFonts w:ascii="Arial" w:hAnsi="Arial" w:cs="Arial"/>
          <w:sz w:val="22"/>
          <w:szCs w:val="22"/>
        </w:rPr>
        <w:t xml:space="preserve"> </w:t>
      </w:r>
      <w:r w:rsidR="00945749">
        <w:rPr>
          <w:rFonts w:ascii="Arial" w:hAnsi="Arial" w:cs="Arial"/>
          <w:sz w:val="22"/>
          <w:szCs w:val="22"/>
        </w:rPr>
        <w:t xml:space="preserve">This was the first year that a vacancy factor has been used and has provided a useful mechanism to help manage pay costs which have historically been underspent. </w:t>
      </w:r>
      <w:r>
        <w:rPr>
          <w:rFonts w:ascii="Arial" w:hAnsi="Arial" w:cs="Arial"/>
          <w:sz w:val="22"/>
          <w:szCs w:val="22"/>
        </w:rPr>
        <w:t xml:space="preserve">Key lessons learnt </w:t>
      </w:r>
      <w:r w:rsidR="00367080">
        <w:rPr>
          <w:rFonts w:ascii="Arial" w:hAnsi="Arial" w:cs="Arial"/>
          <w:sz w:val="22"/>
          <w:szCs w:val="22"/>
        </w:rPr>
        <w:t xml:space="preserve">from this first year </w:t>
      </w:r>
      <w:r>
        <w:rPr>
          <w:rFonts w:ascii="Arial" w:hAnsi="Arial" w:cs="Arial"/>
          <w:sz w:val="22"/>
          <w:szCs w:val="22"/>
        </w:rPr>
        <w:t xml:space="preserve">are </w:t>
      </w:r>
      <w:r w:rsidR="00367080">
        <w:rPr>
          <w:rFonts w:ascii="Arial" w:hAnsi="Arial" w:cs="Arial"/>
          <w:sz w:val="22"/>
          <w:szCs w:val="22"/>
        </w:rPr>
        <w:t xml:space="preserve">management oversight is needed to </w:t>
      </w:r>
      <w:r w:rsidRPr="00CE23F1">
        <w:rPr>
          <w:rFonts w:ascii="Arial" w:hAnsi="Arial" w:cs="Arial"/>
          <w:sz w:val="22"/>
          <w:szCs w:val="22"/>
        </w:rPr>
        <w:t>ensur</w:t>
      </w:r>
      <w:r w:rsidR="00367080">
        <w:rPr>
          <w:rFonts w:ascii="Arial" w:hAnsi="Arial" w:cs="Arial"/>
          <w:sz w:val="22"/>
          <w:szCs w:val="22"/>
        </w:rPr>
        <w:t>e</w:t>
      </w:r>
      <w:r w:rsidRPr="00CE23F1">
        <w:rPr>
          <w:rFonts w:ascii="Arial" w:hAnsi="Arial" w:cs="Arial"/>
          <w:sz w:val="22"/>
          <w:szCs w:val="22"/>
        </w:rPr>
        <w:t xml:space="preserve"> sufficient capacity </w:t>
      </w:r>
      <w:r w:rsidR="00945749">
        <w:rPr>
          <w:rFonts w:ascii="Arial" w:hAnsi="Arial" w:cs="Arial"/>
          <w:sz w:val="22"/>
          <w:szCs w:val="22"/>
        </w:rPr>
        <w:t xml:space="preserve">is available </w:t>
      </w:r>
      <w:r w:rsidRPr="00CE23F1">
        <w:rPr>
          <w:rFonts w:ascii="Arial" w:hAnsi="Arial" w:cs="Arial"/>
          <w:sz w:val="22"/>
          <w:szCs w:val="22"/>
        </w:rPr>
        <w:t>to</w:t>
      </w:r>
      <w:r w:rsidR="00FA6D17">
        <w:rPr>
          <w:rFonts w:ascii="Arial" w:hAnsi="Arial" w:cs="Arial"/>
          <w:sz w:val="22"/>
          <w:szCs w:val="22"/>
        </w:rPr>
        <w:t xml:space="preserve"> </w:t>
      </w:r>
      <w:r>
        <w:rPr>
          <w:rFonts w:ascii="Arial" w:hAnsi="Arial" w:cs="Arial"/>
          <w:sz w:val="22"/>
          <w:szCs w:val="22"/>
        </w:rPr>
        <w:t>deliver</w:t>
      </w:r>
      <w:r w:rsidRPr="00CE23F1">
        <w:rPr>
          <w:rFonts w:ascii="Arial" w:hAnsi="Arial" w:cs="Arial"/>
          <w:sz w:val="22"/>
          <w:szCs w:val="22"/>
        </w:rPr>
        <w:t xml:space="preserve"> operational requirements</w:t>
      </w:r>
      <w:r w:rsidR="00255578">
        <w:rPr>
          <w:rFonts w:ascii="Arial" w:hAnsi="Arial" w:cs="Arial"/>
          <w:sz w:val="22"/>
          <w:szCs w:val="22"/>
        </w:rPr>
        <w:t xml:space="preserve"> and</w:t>
      </w:r>
      <w:r w:rsidR="00FA6D17">
        <w:rPr>
          <w:rFonts w:ascii="Arial" w:hAnsi="Arial" w:cs="Arial"/>
          <w:sz w:val="22"/>
          <w:szCs w:val="22"/>
        </w:rPr>
        <w:t xml:space="preserve"> </w:t>
      </w:r>
      <w:r>
        <w:rPr>
          <w:rFonts w:ascii="Arial" w:hAnsi="Arial" w:cs="Arial"/>
          <w:sz w:val="22"/>
          <w:szCs w:val="22"/>
        </w:rPr>
        <w:t xml:space="preserve">actively </w:t>
      </w:r>
      <w:r w:rsidRPr="00CE23F1">
        <w:rPr>
          <w:rFonts w:ascii="Arial" w:hAnsi="Arial" w:cs="Arial"/>
          <w:sz w:val="22"/>
          <w:szCs w:val="22"/>
        </w:rPr>
        <w:t>engage with external stakeholders</w:t>
      </w:r>
      <w:r w:rsidR="00255578">
        <w:rPr>
          <w:rFonts w:ascii="Arial" w:hAnsi="Arial" w:cs="Arial"/>
          <w:sz w:val="22"/>
          <w:szCs w:val="22"/>
        </w:rPr>
        <w:t>.</w:t>
      </w:r>
      <w:r w:rsidR="00945749">
        <w:rPr>
          <w:rFonts w:ascii="Arial" w:hAnsi="Arial" w:cs="Arial"/>
          <w:sz w:val="22"/>
          <w:szCs w:val="22"/>
        </w:rPr>
        <w:t xml:space="preserve"> We also need to </w:t>
      </w:r>
      <w:r w:rsidR="00FA6D17">
        <w:rPr>
          <w:rFonts w:ascii="Arial" w:hAnsi="Arial" w:cs="Arial"/>
          <w:sz w:val="22"/>
          <w:szCs w:val="22"/>
        </w:rPr>
        <w:t>ensur</w:t>
      </w:r>
      <w:r w:rsidR="00945749">
        <w:rPr>
          <w:rFonts w:ascii="Arial" w:hAnsi="Arial" w:cs="Arial"/>
          <w:sz w:val="22"/>
          <w:szCs w:val="22"/>
        </w:rPr>
        <w:t>e that</w:t>
      </w:r>
      <w:r w:rsidR="00FA6D17">
        <w:rPr>
          <w:rFonts w:ascii="Arial" w:hAnsi="Arial" w:cs="Arial"/>
          <w:sz w:val="22"/>
          <w:szCs w:val="22"/>
        </w:rPr>
        <w:t xml:space="preserve"> decisions to recruit can be taken quickly and acted upon without delay. We have adjusted our processes, particularly in relation to recruitment panel</w:t>
      </w:r>
      <w:r w:rsidR="00255578">
        <w:rPr>
          <w:rFonts w:ascii="Arial" w:hAnsi="Arial" w:cs="Arial"/>
          <w:sz w:val="22"/>
          <w:szCs w:val="22"/>
        </w:rPr>
        <w:t>,</w:t>
      </w:r>
      <w:r w:rsidR="00FA6D17">
        <w:rPr>
          <w:rFonts w:ascii="Arial" w:hAnsi="Arial" w:cs="Arial"/>
          <w:sz w:val="22"/>
          <w:szCs w:val="22"/>
        </w:rPr>
        <w:t xml:space="preserve"> to </w:t>
      </w:r>
      <w:r w:rsidR="00945749">
        <w:rPr>
          <w:rFonts w:ascii="Arial" w:hAnsi="Arial" w:cs="Arial"/>
          <w:sz w:val="22"/>
          <w:szCs w:val="22"/>
        </w:rPr>
        <w:t xml:space="preserve">help </w:t>
      </w:r>
      <w:r w:rsidR="00FA6D17">
        <w:rPr>
          <w:rFonts w:ascii="Arial" w:hAnsi="Arial" w:cs="Arial"/>
          <w:sz w:val="22"/>
          <w:szCs w:val="22"/>
        </w:rPr>
        <w:t>ensure that this is the case</w:t>
      </w:r>
      <w:r w:rsidR="00255578">
        <w:rPr>
          <w:rFonts w:ascii="Arial" w:hAnsi="Arial" w:cs="Arial"/>
          <w:sz w:val="22"/>
          <w:szCs w:val="22"/>
        </w:rPr>
        <w:t>.</w:t>
      </w:r>
      <w:r w:rsidR="00FA6D17">
        <w:rPr>
          <w:rFonts w:ascii="Arial" w:hAnsi="Arial" w:cs="Arial"/>
          <w:sz w:val="22"/>
          <w:szCs w:val="22"/>
        </w:rPr>
        <w:t xml:space="preserve">   </w:t>
      </w:r>
    </w:p>
    <w:p w:rsidR="009F4292" w:rsidRDefault="00CE23F1" w:rsidP="007C5117">
      <w:pPr>
        <w:spacing w:after="200" w:line="276" w:lineRule="auto"/>
        <w:rPr>
          <w:rFonts w:ascii="Arial" w:hAnsi="Arial" w:cs="Arial"/>
          <w:sz w:val="22"/>
          <w:szCs w:val="22"/>
        </w:rPr>
      </w:pPr>
      <w:r>
        <w:rPr>
          <w:rFonts w:ascii="Arial" w:hAnsi="Arial" w:cs="Arial"/>
          <w:sz w:val="22"/>
          <w:szCs w:val="22"/>
        </w:rPr>
        <w:t>For</w:t>
      </w:r>
      <w:r w:rsidR="003B2F1E">
        <w:rPr>
          <w:rFonts w:ascii="Arial" w:hAnsi="Arial" w:cs="Arial"/>
          <w:sz w:val="22"/>
          <w:szCs w:val="22"/>
        </w:rPr>
        <w:t xml:space="preserve"> 2017/18 we have </w:t>
      </w:r>
      <w:r>
        <w:rPr>
          <w:rFonts w:ascii="Arial" w:hAnsi="Arial" w:cs="Arial"/>
          <w:sz w:val="22"/>
          <w:szCs w:val="22"/>
        </w:rPr>
        <w:t xml:space="preserve">included </w:t>
      </w:r>
      <w:r w:rsidR="003B2F1E">
        <w:rPr>
          <w:rFonts w:ascii="Arial" w:hAnsi="Arial" w:cs="Arial"/>
          <w:sz w:val="22"/>
          <w:szCs w:val="22"/>
        </w:rPr>
        <w:t>a vacancy factor of £250k</w:t>
      </w:r>
      <w:r w:rsidR="00FA6D17">
        <w:rPr>
          <w:rFonts w:ascii="Arial" w:hAnsi="Arial" w:cs="Arial"/>
          <w:sz w:val="22"/>
          <w:szCs w:val="22"/>
        </w:rPr>
        <w:t xml:space="preserve"> (2.76% of payroll)</w:t>
      </w:r>
      <w:r w:rsidR="003B2F1E">
        <w:rPr>
          <w:rFonts w:ascii="Arial" w:hAnsi="Arial" w:cs="Arial"/>
          <w:sz w:val="22"/>
          <w:szCs w:val="22"/>
        </w:rPr>
        <w:t xml:space="preserve"> compare</w:t>
      </w:r>
      <w:r>
        <w:rPr>
          <w:rFonts w:ascii="Arial" w:hAnsi="Arial" w:cs="Arial"/>
          <w:sz w:val="22"/>
          <w:szCs w:val="22"/>
        </w:rPr>
        <w:t>d</w:t>
      </w:r>
      <w:r w:rsidR="003B2F1E">
        <w:rPr>
          <w:rFonts w:ascii="Arial" w:hAnsi="Arial" w:cs="Arial"/>
          <w:sz w:val="22"/>
          <w:szCs w:val="22"/>
        </w:rPr>
        <w:t xml:space="preserve"> with </w:t>
      </w:r>
      <w:r>
        <w:rPr>
          <w:rFonts w:ascii="Arial" w:hAnsi="Arial" w:cs="Arial"/>
          <w:sz w:val="22"/>
          <w:szCs w:val="22"/>
        </w:rPr>
        <w:t xml:space="preserve">equivalent </w:t>
      </w:r>
      <w:r w:rsidR="009F4292">
        <w:rPr>
          <w:rFonts w:ascii="Arial" w:hAnsi="Arial" w:cs="Arial"/>
          <w:sz w:val="22"/>
          <w:szCs w:val="22"/>
        </w:rPr>
        <w:t xml:space="preserve">£257k </w:t>
      </w:r>
      <w:r w:rsidR="00FA6D17">
        <w:rPr>
          <w:rFonts w:ascii="Arial" w:hAnsi="Arial" w:cs="Arial"/>
          <w:sz w:val="22"/>
          <w:szCs w:val="22"/>
        </w:rPr>
        <w:t xml:space="preserve">(2.93% of payroll) </w:t>
      </w:r>
      <w:r w:rsidR="003B2F1E">
        <w:rPr>
          <w:rFonts w:ascii="Arial" w:hAnsi="Arial" w:cs="Arial"/>
          <w:sz w:val="22"/>
          <w:szCs w:val="22"/>
        </w:rPr>
        <w:t xml:space="preserve">in 2016/17. </w:t>
      </w:r>
      <w:r w:rsidR="00FA6D17">
        <w:rPr>
          <w:rFonts w:ascii="Arial" w:hAnsi="Arial" w:cs="Arial"/>
          <w:sz w:val="22"/>
          <w:szCs w:val="22"/>
        </w:rPr>
        <w:t xml:space="preserve">This amount feels achievable and will be closely monitored by leadership team and recruitment panel to ensure operational capacity is not negatively impacted. </w:t>
      </w:r>
      <w:r w:rsidR="009F4292">
        <w:rPr>
          <w:rFonts w:ascii="Arial" w:hAnsi="Arial" w:cs="Arial"/>
          <w:sz w:val="22"/>
          <w:szCs w:val="22"/>
        </w:rPr>
        <w:t xml:space="preserve"> </w:t>
      </w:r>
    </w:p>
    <w:p w:rsidR="00945749" w:rsidRDefault="00945749" w:rsidP="007C5117">
      <w:pPr>
        <w:spacing w:after="200" w:line="276" w:lineRule="auto"/>
        <w:rPr>
          <w:rFonts w:ascii="Arial" w:hAnsi="Arial" w:cs="Arial"/>
          <w:b/>
          <w:sz w:val="22"/>
          <w:szCs w:val="22"/>
        </w:rPr>
      </w:pPr>
    </w:p>
    <w:p w:rsidR="00891562" w:rsidRDefault="00891562" w:rsidP="007C5117">
      <w:pPr>
        <w:spacing w:after="200" w:line="276" w:lineRule="auto"/>
        <w:rPr>
          <w:rFonts w:ascii="Arial" w:hAnsi="Arial" w:cs="Arial"/>
          <w:b/>
          <w:sz w:val="22"/>
          <w:szCs w:val="22"/>
        </w:rPr>
      </w:pPr>
      <w:r>
        <w:rPr>
          <w:rFonts w:ascii="Arial" w:hAnsi="Arial" w:cs="Arial"/>
          <w:b/>
          <w:sz w:val="22"/>
          <w:szCs w:val="22"/>
        </w:rPr>
        <w:lastRenderedPageBreak/>
        <w:t>Non-pay costs</w:t>
      </w:r>
    </w:p>
    <w:tbl>
      <w:tblPr>
        <w:tblW w:w="8620" w:type="dxa"/>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923"/>
        <w:gridCol w:w="1114"/>
        <w:gridCol w:w="1278"/>
        <w:gridCol w:w="1288"/>
        <w:gridCol w:w="1017"/>
      </w:tblGrid>
      <w:tr w:rsidR="00E84ADF" w:rsidRPr="000F669F" w:rsidTr="00E84ADF">
        <w:trPr>
          <w:trHeight w:val="288"/>
        </w:trPr>
        <w:tc>
          <w:tcPr>
            <w:tcW w:w="3923" w:type="dxa"/>
            <w:shd w:val="clear" w:color="auto" w:fill="95B3D7" w:themeFill="accent1" w:themeFillTint="99"/>
            <w:hideMark/>
          </w:tcPr>
          <w:p w:rsidR="00E84ADF" w:rsidRPr="000F669F" w:rsidRDefault="00E84ADF" w:rsidP="000F669F">
            <w:pPr>
              <w:rPr>
                <w:rFonts w:ascii="Calibri" w:hAnsi="Calibri" w:cs="Calibri"/>
                <w:b/>
                <w:bCs/>
                <w:color w:val="FFFFFF"/>
                <w:sz w:val="22"/>
                <w:szCs w:val="22"/>
              </w:rPr>
            </w:pPr>
            <w:r w:rsidRPr="000F669F">
              <w:rPr>
                <w:rFonts w:ascii="Calibri" w:hAnsi="Calibri" w:cs="Calibri"/>
                <w:b/>
                <w:bCs/>
                <w:color w:val="FFFFFF"/>
                <w:sz w:val="22"/>
                <w:szCs w:val="22"/>
              </w:rPr>
              <w:t> </w:t>
            </w:r>
          </w:p>
        </w:tc>
        <w:tc>
          <w:tcPr>
            <w:tcW w:w="3680" w:type="dxa"/>
            <w:gridSpan w:val="3"/>
            <w:shd w:val="clear" w:color="auto" w:fill="95B3D7" w:themeFill="accent1" w:themeFillTint="99"/>
            <w:hideMark/>
          </w:tcPr>
          <w:p w:rsidR="00E84ADF" w:rsidRPr="000F669F" w:rsidRDefault="00E84ADF" w:rsidP="00E84ADF">
            <w:pPr>
              <w:jc w:val="center"/>
              <w:rPr>
                <w:rFonts w:ascii="Calibri" w:hAnsi="Calibri" w:cs="Calibri"/>
                <w:b/>
                <w:bCs/>
                <w:color w:val="FFFFFF"/>
                <w:sz w:val="22"/>
                <w:szCs w:val="22"/>
              </w:rPr>
            </w:pPr>
            <w:r w:rsidRPr="000F669F">
              <w:rPr>
                <w:rFonts w:ascii="Calibri" w:hAnsi="Calibri" w:cs="Calibri"/>
                <w:b/>
                <w:bCs/>
                <w:color w:val="FFFFFF"/>
                <w:sz w:val="22"/>
                <w:szCs w:val="22"/>
              </w:rPr>
              <w:t>2016/17</w:t>
            </w:r>
          </w:p>
        </w:tc>
        <w:tc>
          <w:tcPr>
            <w:tcW w:w="1017" w:type="dxa"/>
            <w:shd w:val="clear" w:color="auto" w:fill="95B3D7" w:themeFill="accent1" w:themeFillTint="99"/>
            <w:hideMark/>
          </w:tcPr>
          <w:p w:rsidR="00E84ADF" w:rsidRPr="000F669F" w:rsidRDefault="00E84ADF" w:rsidP="000F669F">
            <w:pPr>
              <w:jc w:val="right"/>
              <w:rPr>
                <w:rFonts w:ascii="Calibri" w:hAnsi="Calibri" w:cs="Calibri"/>
                <w:b/>
                <w:bCs/>
                <w:color w:val="FFFFFF"/>
                <w:sz w:val="22"/>
                <w:szCs w:val="22"/>
              </w:rPr>
            </w:pPr>
            <w:r w:rsidRPr="000F669F">
              <w:rPr>
                <w:rFonts w:ascii="Calibri" w:hAnsi="Calibri" w:cs="Calibri"/>
                <w:b/>
                <w:bCs/>
                <w:color w:val="FFFFFF"/>
                <w:sz w:val="22"/>
                <w:szCs w:val="22"/>
              </w:rPr>
              <w:t> </w:t>
            </w:r>
          </w:p>
        </w:tc>
      </w:tr>
      <w:tr w:rsidR="00EB2F49" w:rsidRPr="000F669F" w:rsidTr="00E84ADF">
        <w:trPr>
          <w:trHeight w:val="864"/>
        </w:trPr>
        <w:tc>
          <w:tcPr>
            <w:tcW w:w="3923" w:type="dxa"/>
            <w:shd w:val="clear" w:color="auto" w:fill="95B3D7" w:themeFill="accent1" w:themeFillTint="99"/>
            <w:hideMark/>
          </w:tcPr>
          <w:p w:rsidR="000F669F" w:rsidRPr="000F669F" w:rsidRDefault="000F669F" w:rsidP="000F669F">
            <w:pPr>
              <w:rPr>
                <w:rFonts w:ascii="Calibri" w:hAnsi="Calibri" w:cs="Calibri"/>
                <w:b/>
                <w:bCs/>
                <w:color w:val="FFFFFF"/>
                <w:sz w:val="22"/>
                <w:szCs w:val="22"/>
              </w:rPr>
            </w:pPr>
            <w:r w:rsidRPr="000F669F">
              <w:rPr>
                <w:rFonts w:ascii="Calibri" w:hAnsi="Calibri" w:cs="Calibri"/>
                <w:b/>
                <w:bCs/>
                <w:color w:val="FFFFFF"/>
                <w:sz w:val="22"/>
                <w:szCs w:val="22"/>
              </w:rPr>
              <w:t> </w:t>
            </w:r>
          </w:p>
        </w:tc>
        <w:tc>
          <w:tcPr>
            <w:tcW w:w="1114" w:type="dxa"/>
            <w:shd w:val="clear" w:color="auto" w:fill="95B3D7" w:themeFill="accent1" w:themeFillTint="99"/>
            <w:hideMark/>
          </w:tcPr>
          <w:p w:rsidR="000F669F" w:rsidRPr="000F669F" w:rsidRDefault="000F669F" w:rsidP="000F669F">
            <w:pPr>
              <w:jc w:val="right"/>
              <w:rPr>
                <w:rFonts w:ascii="Calibri" w:hAnsi="Calibri" w:cs="Calibri"/>
                <w:b/>
                <w:bCs/>
                <w:color w:val="FFFFFF"/>
                <w:sz w:val="22"/>
                <w:szCs w:val="22"/>
              </w:rPr>
            </w:pPr>
            <w:r w:rsidRPr="000F669F">
              <w:rPr>
                <w:rFonts w:ascii="Calibri" w:hAnsi="Calibri" w:cs="Calibri"/>
                <w:b/>
                <w:bCs/>
                <w:color w:val="FFFFFF"/>
                <w:sz w:val="22"/>
                <w:szCs w:val="22"/>
              </w:rPr>
              <w:t>budget</w:t>
            </w:r>
            <w:r w:rsidRPr="000F669F">
              <w:rPr>
                <w:rFonts w:ascii="Calibri" w:hAnsi="Calibri" w:cs="Calibri"/>
                <w:b/>
                <w:bCs/>
                <w:color w:val="FFFFFF"/>
                <w:sz w:val="22"/>
                <w:szCs w:val="22"/>
              </w:rPr>
              <w:br/>
              <w:t>£000</w:t>
            </w:r>
          </w:p>
        </w:tc>
        <w:tc>
          <w:tcPr>
            <w:tcW w:w="1278" w:type="dxa"/>
            <w:shd w:val="clear" w:color="auto" w:fill="95B3D7" w:themeFill="accent1" w:themeFillTint="99"/>
            <w:hideMark/>
          </w:tcPr>
          <w:p w:rsidR="000F669F" w:rsidRPr="000F669F" w:rsidRDefault="000F669F" w:rsidP="000F669F">
            <w:pPr>
              <w:jc w:val="right"/>
              <w:rPr>
                <w:rFonts w:ascii="Calibri" w:hAnsi="Calibri" w:cs="Calibri"/>
                <w:b/>
                <w:bCs/>
                <w:color w:val="FFFFFF"/>
                <w:sz w:val="22"/>
                <w:szCs w:val="22"/>
              </w:rPr>
            </w:pPr>
            <w:r w:rsidRPr="000F669F">
              <w:rPr>
                <w:rFonts w:ascii="Calibri" w:hAnsi="Calibri" w:cs="Calibri"/>
                <w:b/>
                <w:bCs/>
                <w:color w:val="FFFFFF"/>
                <w:sz w:val="22"/>
                <w:szCs w:val="22"/>
              </w:rPr>
              <w:t>Actual</w:t>
            </w:r>
            <w:r w:rsidRPr="000F669F">
              <w:rPr>
                <w:rFonts w:ascii="Calibri" w:hAnsi="Calibri" w:cs="Calibri"/>
                <w:b/>
                <w:bCs/>
                <w:color w:val="FFFFFF"/>
                <w:sz w:val="22"/>
                <w:szCs w:val="22"/>
              </w:rPr>
              <w:br/>
              <w:t>£000</w:t>
            </w:r>
          </w:p>
        </w:tc>
        <w:tc>
          <w:tcPr>
            <w:tcW w:w="1288" w:type="dxa"/>
            <w:shd w:val="clear" w:color="auto" w:fill="95B3D7" w:themeFill="accent1" w:themeFillTint="99"/>
            <w:hideMark/>
          </w:tcPr>
          <w:p w:rsidR="000F669F" w:rsidRPr="000F669F" w:rsidRDefault="000F669F" w:rsidP="000F669F">
            <w:pPr>
              <w:jc w:val="right"/>
              <w:rPr>
                <w:rFonts w:ascii="Calibri" w:hAnsi="Calibri" w:cs="Calibri"/>
                <w:b/>
                <w:bCs/>
                <w:color w:val="FFFFFF"/>
                <w:sz w:val="22"/>
                <w:szCs w:val="22"/>
              </w:rPr>
            </w:pPr>
            <w:r w:rsidRPr="000F669F">
              <w:rPr>
                <w:rFonts w:ascii="Calibri" w:hAnsi="Calibri" w:cs="Calibri"/>
                <w:b/>
                <w:bCs/>
                <w:color w:val="FFFFFF"/>
                <w:sz w:val="22"/>
                <w:szCs w:val="22"/>
              </w:rPr>
              <w:t>Variance</w:t>
            </w:r>
            <w:r w:rsidRPr="000F669F">
              <w:rPr>
                <w:rFonts w:ascii="Calibri" w:hAnsi="Calibri" w:cs="Calibri"/>
                <w:b/>
                <w:bCs/>
                <w:color w:val="FFFFFF"/>
                <w:sz w:val="22"/>
                <w:szCs w:val="22"/>
              </w:rPr>
              <w:br/>
              <w:t>£000</w:t>
            </w:r>
          </w:p>
        </w:tc>
        <w:tc>
          <w:tcPr>
            <w:tcW w:w="1017" w:type="dxa"/>
            <w:shd w:val="clear" w:color="auto" w:fill="95B3D7" w:themeFill="accent1" w:themeFillTint="99"/>
            <w:hideMark/>
          </w:tcPr>
          <w:p w:rsidR="000F669F" w:rsidRPr="000F669F" w:rsidRDefault="000F669F" w:rsidP="000F669F">
            <w:pPr>
              <w:jc w:val="right"/>
              <w:rPr>
                <w:rFonts w:ascii="Calibri" w:hAnsi="Calibri" w:cs="Calibri"/>
                <w:b/>
                <w:bCs/>
                <w:color w:val="FFFFFF"/>
                <w:sz w:val="22"/>
                <w:szCs w:val="22"/>
              </w:rPr>
            </w:pPr>
            <w:r w:rsidRPr="000F669F">
              <w:rPr>
                <w:rFonts w:ascii="Calibri" w:hAnsi="Calibri" w:cs="Calibri"/>
                <w:b/>
                <w:bCs/>
                <w:color w:val="FFFFFF"/>
                <w:sz w:val="22"/>
                <w:szCs w:val="22"/>
              </w:rPr>
              <w:t>% Variance</w:t>
            </w:r>
          </w:p>
        </w:tc>
      </w:tr>
      <w:tr w:rsidR="000F669F" w:rsidRPr="000F669F" w:rsidTr="00E84ADF">
        <w:trPr>
          <w:trHeight w:val="288"/>
        </w:trPr>
        <w:tc>
          <w:tcPr>
            <w:tcW w:w="3923" w:type="dxa"/>
            <w:shd w:val="clear" w:color="auto" w:fill="auto"/>
            <w:hideMark/>
          </w:tcPr>
          <w:p w:rsidR="000F669F" w:rsidRPr="000F669F" w:rsidRDefault="000F669F" w:rsidP="000F669F">
            <w:pPr>
              <w:rPr>
                <w:rFonts w:ascii="Calibri" w:hAnsi="Calibri" w:cs="Calibri"/>
                <w:color w:val="000000"/>
                <w:sz w:val="22"/>
                <w:szCs w:val="22"/>
              </w:rPr>
            </w:pPr>
            <w:r w:rsidRPr="000F669F">
              <w:rPr>
                <w:rFonts w:ascii="Calibri" w:hAnsi="Calibri" w:cs="Calibri"/>
                <w:color w:val="000000"/>
                <w:sz w:val="22"/>
                <w:szCs w:val="22"/>
              </w:rPr>
              <w:t xml:space="preserve">HRA Approval </w:t>
            </w:r>
            <w:proofErr w:type="spellStart"/>
            <w:r w:rsidRPr="000F669F">
              <w:rPr>
                <w:rFonts w:ascii="Calibri" w:hAnsi="Calibri" w:cs="Calibri"/>
                <w:color w:val="000000"/>
                <w:sz w:val="22"/>
                <w:szCs w:val="22"/>
              </w:rPr>
              <w:t>inc.</w:t>
            </w:r>
            <w:proofErr w:type="spellEnd"/>
            <w:r w:rsidRPr="000F669F">
              <w:rPr>
                <w:rFonts w:ascii="Calibri" w:hAnsi="Calibri" w:cs="Calibri"/>
                <w:color w:val="000000"/>
                <w:sz w:val="22"/>
                <w:szCs w:val="22"/>
              </w:rPr>
              <w:t xml:space="preserve"> RES</w:t>
            </w:r>
          </w:p>
        </w:tc>
        <w:tc>
          <w:tcPr>
            <w:tcW w:w="1114" w:type="dxa"/>
            <w:shd w:val="clear" w:color="auto" w:fill="auto"/>
            <w:hideMark/>
          </w:tcPr>
          <w:p w:rsidR="000F669F" w:rsidRPr="000F669F" w:rsidRDefault="000F669F" w:rsidP="000F669F">
            <w:pPr>
              <w:jc w:val="right"/>
              <w:rPr>
                <w:rFonts w:ascii="Calibri" w:hAnsi="Calibri" w:cs="Calibri"/>
                <w:color w:val="000000"/>
                <w:sz w:val="22"/>
                <w:szCs w:val="22"/>
              </w:rPr>
            </w:pPr>
            <w:r w:rsidRPr="000F669F">
              <w:rPr>
                <w:rFonts w:ascii="Calibri" w:hAnsi="Calibri" w:cs="Calibri"/>
                <w:color w:val="000000"/>
                <w:sz w:val="22"/>
                <w:szCs w:val="22"/>
              </w:rPr>
              <w:t xml:space="preserve">1,725 </w:t>
            </w:r>
          </w:p>
        </w:tc>
        <w:tc>
          <w:tcPr>
            <w:tcW w:w="1278" w:type="dxa"/>
            <w:shd w:val="clear" w:color="auto" w:fill="auto"/>
            <w:hideMark/>
          </w:tcPr>
          <w:p w:rsidR="000F669F" w:rsidRPr="000F669F" w:rsidRDefault="000F669F" w:rsidP="000F669F">
            <w:pPr>
              <w:jc w:val="right"/>
              <w:rPr>
                <w:rFonts w:ascii="Calibri" w:hAnsi="Calibri" w:cs="Calibri"/>
                <w:color w:val="000000"/>
                <w:sz w:val="22"/>
                <w:szCs w:val="22"/>
              </w:rPr>
            </w:pPr>
            <w:r w:rsidRPr="000F669F">
              <w:rPr>
                <w:rFonts w:ascii="Calibri" w:hAnsi="Calibri" w:cs="Calibri"/>
                <w:color w:val="000000"/>
                <w:sz w:val="22"/>
                <w:szCs w:val="22"/>
              </w:rPr>
              <w:t xml:space="preserve">1,733 </w:t>
            </w:r>
          </w:p>
        </w:tc>
        <w:tc>
          <w:tcPr>
            <w:tcW w:w="1288" w:type="dxa"/>
            <w:shd w:val="clear" w:color="auto" w:fill="auto"/>
            <w:hideMark/>
          </w:tcPr>
          <w:p w:rsidR="000F669F" w:rsidRPr="000F669F" w:rsidRDefault="00A30F13" w:rsidP="000F669F">
            <w:pPr>
              <w:jc w:val="right"/>
              <w:rPr>
                <w:rFonts w:ascii="Calibri" w:hAnsi="Calibri" w:cs="Calibri"/>
                <w:color w:val="000000"/>
                <w:sz w:val="22"/>
                <w:szCs w:val="22"/>
              </w:rPr>
            </w:pPr>
            <w:r>
              <w:rPr>
                <w:rFonts w:ascii="Calibri" w:hAnsi="Calibri" w:cs="Calibri"/>
                <w:color w:val="000000"/>
                <w:sz w:val="22"/>
                <w:szCs w:val="22"/>
              </w:rPr>
              <w:t>8</w:t>
            </w:r>
          </w:p>
        </w:tc>
        <w:tc>
          <w:tcPr>
            <w:tcW w:w="1017" w:type="dxa"/>
            <w:shd w:val="clear" w:color="auto" w:fill="auto"/>
            <w:noWrap/>
            <w:vAlign w:val="bottom"/>
            <w:hideMark/>
          </w:tcPr>
          <w:p w:rsidR="000F669F" w:rsidRPr="000F669F" w:rsidRDefault="000F669F" w:rsidP="000F669F">
            <w:pPr>
              <w:jc w:val="right"/>
              <w:rPr>
                <w:rFonts w:ascii="Calibri" w:hAnsi="Calibri" w:cs="Calibri"/>
                <w:color w:val="000000"/>
                <w:sz w:val="22"/>
                <w:szCs w:val="22"/>
              </w:rPr>
            </w:pPr>
            <w:r w:rsidRPr="000F669F">
              <w:rPr>
                <w:rFonts w:ascii="Calibri" w:hAnsi="Calibri" w:cs="Calibri"/>
                <w:color w:val="000000"/>
                <w:sz w:val="22"/>
                <w:szCs w:val="22"/>
              </w:rPr>
              <w:t>0%</w:t>
            </w:r>
          </w:p>
        </w:tc>
      </w:tr>
      <w:tr w:rsidR="000F669F" w:rsidRPr="000F669F" w:rsidTr="00E84ADF">
        <w:trPr>
          <w:trHeight w:val="288"/>
        </w:trPr>
        <w:tc>
          <w:tcPr>
            <w:tcW w:w="3923" w:type="dxa"/>
            <w:shd w:val="clear" w:color="auto" w:fill="auto"/>
            <w:hideMark/>
          </w:tcPr>
          <w:p w:rsidR="000F669F" w:rsidRPr="000F669F" w:rsidRDefault="000F669F" w:rsidP="000F669F">
            <w:pPr>
              <w:rPr>
                <w:rFonts w:ascii="Calibri" w:hAnsi="Calibri" w:cs="Calibri"/>
                <w:color w:val="000000"/>
                <w:sz w:val="22"/>
                <w:szCs w:val="22"/>
              </w:rPr>
            </w:pPr>
            <w:r w:rsidRPr="000F669F">
              <w:rPr>
                <w:rFonts w:ascii="Calibri" w:hAnsi="Calibri" w:cs="Calibri"/>
                <w:color w:val="000000"/>
                <w:sz w:val="22"/>
                <w:szCs w:val="22"/>
              </w:rPr>
              <w:t xml:space="preserve">Chief Executive </w:t>
            </w:r>
            <w:proofErr w:type="spellStart"/>
            <w:r w:rsidRPr="000F669F">
              <w:rPr>
                <w:rFonts w:ascii="Calibri" w:hAnsi="Calibri" w:cs="Calibri"/>
                <w:color w:val="000000"/>
                <w:sz w:val="22"/>
                <w:szCs w:val="22"/>
              </w:rPr>
              <w:t>inc.</w:t>
            </w:r>
            <w:proofErr w:type="spellEnd"/>
            <w:r w:rsidRPr="000F669F">
              <w:rPr>
                <w:rFonts w:ascii="Calibri" w:hAnsi="Calibri" w:cs="Calibri"/>
                <w:color w:val="000000"/>
                <w:sz w:val="22"/>
                <w:szCs w:val="22"/>
              </w:rPr>
              <w:t xml:space="preserve"> Governance</w:t>
            </w:r>
          </w:p>
        </w:tc>
        <w:tc>
          <w:tcPr>
            <w:tcW w:w="1114" w:type="dxa"/>
            <w:shd w:val="clear" w:color="auto" w:fill="auto"/>
            <w:hideMark/>
          </w:tcPr>
          <w:p w:rsidR="000F669F" w:rsidRPr="000F669F" w:rsidRDefault="000F669F" w:rsidP="000F669F">
            <w:pPr>
              <w:jc w:val="right"/>
              <w:rPr>
                <w:rFonts w:ascii="Calibri" w:hAnsi="Calibri" w:cs="Calibri"/>
                <w:color w:val="000000"/>
                <w:sz w:val="22"/>
                <w:szCs w:val="22"/>
              </w:rPr>
            </w:pPr>
            <w:r w:rsidRPr="000F669F">
              <w:rPr>
                <w:rFonts w:ascii="Calibri" w:hAnsi="Calibri" w:cs="Calibri"/>
                <w:color w:val="000000"/>
                <w:sz w:val="22"/>
                <w:szCs w:val="22"/>
              </w:rPr>
              <w:t xml:space="preserve">638 </w:t>
            </w:r>
          </w:p>
        </w:tc>
        <w:tc>
          <w:tcPr>
            <w:tcW w:w="1278" w:type="dxa"/>
            <w:shd w:val="clear" w:color="auto" w:fill="auto"/>
            <w:hideMark/>
          </w:tcPr>
          <w:p w:rsidR="000F669F" w:rsidRPr="000F669F" w:rsidRDefault="000F669F" w:rsidP="000F669F">
            <w:pPr>
              <w:jc w:val="right"/>
              <w:rPr>
                <w:rFonts w:ascii="Calibri" w:hAnsi="Calibri" w:cs="Calibri"/>
                <w:color w:val="000000"/>
                <w:sz w:val="22"/>
                <w:szCs w:val="22"/>
              </w:rPr>
            </w:pPr>
            <w:r w:rsidRPr="000F669F">
              <w:rPr>
                <w:rFonts w:ascii="Calibri" w:hAnsi="Calibri" w:cs="Calibri"/>
                <w:color w:val="000000"/>
                <w:sz w:val="22"/>
                <w:szCs w:val="22"/>
              </w:rPr>
              <w:t xml:space="preserve">631 </w:t>
            </w:r>
          </w:p>
        </w:tc>
        <w:tc>
          <w:tcPr>
            <w:tcW w:w="1288" w:type="dxa"/>
            <w:shd w:val="clear" w:color="auto" w:fill="auto"/>
            <w:hideMark/>
          </w:tcPr>
          <w:p w:rsidR="000F669F" w:rsidRPr="000F669F" w:rsidRDefault="00A30F13" w:rsidP="000F669F">
            <w:pPr>
              <w:jc w:val="right"/>
              <w:rPr>
                <w:rFonts w:ascii="Calibri" w:hAnsi="Calibri" w:cs="Calibri"/>
                <w:color w:val="000000"/>
                <w:sz w:val="22"/>
                <w:szCs w:val="22"/>
              </w:rPr>
            </w:pPr>
            <w:r>
              <w:rPr>
                <w:rFonts w:ascii="Calibri" w:hAnsi="Calibri" w:cs="Calibri"/>
                <w:color w:val="000000"/>
                <w:sz w:val="22"/>
                <w:szCs w:val="22"/>
              </w:rPr>
              <w:t>(</w:t>
            </w:r>
            <w:r w:rsidR="000F669F" w:rsidRPr="000F669F">
              <w:rPr>
                <w:rFonts w:ascii="Calibri" w:hAnsi="Calibri" w:cs="Calibri"/>
                <w:color w:val="000000"/>
                <w:sz w:val="22"/>
                <w:szCs w:val="22"/>
              </w:rPr>
              <w:t>7</w:t>
            </w:r>
            <w:r>
              <w:rPr>
                <w:rFonts w:ascii="Calibri" w:hAnsi="Calibri" w:cs="Calibri"/>
                <w:color w:val="000000"/>
                <w:sz w:val="22"/>
                <w:szCs w:val="22"/>
              </w:rPr>
              <w:t>)</w:t>
            </w:r>
            <w:r w:rsidR="000F669F" w:rsidRPr="000F669F">
              <w:rPr>
                <w:rFonts w:ascii="Calibri" w:hAnsi="Calibri" w:cs="Calibri"/>
                <w:color w:val="000000"/>
                <w:sz w:val="22"/>
                <w:szCs w:val="22"/>
              </w:rPr>
              <w:t xml:space="preserve"> </w:t>
            </w:r>
          </w:p>
        </w:tc>
        <w:tc>
          <w:tcPr>
            <w:tcW w:w="1017" w:type="dxa"/>
            <w:shd w:val="clear" w:color="auto" w:fill="auto"/>
            <w:noWrap/>
            <w:vAlign w:val="bottom"/>
            <w:hideMark/>
          </w:tcPr>
          <w:p w:rsidR="000F669F" w:rsidRPr="000F669F" w:rsidRDefault="003D7263" w:rsidP="000F669F">
            <w:pPr>
              <w:jc w:val="right"/>
              <w:rPr>
                <w:rFonts w:ascii="Calibri" w:hAnsi="Calibri" w:cs="Calibri"/>
                <w:color w:val="000000"/>
                <w:sz w:val="22"/>
                <w:szCs w:val="22"/>
              </w:rPr>
            </w:pPr>
            <w:r>
              <w:rPr>
                <w:rFonts w:ascii="Calibri" w:hAnsi="Calibri" w:cs="Calibri"/>
                <w:color w:val="000000"/>
                <w:sz w:val="22"/>
                <w:szCs w:val="22"/>
              </w:rPr>
              <w:t>(</w:t>
            </w:r>
            <w:r w:rsidR="000F669F" w:rsidRPr="000F669F">
              <w:rPr>
                <w:rFonts w:ascii="Calibri" w:hAnsi="Calibri" w:cs="Calibri"/>
                <w:color w:val="000000"/>
                <w:sz w:val="22"/>
                <w:szCs w:val="22"/>
              </w:rPr>
              <w:t>1%</w:t>
            </w:r>
            <w:r>
              <w:rPr>
                <w:rFonts w:ascii="Calibri" w:hAnsi="Calibri" w:cs="Calibri"/>
                <w:color w:val="000000"/>
                <w:sz w:val="22"/>
                <w:szCs w:val="22"/>
              </w:rPr>
              <w:t>)</w:t>
            </w:r>
          </w:p>
        </w:tc>
      </w:tr>
      <w:tr w:rsidR="000F669F" w:rsidRPr="000F669F" w:rsidTr="00E84ADF">
        <w:trPr>
          <w:trHeight w:val="288"/>
        </w:trPr>
        <w:tc>
          <w:tcPr>
            <w:tcW w:w="3923" w:type="dxa"/>
            <w:shd w:val="clear" w:color="auto" w:fill="auto"/>
            <w:hideMark/>
          </w:tcPr>
          <w:p w:rsidR="000F669F" w:rsidRPr="000F669F" w:rsidRDefault="000F669F" w:rsidP="000F669F">
            <w:pPr>
              <w:rPr>
                <w:rFonts w:ascii="Calibri" w:hAnsi="Calibri" w:cs="Calibri"/>
                <w:color w:val="000000"/>
                <w:sz w:val="22"/>
                <w:szCs w:val="22"/>
              </w:rPr>
            </w:pPr>
            <w:r w:rsidRPr="000F669F">
              <w:rPr>
                <w:rFonts w:ascii="Calibri" w:hAnsi="Calibri" w:cs="Calibri"/>
                <w:color w:val="000000"/>
                <w:sz w:val="22"/>
                <w:szCs w:val="22"/>
              </w:rPr>
              <w:t>Corporate Services</w:t>
            </w:r>
          </w:p>
        </w:tc>
        <w:tc>
          <w:tcPr>
            <w:tcW w:w="1114" w:type="dxa"/>
            <w:shd w:val="clear" w:color="auto" w:fill="auto"/>
            <w:hideMark/>
          </w:tcPr>
          <w:p w:rsidR="000F669F" w:rsidRPr="000F669F" w:rsidRDefault="000F669F" w:rsidP="000F669F">
            <w:pPr>
              <w:jc w:val="right"/>
              <w:rPr>
                <w:rFonts w:ascii="Calibri" w:hAnsi="Calibri" w:cs="Calibri"/>
                <w:color w:val="000000"/>
                <w:sz w:val="22"/>
                <w:szCs w:val="22"/>
              </w:rPr>
            </w:pPr>
            <w:r w:rsidRPr="000F669F">
              <w:rPr>
                <w:rFonts w:ascii="Calibri" w:hAnsi="Calibri" w:cs="Calibri"/>
                <w:color w:val="000000"/>
                <w:sz w:val="22"/>
                <w:szCs w:val="22"/>
              </w:rPr>
              <w:t xml:space="preserve">1,509 </w:t>
            </w:r>
          </w:p>
        </w:tc>
        <w:tc>
          <w:tcPr>
            <w:tcW w:w="1278" w:type="dxa"/>
            <w:shd w:val="clear" w:color="auto" w:fill="auto"/>
            <w:hideMark/>
          </w:tcPr>
          <w:p w:rsidR="000F669F" w:rsidRPr="000F669F" w:rsidRDefault="000F669F" w:rsidP="000F669F">
            <w:pPr>
              <w:jc w:val="right"/>
              <w:rPr>
                <w:rFonts w:ascii="Calibri" w:hAnsi="Calibri" w:cs="Calibri"/>
                <w:color w:val="000000"/>
                <w:sz w:val="22"/>
                <w:szCs w:val="22"/>
              </w:rPr>
            </w:pPr>
            <w:r w:rsidRPr="000F669F">
              <w:rPr>
                <w:rFonts w:ascii="Calibri" w:hAnsi="Calibri" w:cs="Calibri"/>
                <w:color w:val="000000"/>
                <w:sz w:val="22"/>
                <w:szCs w:val="22"/>
              </w:rPr>
              <w:t xml:space="preserve">1,484 </w:t>
            </w:r>
          </w:p>
        </w:tc>
        <w:tc>
          <w:tcPr>
            <w:tcW w:w="1288" w:type="dxa"/>
            <w:shd w:val="clear" w:color="auto" w:fill="auto"/>
            <w:hideMark/>
          </w:tcPr>
          <w:p w:rsidR="000F669F" w:rsidRPr="000F669F" w:rsidRDefault="00A30F13" w:rsidP="000F669F">
            <w:pPr>
              <w:jc w:val="right"/>
              <w:rPr>
                <w:rFonts w:ascii="Calibri" w:hAnsi="Calibri" w:cs="Calibri"/>
                <w:color w:val="000000"/>
                <w:sz w:val="22"/>
                <w:szCs w:val="22"/>
              </w:rPr>
            </w:pPr>
            <w:r>
              <w:rPr>
                <w:rFonts w:ascii="Calibri" w:hAnsi="Calibri" w:cs="Calibri"/>
                <w:color w:val="000000"/>
                <w:sz w:val="22"/>
                <w:szCs w:val="22"/>
              </w:rPr>
              <w:t>(</w:t>
            </w:r>
            <w:r w:rsidR="000F669F" w:rsidRPr="000F669F">
              <w:rPr>
                <w:rFonts w:ascii="Calibri" w:hAnsi="Calibri" w:cs="Calibri"/>
                <w:color w:val="000000"/>
                <w:sz w:val="22"/>
                <w:szCs w:val="22"/>
              </w:rPr>
              <w:t>25</w:t>
            </w:r>
            <w:r>
              <w:rPr>
                <w:rFonts w:ascii="Calibri" w:hAnsi="Calibri" w:cs="Calibri"/>
                <w:color w:val="000000"/>
                <w:sz w:val="22"/>
                <w:szCs w:val="22"/>
              </w:rPr>
              <w:t>)</w:t>
            </w:r>
            <w:r w:rsidR="000F669F" w:rsidRPr="000F669F">
              <w:rPr>
                <w:rFonts w:ascii="Calibri" w:hAnsi="Calibri" w:cs="Calibri"/>
                <w:color w:val="000000"/>
                <w:sz w:val="22"/>
                <w:szCs w:val="22"/>
              </w:rPr>
              <w:t xml:space="preserve"> </w:t>
            </w:r>
          </w:p>
        </w:tc>
        <w:tc>
          <w:tcPr>
            <w:tcW w:w="1017" w:type="dxa"/>
            <w:shd w:val="clear" w:color="auto" w:fill="auto"/>
            <w:noWrap/>
            <w:vAlign w:val="bottom"/>
            <w:hideMark/>
          </w:tcPr>
          <w:p w:rsidR="000F669F" w:rsidRPr="000F669F" w:rsidRDefault="003D7263" w:rsidP="000F669F">
            <w:pPr>
              <w:jc w:val="right"/>
              <w:rPr>
                <w:rFonts w:ascii="Calibri" w:hAnsi="Calibri" w:cs="Calibri"/>
                <w:color w:val="000000"/>
                <w:sz w:val="22"/>
                <w:szCs w:val="22"/>
              </w:rPr>
            </w:pPr>
            <w:r>
              <w:rPr>
                <w:rFonts w:ascii="Calibri" w:hAnsi="Calibri" w:cs="Calibri"/>
                <w:color w:val="000000"/>
                <w:sz w:val="22"/>
                <w:szCs w:val="22"/>
              </w:rPr>
              <w:t>(</w:t>
            </w:r>
            <w:r w:rsidR="000F669F" w:rsidRPr="000F669F">
              <w:rPr>
                <w:rFonts w:ascii="Calibri" w:hAnsi="Calibri" w:cs="Calibri"/>
                <w:color w:val="000000"/>
                <w:sz w:val="22"/>
                <w:szCs w:val="22"/>
              </w:rPr>
              <w:t>2%</w:t>
            </w:r>
            <w:r>
              <w:rPr>
                <w:rFonts w:ascii="Calibri" w:hAnsi="Calibri" w:cs="Calibri"/>
                <w:color w:val="000000"/>
                <w:sz w:val="22"/>
                <w:szCs w:val="22"/>
              </w:rPr>
              <w:t>)</w:t>
            </w:r>
          </w:p>
        </w:tc>
      </w:tr>
      <w:tr w:rsidR="000F669F" w:rsidRPr="000F669F" w:rsidTr="00E84ADF">
        <w:trPr>
          <w:trHeight w:val="288"/>
        </w:trPr>
        <w:tc>
          <w:tcPr>
            <w:tcW w:w="3923" w:type="dxa"/>
            <w:shd w:val="clear" w:color="auto" w:fill="auto"/>
            <w:hideMark/>
          </w:tcPr>
          <w:p w:rsidR="000F669F" w:rsidRPr="000F669F" w:rsidRDefault="000F669F" w:rsidP="000F669F">
            <w:pPr>
              <w:rPr>
                <w:rFonts w:ascii="Calibri" w:hAnsi="Calibri" w:cs="Calibri"/>
                <w:color w:val="000000"/>
                <w:sz w:val="22"/>
                <w:szCs w:val="22"/>
              </w:rPr>
            </w:pPr>
            <w:r w:rsidRPr="000F669F">
              <w:rPr>
                <w:rFonts w:ascii="Calibri" w:hAnsi="Calibri" w:cs="Calibri"/>
                <w:color w:val="000000"/>
                <w:sz w:val="22"/>
                <w:szCs w:val="22"/>
              </w:rPr>
              <w:t>Finance, Procurement and Estates</w:t>
            </w:r>
          </w:p>
        </w:tc>
        <w:tc>
          <w:tcPr>
            <w:tcW w:w="1114" w:type="dxa"/>
            <w:shd w:val="clear" w:color="auto" w:fill="auto"/>
            <w:hideMark/>
          </w:tcPr>
          <w:p w:rsidR="000F669F" w:rsidRPr="000F669F" w:rsidRDefault="000F669F" w:rsidP="003D7263">
            <w:pPr>
              <w:jc w:val="right"/>
              <w:rPr>
                <w:rFonts w:ascii="Calibri" w:hAnsi="Calibri" w:cs="Calibri"/>
                <w:color w:val="000000"/>
                <w:sz w:val="22"/>
                <w:szCs w:val="22"/>
              </w:rPr>
            </w:pPr>
            <w:r w:rsidRPr="000F669F">
              <w:rPr>
                <w:rFonts w:ascii="Calibri" w:hAnsi="Calibri" w:cs="Calibri"/>
                <w:color w:val="000000"/>
                <w:sz w:val="22"/>
                <w:szCs w:val="22"/>
              </w:rPr>
              <w:t>56</w:t>
            </w:r>
            <w:r w:rsidR="003D7263">
              <w:rPr>
                <w:rFonts w:ascii="Calibri" w:hAnsi="Calibri" w:cs="Calibri"/>
                <w:color w:val="000000"/>
                <w:sz w:val="22"/>
                <w:szCs w:val="22"/>
              </w:rPr>
              <w:t>1</w:t>
            </w:r>
            <w:r w:rsidRPr="000F669F">
              <w:rPr>
                <w:rFonts w:ascii="Calibri" w:hAnsi="Calibri" w:cs="Calibri"/>
                <w:color w:val="000000"/>
                <w:sz w:val="22"/>
                <w:szCs w:val="22"/>
              </w:rPr>
              <w:t xml:space="preserve"> </w:t>
            </w:r>
          </w:p>
        </w:tc>
        <w:tc>
          <w:tcPr>
            <w:tcW w:w="1278" w:type="dxa"/>
            <w:shd w:val="clear" w:color="auto" w:fill="auto"/>
            <w:hideMark/>
          </w:tcPr>
          <w:p w:rsidR="000F669F" w:rsidRPr="000F669F" w:rsidRDefault="000F669F" w:rsidP="003D7263">
            <w:pPr>
              <w:jc w:val="right"/>
              <w:rPr>
                <w:rFonts w:ascii="Calibri" w:hAnsi="Calibri" w:cs="Calibri"/>
                <w:color w:val="000000"/>
                <w:sz w:val="22"/>
                <w:szCs w:val="22"/>
              </w:rPr>
            </w:pPr>
            <w:r w:rsidRPr="000F669F">
              <w:rPr>
                <w:rFonts w:ascii="Calibri" w:hAnsi="Calibri" w:cs="Calibri"/>
                <w:color w:val="000000"/>
                <w:sz w:val="22"/>
                <w:szCs w:val="22"/>
              </w:rPr>
              <w:t>3</w:t>
            </w:r>
            <w:r w:rsidR="003D7263">
              <w:rPr>
                <w:rFonts w:ascii="Calibri" w:hAnsi="Calibri" w:cs="Calibri"/>
                <w:color w:val="000000"/>
                <w:sz w:val="22"/>
                <w:szCs w:val="22"/>
              </w:rPr>
              <w:t>69</w:t>
            </w:r>
            <w:r w:rsidRPr="000F669F">
              <w:rPr>
                <w:rFonts w:ascii="Calibri" w:hAnsi="Calibri" w:cs="Calibri"/>
                <w:color w:val="000000"/>
                <w:sz w:val="22"/>
                <w:szCs w:val="22"/>
              </w:rPr>
              <w:t xml:space="preserve"> </w:t>
            </w:r>
          </w:p>
        </w:tc>
        <w:tc>
          <w:tcPr>
            <w:tcW w:w="1288" w:type="dxa"/>
            <w:shd w:val="clear" w:color="auto" w:fill="auto"/>
            <w:hideMark/>
          </w:tcPr>
          <w:p w:rsidR="000F669F" w:rsidRPr="000F669F" w:rsidRDefault="00A30F13" w:rsidP="003D7263">
            <w:pPr>
              <w:jc w:val="right"/>
              <w:rPr>
                <w:rFonts w:ascii="Calibri" w:hAnsi="Calibri" w:cs="Calibri"/>
                <w:color w:val="000000"/>
                <w:sz w:val="22"/>
                <w:szCs w:val="22"/>
              </w:rPr>
            </w:pPr>
            <w:r>
              <w:rPr>
                <w:rFonts w:ascii="Calibri" w:hAnsi="Calibri" w:cs="Calibri"/>
                <w:color w:val="000000"/>
                <w:sz w:val="22"/>
                <w:szCs w:val="22"/>
              </w:rPr>
              <w:t>(</w:t>
            </w:r>
            <w:r w:rsidR="003D7263">
              <w:rPr>
                <w:rFonts w:ascii="Calibri" w:hAnsi="Calibri" w:cs="Calibri"/>
                <w:color w:val="000000"/>
                <w:sz w:val="22"/>
                <w:szCs w:val="22"/>
              </w:rPr>
              <w:t>192</w:t>
            </w:r>
            <w:r>
              <w:rPr>
                <w:rFonts w:ascii="Calibri" w:hAnsi="Calibri" w:cs="Calibri"/>
                <w:color w:val="000000"/>
                <w:sz w:val="22"/>
                <w:szCs w:val="22"/>
              </w:rPr>
              <w:t>)</w:t>
            </w:r>
            <w:r w:rsidR="000F669F" w:rsidRPr="000F669F">
              <w:rPr>
                <w:rFonts w:ascii="Calibri" w:hAnsi="Calibri" w:cs="Calibri"/>
                <w:color w:val="000000"/>
                <w:sz w:val="22"/>
                <w:szCs w:val="22"/>
              </w:rPr>
              <w:t xml:space="preserve"> </w:t>
            </w:r>
          </w:p>
        </w:tc>
        <w:tc>
          <w:tcPr>
            <w:tcW w:w="1017" w:type="dxa"/>
            <w:shd w:val="clear" w:color="auto" w:fill="auto"/>
            <w:noWrap/>
            <w:vAlign w:val="bottom"/>
            <w:hideMark/>
          </w:tcPr>
          <w:p w:rsidR="000F669F" w:rsidRPr="000F669F" w:rsidRDefault="003D7263" w:rsidP="000F669F">
            <w:pPr>
              <w:jc w:val="right"/>
              <w:rPr>
                <w:rFonts w:ascii="Calibri" w:hAnsi="Calibri" w:cs="Calibri"/>
                <w:color w:val="000000"/>
                <w:sz w:val="22"/>
                <w:szCs w:val="22"/>
              </w:rPr>
            </w:pPr>
            <w:r>
              <w:rPr>
                <w:rFonts w:ascii="Calibri" w:hAnsi="Calibri" w:cs="Calibri"/>
                <w:color w:val="000000"/>
                <w:sz w:val="22"/>
                <w:szCs w:val="22"/>
              </w:rPr>
              <w:t>(34</w:t>
            </w:r>
            <w:r w:rsidR="000F669F" w:rsidRPr="000F669F">
              <w:rPr>
                <w:rFonts w:ascii="Calibri" w:hAnsi="Calibri" w:cs="Calibri"/>
                <w:color w:val="000000"/>
                <w:sz w:val="22"/>
                <w:szCs w:val="22"/>
              </w:rPr>
              <w:t>%</w:t>
            </w:r>
            <w:r>
              <w:rPr>
                <w:rFonts w:ascii="Calibri" w:hAnsi="Calibri" w:cs="Calibri"/>
                <w:color w:val="000000"/>
                <w:sz w:val="22"/>
                <w:szCs w:val="22"/>
              </w:rPr>
              <w:t>)</w:t>
            </w:r>
          </w:p>
        </w:tc>
      </w:tr>
      <w:tr w:rsidR="00EB2F49" w:rsidRPr="000F669F" w:rsidTr="00E84ADF">
        <w:trPr>
          <w:trHeight w:val="288"/>
        </w:trPr>
        <w:tc>
          <w:tcPr>
            <w:tcW w:w="3923" w:type="dxa"/>
            <w:shd w:val="clear" w:color="auto" w:fill="365F91" w:themeFill="accent1" w:themeFillShade="BF"/>
            <w:hideMark/>
          </w:tcPr>
          <w:p w:rsidR="000F669F" w:rsidRPr="000F669F" w:rsidRDefault="000F669F" w:rsidP="000F669F">
            <w:pPr>
              <w:rPr>
                <w:rFonts w:ascii="Calibri" w:hAnsi="Calibri" w:cs="Calibri"/>
                <w:b/>
                <w:bCs/>
                <w:color w:val="FFFFFF" w:themeColor="background1"/>
                <w:sz w:val="22"/>
                <w:szCs w:val="22"/>
              </w:rPr>
            </w:pPr>
            <w:r w:rsidRPr="000F669F">
              <w:rPr>
                <w:rFonts w:ascii="Calibri" w:hAnsi="Calibri" w:cs="Calibri"/>
                <w:b/>
                <w:bCs/>
                <w:color w:val="FFFFFF" w:themeColor="background1"/>
                <w:sz w:val="22"/>
                <w:szCs w:val="22"/>
              </w:rPr>
              <w:t>Grand Total</w:t>
            </w:r>
          </w:p>
        </w:tc>
        <w:tc>
          <w:tcPr>
            <w:tcW w:w="1114" w:type="dxa"/>
            <w:shd w:val="clear" w:color="auto" w:fill="365F91" w:themeFill="accent1" w:themeFillShade="BF"/>
            <w:hideMark/>
          </w:tcPr>
          <w:p w:rsidR="000F669F" w:rsidRPr="000F669F" w:rsidRDefault="003D7263" w:rsidP="000F669F">
            <w:pPr>
              <w:jc w:val="right"/>
              <w:rPr>
                <w:rFonts w:ascii="Calibri" w:hAnsi="Calibri" w:cs="Calibri"/>
                <w:b/>
                <w:bCs/>
                <w:color w:val="FFFFFF" w:themeColor="background1"/>
                <w:sz w:val="22"/>
                <w:szCs w:val="22"/>
              </w:rPr>
            </w:pPr>
            <w:r>
              <w:rPr>
                <w:rFonts w:ascii="Calibri" w:hAnsi="Calibri" w:cs="Calibri"/>
                <w:b/>
                <w:bCs/>
                <w:color w:val="FFFFFF" w:themeColor="background1"/>
                <w:sz w:val="22"/>
                <w:szCs w:val="22"/>
              </w:rPr>
              <w:t>4,433</w:t>
            </w:r>
          </w:p>
        </w:tc>
        <w:tc>
          <w:tcPr>
            <w:tcW w:w="1278" w:type="dxa"/>
            <w:shd w:val="clear" w:color="auto" w:fill="365F91" w:themeFill="accent1" w:themeFillShade="BF"/>
            <w:hideMark/>
          </w:tcPr>
          <w:p w:rsidR="000F669F" w:rsidRPr="000F669F" w:rsidRDefault="003D7263" w:rsidP="000F669F">
            <w:pPr>
              <w:jc w:val="right"/>
              <w:rPr>
                <w:rFonts w:ascii="Calibri" w:hAnsi="Calibri" w:cs="Calibri"/>
                <w:b/>
                <w:bCs/>
                <w:color w:val="FFFFFF" w:themeColor="background1"/>
                <w:sz w:val="22"/>
                <w:szCs w:val="22"/>
              </w:rPr>
            </w:pPr>
            <w:r>
              <w:rPr>
                <w:rFonts w:ascii="Calibri" w:hAnsi="Calibri" w:cs="Calibri"/>
                <w:b/>
                <w:bCs/>
                <w:color w:val="FFFFFF" w:themeColor="background1"/>
                <w:sz w:val="22"/>
                <w:szCs w:val="22"/>
              </w:rPr>
              <w:t>4,217</w:t>
            </w:r>
          </w:p>
        </w:tc>
        <w:tc>
          <w:tcPr>
            <w:tcW w:w="1288" w:type="dxa"/>
            <w:shd w:val="clear" w:color="auto" w:fill="365F91" w:themeFill="accent1" w:themeFillShade="BF"/>
            <w:hideMark/>
          </w:tcPr>
          <w:p w:rsidR="000F669F" w:rsidRPr="000F669F" w:rsidRDefault="00A30F13" w:rsidP="003D7263">
            <w:pPr>
              <w:jc w:val="right"/>
              <w:rPr>
                <w:rFonts w:ascii="Calibri" w:hAnsi="Calibri" w:cs="Calibri"/>
                <w:b/>
                <w:bCs/>
                <w:color w:val="FFFFFF" w:themeColor="background1"/>
                <w:sz w:val="22"/>
                <w:szCs w:val="22"/>
              </w:rPr>
            </w:pPr>
            <w:r>
              <w:rPr>
                <w:rFonts w:ascii="Calibri" w:hAnsi="Calibri" w:cs="Calibri"/>
                <w:b/>
                <w:bCs/>
                <w:color w:val="FFFFFF" w:themeColor="background1"/>
                <w:sz w:val="22"/>
                <w:szCs w:val="22"/>
              </w:rPr>
              <w:t>(</w:t>
            </w:r>
            <w:r w:rsidR="000F669F" w:rsidRPr="000F669F">
              <w:rPr>
                <w:rFonts w:ascii="Calibri" w:hAnsi="Calibri" w:cs="Calibri"/>
                <w:b/>
                <w:bCs/>
                <w:color w:val="FFFFFF" w:themeColor="background1"/>
                <w:sz w:val="22"/>
                <w:szCs w:val="22"/>
              </w:rPr>
              <w:t>21</w:t>
            </w:r>
            <w:r w:rsidR="003D7263">
              <w:rPr>
                <w:rFonts w:ascii="Calibri" w:hAnsi="Calibri" w:cs="Calibri"/>
                <w:b/>
                <w:bCs/>
                <w:color w:val="FFFFFF" w:themeColor="background1"/>
                <w:sz w:val="22"/>
                <w:szCs w:val="22"/>
              </w:rPr>
              <w:t>6</w:t>
            </w:r>
            <w:r>
              <w:rPr>
                <w:rFonts w:ascii="Calibri" w:hAnsi="Calibri" w:cs="Calibri"/>
                <w:b/>
                <w:bCs/>
                <w:color w:val="FFFFFF" w:themeColor="background1"/>
                <w:sz w:val="22"/>
                <w:szCs w:val="22"/>
              </w:rPr>
              <w:t>)</w:t>
            </w:r>
            <w:r w:rsidR="000F669F" w:rsidRPr="000F669F">
              <w:rPr>
                <w:rFonts w:ascii="Calibri" w:hAnsi="Calibri" w:cs="Calibri"/>
                <w:b/>
                <w:bCs/>
                <w:color w:val="FFFFFF" w:themeColor="background1"/>
                <w:sz w:val="22"/>
                <w:szCs w:val="22"/>
              </w:rPr>
              <w:t xml:space="preserve"> </w:t>
            </w:r>
          </w:p>
        </w:tc>
        <w:tc>
          <w:tcPr>
            <w:tcW w:w="1017" w:type="dxa"/>
            <w:shd w:val="clear" w:color="auto" w:fill="365F91" w:themeFill="accent1" w:themeFillShade="BF"/>
            <w:hideMark/>
          </w:tcPr>
          <w:p w:rsidR="000F669F" w:rsidRPr="000F669F" w:rsidRDefault="003D7263" w:rsidP="000F669F">
            <w:pPr>
              <w:jc w:val="right"/>
              <w:rPr>
                <w:rFonts w:ascii="Calibri" w:hAnsi="Calibri" w:cs="Calibri"/>
                <w:b/>
                <w:bCs/>
                <w:color w:val="FFFFFF" w:themeColor="background1"/>
                <w:sz w:val="22"/>
                <w:szCs w:val="22"/>
              </w:rPr>
            </w:pPr>
            <w:r>
              <w:rPr>
                <w:rFonts w:ascii="Calibri" w:hAnsi="Calibri" w:cs="Calibri"/>
                <w:b/>
                <w:bCs/>
                <w:color w:val="FFFFFF" w:themeColor="background1"/>
                <w:sz w:val="22"/>
                <w:szCs w:val="22"/>
              </w:rPr>
              <w:t>(</w:t>
            </w:r>
            <w:r w:rsidR="000F669F" w:rsidRPr="000F669F">
              <w:rPr>
                <w:rFonts w:ascii="Calibri" w:hAnsi="Calibri" w:cs="Calibri"/>
                <w:b/>
                <w:bCs/>
                <w:color w:val="FFFFFF" w:themeColor="background1"/>
                <w:sz w:val="22"/>
                <w:szCs w:val="22"/>
              </w:rPr>
              <w:t>5%</w:t>
            </w:r>
            <w:r>
              <w:rPr>
                <w:rFonts w:ascii="Calibri" w:hAnsi="Calibri" w:cs="Calibri"/>
                <w:b/>
                <w:bCs/>
                <w:color w:val="FFFFFF" w:themeColor="background1"/>
                <w:sz w:val="22"/>
                <w:szCs w:val="22"/>
              </w:rPr>
              <w:t>)</w:t>
            </w:r>
          </w:p>
        </w:tc>
      </w:tr>
    </w:tbl>
    <w:p w:rsidR="000F669F" w:rsidRDefault="000F669F" w:rsidP="007C5117">
      <w:pPr>
        <w:spacing w:after="200" w:line="276" w:lineRule="auto"/>
        <w:rPr>
          <w:rFonts w:ascii="Arial" w:hAnsi="Arial" w:cs="Arial"/>
          <w:b/>
          <w:sz w:val="22"/>
          <w:szCs w:val="22"/>
        </w:rPr>
      </w:pPr>
    </w:p>
    <w:p w:rsidR="00316468" w:rsidRDefault="00EB2F49" w:rsidP="007C5117">
      <w:pPr>
        <w:spacing w:after="200" w:line="276" w:lineRule="auto"/>
        <w:rPr>
          <w:rFonts w:ascii="Arial" w:hAnsi="Arial" w:cs="Arial"/>
          <w:b/>
          <w:sz w:val="22"/>
          <w:szCs w:val="22"/>
        </w:rPr>
      </w:pPr>
      <w:r>
        <w:rPr>
          <w:rFonts w:ascii="Arial" w:hAnsi="Arial" w:cs="Arial"/>
          <w:b/>
          <w:sz w:val="22"/>
          <w:szCs w:val="22"/>
        </w:rPr>
        <w:t>Reserves</w:t>
      </w:r>
    </w:p>
    <w:p w:rsidR="00EB2F49" w:rsidRPr="00EB2F49" w:rsidRDefault="00E84ADF" w:rsidP="007C5117">
      <w:pPr>
        <w:spacing w:after="200" w:line="276" w:lineRule="auto"/>
        <w:rPr>
          <w:rFonts w:ascii="Arial" w:hAnsi="Arial" w:cs="Arial"/>
          <w:sz w:val="22"/>
          <w:szCs w:val="22"/>
        </w:rPr>
      </w:pPr>
      <w:r>
        <w:rPr>
          <w:rFonts w:ascii="Arial" w:hAnsi="Arial" w:cs="Arial"/>
          <w:sz w:val="22"/>
          <w:szCs w:val="22"/>
        </w:rPr>
        <w:t xml:space="preserve">Strategic reserves were the main contributor to the non-pay costs underspend in year. </w:t>
      </w:r>
      <w:r w:rsidR="002D3FD2">
        <w:rPr>
          <w:rFonts w:ascii="Arial" w:hAnsi="Arial" w:cs="Arial"/>
          <w:sz w:val="22"/>
          <w:szCs w:val="22"/>
        </w:rPr>
        <w:t>£451k was spent in year compared to an original budgeted allocation of £</w:t>
      </w:r>
      <w:r w:rsidR="00A30F13">
        <w:rPr>
          <w:rFonts w:ascii="Arial" w:hAnsi="Arial" w:cs="Arial"/>
          <w:sz w:val="22"/>
          <w:szCs w:val="22"/>
        </w:rPr>
        <w:t>625k</w:t>
      </w:r>
      <w:r w:rsidR="00964CE2">
        <w:rPr>
          <w:rFonts w:ascii="Arial" w:hAnsi="Arial" w:cs="Arial"/>
          <w:sz w:val="22"/>
          <w:szCs w:val="22"/>
        </w:rPr>
        <w:t>, of which £262k (58%) funded strategic priorities and £189k (42%) operational requirements</w:t>
      </w:r>
      <w:r w:rsidR="002D3FD2">
        <w:rPr>
          <w:rFonts w:ascii="Arial" w:hAnsi="Arial" w:cs="Arial"/>
          <w:sz w:val="22"/>
          <w:szCs w:val="22"/>
        </w:rPr>
        <w:t xml:space="preserve">. This compares to £749k strategic reserves spend for 2015/16, </w:t>
      </w:r>
      <w:r w:rsidR="00964CE2">
        <w:rPr>
          <w:rFonts w:ascii="Arial" w:hAnsi="Arial" w:cs="Arial"/>
          <w:sz w:val="22"/>
          <w:szCs w:val="22"/>
        </w:rPr>
        <w:t xml:space="preserve">where </w:t>
      </w:r>
      <w:r w:rsidR="002D3FD2">
        <w:rPr>
          <w:rFonts w:ascii="Arial" w:hAnsi="Arial" w:cs="Arial"/>
          <w:sz w:val="22"/>
          <w:szCs w:val="22"/>
        </w:rPr>
        <w:t>£</w:t>
      </w:r>
      <w:r w:rsidR="00964CE2">
        <w:rPr>
          <w:rFonts w:ascii="Arial" w:hAnsi="Arial" w:cs="Arial"/>
          <w:sz w:val="22"/>
          <w:szCs w:val="22"/>
        </w:rPr>
        <w:t>676</w:t>
      </w:r>
      <w:r w:rsidR="002D3FD2">
        <w:rPr>
          <w:rFonts w:ascii="Arial" w:hAnsi="Arial" w:cs="Arial"/>
          <w:sz w:val="22"/>
          <w:szCs w:val="22"/>
        </w:rPr>
        <w:t>k (</w:t>
      </w:r>
      <w:r w:rsidR="00964CE2">
        <w:rPr>
          <w:rFonts w:ascii="Arial" w:hAnsi="Arial" w:cs="Arial"/>
          <w:sz w:val="22"/>
          <w:szCs w:val="22"/>
        </w:rPr>
        <w:t>9</w:t>
      </w:r>
      <w:r w:rsidR="002D3FD2">
        <w:rPr>
          <w:rFonts w:ascii="Arial" w:hAnsi="Arial" w:cs="Arial"/>
          <w:sz w:val="22"/>
          <w:szCs w:val="22"/>
        </w:rPr>
        <w:t xml:space="preserve">0%) </w:t>
      </w:r>
      <w:r w:rsidR="00964CE2">
        <w:rPr>
          <w:rFonts w:ascii="Arial" w:hAnsi="Arial" w:cs="Arial"/>
          <w:sz w:val="22"/>
          <w:szCs w:val="22"/>
        </w:rPr>
        <w:t xml:space="preserve">funded strategic priorities including £160k (21%) on Judicial Review. </w:t>
      </w:r>
      <w:r w:rsidR="002D3FD2">
        <w:rPr>
          <w:rFonts w:ascii="Arial" w:hAnsi="Arial" w:cs="Arial"/>
          <w:sz w:val="22"/>
          <w:szCs w:val="22"/>
        </w:rPr>
        <w:t xml:space="preserve"> </w:t>
      </w:r>
    </w:p>
    <w:p w:rsidR="00725AA5" w:rsidRDefault="00964CE2" w:rsidP="007C5117">
      <w:pPr>
        <w:spacing w:after="200" w:line="276" w:lineRule="auto"/>
        <w:rPr>
          <w:rFonts w:ascii="Arial" w:hAnsi="Arial" w:cs="Arial"/>
          <w:sz w:val="22"/>
          <w:szCs w:val="22"/>
        </w:rPr>
      </w:pPr>
      <w:r>
        <w:rPr>
          <w:rFonts w:ascii="Arial" w:hAnsi="Arial" w:cs="Arial"/>
          <w:sz w:val="22"/>
          <w:szCs w:val="22"/>
        </w:rPr>
        <w:t xml:space="preserve">The tightening fiscal environment will continue to place pressure on available funds for strategic priorities. In 2017/18 £360k has been ear-marked to fund strategic priorities including service improvement programme, website and ICT infrastructure. </w:t>
      </w:r>
      <w:r w:rsidR="00725AA5">
        <w:rPr>
          <w:rFonts w:ascii="Arial" w:hAnsi="Arial" w:cs="Arial"/>
          <w:sz w:val="22"/>
          <w:szCs w:val="22"/>
        </w:rPr>
        <w:t xml:space="preserve">This is to date, the lowest budgeted allocation of strategic reserves (2.9% of total expenditure) we have planned for. With further reducing grant in aid in 2018/19, the need to continue to find efficiencies and cost savings is key to create capacity to invest in future developments. </w:t>
      </w:r>
    </w:p>
    <w:p w:rsidR="00891562" w:rsidRDefault="00891562" w:rsidP="007C5117">
      <w:pPr>
        <w:spacing w:after="200" w:line="276" w:lineRule="auto"/>
        <w:rPr>
          <w:rFonts w:ascii="Arial" w:hAnsi="Arial" w:cs="Arial"/>
          <w:b/>
          <w:sz w:val="22"/>
          <w:szCs w:val="22"/>
        </w:rPr>
      </w:pPr>
      <w:r>
        <w:rPr>
          <w:rFonts w:ascii="Arial" w:hAnsi="Arial" w:cs="Arial"/>
          <w:b/>
          <w:sz w:val="22"/>
          <w:szCs w:val="22"/>
        </w:rPr>
        <w:t>Travel, accommodation and subsistence</w:t>
      </w:r>
    </w:p>
    <w:tbl>
      <w:tblPr>
        <w:tblW w:w="10363" w:type="dxa"/>
        <w:tblInd w:w="93" w:type="dxa"/>
        <w:tblLook w:val="04A0" w:firstRow="1" w:lastRow="0" w:firstColumn="1" w:lastColumn="0" w:noHBand="0" w:noVBand="1"/>
      </w:tblPr>
      <w:tblGrid>
        <w:gridCol w:w="2992"/>
        <w:gridCol w:w="992"/>
        <w:gridCol w:w="1134"/>
        <w:gridCol w:w="1050"/>
        <w:gridCol w:w="1077"/>
        <w:gridCol w:w="992"/>
        <w:gridCol w:w="1050"/>
        <w:gridCol w:w="1076"/>
      </w:tblGrid>
      <w:tr w:rsidR="00C80EBC" w:rsidRPr="00C33B76" w:rsidTr="00C80EBC">
        <w:trPr>
          <w:trHeight w:val="828"/>
        </w:trPr>
        <w:tc>
          <w:tcPr>
            <w:tcW w:w="2992" w:type="dxa"/>
            <w:tcBorders>
              <w:top w:val="single" w:sz="4" w:space="0" w:color="auto"/>
              <w:left w:val="single" w:sz="4" w:space="0" w:color="auto"/>
              <w:bottom w:val="nil"/>
              <w:right w:val="single" w:sz="4" w:space="0" w:color="auto"/>
            </w:tcBorders>
            <w:shd w:val="clear" w:color="auto" w:fill="95B3D7" w:themeFill="accent1" w:themeFillTint="99"/>
            <w:noWrap/>
            <w:vAlign w:val="bottom"/>
            <w:hideMark/>
          </w:tcPr>
          <w:p w:rsidR="004A32AC" w:rsidRPr="00C80EBC" w:rsidRDefault="004A32AC" w:rsidP="00AD4685">
            <w:pPr>
              <w:rPr>
                <w:rFonts w:ascii="Arial" w:hAnsi="Arial" w:cs="Arial"/>
                <w:b/>
                <w:bCs/>
                <w:color w:val="FFFFFF"/>
                <w:sz w:val="20"/>
                <w:szCs w:val="20"/>
              </w:rPr>
            </w:pPr>
            <w:r w:rsidRPr="00C80EBC">
              <w:rPr>
                <w:rFonts w:ascii="Arial" w:hAnsi="Arial" w:cs="Arial"/>
                <w:b/>
                <w:bCs/>
                <w:color w:val="FFFFFF"/>
                <w:sz w:val="20"/>
                <w:szCs w:val="20"/>
              </w:rPr>
              <w:t>Travel costs across the HRA</w:t>
            </w:r>
          </w:p>
        </w:tc>
        <w:tc>
          <w:tcPr>
            <w:tcW w:w="992" w:type="dxa"/>
            <w:tcBorders>
              <w:top w:val="single" w:sz="4" w:space="0" w:color="auto"/>
              <w:left w:val="nil"/>
              <w:bottom w:val="nil"/>
              <w:right w:val="single" w:sz="4" w:space="0" w:color="auto"/>
            </w:tcBorders>
            <w:shd w:val="clear" w:color="auto" w:fill="95B3D7" w:themeFill="accent1" w:themeFillTint="99"/>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2016/17 budget</w:t>
            </w:r>
          </w:p>
        </w:tc>
        <w:tc>
          <w:tcPr>
            <w:tcW w:w="1134" w:type="dxa"/>
            <w:tcBorders>
              <w:top w:val="single" w:sz="4" w:space="0" w:color="auto"/>
              <w:left w:val="nil"/>
              <w:bottom w:val="nil"/>
              <w:right w:val="single" w:sz="4" w:space="0" w:color="auto"/>
            </w:tcBorders>
            <w:shd w:val="clear" w:color="auto" w:fill="95B3D7" w:themeFill="accent1" w:themeFillTint="99"/>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2016/17 actuals</w:t>
            </w:r>
          </w:p>
        </w:tc>
        <w:tc>
          <w:tcPr>
            <w:tcW w:w="1050" w:type="dxa"/>
            <w:tcBorders>
              <w:top w:val="single" w:sz="4" w:space="0" w:color="auto"/>
              <w:left w:val="nil"/>
              <w:bottom w:val="nil"/>
              <w:right w:val="single" w:sz="4" w:space="0" w:color="auto"/>
            </w:tcBorders>
            <w:shd w:val="clear" w:color="auto" w:fill="95B3D7" w:themeFill="accent1" w:themeFillTint="99"/>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Variance vs budget</w:t>
            </w:r>
          </w:p>
        </w:tc>
        <w:tc>
          <w:tcPr>
            <w:tcW w:w="1077" w:type="dxa"/>
            <w:tcBorders>
              <w:top w:val="single" w:sz="4" w:space="0" w:color="auto"/>
              <w:left w:val="nil"/>
              <w:bottom w:val="nil"/>
              <w:right w:val="single" w:sz="4" w:space="0" w:color="auto"/>
            </w:tcBorders>
            <w:shd w:val="clear" w:color="auto" w:fill="95B3D7" w:themeFill="accent1" w:themeFillTint="99"/>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Variance</w:t>
            </w:r>
          </w:p>
        </w:tc>
        <w:tc>
          <w:tcPr>
            <w:tcW w:w="992" w:type="dxa"/>
            <w:tcBorders>
              <w:top w:val="single" w:sz="4" w:space="0" w:color="auto"/>
              <w:left w:val="nil"/>
              <w:bottom w:val="nil"/>
              <w:right w:val="single" w:sz="4" w:space="0" w:color="auto"/>
            </w:tcBorders>
            <w:shd w:val="clear" w:color="auto" w:fill="95B3D7" w:themeFill="accent1" w:themeFillTint="99"/>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2015/16 actuals</w:t>
            </w:r>
          </w:p>
        </w:tc>
        <w:tc>
          <w:tcPr>
            <w:tcW w:w="1050" w:type="dxa"/>
            <w:tcBorders>
              <w:top w:val="single" w:sz="4" w:space="0" w:color="auto"/>
              <w:left w:val="nil"/>
              <w:bottom w:val="nil"/>
              <w:right w:val="single" w:sz="4" w:space="0" w:color="auto"/>
            </w:tcBorders>
            <w:shd w:val="clear" w:color="auto" w:fill="95B3D7" w:themeFill="accent1" w:themeFillTint="99"/>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Variance vs 2015/16</w:t>
            </w:r>
          </w:p>
        </w:tc>
        <w:tc>
          <w:tcPr>
            <w:tcW w:w="1076" w:type="dxa"/>
            <w:tcBorders>
              <w:top w:val="single" w:sz="4" w:space="0" w:color="auto"/>
              <w:left w:val="nil"/>
              <w:bottom w:val="nil"/>
              <w:right w:val="single" w:sz="4" w:space="0" w:color="auto"/>
            </w:tcBorders>
            <w:shd w:val="clear" w:color="auto" w:fill="95B3D7" w:themeFill="accent1" w:themeFillTint="99"/>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Variance</w:t>
            </w:r>
          </w:p>
        </w:tc>
      </w:tr>
      <w:tr w:rsidR="00C80EBC" w:rsidRPr="00C33B76" w:rsidTr="00C80EBC">
        <w:trPr>
          <w:trHeight w:val="288"/>
        </w:trPr>
        <w:tc>
          <w:tcPr>
            <w:tcW w:w="2992"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4A32AC" w:rsidRPr="00C80EBC" w:rsidRDefault="004A32AC" w:rsidP="00AD4685">
            <w:pPr>
              <w:rPr>
                <w:rFonts w:ascii="Arial" w:hAnsi="Arial" w:cs="Arial"/>
                <w:b/>
                <w:bCs/>
                <w:color w:val="FFFFFF"/>
                <w:sz w:val="20"/>
                <w:szCs w:val="20"/>
              </w:rPr>
            </w:pPr>
            <w:r w:rsidRPr="00C80EBC">
              <w:rPr>
                <w:rFonts w:ascii="Arial" w:hAnsi="Arial" w:cs="Arial"/>
                <w:b/>
                <w:bCs/>
                <w:color w:val="FFFFFF"/>
                <w:sz w:val="20"/>
                <w:szCs w:val="20"/>
              </w:rPr>
              <w:t> </w:t>
            </w:r>
          </w:p>
        </w:tc>
        <w:tc>
          <w:tcPr>
            <w:tcW w:w="992" w:type="dxa"/>
            <w:tcBorders>
              <w:top w:val="nil"/>
              <w:left w:val="nil"/>
              <w:bottom w:val="single" w:sz="4" w:space="0" w:color="auto"/>
              <w:right w:val="single" w:sz="4" w:space="0" w:color="auto"/>
            </w:tcBorders>
            <w:shd w:val="clear" w:color="auto" w:fill="95B3D7" w:themeFill="accent1" w:themeFillTint="99"/>
            <w:noWrap/>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£000</w:t>
            </w:r>
          </w:p>
        </w:tc>
        <w:tc>
          <w:tcPr>
            <w:tcW w:w="1134" w:type="dxa"/>
            <w:tcBorders>
              <w:top w:val="nil"/>
              <w:left w:val="nil"/>
              <w:bottom w:val="single" w:sz="4" w:space="0" w:color="auto"/>
              <w:right w:val="single" w:sz="4" w:space="0" w:color="auto"/>
            </w:tcBorders>
            <w:shd w:val="clear" w:color="auto" w:fill="95B3D7" w:themeFill="accent1" w:themeFillTint="99"/>
            <w:noWrap/>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£000</w:t>
            </w:r>
          </w:p>
        </w:tc>
        <w:tc>
          <w:tcPr>
            <w:tcW w:w="1050" w:type="dxa"/>
            <w:tcBorders>
              <w:top w:val="nil"/>
              <w:left w:val="nil"/>
              <w:bottom w:val="single" w:sz="4" w:space="0" w:color="auto"/>
              <w:right w:val="single" w:sz="4" w:space="0" w:color="auto"/>
            </w:tcBorders>
            <w:shd w:val="clear" w:color="auto" w:fill="95B3D7" w:themeFill="accent1" w:themeFillTint="99"/>
            <w:noWrap/>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£000</w:t>
            </w:r>
          </w:p>
        </w:tc>
        <w:tc>
          <w:tcPr>
            <w:tcW w:w="1077" w:type="dxa"/>
            <w:tcBorders>
              <w:top w:val="nil"/>
              <w:left w:val="nil"/>
              <w:bottom w:val="single" w:sz="4" w:space="0" w:color="auto"/>
              <w:right w:val="single" w:sz="4" w:space="0" w:color="auto"/>
            </w:tcBorders>
            <w:shd w:val="clear" w:color="auto" w:fill="95B3D7" w:themeFill="accent1" w:themeFillTint="99"/>
            <w:noWrap/>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 </w:t>
            </w:r>
          </w:p>
        </w:tc>
        <w:tc>
          <w:tcPr>
            <w:tcW w:w="992" w:type="dxa"/>
            <w:tcBorders>
              <w:top w:val="nil"/>
              <w:left w:val="nil"/>
              <w:bottom w:val="single" w:sz="4" w:space="0" w:color="auto"/>
              <w:right w:val="single" w:sz="4" w:space="0" w:color="auto"/>
            </w:tcBorders>
            <w:shd w:val="clear" w:color="auto" w:fill="95B3D7" w:themeFill="accent1" w:themeFillTint="99"/>
            <w:noWrap/>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£000</w:t>
            </w:r>
          </w:p>
        </w:tc>
        <w:tc>
          <w:tcPr>
            <w:tcW w:w="1050" w:type="dxa"/>
            <w:tcBorders>
              <w:top w:val="nil"/>
              <w:left w:val="nil"/>
              <w:bottom w:val="single" w:sz="4" w:space="0" w:color="auto"/>
              <w:right w:val="single" w:sz="4" w:space="0" w:color="auto"/>
            </w:tcBorders>
            <w:shd w:val="clear" w:color="auto" w:fill="95B3D7" w:themeFill="accent1" w:themeFillTint="99"/>
            <w:noWrap/>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£000</w:t>
            </w:r>
          </w:p>
        </w:tc>
        <w:tc>
          <w:tcPr>
            <w:tcW w:w="1076" w:type="dxa"/>
            <w:tcBorders>
              <w:top w:val="nil"/>
              <w:left w:val="nil"/>
              <w:bottom w:val="single" w:sz="4" w:space="0" w:color="auto"/>
              <w:right w:val="single" w:sz="4" w:space="0" w:color="auto"/>
            </w:tcBorders>
            <w:shd w:val="clear" w:color="auto" w:fill="95B3D7" w:themeFill="accent1" w:themeFillTint="99"/>
            <w:noWrap/>
            <w:vAlign w:val="bottom"/>
            <w:hideMark/>
          </w:tcPr>
          <w:p w:rsidR="004A32AC" w:rsidRPr="00C80EBC" w:rsidRDefault="004A32AC" w:rsidP="00AD4685">
            <w:pPr>
              <w:jc w:val="center"/>
              <w:rPr>
                <w:rFonts w:ascii="Arial" w:hAnsi="Arial" w:cs="Arial"/>
                <w:b/>
                <w:bCs/>
                <w:color w:val="FFFFFF"/>
                <w:sz w:val="20"/>
                <w:szCs w:val="20"/>
              </w:rPr>
            </w:pPr>
            <w:r w:rsidRPr="00C80EBC">
              <w:rPr>
                <w:rFonts w:ascii="Arial" w:hAnsi="Arial" w:cs="Arial"/>
                <w:b/>
                <w:bCs/>
                <w:color w:val="FFFFFF"/>
                <w:sz w:val="20"/>
                <w:szCs w:val="20"/>
              </w:rPr>
              <w:t>% </w:t>
            </w:r>
          </w:p>
        </w:tc>
      </w:tr>
      <w:tr w:rsidR="00FA3EAB" w:rsidRPr="00C33B76" w:rsidTr="00C80EBC">
        <w:trPr>
          <w:trHeight w:val="288"/>
        </w:trPr>
        <w:tc>
          <w:tcPr>
            <w:tcW w:w="2992" w:type="dxa"/>
            <w:tcBorders>
              <w:top w:val="nil"/>
              <w:left w:val="single" w:sz="4" w:space="0" w:color="auto"/>
              <w:bottom w:val="nil"/>
              <w:right w:val="nil"/>
            </w:tcBorders>
            <w:shd w:val="clear" w:color="auto" w:fill="auto"/>
            <w:vAlign w:val="bottom"/>
            <w:hideMark/>
          </w:tcPr>
          <w:p w:rsidR="00FA3EAB" w:rsidRPr="00C33B76" w:rsidRDefault="00315375" w:rsidP="00315375">
            <w:pPr>
              <w:rPr>
                <w:rFonts w:ascii="Calibri" w:hAnsi="Calibri" w:cs="Calibri"/>
                <w:color w:val="000000"/>
                <w:sz w:val="20"/>
                <w:szCs w:val="20"/>
              </w:rPr>
            </w:pPr>
            <w:r>
              <w:rPr>
                <w:rFonts w:ascii="Calibri" w:hAnsi="Calibri" w:cs="Calibri"/>
                <w:color w:val="000000"/>
                <w:sz w:val="20"/>
                <w:szCs w:val="20"/>
              </w:rPr>
              <w:t xml:space="preserve">HRA Approval </w:t>
            </w:r>
            <w:proofErr w:type="spellStart"/>
            <w:r>
              <w:rPr>
                <w:rFonts w:ascii="Calibri" w:hAnsi="Calibri" w:cs="Calibri"/>
                <w:color w:val="000000"/>
                <w:sz w:val="20"/>
                <w:szCs w:val="20"/>
              </w:rPr>
              <w:t>inc.</w:t>
            </w:r>
            <w:proofErr w:type="spellEnd"/>
            <w:r w:rsidR="00FA3EAB">
              <w:rPr>
                <w:rFonts w:ascii="Calibri" w:hAnsi="Calibri" w:cs="Calibri"/>
                <w:color w:val="000000"/>
                <w:sz w:val="20"/>
                <w:szCs w:val="20"/>
              </w:rPr>
              <w:t xml:space="preserve"> RES</w:t>
            </w:r>
          </w:p>
        </w:tc>
        <w:tc>
          <w:tcPr>
            <w:tcW w:w="992" w:type="dxa"/>
            <w:tcBorders>
              <w:top w:val="nil"/>
              <w:left w:val="single" w:sz="4" w:space="0" w:color="auto"/>
              <w:bottom w:val="nil"/>
              <w:right w:val="single" w:sz="4" w:space="0" w:color="auto"/>
            </w:tcBorders>
            <w:shd w:val="clear" w:color="auto" w:fill="auto"/>
            <w:noWrap/>
            <w:vAlign w:val="bottom"/>
          </w:tcPr>
          <w:p w:rsidR="00FA3EAB" w:rsidRDefault="00FA3EAB">
            <w:pPr>
              <w:jc w:val="right"/>
              <w:rPr>
                <w:rFonts w:ascii="Calibri" w:hAnsi="Calibri" w:cs="Calibri"/>
                <w:color w:val="000000"/>
                <w:sz w:val="22"/>
                <w:szCs w:val="22"/>
              </w:rPr>
            </w:pPr>
            <w:r>
              <w:rPr>
                <w:rFonts w:ascii="Calibri" w:hAnsi="Calibri" w:cs="Calibri"/>
                <w:color w:val="000000"/>
                <w:sz w:val="22"/>
                <w:szCs w:val="22"/>
              </w:rPr>
              <w:t>427</w:t>
            </w:r>
          </w:p>
        </w:tc>
        <w:tc>
          <w:tcPr>
            <w:tcW w:w="1134" w:type="dxa"/>
            <w:tcBorders>
              <w:top w:val="nil"/>
              <w:left w:val="nil"/>
              <w:bottom w:val="nil"/>
              <w:right w:val="single" w:sz="4" w:space="0" w:color="auto"/>
            </w:tcBorders>
            <w:shd w:val="clear" w:color="auto" w:fill="auto"/>
            <w:noWrap/>
            <w:vAlign w:val="bottom"/>
            <w:hideMark/>
          </w:tcPr>
          <w:p w:rsidR="00FA3EAB" w:rsidRDefault="00FA3EAB">
            <w:pPr>
              <w:jc w:val="right"/>
              <w:rPr>
                <w:rFonts w:ascii="Calibri" w:hAnsi="Calibri" w:cs="Calibri"/>
                <w:color w:val="000000"/>
                <w:sz w:val="22"/>
                <w:szCs w:val="22"/>
              </w:rPr>
            </w:pPr>
            <w:r>
              <w:rPr>
                <w:rFonts w:ascii="Calibri" w:hAnsi="Calibri" w:cs="Calibri"/>
                <w:color w:val="000000"/>
                <w:sz w:val="22"/>
                <w:szCs w:val="22"/>
              </w:rPr>
              <w:t>423</w:t>
            </w:r>
          </w:p>
        </w:tc>
        <w:tc>
          <w:tcPr>
            <w:tcW w:w="1050" w:type="dxa"/>
            <w:tcBorders>
              <w:top w:val="nil"/>
              <w:left w:val="nil"/>
              <w:bottom w:val="nil"/>
              <w:right w:val="single" w:sz="4" w:space="0" w:color="auto"/>
            </w:tcBorders>
            <w:shd w:val="clear" w:color="auto" w:fill="auto"/>
            <w:noWrap/>
            <w:vAlign w:val="bottom"/>
            <w:hideMark/>
          </w:tcPr>
          <w:p w:rsidR="00FA3EAB" w:rsidRDefault="00A30F13">
            <w:pPr>
              <w:jc w:val="right"/>
              <w:rPr>
                <w:rFonts w:ascii="Calibri" w:hAnsi="Calibri" w:cs="Calibri"/>
                <w:color w:val="000000"/>
                <w:sz w:val="22"/>
                <w:szCs w:val="22"/>
              </w:rPr>
            </w:pPr>
            <w:r>
              <w:rPr>
                <w:rFonts w:ascii="Calibri" w:hAnsi="Calibri" w:cs="Calibri"/>
                <w:color w:val="000000"/>
                <w:sz w:val="22"/>
                <w:szCs w:val="22"/>
              </w:rPr>
              <w:t>(</w:t>
            </w:r>
            <w:r w:rsidR="00FA3EAB">
              <w:rPr>
                <w:rFonts w:ascii="Calibri" w:hAnsi="Calibri" w:cs="Calibri"/>
                <w:color w:val="000000"/>
                <w:sz w:val="22"/>
                <w:szCs w:val="22"/>
              </w:rPr>
              <w:t>4</w:t>
            </w:r>
            <w:r>
              <w:rPr>
                <w:rFonts w:ascii="Calibri" w:hAnsi="Calibri" w:cs="Calibri"/>
                <w:color w:val="000000"/>
                <w:sz w:val="22"/>
                <w:szCs w:val="22"/>
              </w:rPr>
              <w:t>)</w:t>
            </w:r>
          </w:p>
        </w:tc>
        <w:tc>
          <w:tcPr>
            <w:tcW w:w="1077" w:type="dxa"/>
            <w:tcBorders>
              <w:top w:val="nil"/>
              <w:left w:val="nil"/>
              <w:bottom w:val="nil"/>
              <w:right w:val="single" w:sz="4" w:space="0" w:color="auto"/>
            </w:tcBorders>
            <w:shd w:val="clear" w:color="auto" w:fill="auto"/>
            <w:noWrap/>
            <w:vAlign w:val="bottom"/>
            <w:hideMark/>
          </w:tcPr>
          <w:p w:rsidR="00FA3EAB" w:rsidRPr="00C33B76" w:rsidRDefault="00A30F13" w:rsidP="00AD4685">
            <w:pPr>
              <w:jc w:val="right"/>
              <w:rPr>
                <w:rFonts w:ascii="Calibri" w:hAnsi="Calibri" w:cs="Calibri"/>
                <w:color w:val="000000"/>
                <w:sz w:val="20"/>
                <w:szCs w:val="20"/>
              </w:rPr>
            </w:pPr>
            <w:r>
              <w:rPr>
                <w:rFonts w:ascii="Calibri" w:hAnsi="Calibri" w:cs="Calibri"/>
                <w:color w:val="000000"/>
                <w:sz w:val="20"/>
                <w:szCs w:val="20"/>
              </w:rPr>
              <w:t>(</w:t>
            </w:r>
            <w:r w:rsidR="00FA3EAB">
              <w:rPr>
                <w:rFonts w:ascii="Calibri" w:hAnsi="Calibri" w:cs="Calibri"/>
                <w:color w:val="000000"/>
                <w:sz w:val="20"/>
                <w:szCs w:val="20"/>
              </w:rPr>
              <w:t>10</w:t>
            </w:r>
            <w:r w:rsidR="00FA3EAB" w:rsidRPr="00C33B76">
              <w:rPr>
                <w:rFonts w:ascii="Calibri" w:hAnsi="Calibri" w:cs="Calibri"/>
                <w:color w:val="000000"/>
                <w:sz w:val="20"/>
                <w:szCs w:val="20"/>
              </w:rPr>
              <w:t>%</w:t>
            </w:r>
            <w:r>
              <w:rPr>
                <w:rFonts w:ascii="Calibri" w:hAnsi="Calibri" w:cs="Calibri"/>
                <w:color w:val="000000"/>
                <w:sz w:val="20"/>
                <w:szCs w:val="20"/>
              </w:rPr>
              <w:t>)</w:t>
            </w:r>
          </w:p>
        </w:tc>
        <w:tc>
          <w:tcPr>
            <w:tcW w:w="992" w:type="dxa"/>
            <w:tcBorders>
              <w:top w:val="nil"/>
              <w:left w:val="nil"/>
              <w:bottom w:val="nil"/>
              <w:right w:val="single" w:sz="4" w:space="0" w:color="auto"/>
            </w:tcBorders>
            <w:shd w:val="clear" w:color="auto" w:fill="auto"/>
            <w:noWrap/>
            <w:vAlign w:val="bottom"/>
          </w:tcPr>
          <w:p w:rsidR="00FA3EAB" w:rsidRPr="00C33B76" w:rsidRDefault="00315375" w:rsidP="00AD4685">
            <w:pPr>
              <w:jc w:val="right"/>
              <w:rPr>
                <w:rFonts w:ascii="Calibri" w:hAnsi="Calibri" w:cs="Calibri"/>
                <w:color w:val="000000"/>
                <w:sz w:val="20"/>
                <w:szCs w:val="20"/>
              </w:rPr>
            </w:pPr>
            <w:r>
              <w:rPr>
                <w:rFonts w:ascii="Calibri" w:hAnsi="Calibri" w:cs="Calibri"/>
                <w:color w:val="000000"/>
                <w:sz w:val="20"/>
                <w:szCs w:val="20"/>
              </w:rPr>
              <w:t>550</w:t>
            </w:r>
          </w:p>
        </w:tc>
        <w:tc>
          <w:tcPr>
            <w:tcW w:w="1050" w:type="dxa"/>
            <w:tcBorders>
              <w:top w:val="nil"/>
              <w:left w:val="nil"/>
              <w:bottom w:val="nil"/>
              <w:right w:val="single" w:sz="4" w:space="0" w:color="auto"/>
            </w:tcBorders>
            <w:shd w:val="clear" w:color="auto" w:fill="auto"/>
            <w:noWrap/>
            <w:vAlign w:val="bottom"/>
          </w:tcPr>
          <w:p w:rsidR="00FA3EAB" w:rsidRPr="00C33B76" w:rsidRDefault="00A30F13" w:rsidP="00AD4685">
            <w:pPr>
              <w:jc w:val="right"/>
              <w:rPr>
                <w:rFonts w:ascii="Calibri" w:hAnsi="Calibri" w:cs="Calibri"/>
                <w:color w:val="000000"/>
                <w:sz w:val="20"/>
                <w:szCs w:val="20"/>
              </w:rPr>
            </w:pPr>
            <w:r>
              <w:rPr>
                <w:rFonts w:ascii="Calibri" w:hAnsi="Calibri" w:cs="Calibri"/>
                <w:color w:val="000000"/>
                <w:sz w:val="20"/>
                <w:szCs w:val="20"/>
              </w:rPr>
              <w:t>(</w:t>
            </w:r>
            <w:r w:rsidR="00315375">
              <w:rPr>
                <w:rFonts w:ascii="Calibri" w:hAnsi="Calibri" w:cs="Calibri"/>
                <w:color w:val="000000"/>
                <w:sz w:val="20"/>
                <w:szCs w:val="20"/>
              </w:rPr>
              <w:t>127</w:t>
            </w:r>
            <w:r>
              <w:rPr>
                <w:rFonts w:ascii="Calibri" w:hAnsi="Calibri" w:cs="Calibri"/>
                <w:color w:val="000000"/>
                <w:sz w:val="20"/>
                <w:szCs w:val="20"/>
              </w:rPr>
              <w:t>)</w:t>
            </w:r>
          </w:p>
        </w:tc>
        <w:tc>
          <w:tcPr>
            <w:tcW w:w="1076" w:type="dxa"/>
            <w:tcBorders>
              <w:top w:val="nil"/>
              <w:left w:val="nil"/>
              <w:bottom w:val="nil"/>
              <w:right w:val="single" w:sz="4" w:space="0" w:color="auto"/>
            </w:tcBorders>
            <w:shd w:val="clear" w:color="auto" w:fill="auto"/>
            <w:noWrap/>
            <w:vAlign w:val="bottom"/>
          </w:tcPr>
          <w:p w:rsidR="00FA3EAB" w:rsidRPr="00C33B76" w:rsidRDefault="00A30F13" w:rsidP="00AD4685">
            <w:pPr>
              <w:jc w:val="right"/>
              <w:rPr>
                <w:rFonts w:ascii="Calibri" w:hAnsi="Calibri" w:cs="Calibri"/>
                <w:color w:val="000000"/>
                <w:sz w:val="20"/>
                <w:szCs w:val="20"/>
              </w:rPr>
            </w:pPr>
            <w:r>
              <w:rPr>
                <w:rFonts w:ascii="Calibri" w:hAnsi="Calibri" w:cs="Calibri"/>
                <w:color w:val="000000"/>
                <w:sz w:val="20"/>
                <w:szCs w:val="20"/>
              </w:rPr>
              <w:t>(</w:t>
            </w:r>
            <w:r w:rsidR="00315375">
              <w:rPr>
                <w:rFonts w:ascii="Calibri" w:hAnsi="Calibri" w:cs="Calibri"/>
                <w:color w:val="000000"/>
                <w:sz w:val="20"/>
                <w:szCs w:val="20"/>
              </w:rPr>
              <w:t>2</w:t>
            </w:r>
            <w:r w:rsidR="00FA3EAB">
              <w:rPr>
                <w:rFonts w:ascii="Calibri" w:hAnsi="Calibri" w:cs="Calibri"/>
                <w:color w:val="000000"/>
                <w:sz w:val="20"/>
                <w:szCs w:val="20"/>
              </w:rPr>
              <w:t>3%</w:t>
            </w:r>
            <w:r>
              <w:rPr>
                <w:rFonts w:ascii="Calibri" w:hAnsi="Calibri" w:cs="Calibri"/>
                <w:color w:val="000000"/>
                <w:sz w:val="20"/>
                <w:szCs w:val="20"/>
              </w:rPr>
              <w:t>)</w:t>
            </w:r>
          </w:p>
        </w:tc>
      </w:tr>
      <w:tr w:rsidR="00FA3EAB" w:rsidRPr="00C33B76" w:rsidTr="00C80EBC">
        <w:trPr>
          <w:trHeight w:val="288"/>
        </w:trPr>
        <w:tc>
          <w:tcPr>
            <w:tcW w:w="2992" w:type="dxa"/>
            <w:tcBorders>
              <w:top w:val="nil"/>
              <w:left w:val="single" w:sz="4" w:space="0" w:color="auto"/>
              <w:bottom w:val="nil"/>
              <w:right w:val="nil"/>
            </w:tcBorders>
            <w:shd w:val="clear" w:color="auto" w:fill="auto"/>
            <w:vAlign w:val="bottom"/>
            <w:hideMark/>
          </w:tcPr>
          <w:p w:rsidR="00FA3EAB" w:rsidRPr="00C33B76" w:rsidRDefault="00FA3EAB" w:rsidP="00316468">
            <w:pPr>
              <w:rPr>
                <w:rFonts w:ascii="Calibri" w:hAnsi="Calibri" w:cs="Calibri"/>
                <w:color w:val="000000"/>
                <w:sz w:val="20"/>
                <w:szCs w:val="20"/>
              </w:rPr>
            </w:pPr>
            <w:r w:rsidRPr="00C33B76">
              <w:rPr>
                <w:rFonts w:ascii="Calibri" w:hAnsi="Calibri" w:cs="Calibri"/>
                <w:color w:val="000000"/>
                <w:sz w:val="20"/>
                <w:szCs w:val="20"/>
              </w:rPr>
              <w:t xml:space="preserve">Chief Exec </w:t>
            </w:r>
            <w:proofErr w:type="spellStart"/>
            <w:r w:rsidRPr="00C33B76">
              <w:rPr>
                <w:rFonts w:ascii="Calibri" w:hAnsi="Calibri" w:cs="Calibri"/>
                <w:color w:val="000000"/>
                <w:sz w:val="20"/>
                <w:szCs w:val="20"/>
              </w:rPr>
              <w:t>inc</w:t>
            </w:r>
            <w:r>
              <w:rPr>
                <w:rFonts w:ascii="Calibri" w:hAnsi="Calibri" w:cs="Calibri"/>
                <w:color w:val="000000"/>
                <w:sz w:val="20"/>
                <w:szCs w:val="20"/>
              </w:rPr>
              <w:t>.</w:t>
            </w:r>
            <w:proofErr w:type="spellEnd"/>
            <w:r>
              <w:rPr>
                <w:rFonts w:ascii="Calibri" w:hAnsi="Calibri" w:cs="Calibri"/>
                <w:color w:val="000000"/>
                <w:sz w:val="20"/>
                <w:szCs w:val="20"/>
              </w:rPr>
              <w:t xml:space="preserve"> Governance</w:t>
            </w:r>
            <w:r w:rsidRPr="00C33B76">
              <w:rPr>
                <w:rFonts w:ascii="Calibri" w:hAnsi="Calibri" w:cs="Calibri"/>
                <w:color w:val="000000"/>
                <w:sz w:val="20"/>
                <w:szCs w:val="20"/>
              </w:rPr>
              <w:t>.</w:t>
            </w:r>
          </w:p>
        </w:tc>
        <w:tc>
          <w:tcPr>
            <w:tcW w:w="992" w:type="dxa"/>
            <w:tcBorders>
              <w:top w:val="nil"/>
              <w:left w:val="single" w:sz="4" w:space="0" w:color="auto"/>
              <w:bottom w:val="nil"/>
              <w:right w:val="single" w:sz="4" w:space="0" w:color="auto"/>
            </w:tcBorders>
            <w:shd w:val="clear" w:color="auto" w:fill="auto"/>
            <w:noWrap/>
            <w:vAlign w:val="bottom"/>
            <w:hideMark/>
          </w:tcPr>
          <w:p w:rsidR="00FA3EAB" w:rsidRDefault="00FA3EAB">
            <w:pPr>
              <w:jc w:val="right"/>
              <w:rPr>
                <w:rFonts w:ascii="Calibri" w:hAnsi="Calibri" w:cs="Calibri"/>
                <w:color w:val="000000"/>
                <w:sz w:val="22"/>
                <w:szCs w:val="22"/>
              </w:rPr>
            </w:pPr>
            <w:r>
              <w:rPr>
                <w:rFonts w:ascii="Calibri" w:hAnsi="Calibri" w:cs="Calibri"/>
                <w:color w:val="000000"/>
                <w:sz w:val="22"/>
                <w:szCs w:val="22"/>
              </w:rPr>
              <w:t>83</w:t>
            </w:r>
          </w:p>
        </w:tc>
        <w:tc>
          <w:tcPr>
            <w:tcW w:w="1134" w:type="dxa"/>
            <w:tcBorders>
              <w:top w:val="nil"/>
              <w:left w:val="nil"/>
              <w:bottom w:val="nil"/>
              <w:right w:val="single" w:sz="4" w:space="0" w:color="auto"/>
            </w:tcBorders>
            <w:shd w:val="clear" w:color="auto" w:fill="auto"/>
            <w:noWrap/>
            <w:vAlign w:val="bottom"/>
            <w:hideMark/>
          </w:tcPr>
          <w:p w:rsidR="00FA3EAB" w:rsidRDefault="00FA3EAB">
            <w:pPr>
              <w:jc w:val="right"/>
              <w:rPr>
                <w:rFonts w:ascii="Calibri" w:hAnsi="Calibri" w:cs="Calibri"/>
                <w:color w:val="000000"/>
                <w:sz w:val="22"/>
                <w:szCs w:val="22"/>
              </w:rPr>
            </w:pPr>
            <w:r>
              <w:rPr>
                <w:rFonts w:ascii="Calibri" w:hAnsi="Calibri" w:cs="Calibri"/>
                <w:color w:val="000000"/>
                <w:sz w:val="22"/>
                <w:szCs w:val="22"/>
              </w:rPr>
              <w:t>91</w:t>
            </w:r>
          </w:p>
        </w:tc>
        <w:tc>
          <w:tcPr>
            <w:tcW w:w="1050" w:type="dxa"/>
            <w:tcBorders>
              <w:top w:val="nil"/>
              <w:left w:val="nil"/>
              <w:bottom w:val="nil"/>
              <w:right w:val="single" w:sz="4" w:space="0" w:color="auto"/>
            </w:tcBorders>
            <w:shd w:val="clear" w:color="auto" w:fill="auto"/>
            <w:noWrap/>
            <w:vAlign w:val="bottom"/>
            <w:hideMark/>
          </w:tcPr>
          <w:p w:rsidR="00FA3EAB" w:rsidRDefault="00A30F13">
            <w:pPr>
              <w:jc w:val="right"/>
              <w:rPr>
                <w:rFonts w:ascii="Calibri" w:hAnsi="Calibri" w:cs="Calibri"/>
                <w:color w:val="000000"/>
                <w:sz w:val="22"/>
                <w:szCs w:val="22"/>
              </w:rPr>
            </w:pPr>
            <w:r>
              <w:rPr>
                <w:rFonts w:ascii="Calibri" w:hAnsi="Calibri" w:cs="Calibri"/>
                <w:color w:val="000000"/>
                <w:sz w:val="22"/>
                <w:szCs w:val="22"/>
              </w:rPr>
              <w:t>8</w:t>
            </w:r>
          </w:p>
        </w:tc>
        <w:tc>
          <w:tcPr>
            <w:tcW w:w="1077" w:type="dxa"/>
            <w:tcBorders>
              <w:top w:val="nil"/>
              <w:left w:val="nil"/>
              <w:bottom w:val="nil"/>
              <w:right w:val="single" w:sz="4" w:space="0" w:color="auto"/>
            </w:tcBorders>
            <w:shd w:val="clear" w:color="auto" w:fill="auto"/>
            <w:noWrap/>
            <w:vAlign w:val="bottom"/>
            <w:hideMark/>
          </w:tcPr>
          <w:p w:rsidR="00FA3EAB" w:rsidRPr="00C33B76" w:rsidRDefault="00FA3EAB" w:rsidP="00AD4685">
            <w:pPr>
              <w:jc w:val="right"/>
              <w:rPr>
                <w:rFonts w:ascii="Calibri" w:hAnsi="Calibri" w:cs="Calibri"/>
                <w:color w:val="000000"/>
                <w:sz w:val="20"/>
                <w:szCs w:val="20"/>
              </w:rPr>
            </w:pPr>
            <w:r>
              <w:rPr>
                <w:rFonts w:ascii="Calibri" w:hAnsi="Calibri" w:cs="Calibri"/>
                <w:color w:val="000000"/>
                <w:sz w:val="20"/>
                <w:szCs w:val="20"/>
              </w:rPr>
              <w:t>8</w:t>
            </w:r>
            <w:r w:rsidRPr="00C33B76">
              <w:rPr>
                <w:rFonts w:ascii="Calibri" w:hAnsi="Calibri" w:cs="Calibri"/>
                <w:color w:val="000000"/>
                <w:sz w:val="20"/>
                <w:szCs w:val="20"/>
              </w:rPr>
              <w:t>%</w:t>
            </w:r>
          </w:p>
        </w:tc>
        <w:tc>
          <w:tcPr>
            <w:tcW w:w="992" w:type="dxa"/>
            <w:tcBorders>
              <w:top w:val="nil"/>
              <w:left w:val="nil"/>
              <w:bottom w:val="nil"/>
              <w:right w:val="single" w:sz="4" w:space="0" w:color="auto"/>
            </w:tcBorders>
            <w:shd w:val="clear" w:color="auto" w:fill="auto"/>
            <w:noWrap/>
            <w:vAlign w:val="bottom"/>
          </w:tcPr>
          <w:p w:rsidR="00FA3EAB" w:rsidRPr="00C33B76" w:rsidRDefault="00315375" w:rsidP="00AD4685">
            <w:pPr>
              <w:jc w:val="right"/>
              <w:rPr>
                <w:rFonts w:ascii="Calibri" w:hAnsi="Calibri" w:cs="Calibri"/>
                <w:color w:val="000000"/>
                <w:sz w:val="20"/>
                <w:szCs w:val="20"/>
              </w:rPr>
            </w:pPr>
            <w:r>
              <w:rPr>
                <w:rFonts w:ascii="Calibri" w:hAnsi="Calibri" w:cs="Calibri"/>
                <w:color w:val="000000"/>
                <w:sz w:val="20"/>
                <w:szCs w:val="20"/>
              </w:rPr>
              <w:t>73</w:t>
            </w:r>
          </w:p>
        </w:tc>
        <w:tc>
          <w:tcPr>
            <w:tcW w:w="1050" w:type="dxa"/>
            <w:tcBorders>
              <w:top w:val="nil"/>
              <w:left w:val="nil"/>
              <w:bottom w:val="nil"/>
              <w:right w:val="single" w:sz="4" w:space="0" w:color="auto"/>
            </w:tcBorders>
            <w:shd w:val="clear" w:color="auto" w:fill="auto"/>
            <w:noWrap/>
            <w:vAlign w:val="bottom"/>
          </w:tcPr>
          <w:p w:rsidR="00FA3EAB" w:rsidRPr="00C33B76" w:rsidRDefault="00315375" w:rsidP="00315375">
            <w:pPr>
              <w:jc w:val="right"/>
              <w:rPr>
                <w:rFonts w:ascii="Calibri" w:hAnsi="Calibri" w:cs="Calibri"/>
                <w:color w:val="000000"/>
                <w:sz w:val="20"/>
                <w:szCs w:val="20"/>
              </w:rPr>
            </w:pPr>
            <w:r>
              <w:rPr>
                <w:rFonts w:ascii="Calibri" w:hAnsi="Calibri" w:cs="Calibri"/>
                <w:color w:val="000000"/>
                <w:sz w:val="20"/>
                <w:szCs w:val="20"/>
              </w:rPr>
              <w:t>18</w:t>
            </w:r>
          </w:p>
        </w:tc>
        <w:tc>
          <w:tcPr>
            <w:tcW w:w="1076" w:type="dxa"/>
            <w:tcBorders>
              <w:top w:val="nil"/>
              <w:left w:val="nil"/>
              <w:bottom w:val="nil"/>
              <w:right w:val="single" w:sz="4" w:space="0" w:color="auto"/>
            </w:tcBorders>
            <w:shd w:val="clear" w:color="auto" w:fill="auto"/>
            <w:noWrap/>
            <w:vAlign w:val="bottom"/>
          </w:tcPr>
          <w:p w:rsidR="00FA3EAB" w:rsidRPr="00C33B76" w:rsidRDefault="00315375" w:rsidP="00315375">
            <w:pPr>
              <w:jc w:val="right"/>
              <w:rPr>
                <w:rFonts w:ascii="Calibri" w:hAnsi="Calibri" w:cs="Calibri"/>
                <w:color w:val="000000"/>
                <w:sz w:val="20"/>
                <w:szCs w:val="20"/>
              </w:rPr>
            </w:pPr>
            <w:r>
              <w:rPr>
                <w:rFonts w:ascii="Calibri" w:hAnsi="Calibri" w:cs="Calibri"/>
                <w:color w:val="000000"/>
                <w:sz w:val="20"/>
                <w:szCs w:val="20"/>
              </w:rPr>
              <w:t>25</w:t>
            </w:r>
            <w:r w:rsidR="00A30F13">
              <w:rPr>
                <w:rFonts w:ascii="Calibri" w:hAnsi="Calibri" w:cs="Calibri"/>
                <w:color w:val="000000"/>
                <w:sz w:val="20"/>
                <w:szCs w:val="20"/>
              </w:rPr>
              <w:t>%</w:t>
            </w:r>
          </w:p>
        </w:tc>
      </w:tr>
      <w:tr w:rsidR="00FA3EAB" w:rsidRPr="00C33B76" w:rsidTr="00C80EBC">
        <w:trPr>
          <w:trHeight w:val="288"/>
        </w:trPr>
        <w:tc>
          <w:tcPr>
            <w:tcW w:w="2992" w:type="dxa"/>
            <w:tcBorders>
              <w:top w:val="nil"/>
              <w:left w:val="single" w:sz="4" w:space="0" w:color="auto"/>
              <w:bottom w:val="nil"/>
              <w:right w:val="nil"/>
            </w:tcBorders>
            <w:shd w:val="clear" w:color="auto" w:fill="auto"/>
            <w:vAlign w:val="bottom"/>
            <w:hideMark/>
          </w:tcPr>
          <w:p w:rsidR="00FA3EAB" w:rsidRPr="00C33B76" w:rsidRDefault="00FA3EAB" w:rsidP="00AD4685">
            <w:pPr>
              <w:rPr>
                <w:rFonts w:ascii="Calibri" w:hAnsi="Calibri" w:cs="Calibri"/>
                <w:color w:val="000000"/>
                <w:sz w:val="20"/>
                <w:szCs w:val="20"/>
              </w:rPr>
            </w:pPr>
            <w:r w:rsidRPr="00C33B76">
              <w:rPr>
                <w:rFonts w:ascii="Calibri" w:hAnsi="Calibri" w:cs="Calibri"/>
                <w:color w:val="000000"/>
                <w:sz w:val="20"/>
                <w:szCs w:val="20"/>
              </w:rPr>
              <w:t>Corporate Services</w:t>
            </w:r>
          </w:p>
        </w:tc>
        <w:tc>
          <w:tcPr>
            <w:tcW w:w="992" w:type="dxa"/>
            <w:tcBorders>
              <w:top w:val="nil"/>
              <w:left w:val="single" w:sz="4" w:space="0" w:color="auto"/>
              <w:bottom w:val="nil"/>
              <w:right w:val="single" w:sz="4" w:space="0" w:color="auto"/>
            </w:tcBorders>
            <w:shd w:val="clear" w:color="auto" w:fill="auto"/>
            <w:noWrap/>
            <w:vAlign w:val="bottom"/>
            <w:hideMark/>
          </w:tcPr>
          <w:p w:rsidR="00FA3EAB" w:rsidRDefault="00FA3EAB">
            <w:pPr>
              <w:jc w:val="right"/>
              <w:rPr>
                <w:rFonts w:ascii="Calibri" w:hAnsi="Calibri" w:cs="Calibri"/>
                <w:color w:val="000000"/>
                <w:sz w:val="22"/>
                <w:szCs w:val="22"/>
              </w:rPr>
            </w:pPr>
            <w:r>
              <w:rPr>
                <w:rFonts w:ascii="Calibri" w:hAnsi="Calibri" w:cs="Calibri"/>
                <w:color w:val="000000"/>
                <w:sz w:val="22"/>
                <w:szCs w:val="22"/>
              </w:rPr>
              <w:t>70</w:t>
            </w:r>
          </w:p>
        </w:tc>
        <w:tc>
          <w:tcPr>
            <w:tcW w:w="1134" w:type="dxa"/>
            <w:tcBorders>
              <w:top w:val="nil"/>
              <w:left w:val="nil"/>
              <w:bottom w:val="nil"/>
              <w:right w:val="single" w:sz="4" w:space="0" w:color="auto"/>
            </w:tcBorders>
            <w:shd w:val="clear" w:color="auto" w:fill="auto"/>
            <w:noWrap/>
            <w:vAlign w:val="bottom"/>
            <w:hideMark/>
          </w:tcPr>
          <w:p w:rsidR="00FA3EAB" w:rsidRDefault="00FA3EAB">
            <w:pPr>
              <w:jc w:val="right"/>
              <w:rPr>
                <w:rFonts w:ascii="Calibri" w:hAnsi="Calibri" w:cs="Calibri"/>
                <w:color w:val="000000"/>
                <w:sz w:val="22"/>
                <w:szCs w:val="22"/>
              </w:rPr>
            </w:pPr>
            <w:r>
              <w:rPr>
                <w:rFonts w:ascii="Calibri" w:hAnsi="Calibri" w:cs="Calibri"/>
                <w:color w:val="000000"/>
                <w:sz w:val="22"/>
                <w:szCs w:val="22"/>
              </w:rPr>
              <w:t>101</w:t>
            </w:r>
          </w:p>
        </w:tc>
        <w:tc>
          <w:tcPr>
            <w:tcW w:w="1050" w:type="dxa"/>
            <w:tcBorders>
              <w:top w:val="nil"/>
              <w:left w:val="nil"/>
              <w:bottom w:val="nil"/>
              <w:right w:val="single" w:sz="4" w:space="0" w:color="auto"/>
            </w:tcBorders>
            <w:shd w:val="clear" w:color="auto" w:fill="auto"/>
            <w:noWrap/>
            <w:vAlign w:val="bottom"/>
            <w:hideMark/>
          </w:tcPr>
          <w:p w:rsidR="00FA3EAB" w:rsidRDefault="00FA3EAB" w:rsidP="00A30F13">
            <w:pPr>
              <w:jc w:val="right"/>
              <w:rPr>
                <w:rFonts w:ascii="Calibri" w:hAnsi="Calibri" w:cs="Calibri"/>
                <w:color w:val="000000"/>
                <w:sz w:val="22"/>
                <w:szCs w:val="22"/>
              </w:rPr>
            </w:pPr>
            <w:r>
              <w:rPr>
                <w:rFonts w:ascii="Calibri" w:hAnsi="Calibri" w:cs="Calibri"/>
                <w:color w:val="000000"/>
                <w:sz w:val="22"/>
                <w:szCs w:val="22"/>
              </w:rPr>
              <w:t>32</w:t>
            </w:r>
          </w:p>
        </w:tc>
        <w:tc>
          <w:tcPr>
            <w:tcW w:w="1077" w:type="dxa"/>
            <w:tcBorders>
              <w:top w:val="nil"/>
              <w:left w:val="nil"/>
              <w:bottom w:val="nil"/>
              <w:right w:val="single" w:sz="4" w:space="0" w:color="auto"/>
            </w:tcBorders>
            <w:shd w:val="clear" w:color="auto" w:fill="auto"/>
            <w:noWrap/>
            <w:vAlign w:val="bottom"/>
            <w:hideMark/>
          </w:tcPr>
          <w:p w:rsidR="00FA3EAB" w:rsidRPr="00C33B76" w:rsidRDefault="00FA3EAB" w:rsidP="00A30F13">
            <w:pPr>
              <w:jc w:val="right"/>
              <w:rPr>
                <w:rFonts w:ascii="Calibri" w:hAnsi="Calibri" w:cs="Calibri"/>
                <w:color w:val="000000"/>
                <w:sz w:val="20"/>
                <w:szCs w:val="20"/>
              </w:rPr>
            </w:pPr>
            <w:r>
              <w:rPr>
                <w:rFonts w:ascii="Calibri" w:hAnsi="Calibri" w:cs="Calibri"/>
                <w:color w:val="000000"/>
                <w:sz w:val="20"/>
                <w:szCs w:val="20"/>
              </w:rPr>
              <w:t>71</w:t>
            </w:r>
            <w:r w:rsidRPr="00C33B76">
              <w:rPr>
                <w:rFonts w:ascii="Calibri" w:hAnsi="Calibri" w:cs="Calibri"/>
                <w:color w:val="000000"/>
                <w:sz w:val="20"/>
                <w:szCs w:val="20"/>
              </w:rPr>
              <w:t>%</w:t>
            </w:r>
          </w:p>
        </w:tc>
        <w:tc>
          <w:tcPr>
            <w:tcW w:w="992" w:type="dxa"/>
            <w:tcBorders>
              <w:top w:val="nil"/>
              <w:left w:val="nil"/>
              <w:bottom w:val="nil"/>
              <w:right w:val="single" w:sz="4" w:space="0" w:color="auto"/>
            </w:tcBorders>
            <w:shd w:val="clear" w:color="auto" w:fill="auto"/>
            <w:noWrap/>
            <w:vAlign w:val="bottom"/>
          </w:tcPr>
          <w:p w:rsidR="00FA3EAB" w:rsidRPr="00C33B76" w:rsidRDefault="00315375" w:rsidP="00AD4685">
            <w:pPr>
              <w:jc w:val="right"/>
              <w:rPr>
                <w:rFonts w:ascii="Calibri" w:hAnsi="Calibri" w:cs="Calibri"/>
                <w:color w:val="000000"/>
                <w:sz w:val="20"/>
                <w:szCs w:val="20"/>
              </w:rPr>
            </w:pPr>
            <w:r>
              <w:rPr>
                <w:rFonts w:ascii="Calibri" w:hAnsi="Calibri" w:cs="Calibri"/>
                <w:color w:val="000000"/>
                <w:sz w:val="20"/>
                <w:szCs w:val="20"/>
              </w:rPr>
              <w:t>47</w:t>
            </w:r>
          </w:p>
        </w:tc>
        <w:tc>
          <w:tcPr>
            <w:tcW w:w="1050" w:type="dxa"/>
            <w:tcBorders>
              <w:top w:val="nil"/>
              <w:left w:val="nil"/>
              <w:bottom w:val="nil"/>
              <w:right w:val="single" w:sz="4" w:space="0" w:color="auto"/>
            </w:tcBorders>
            <w:shd w:val="clear" w:color="auto" w:fill="auto"/>
            <w:noWrap/>
            <w:vAlign w:val="bottom"/>
          </w:tcPr>
          <w:p w:rsidR="00FA3EAB" w:rsidRPr="00C33B76" w:rsidRDefault="00315375" w:rsidP="00315375">
            <w:pPr>
              <w:jc w:val="right"/>
              <w:rPr>
                <w:rFonts w:ascii="Calibri" w:hAnsi="Calibri" w:cs="Calibri"/>
                <w:color w:val="000000"/>
                <w:sz w:val="20"/>
                <w:szCs w:val="20"/>
              </w:rPr>
            </w:pPr>
            <w:r>
              <w:rPr>
                <w:rFonts w:ascii="Calibri" w:hAnsi="Calibri" w:cs="Calibri"/>
                <w:color w:val="000000"/>
                <w:sz w:val="20"/>
                <w:szCs w:val="20"/>
              </w:rPr>
              <w:t>54</w:t>
            </w:r>
          </w:p>
        </w:tc>
        <w:tc>
          <w:tcPr>
            <w:tcW w:w="1076" w:type="dxa"/>
            <w:tcBorders>
              <w:top w:val="nil"/>
              <w:left w:val="nil"/>
              <w:bottom w:val="nil"/>
              <w:right w:val="single" w:sz="4" w:space="0" w:color="auto"/>
            </w:tcBorders>
            <w:shd w:val="clear" w:color="auto" w:fill="auto"/>
            <w:noWrap/>
            <w:vAlign w:val="bottom"/>
          </w:tcPr>
          <w:p w:rsidR="00FA3EAB" w:rsidRPr="00C33B76" w:rsidRDefault="00FA3EAB" w:rsidP="00315375">
            <w:pPr>
              <w:jc w:val="right"/>
              <w:rPr>
                <w:rFonts w:ascii="Calibri" w:hAnsi="Calibri" w:cs="Calibri"/>
                <w:color w:val="000000"/>
                <w:sz w:val="20"/>
                <w:szCs w:val="20"/>
              </w:rPr>
            </w:pPr>
            <w:r>
              <w:rPr>
                <w:rFonts w:ascii="Calibri" w:hAnsi="Calibri" w:cs="Calibri"/>
                <w:color w:val="000000"/>
                <w:sz w:val="20"/>
                <w:szCs w:val="20"/>
              </w:rPr>
              <w:t>11</w:t>
            </w:r>
            <w:r w:rsidR="00315375">
              <w:rPr>
                <w:rFonts w:ascii="Calibri" w:hAnsi="Calibri" w:cs="Calibri"/>
                <w:color w:val="000000"/>
                <w:sz w:val="20"/>
                <w:szCs w:val="20"/>
              </w:rPr>
              <w:t>5</w:t>
            </w:r>
            <w:r w:rsidR="00A30F13">
              <w:rPr>
                <w:rFonts w:ascii="Calibri" w:hAnsi="Calibri" w:cs="Calibri"/>
                <w:color w:val="000000"/>
                <w:sz w:val="20"/>
                <w:szCs w:val="20"/>
              </w:rPr>
              <w:t>%</w:t>
            </w:r>
          </w:p>
        </w:tc>
      </w:tr>
      <w:tr w:rsidR="00FA3EAB" w:rsidRPr="00C33B76" w:rsidTr="00C80EBC">
        <w:trPr>
          <w:trHeight w:val="288"/>
        </w:trPr>
        <w:tc>
          <w:tcPr>
            <w:tcW w:w="2992" w:type="dxa"/>
            <w:tcBorders>
              <w:top w:val="nil"/>
              <w:left w:val="single" w:sz="4" w:space="0" w:color="auto"/>
              <w:bottom w:val="nil"/>
              <w:right w:val="nil"/>
            </w:tcBorders>
            <w:shd w:val="clear" w:color="auto" w:fill="auto"/>
            <w:vAlign w:val="bottom"/>
            <w:hideMark/>
          </w:tcPr>
          <w:p w:rsidR="00FA3EAB" w:rsidRPr="00C33B76" w:rsidRDefault="00FA3EAB" w:rsidP="00AD4685">
            <w:pPr>
              <w:rPr>
                <w:rFonts w:ascii="Calibri" w:hAnsi="Calibri" w:cs="Calibri"/>
                <w:color w:val="000000"/>
                <w:sz w:val="20"/>
                <w:szCs w:val="20"/>
              </w:rPr>
            </w:pPr>
            <w:r w:rsidRPr="00C33B76">
              <w:rPr>
                <w:rFonts w:ascii="Calibri" w:hAnsi="Calibri" w:cs="Calibri"/>
                <w:color w:val="000000"/>
                <w:sz w:val="20"/>
                <w:szCs w:val="20"/>
              </w:rPr>
              <w:t xml:space="preserve">Finance </w:t>
            </w:r>
          </w:p>
        </w:tc>
        <w:tc>
          <w:tcPr>
            <w:tcW w:w="992" w:type="dxa"/>
            <w:tcBorders>
              <w:top w:val="nil"/>
              <w:left w:val="single" w:sz="4" w:space="0" w:color="auto"/>
              <w:bottom w:val="nil"/>
              <w:right w:val="single" w:sz="4" w:space="0" w:color="auto"/>
            </w:tcBorders>
            <w:shd w:val="clear" w:color="auto" w:fill="auto"/>
            <w:noWrap/>
            <w:vAlign w:val="bottom"/>
            <w:hideMark/>
          </w:tcPr>
          <w:p w:rsidR="00FA3EAB" w:rsidRDefault="00FA3EAB">
            <w:pPr>
              <w:jc w:val="right"/>
              <w:rPr>
                <w:rFonts w:ascii="Calibri" w:hAnsi="Calibri" w:cs="Calibri"/>
                <w:color w:val="000000"/>
                <w:sz w:val="22"/>
                <w:szCs w:val="22"/>
              </w:rPr>
            </w:pPr>
            <w:r>
              <w:rPr>
                <w:rFonts w:ascii="Calibri" w:hAnsi="Calibri" w:cs="Calibri"/>
                <w:color w:val="000000"/>
                <w:sz w:val="22"/>
                <w:szCs w:val="22"/>
              </w:rPr>
              <w:t>7</w:t>
            </w:r>
          </w:p>
        </w:tc>
        <w:tc>
          <w:tcPr>
            <w:tcW w:w="1134" w:type="dxa"/>
            <w:tcBorders>
              <w:top w:val="nil"/>
              <w:left w:val="nil"/>
              <w:bottom w:val="nil"/>
              <w:right w:val="single" w:sz="4" w:space="0" w:color="auto"/>
            </w:tcBorders>
            <w:shd w:val="clear" w:color="auto" w:fill="auto"/>
            <w:noWrap/>
            <w:vAlign w:val="bottom"/>
            <w:hideMark/>
          </w:tcPr>
          <w:p w:rsidR="00FA3EAB" w:rsidRDefault="00FA3EAB">
            <w:pPr>
              <w:jc w:val="right"/>
              <w:rPr>
                <w:rFonts w:ascii="Calibri" w:hAnsi="Calibri" w:cs="Calibri"/>
                <w:color w:val="000000"/>
                <w:sz w:val="22"/>
                <w:szCs w:val="22"/>
              </w:rPr>
            </w:pPr>
            <w:r>
              <w:rPr>
                <w:rFonts w:ascii="Calibri" w:hAnsi="Calibri" w:cs="Calibri"/>
                <w:color w:val="000000"/>
                <w:sz w:val="22"/>
                <w:szCs w:val="22"/>
              </w:rPr>
              <w:t>10</w:t>
            </w:r>
          </w:p>
        </w:tc>
        <w:tc>
          <w:tcPr>
            <w:tcW w:w="1050" w:type="dxa"/>
            <w:tcBorders>
              <w:top w:val="nil"/>
              <w:left w:val="nil"/>
              <w:bottom w:val="nil"/>
              <w:right w:val="single" w:sz="4" w:space="0" w:color="auto"/>
            </w:tcBorders>
            <w:shd w:val="clear" w:color="auto" w:fill="auto"/>
            <w:noWrap/>
            <w:vAlign w:val="bottom"/>
            <w:hideMark/>
          </w:tcPr>
          <w:p w:rsidR="00FA3EAB" w:rsidRDefault="00A30F13">
            <w:pPr>
              <w:jc w:val="right"/>
              <w:rPr>
                <w:rFonts w:ascii="Calibri" w:hAnsi="Calibri" w:cs="Calibri"/>
                <w:color w:val="000000"/>
                <w:sz w:val="22"/>
                <w:szCs w:val="22"/>
              </w:rPr>
            </w:pPr>
            <w:r>
              <w:rPr>
                <w:rFonts w:ascii="Calibri" w:hAnsi="Calibri" w:cs="Calibri"/>
                <w:color w:val="000000"/>
                <w:sz w:val="22"/>
                <w:szCs w:val="22"/>
              </w:rPr>
              <w:t>3</w:t>
            </w:r>
          </w:p>
        </w:tc>
        <w:tc>
          <w:tcPr>
            <w:tcW w:w="1077" w:type="dxa"/>
            <w:tcBorders>
              <w:top w:val="nil"/>
              <w:left w:val="nil"/>
              <w:bottom w:val="nil"/>
              <w:right w:val="single" w:sz="4" w:space="0" w:color="auto"/>
            </w:tcBorders>
            <w:shd w:val="clear" w:color="auto" w:fill="auto"/>
            <w:noWrap/>
            <w:vAlign w:val="bottom"/>
            <w:hideMark/>
          </w:tcPr>
          <w:p w:rsidR="00FA3EAB" w:rsidRPr="00C33B76" w:rsidRDefault="00FA3EAB" w:rsidP="00AD4685">
            <w:pPr>
              <w:jc w:val="right"/>
              <w:rPr>
                <w:rFonts w:ascii="Calibri" w:hAnsi="Calibri" w:cs="Calibri"/>
                <w:color w:val="000000"/>
                <w:sz w:val="20"/>
                <w:szCs w:val="20"/>
              </w:rPr>
            </w:pPr>
            <w:r>
              <w:rPr>
                <w:rFonts w:ascii="Calibri" w:hAnsi="Calibri" w:cs="Calibri"/>
                <w:color w:val="000000"/>
                <w:sz w:val="20"/>
                <w:szCs w:val="20"/>
              </w:rPr>
              <w:t>37</w:t>
            </w:r>
            <w:r w:rsidRPr="00C33B76">
              <w:rPr>
                <w:rFonts w:ascii="Calibri" w:hAnsi="Calibri" w:cs="Calibri"/>
                <w:color w:val="000000"/>
                <w:sz w:val="20"/>
                <w:szCs w:val="20"/>
              </w:rPr>
              <w:t>%</w:t>
            </w:r>
          </w:p>
        </w:tc>
        <w:tc>
          <w:tcPr>
            <w:tcW w:w="992" w:type="dxa"/>
            <w:tcBorders>
              <w:top w:val="nil"/>
              <w:left w:val="nil"/>
              <w:bottom w:val="nil"/>
              <w:right w:val="single" w:sz="4" w:space="0" w:color="auto"/>
            </w:tcBorders>
            <w:shd w:val="clear" w:color="auto" w:fill="auto"/>
            <w:noWrap/>
            <w:vAlign w:val="bottom"/>
          </w:tcPr>
          <w:p w:rsidR="00FA3EAB" w:rsidRPr="00C33B76" w:rsidRDefault="00315375" w:rsidP="00AD4685">
            <w:pPr>
              <w:jc w:val="right"/>
              <w:rPr>
                <w:rFonts w:ascii="Calibri" w:hAnsi="Calibri" w:cs="Calibri"/>
                <w:color w:val="000000"/>
                <w:sz w:val="20"/>
                <w:szCs w:val="20"/>
              </w:rPr>
            </w:pPr>
            <w:r>
              <w:rPr>
                <w:rFonts w:ascii="Calibri" w:hAnsi="Calibri" w:cs="Calibri"/>
                <w:color w:val="000000"/>
                <w:sz w:val="20"/>
                <w:szCs w:val="20"/>
              </w:rPr>
              <w:t>4</w:t>
            </w:r>
          </w:p>
        </w:tc>
        <w:tc>
          <w:tcPr>
            <w:tcW w:w="1050" w:type="dxa"/>
            <w:tcBorders>
              <w:top w:val="nil"/>
              <w:left w:val="nil"/>
              <w:bottom w:val="nil"/>
              <w:right w:val="single" w:sz="4" w:space="0" w:color="auto"/>
            </w:tcBorders>
            <w:shd w:val="clear" w:color="auto" w:fill="auto"/>
            <w:noWrap/>
            <w:vAlign w:val="bottom"/>
          </w:tcPr>
          <w:p w:rsidR="00FA3EAB" w:rsidRPr="00C33B76" w:rsidRDefault="00315375" w:rsidP="00315375">
            <w:pPr>
              <w:jc w:val="right"/>
              <w:rPr>
                <w:rFonts w:ascii="Calibri" w:hAnsi="Calibri" w:cs="Calibri"/>
                <w:color w:val="000000"/>
                <w:sz w:val="20"/>
                <w:szCs w:val="20"/>
              </w:rPr>
            </w:pPr>
            <w:r>
              <w:rPr>
                <w:rFonts w:ascii="Calibri" w:hAnsi="Calibri" w:cs="Calibri"/>
                <w:color w:val="000000"/>
                <w:sz w:val="20"/>
                <w:szCs w:val="20"/>
              </w:rPr>
              <w:t>6</w:t>
            </w:r>
          </w:p>
        </w:tc>
        <w:tc>
          <w:tcPr>
            <w:tcW w:w="1076" w:type="dxa"/>
            <w:tcBorders>
              <w:top w:val="nil"/>
              <w:left w:val="nil"/>
              <w:bottom w:val="nil"/>
              <w:right w:val="single" w:sz="4" w:space="0" w:color="auto"/>
            </w:tcBorders>
            <w:shd w:val="clear" w:color="auto" w:fill="auto"/>
            <w:noWrap/>
            <w:vAlign w:val="bottom"/>
          </w:tcPr>
          <w:p w:rsidR="00FA3EAB" w:rsidRPr="00C33B76" w:rsidRDefault="00315375" w:rsidP="00315375">
            <w:pPr>
              <w:jc w:val="right"/>
              <w:rPr>
                <w:rFonts w:ascii="Calibri" w:hAnsi="Calibri" w:cs="Calibri"/>
                <w:color w:val="000000"/>
                <w:sz w:val="20"/>
                <w:szCs w:val="20"/>
              </w:rPr>
            </w:pPr>
            <w:r>
              <w:rPr>
                <w:rFonts w:ascii="Calibri" w:hAnsi="Calibri" w:cs="Calibri"/>
                <w:color w:val="000000"/>
                <w:sz w:val="20"/>
                <w:szCs w:val="20"/>
              </w:rPr>
              <w:t>150</w:t>
            </w:r>
            <w:r w:rsidR="00A30F13">
              <w:rPr>
                <w:rFonts w:ascii="Calibri" w:hAnsi="Calibri" w:cs="Calibri"/>
                <w:color w:val="000000"/>
                <w:sz w:val="20"/>
                <w:szCs w:val="20"/>
              </w:rPr>
              <w:t>%</w:t>
            </w:r>
          </w:p>
        </w:tc>
      </w:tr>
      <w:tr w:rsidR="00C80EBC" w:rsidRPr="00C33B76" w:rsidTr="00C80EBC">
        <w:trPr>
          <w:trHeight w:val="288"/>
        </w:trPr>
        <w:tc>
          <w:tcPr>
            <w:tcW w:w="2992" w:type="dxa"/>
            <w:tcBorders>
              <w:top w:val="nil"/>
              <w:left w:val="single" w:sz="4" w:space="0" w:color="auto"/>
              <w:bottom w:val="single" w:sz="4" w:space="0" w:color="auto"/>
              <w:right w:val="single" w:sz="4" w:space="0" w:color="auto"/>
            </w:tcBorders>
            <w:shd w:val="clear" w:color="auto" w:fill="365F91" w:themeFill="accent1" w:themeFillShade="BF"/>
            <w:noWrap/>
            <w:vAlign w:val="bottom"/>
            <w:hideMark/>
          </w:tcPr>
          <w:p w:rsidR="00FA3EAB" w:rsidRPr="00C33B76" w:rsidRDefault="00FA3EAB" w:rsidP="00AD4685">
            <w:pPr>
              <w:rPr>
                <w:rFonts w:ascii="Calibri" w:hAnsi="Calibri" w:cs="Calibri"/>
                <w:b/>
                <w:bCs/>
                <w:color w:val="FFFFFF"/>
                <w:sz w:val="20"/>
                <w:szCs w:val="20"/>
              </w:rPr>
            </w:pPr>
            <w:r w:rsidRPr="00C33B76">
              <w:rPr>
                <w:rFonts w:ascii="Calibri" w:hAnsi="Calibri" w:cs="Calibri"/>
                <w:b/>
                <w:bCs/>
                <w:color w:val="FFFFFF"/>
                <w:sz w:val="20"/>
                <w:szCs w:val="20"/>
              </w:rPr>
              <w:t>Total</w:t>
            </w:r>
          </w:p>
        </w:tc>
        <w:tc>
          <w:tcPr>
            <w:tcW w:w="992" w:type="dxa"/>
            <w:tcBorders>
              <w:top w:val="nil"/>
              <w:left w:val="nil"/>
              <w:bottom w:val="single" w:sz="4" w:space="0" w:color="auto"/>
              <w:right w:val="single" w:sz="4" w:space="0" w:color="auto"/>
            </w:tcBorders>
            <w:shd w:val="clear" w:color="auto" w:fill="365F91" w:themeFill="accent1" w:themeFillShade="BF"/>
            <w:noWrap/>
            <w:vAlign w:val="bottom"/>
            <w:hideMark/>
          </w:tcPr>
          <w:p w:rsidR="00FA3EAB" w:rsidRDefault="00FA3EAB">
            <w:pPr>
              <w:jc w:val="right"/>
              <w:rPr>
                <w:rFonts w:ascii="Calibri" w:hAnsi="Calibri" w:cs="Calibri"/>
                <w:b/>
                <w:bCs/>
                <w:color w:val="FFFFFF"/>
                <w:sz w:val="22"/>
                <w:szCs w:val="22"/>
              </w:rPr>
            </w:pPr>
            <w:r>
              <w:rPr>
                <w:rFonts w:ascii="Calibri" w:hAnsi="Calibri" w:cs="Calibri"/>
                <w:b/>
                <w:bCs/>
                <w:color w:val="FFFFFF"/>
                <w:sz w:val="22"/>
                <w:szCs w:val="22"/>
              </w:rPr>
              <w:t>587</w:t>
            </w:r>
          </w:p>
        </w:tc>
        <w:tc>
          <w:tcPr>
            <w:tcW w:w="1134" w:type="dxa"/>
            <w:tcBorders>
              <w:top w:val="nil"/>
              <w:left w:val="nil"/>
              <w:bottom w:val="single" w:sz="4" w:space="0" w:color="auto"/>
              <w:right w:val="single" w:sz="4" w:space="0" w:color="auto"/>
            </w:tcBorders>
            <w:shd w:val="clear" w:color="auto" w:fill="365F91" w:themeFill="accent1" w:themeFillShade="BF"/>
            <w:noWrap/>
            <w:vAlign w:val="bottom"/>
            <w:hideMark/>
          </w:tcPr>
          <w:p w:rsidR="00FA3EAB" w:rsidRDefault="00FA3EAB" w:rsidP="00315375">
            <w:pPr>
              <w:jc w:val="right"/>
              <w:rPr>
                <w:rFonts w:ascii="Calibri" w:hAnsi="Calibri" w:cs="Calibri"/>
                <w:b/>
                <w:bCs/>
                <w:color w:val="FFFFFF"/>
                <w:sz w:val="22"/>
                <w:szCs w:val="22"/>
              </w:rPr>
            </w:pPr>
            <w:r>
              <w:rPr>
                <w:rFonts w:ascii="Calibri" w:hAnsi="Calibri" w:cs="Calibri"/>
                <w:b/>
                <w:bCs/>
                <w:color w:val="FFFFFF"/>
                <w:sz w:val="22"/>
                <w:szCs w:val="22"/>
              </w:rPr>
              <w:t>62</w:t>
            </w:r>
            <w:r w:rsidR="00315375">
              <w:rPr>
                <w:rFonts w:ascii="Calibri" w:hAnsi="Calibri" w:cs="Calibri"/>
                <w:b/>
                <w:bCs/>
                <w:color w:val="FFFFFF"/>
                <w:sz w:val="22"/>
                <w:szCs w:val="22"/>
              </w:rPr>
              <w:t>5</w:t>
            </w:r>
          </w:p>
        </w:tc>
        <w:tc>
          <w:tcPr>
            <w:tcW w:w="1050" w:type="dxa"/>
            <w:tcBorders>
              <w:top w:val="nil"/>
              <w:left w:val="nil"/>
              <w:bottom w:val="single" w:sz="4" w:space="0" w:color="auto"/>
              <w:right w:val="single" w:sz="4" w:space="0" w:color="auto"/>
            </w:tcBorders>
            <w:shd w:val="clear" w:color="auto" w:fill="365F91" w:themeFill="accent1" w:themeFillShade="BF"/>
            <w:noWrap/>
            <w:vAlign w:val="bottom"/>
            <w:hideMark/>
          </w:tcPr>
          <w:p w:rsidR="00FA3EAB" w:rsidRDefault="00FA3EAB" w:rsidP="00315375">
            <w:pPr>
              <w:jc w:val="right"/>
              <w:rPr>
                <w:rFonts w:ascii="Calibri" w:hAnsi="Calibri" w:cs="Calibri"/>
                <w:b/>
                <w:bCs/>
                <w:color w:val="FFFFFF"/>
                <w:sz w:val="22"/>
                <w:szCs w:val="22"/>
              </w:rPr>
            </w:pPr>
            <w:r>
              <w:rPr>
                <w:rFonts w:ascii="Calibri" w:hAnsi="Calibri" w:cs="Calibri"/>
                <w:b/>
                <w:bCs/>
                <w:color w:val="FFFFFF"/>
                <w:sz w:val="22"/>
                <w:szCs w:val="22"/>
              </w:rPr>
              <w:t>3</w:t>
            </w:r>
            <w:r w:rsidR="00315375">
              <w:rPr>
                <w:rFonts w:ascii="Calibri" w:hAnsi="Calibri" w:cs="Calibri"/>
                <w:b/>
                <w:bCs/>
                <w:color w:val="FFFFFF"/>
                <w:sz w:val="22"/>
                <w:szCs w:val="22"/>
              </w:rPr>
              <w:t>8</w:t>
            </w:r>
          </w:p>
        </w:tc>
        <w:tc>
          <w:tcPr>
            <w:tcW w:w="1077" w:type="dxa"/>
            <w:tcBorders>
              <w:top w:val="nil"/>
              <w:left w:val="nil"/>
              <w:bottom w:val="single" w:sz="4" w:space="0" w:color="auto"/>
              <w:right w:val="single" w:sz="4" w:space="0" w:color="auto"/>
            </w:tcBorders>
            <w:shd w:val="clear" w:color="auto" w:fill="365F91" w:themeFill="accent1" w:themeFillShade="BF"/>
            <w:noWrap/>
            <w:vAlign w:val="bottom"/>
            <w:hideMark/>
          </w:tcPr>
          <w:p w:rsidR="00FA3EAB" w:rsidRPr="00C33B76" w:rsidRDefault="00315375" w:rsidP="00AD4685">
            <w:pPr>
              <w:jc w:val="right"/>
              <w:rPr>
                <w:rFonts w:ascii="Calibri" w:hAnsi="Calibri" w:cs="Calibri"/>
                <w:b/>
                <w:bCs/>
                <w:color w:val="FFFFFF"/>
                <w:sz w:val="20"/>
                <w:szCs w:val="20"/>
              </w:rPr>
            </w:pPr>
            <w:r>
              <w:rPr>
                <w:rFonts w:ascii="Calibri" w:hAnsi="Calibri" w:cs="Calibri"/>
                <w:b/>
                <w:bCs/>
                <w:color w:val="FFFFFF"/>
                <w:sz w:val="20"/>
                <w:szCs w:val="20"/>
              </w:rPr>
              <w:t>6</w:t>
            </w:r>
            <w:r w:rsidR="00FA3EAB" w:rsidRPr="00C33B76">
              <w:rPr>
                <w:rFonts w:ascii="Calibri" w:hAnsi="Calibri" w:cs="Calibri"/>
                <w:b/>
                <w:bCs/>
                <w:color w:val="FFFFFF"/>
                <w:sz w:val="20"/>
                <w:szCs w:val="20"/>
              </w:rPr>
              <w:t>%</w:t>
            </w:r>
          </w:p>
        </w:tc>
        <w:tc>
          <w:tcPr>
            <w:tcW w:w="992" w:type="dxa"/>
            <w:tcBorders>
              <w:top w:val="nil"/>
              <w:left w:val="nil"/>
              <w:bottom w:val="single" w:sz="4" w:space="0" w:color="auto"/>
              <w:right w:val="single" w:sz="4" w:space="0" w:color="auto"/>
            </w:tcBorders>
            <w:shd w:val="clear" w:color="auto" w:fill="365F91" w:themeFill="accent1" w:themeFillShade="BF"/>
            <w:noWrap/>
            <w:vAlign w:val="bottom"/>
          </w:tcPr>
          <w:p w:rsidR="00FA3EAB" w:rsidRPr="00C33B76" w:rsidRDefault="00315375" w:rsidP="00AD4685">
            <w:pPr>
              <w:jc w:val="right"/>
              <w:rPr>
                <w:rFonts w:ascii="Calibri" w:hAnsi="Calibri" w:cs="Calibri"/>
                <w:b/>
                <w:bCs/>
                <w:color w:val="FFFFFF"/>
                <w:sz w:val="20"/>
                <w:szCs w:val="20"/>
              </w:rPr>
            </w:pPr>
            <w:r>
              <w:rPr>
                <w:rFonts w:ascii="Calibri" w:hAnsi="Calibri" w:cs="Calibri"/>
                <w:b/>
                <w:bCs/>
                <w:color w:val="FFFFFF"/>
                <w:sz w:val="20"/>
                <w:szCs w:val="20"/>
              </w:rPr>
              <w:t>674</w:t>
            </w:r>
          </w:p>
        </w:tc>
        <w:tc>
          <w:tcPr>
            <w:tcW w:w="1050" w:type="dxa"/>
            <w:tcBorders>
              <w:top w:val="nil"/>
              <w:left w:val="nil"/>
              <w:bottom w:val="single" w:sz="4" w:space="0" w:color="auto"/>
              <w:right w:val="single" w:sz="4" w:space="0" w:color="auto"/>
            </w:tcBorders>
            <w:shd w:val="clear" w:color="auto" w:fill="365F91" w:themeFill="accent1" w:themeFillShade="BF"/>
            <w:noWrap/>
            <w:vAlign w:val="bottom"/>
          </w:tcPr>
          <w:p w:rsidR="00FA3EAB" w:rsidRPr="00C33B76" w:rsidRDefault="00A30F13" w:rsidP="00AD4685">
            <w:pPr>
              <w:jc w:val="right"/>
              <w:rPr>
                <w:rFonts w:ascii="Calibri" w:hAnsi="Calibri" w:cs="Calibri"/>
                <w:b/>
                <w:bCs/>
                <w:color w:val="FFFFFF"/>
                <w:sz w:val="20"/>
                <w:szCs w:val="20"/>
              </w:rPr>
            </w:pPr>
            <w:r>
              <w:rPr>
                <w:rFonts w:ascii="Calibri" w:hAnsi="Calibri" w:cs="Calibri"/>
                <w:b/>
                <w:bCs/>
                <w:color w:val="FFFFFF"/>
                <w:sz w:val="20"/>
                <w:szCs w:val="20"/>
              </w:rPr>
              <w:t>(</w:t>
            </w:r>
            <w:r w:rsidR="00315375">
              <w:rPr>
                <w:rFonts w:ascii="Calibri" w:hAnsi="Calibri" w:cs="Calibri"/>
                <w:b/>
                <w:bCs/>
                <w:color w:val="FFFFFF"/>
                <w:sz w:val="20"/>
                <w:szCs w:val="20"/>
              </w:rPr>
              <w:t>49</w:t>
            </w:r>
            <w:r>
              <w:rPr>
                <w:rFonts w:ascii="Calibri" w:hAnsi="Calibri" w:cs="Calibri"/>
                <w:b/>
                <w:bCs/>
                <w:color w:val="FFFFFF"/>
                <w:sz w:val="20"/>
                <w:szCs w:val="20"/>
              </w:rPr>
              <w:t>)</w:t>
            </w:r>
          </w:p>
        </w:tc>
        <w:tc>
          <w:tcPr>
            <w:tcW w:w="1076" w:type="dxa"/>
            <w:tcBorders>
              <w:top w:val="nil"/>
              <w:left w:val="nil"/>
              <w:bottom w:val="single" w:sz="4" w:space="0" w:color="auto"/>
              <w:right w:val="single" w:sz="4" w:space="0" w:color="auto"/>
            </w:tcBorders>
            <w:shd w:val="clear" w:color="auto" w:fill="365F91" w:themeFill="accent1" w:themeFillShade="BF"/>
            <w:noWrap/>
            <w:vAlign w:val="bottom"/>
          </w:tcPr>
          <w:p w:rsidR="00FA3EAB" w:rsidRPr="00C33B76" w:rsidRDefault="00A30F13" w:rsidP="00AD4685">
            <w:pPr>
              <w:jc w:val="right"/>
              <w:rPr>
                <w:rFonts w:ascii="Calibri" w:hAnsi="Calibri" w:cs="Calibri"/>
                <w:b/>
                <w:bCs/>
                <w:color w:val="FFFFFF"/>
                <w:sz w:val="20"/>
                <w:szCs w:val="20"/>
              </w:rPr>
            </w:pPr>
            <w:r>
              <w:rPr>
                <w:rFonts w:ascii="Calibri" w:hAnsi="Calibri" w:cs="Calibri"/>
                <w:b/>
                <w:bCs/>
                <w:color w:val="FFFFFF"/>
                <w:sz w:val="20"/>
                <w:szCs w:val="20"/>
              </w:rPr>
              <w:t>(</w:t>
            </w:r>
            <w:r w:rsidR="00FA3EAB">
              <w:rPr>
                <w:rFonts w:ascii="Calibri" w:hAnsi="Calibri" w:cs="Calibri"/>
                <w:b/>
                <w:bCs/>
                <w:color w:val="FFFFFF"/>
                <w:sz w:val="20"/>
                <w:szCs w:val="20"/>
              </w:rPr>
              <w:t>7%</w:t>
            </w:r>
            <w:r>
              <w:rPr>
                <w:rFonts w:ascii="Calibri" w:hAnsi="Calibri" w:cs="Calibri"/>
                <w:b/>
                <w:bCs/>
                <w:color w:val="FFFFFF"/>
                <w:sz w:val="20"/>
                <w:szCs w:val="20"/>
              </w:rPr>
              <w:t>)</w:t>
            </w:r>
          </w:p>
        </w:tc>
      </w:tr>
    </w:tbl>
    <w:p w:rsidR="00891562" w:rsidRDefault="00891562" w:rsidP="007C5117">
      <w:pPr>
        <w:spacing w:after="200" w:line="276" w:lineRule="auto"/>
        <w:rPr>
          <w:rFonts w:ascii="Arial" w:hAnsi="Arial" w:cs="Arial"/>
          <w:b/>
          <w:sz w:val="22"/>
          <w:szCs w:val="22"/>
        </w:rPr>
      </w:pPr>
    </w:p>
    <w:p w:rsidR="00091B76" w:rsidRPr="00091B76" w:rsidRDefault="00945749" w:rsidP="007C5117">
      <w:pPr>
        <w:spacing w:after="200" w:line="276" w:lineRule="auto"/>
        <w:rPr>
          <w:rFonts w:ascii="Arial" w:hAnsi="Arial" w:cs="Arial"/>
          <w:sz w:val="22"/>
          <w:szCs w:val="22"/>
        </w:rPr>
      </w:pPr>
      <w:r>
        <w:rPr>
          <w:rFonts w:ascii="Arial" w:hAnsi="Arial" w:cs="Arial"/>
          <w:sz w:val="22"/>
          <w:szCs w:val="22"/>
        </w:rPr>
        <w:t>2016/17 t</w:t>
      </w:r>
      <w:r w:rsidR="00091B76" w:rsidRPr="00091B76">
        <w:rPr>
          <w:rFonts w:ascii="Arial" w:hAnsi="Arial" w:cs="Arial"/>
          <w:sz w:val="22"/>
          <w:szCs w:val="22"/>
        </w:rPr>
        <w:t xml:space="preserve">ravel costs </w:t>
      </w:r>
      <w:r>
        <w:rPr>
          <w:rFonts w:ascii="Arial" w:hAnsi="Arial" w:cs="Arial"/>
          <w:sz w:val="22"/>
          <w:szCs w:val="22"/>
        </w:rPr>
        <w:t>we</w:t>
      </w:r>
      <w:r w:rsidR="00091B76" w:rsidRPr="00091B76">
        <w:rPr>
          <w:rFonts w:ascii="Arial" w:hAnsi="Arial" w:cs="Arial"/>
          <w:sz w:val="22"/>
          <w:szCs w:val="22"/>
        </w:rPr>
        <w:t xml:space="preserve">re slightly </w:t>
      </w:r>
      <w:r w:rsidR="000F669F">
        <w:rPr>
          <w:rFonts w:ascii="Arial" w:hAnsi="Arial" w:cs="Arial"/>
          <w:sz w:val="22"/>
          <w:szCs w:val="22"/>
        </w:rPr>
        <w:t>more</w:t>
      </w:r>
      <w:r w:rsidR="00091B76" w:rsidRPr="00091B76">
        <w:rPr>
          <w:rFonts w:ascii="Arial" w:hAnsi="Arial" w:cs="Arial"/>
          <w:sz w:val="22"/>
          <w:szCs w:val="22"/>
        </w:rPr>
        <w:t xml:space="preserve"> than budget due to the service improvement programme and associated workshop activity</w:t>
      </w:r>
      <w:r w:rsidR="00091B76">
        <w:rPr>
          <w:rFonts w:ascii="Arial" w:hAnsi="Arial" w:cs="Arial"/>
          <w:sz w:val="22"/>
          <w:szCs w:val="22"/>
        </w:rPr>
        <w:t xml:space="preserve"> although the trend continues to be a reducing per capita travel cost</w:t>
      </w:r>
      <w:r w:rsidR="00091B76" w:rsidRPr="00091B76">
        <w:rPr>
          <w:rFonts w:ascii="Arial" w:hAnsi="Arial" w:cs="Arial"/>
          <w:sz w:val="22"/>
          <w:szCs w:val="22"/>
        </w:rPr>
        <w:t xml:space="preserve">. </w:t>
      </w:r>
      <w:r w:rsidR="00091B76">
        <w:rPr>
          <w:rFonts w:ascii="Arial" w:hAnsi="Arial" w:cs="Arial"/>
          <w:sz w:val="22"/>
          <w:szCs w:val="22"/>
        </w:rPr>
        <w:t xml:space="preserve">Total expenditure is 7% lower than 2016/17 and the average cost / staff member reduced for the third year running, to £3,084/staff member down from a peak of £4,161/staff member in 2014/15. Investment in smarter working and VOIP has yielded savings as anticipated. Investment in ICT infrastructure through improved contract management and forward planning of the corporate calendar should secure further savings for 2017/18. </w:t>
      </w:r>
    </w:p>
    <w:p w:rsidR="00091B76" w:rsidRDefault="00091B76">
      <w:pPr>
        <w:spacing w:after="200" w:line="276" w:lineRule="auto"/>
        <w:rPr>
          <w:rFonts w:ascii="Arial" w:hAnsi="Arial" w:cs="Arial"/>
          <w:b/>
          <w:sz w:val="22"/>
          <w:szCs w:val="22"/>
        </w:rPr>
      </w:pPr>
      <w:r>
        <w:rPr>
          <w:rFonts w:ascii="Arial" w:hAnsi="Arial" w:cs="Arial"/>
          <w:b/>
          <w:sz w:val="22"/>
          <w:szCs w:val="22"/>
        </w:rPr>
        <w:br w:type="page"/>
      </w:r>
    </w:p>
    <w:p w:rsidR="00B62D6B" w:rsidRPr="00195D4C" w:rsidRDefault="00195D4C" w:rsidP="007C5117">
      <w:pPr>
        <w:spacing w:after="200" w:line="276" w:lineRule="auto"/>
        <w:rPr>
          <w:rFonts w:ascii="Arial" w:hAnsi="Arial" w:cs="Arial"/>
          <w:b/>
          <w:sz w:val="22"/>
          <w:szCs w:val="22"/>
        </w:rPr>
      </w:pPr>
      <w:r>
        <w:rPr>
          <w:rFonts w:ascii="Arial" w:hAnsi="Arial" w:cs="Arial"/>
          <w:b/>
          <w:sz w:val="22"/>
          <w:szCs w:val="22"/>
        </w:rPr>
        <w:lastRenderedPageBreak/>
        <w:t>Capital expenditure</w:t>
      </w:r>
    </w:p>
    <w:tbl>
      <w:tblPr>
        <w:tblW w:w="9440" w:type="dxa"/>
        <w:tblInd w:w="98" w:type="dxa"/>
        <w:tblLook w:val="04A0" w:firstRow="1" w:lastRow="0" w:firstColumn="1" w:lastColumn="0" w:noHBand="0" w:noVBand="1"/>
      </w:tblPr>
      <w:tblGrid>
        <w:gridCol w:w="4320"/>
        <w:gridCol w:w="960"/>
        <w:gridCol w:w="980"/>
        <w:gridCol w:w="1120"/>
        <w:gridCol w:w="960"/>
        <w:gridCol w:w="1100"/>
      </w:tblGrid>
      <w:tr w:rsidR="00482FAD" w:rsidRPr="00482FAD" w:rsidTr="00C80EBC">
        <w:trPr>
          <w:trHeight w:val="792"/>
        </w:trPr>
        <w:tc>
          <w:tcPr>
            <w:tcW w:w="4320" w:type="dxa"/>
            <w:vMerge w:val="restart"/>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482FAD" w:rsidRPr="00482FAD" w:rsidRDefault="00482FAD" w:rsidP="00482FAD">
            <w:pPr>
              <w:rPr>
                <w:rFonts w:ascii="Arial" w:hAnsi="Arial" w:cs="Arial"/>
                <w:b/>
                <w:bCs/>
                <w:color w:val="FFFFFF"/>
                <w:sz w:val="20"/>
                <w:szCs w:val="20"/>
              </w:rPr>
            </w:pPr>
            <w:r w:rsidRPr="00482FAD">
              <w:rPr>
                <w:rFonts w:ascii="Arial" w:hAnsi="Arial" w:cs="Arial"/>
                <w:b/>
                <w:bCs/>
                <w:color w:val="FFFFFF"/>
                <w:sz w:val="20"/>
                <w:szCs w:val="20"/>
              </w:rPr>
              <w:t>Plan initiative</w:t>
            </w:r>
          </w:p>
        </w:tc>
        <w:tc>
          <w:tcPr>
            <w:tcW w:w="960" w:type="dxa"/>
            <w:tcBorders>
              <w:top w:val="single" w:sz="8" w:space="0" w:color="FFFFFF"/>
              <w:left w:val="nil"/>
              <w:bottom w:val="nil"/>
              <w:right w:val="single" w:sz="8" w:space="0" w:color="FFFFFF"/>
            </w:tcBorders>
            <w:shd w:val="clear" w:color="auto" w:fill="95B3D7" w:themeFill="accent1" w:themeFillTint="99"/>
            <w:vAlign w:val="center"/>
            <w:hideMark/>
          </w:tcPr>
          <w:p w:rsidR="00482FAD" w:rsidRPr="00482FAD" w:rsidRDefault="00482FAD" w:rsidP="00482FAD">
            <w:pPr>
              <w:jc w:val="right"/>
              <w:rPr>
                <w:rFonts w:ascii="Arial" w:hAnsi="Arial" w:cs="Arial"/>
                <w:b/>
                <w:bCs/>
                <w:color w:val="FFFFFF"/>
                <w:sz w:val="20"/>
                <w:szCs w:val="20"/>
              </w:rPr>
            </w:pPr>
            <w:r w:rsidRPr="00482FAD">
              <w:rPr>
                <w:rFonts w:ascii="Arial" w:hAnsi="Arial" w:cs="Arial"/>
                <w:b/>
                <w:bCs/>
                <w:color w:val="FFFFFF"/>
                <w:sz w:val="20"/>
                <w:szCs w:val="20"/>
              </w:rPr>
              <w:t>2016/17 budget</w:t>
            </w:r>
          </w:p>
        </w:tc>
        <w:tc>
          <w:tcPr>
            <w:tcW w:w="980" w:type="dxa"/>
            <w:tcBorders>
              <w:top w:val="single" w:sz="8" w:space="0" w:color="FFFFFF"/>
              <w:left w:val="nil"/>
              <w:bottom w:val="nil"/>
              <w:right w:val="single" w:sz="8" w:space="0" w:color="FFFFFF"/>
            </w:tcBorders>
            <w:shd w:val="clear" w:color="auto" w:fill="95B3D7" w:themeFill="accent1" w:themeFillTint="99"/>
            <w:vAlign w:val="center"/>
            <w:hideMark/>
          </w:tcPr>
          <w:p w:rsidR="00482FAD" w:rsidRPr="00482FAD" w:rsidRDefault="00482FAD" w:rsidP="00482FAD">
            <w:pPr>
              <w:jc w:val="right"/>
              <w:rPr>
                <w:rFonts w:ascii="Arial" w:hAnsi="Arial" w:cs="Arial"/>
                <w:b/>
                <w:bCs/>
                <w:color w:val="FFFFFF"/>
                <w:sz w:val="20"/>
                <w:szCs w:val="20"/>
              </w:rPr>
            </w:pPr>
            <w:r w:rsidRPr="00482FAD">
              <w:rPr>
                <w:rFonts w:ascii="Arial" w:hAnsi="Arial" w:cs="Arial"/>
                <w:b/>
                <w:bCs/>
                <w:color w:val="FFFFFF"/>
                <w:sz w:val="20"/>
                <w:szCs w:val="20"/>
              </w:rPr>
              <w:t>2016/17 actual</w:t>
            </w:r>
          </w:p>
        </w:tc>
        <w:tc>
          <w:tcPr>
            <w:tcW w:w="1120" w:type="dxa"/>
            <w:tcBorders>
              <w:top w:val="single" w:sz="8" w:space="0" w:color="FFFFFF"/>
              <w:left w:val="nil"/>
              <w:bottom w:val="nil"/>
              <w:right w:val="single" w:sz="8" w:space="0" w:color="FFFFFF"/>
            </w:tcBorders>
            <w:shd w:val="clear" w:color="auto" w:fill="95B3D7" w:themeFill="accent1" w:themeFillTint="99"/>
            <w:vAlign w:val="center"/>
            <w:hideMark/>
          </w:tcPr>
          <w:p w:rsidR="00482FAD" w:rsidRPr="00482FAD" w:rsidRDefault="00482FAD" w:rsidP="00482FAD">
            <w:pPr>
              <w:jc w:val="right"/>
              <w:rPr>
                <w:rFonts w:ascii="Arial" w:hAnsi="Arial" w:cs="Arial"/>
                <w:b/>
                <w:bCs/>
                <w:color w:val="FFFFFF"/>
                <w:sz w:val="20"/>
                <w:szCs w:val="20"/>
              </w:rPr>
            </w:pPr>
            <w:r w:rsidRPr="00482FAD">
              <w:rPr>
                <w:rFonts w:ascii="Arial" w:hAnsi="Arial" w:cs="Arial"/>
                <w:b/>
                <w:bCs/>
                <w:color w:val="FFFFFF"/>
                <w:sz w:val="20"/>
                <w:szCs w:val="20"/>
              </w:rPr>
              <w:t>2016/17 variance vs budget</w:t>
            </w:r>
          </w:p>
        </w:tc>
        <w:tc>
          <w:tcPr>
            <w:tcW w:w="960" w:type="dxa"/>
            <w:tcBorders>
              <w:top w:val="single" w:sz="8" w:space="0" w:color="FFFFFF"/>
              <w:left w:val="nil"/>
              <w:bottom w:val="nil"/>
              <w:right w:val="single" w:sz="8" w:space="0" w:color="FFFFFF"/>
            </w:tcBorders>
            <w:shd w:val="clear" w:color="auto" w:fill="95B3D7" w:themeFill="accent1" w:themeFillTint="99"/>
            <w:vAlign w:val="center"/>
            <w:hideMark/>
          </w:tcPr>
          <w:p w:rsidR="00482FAD" w:rsidRPr="00482FAD" w:rsidRDefault="00482FAD" w:rsidP="00482FAD">
            <w:pPr>
              <w:jc w:val="right"/>
              <w:rPr>
                <w:rFonts w:ascii="Arial" w:hAnsi="Arial" w:cs="Arial"/>
                <w:b/>
                <w:bCs/>
                <w:color w:val="FFFFFF"/>
                <w:sz w:val="20"/>
                <w:szCs w:val="20"/>
              </w:rPr>
            </w:pPr>
            <w:r w:rsidRPr="00482FAD">
              <w:rPr>
                <w:rFonts w:ascii="Arial" w:hAnsi="Arial" w:cs="Arial"/>
                <w:b/>
                <w:bCs/>
                <w:color w:val="FFFFFF"/>
                <w:sz w:val="20"/>
                <w:szCs w:val="20"/>
              </w:rPr>
              <w:t>2015/16 actual</w:t>
            </w:r>
          </w:p>
        </w:tc>
        <w:tc>
          <w:tcPr>
            <w:tcW w:w="1100" w:type="dxa"/>
            <w:tcBorders>
              <w:top w:val="single" w:sz="8" w:space="0" w:color="FFFFFF"/>
              <w:left w:val="nil"/>
              <w:bottom w:val="nil"/>
              <w:right w:val="single" w:sz="8" w:space="0" w:color="FFFFFF"/>
            </w:tcBorders>
            <w:shd w:val="clear" w:color="auto" w:fill="95B3D7" w:themeFill="accent1" w:themeFillTint="99"/>
            <w:vAlign w:val="center"/>
            <w:hideMark/>
          </w:tcPr>
          <w:p w:rsidR="00482FAD" w:rsidRPr="00482FAD" w:rsidRDefault="00482FAD" w:rsidP="00482FAD">
            <w:pPr>
              <w:jc w:val="right"/>
              <w:rPr>
                <w:rFonts w:ascii="Arial" w:hAnsi="Arial" w:cs="Arial"/>
                <w:b/>
                <w:bCs/>
                <w:color w:val="FFFFFF"/>
                <w:sz w:val="20"/>
                <w:szCs w:val="20"/>
              </w:rPr>
            </w:pPr>
            <w:r w:rsidRPr="00482FAD">
              <w:rPr>
                <w:rFonts w:ascii="Arial" w:hAnsi="Arial" w:cs="Arial"/>
                <w:b/>
                <w:bCs/>
                <w:color w:val="FFFFFF"/>
                <w:sz w:val="20"/>
                <w:szCs w:val="20"/>
              </w:rPr>
              <w:t xml:space="preserve">2016/17 variance </w:t>
            </w:r>
            <w:proofErr w:type="spellStart"/>
            <w:r w:rsidRPr="00482FAD">
              <w:rPr>
                <w:rFonts w:ascii="Arial" w:hAnsi="Arial" w:cs="Arial"/>
                <w:b/>
                <w:bCs/>
                <w:color w:val="FFFFFF"/>
                <w:sz w:val="20"/>
                <w:szCs w:val="20"/>
              </w:rPr>
              <w:t>vs</w:t>
            </w:r>
            <w:proofErr w:type="spellEnd"/>
            <w:r w:rsidRPr="00482FAD">
              <w:rPr>
                <w:rFonts w:ascii="Arial" w:hAnsi="Arial" w:cs="Arial"/>
                <w:b/>
                <w:bCs/>
                <w:color w:val="FFFFFF"/>
                <w:sz w:val="20"/>
                <w:szCs w:val="20"/>
              </w:rPr>
              <w:t xml:space="preserve"> </w:t>
            </w:r>
            <w:proofErr w:type="spellStart"/>
            <w:r w:rsidRPr="00482FAD">
              <w:rPr>
                <w:rFonts w:ascii="Arial" w:hAnsi="Arial" w:cs="Arial"/>
                <w:b/>
                <w:bCs/>
                <w:color w:val="FFFFFF"/>
                <w:sz w:val="20"/>
                <w:szCs w:val="20"/>
              </w:rPr>
              <w:t>py</w:t>
            </w:r>
            <w:proofErr w:type="spellEnd"/>
          </w:p>
        </w:tc>
      </w:tr>
      <w:tr w:rsidR="00482FAD" w:rsidRPr="00482FAD" w:rsidTr="00C80EBC">
        <w:trPr>
          <w:trHeight w:val="300"/>
        </w:trPr>
        <w:tc>
          <w:tcPr>
            <w:tcW w:w="4320" w:type="dxa"/>
            <w:vMerge/>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482FAD" w:rsidRPr="00482FAD" w:rsidRDefault="00482FAD" w:rsidP="00482FAD">
            <w:pPr>
              <w:rPr>
                <w:rFonts w:ascii="Arial" w:hAnsi="Arial" w:cs="Arial"/>
                <w:b/>
                <w:bCs/>
                <w:color w:val="FFFFFF"/>
                <w:sz w:val="20"/>
                <w:szCs w:val="20"/>
              </w:rPr>
            </w:pPr>
          </w:p>
        </w:tc>
        <w:tc>
          <w:tcPr>
            <w:tcW w:w="960" w:type="dxa"/>
            <w:tcBorders>
              <w:top w:val="nil"/>
              <w:left w:val="nil"/>
              <w:bottom w:val="nil"/>
              <w:right w:val="single" w:sz="8" w:space="0" w:color="FFFFFF"/>
            </w:tcBorders>
            <w:shd w:val="clear" w:color="auto" w:fill="95B3D7" w:themeFill="accent1" w:themeFillTint="99"/>
            <w:vAlign w:val="center"/>
            <w:hideMark/>
          </w:tcPr>
          <w:p w:rsidR="00482FAD" w:rsidRPr="00482FAD" w:rsidRDefault="00482FAD" w:rsidP="00482FAD">
            <w:pPr>
              <w:jc w:val="right"/>
              <w:rPr>
                <w:rFonts w:ascii="Arial" w:hAnsi="Arial" w:cs="Arial"/>
                <w:b/>
                <w:bCs/>
                <w:color w:val="FFFFFF"/>
                <w:sz w:val="20"/>
                <w:szCs w:val="20"/>
              </w:rPr>
            </w:pPr>
            <w:r w:rsidRPr="00482FAD">
              <w:rPr>
                <w:rFonts w:ascii="Arial" w:hAnsi="Arial" w:cs="Arial"/>
                <w:b/>
                <w:bCs/>
                <w:color w:val="FFFFFF"/>
                <w:sz w:val="20"/>
                <w:szCs w:val="20"/>
              </w:rPr>
              <w:t>£000</w:t>
            </w:r>
          </w:p>
        </w:tc>
        <w:tc>
          <w:tcPr>
            <w:tcW w:w="980" w:type="dxa"/>
            <w:tcBorders>
              <w:top w:val="nil"/>
              <w:left w:val="nil"/>
              <w:bottom w:val="nil"/>
              <w:right w:val="single" w:sz="8" w:space="0" w:color="FFFFFF"/>
            </w:tcBorders>
            <w:shd w:val="clear" w:color="auto" w:fill="95B3D7" w:themeFill="accent1" w:themeFillTint="99"/>
            <w:vAlign w:val="center"/>
            <w:hideMark/>
          </w:tcPr>
          <w:p w:rsidR="00482FAD" w:rsidRPr="00482FAD" w:rsidRDefault="00482FAD" w:rsidP="00482FAD">
            <w:pPr>
              <w:jc w:val="right"/>
              <w:rPr>
                <w:rFonts w:ascii="Arial" w:hAnsi="Arial" w:cs="Arial"/>
                <w:b/>
                <w:bCs/>
                <w:color w:val="FFFFFF"/>
                <w:sz w:val="20"/>
                <w:szCs w:val="20"/>
              </w:rPr>
            </w:pPr>
            <w:r w:rsidRPr="00482FAD">
              <w:rPr>
                <w:rFonts w:ascii="Arial" w:hAnsi="Arial" w:cs="Arial"/>
                <w:b/>
                <w:bCs/>
                <w:color w:val="FFFFFF"/>
                <w:sz w:val="20"/>
                <w:szCs w:val="20"/>
              </w:rPr>
              <w:t>£000</w:t>
            </w:r>
          </w:p>
        </w:tc>
        <w:tc>
          <w:tcPr>
            <w:tcW w:w="1120" w:type="dxa"/>
            <w:tcBorders>
              <w:top w:val="nil"/>
              <w:left w:val="nil"/>
              <w:bottom w:val="nil"/>
              <w:right w:val="single" w:sz="8" w:space="0" w:color="FFFFFF"/>
            </w:tcBorders>
            <w:shd w:val="clear" w:color="auto" w:fill="95B3D7" w:themeFill="accent1" w:themeFillTint="99"/>
            <w:vAlign w:val="center"/>
            <w:hideMark/>
          </w:tcPr>
          <w:p w:rsidR="00482FAD" w:rsidRPr="00482FAD" w:rsidRDefault="00482FAD" w:rsidP="00482FAD">
            <w:pPr>
              <w:jc w:val="right"/>
              <w:rPr>
                <w:rFonts w:ascii="Arial" w:hAnsi="Arial" w:cs="Arial"/>
                <w:b/>
                <w:bCs/>
                <w:color w:val="FFFFFF"/>
                <w:sz w:val="20"/>
                <w:szCs w:val="20"/>
              </w:rPr>
            </w:pPr>
            <w:r w:rsidRPr="00482FAD">
              <w:rPr>
                <w:rFonts w:ascii="Arial" w:hAnsi="Arial" w:cs="Arial"/>
                <w:b/>
                <w:bCs/>
                <w:color w:val="FFFFFF"/>
                <w:sz w:val="20"/>
                <w:szCs w:val="20"/>
              </w:rPr>
              <w:t>£000</w:t>
            </w:r>
          </w:p>
        </w:tc>
        <w:tc>
          <w:tcPr>
            <w:tcW w:w="960" w:type="dxa"/>
            <w:tcBorders>
              <w:top w:val="nil"/>
              <w:left w:val="nil"/>
              <w:bottom w:val="nil"/>
              <w:right w:val="single" w:sz="8" w:space="0" w:color="FFFFFF"/>
            </w:tcBorders>
            <w:shd w:val="clear" w:color="auto" w:fill="95B3D7" w:themeFill="accent1" w:themeFillTint="99"/>
            <w:vAlign w:val="center"/>
            <w:hideMark/>
          </w:tcPr>
          <w:p w:rsidR="00482FAD" w:rsidRPr="00482FAD" w:rsidRDefault="00482FAD" w:rsidP="00482FAD">
            <w:pPr>
              <w:jc w:val="right"/>
              <w:rPr>
                <w:rFonts w:ascii="Arial" w:hAnsi="Arial" w:cs="Arial"/>
                <w:b/>
                <w:bCs/>
                <w:color w:val="FFFFFF"/>
                <w:sz w:val="20"/>
                <w:szCs w:val="20"/>
              </w:rPr>
            </w:pPr>
            <w:r w:rsidRPr="00482FAD">
              <w:rPr>
                <w:rFonts w:ascii="Arial" w:hAnsi="Arial" w:cs="Arial"/>
                <w:b/>
                <w:bCs/>
                <w:color w:val="FFFFFF"/>
                <w:sz w:val="20"/>
                <w:szCs w:val="20"/>
              </w:rPr>
              <w:t>£000</w:t>
            </w:r>
          </w:p>
        </w:tc>
        <w:tc>
          <w:tcPr>
            <w:tcW w:w="1100" w:type="dxa"/>
            <w:tcBorders>
              <w:top w:val="nil"/>
              <w:left w:val="nil"/>
              <w:bottom w:val="nil"/>
              <w:right w:val="single" w:sz="8" w:space="0" w:color="FFFFFF"/>
            </w:tcBorders>
            <w:shd w:val="clear" w:color="auto" w:fill="95B3D7" w:themeFill="accent1" w:themeFillTint="99"/>
            <w:vAlign w:val="center"/>
            <w:hideMark/>
          </w:tcPr>
          <w:p w:rsidR="00482FAD" w:rsidRPr="00482FAD" w:rsidRDefault="00482FAD" w:rsidP="00482FAD">
            <w:pPr>
              <w:jc w:val="right"/>
              <w:rPr>
                <w:rFonts w:ascii="Arial" w:hAnsi="Arial" w:cs="Arial"/>
                <w:b/>
                <w:bCs/>
                <w:color w:val="FFFFFF"/>
                <w:sz w:val="20"/>
                <w:szCs w:val="20"/>
              </w:rPr>
            </w:pPr>
            <w:r w:rsidRPr="00482FAD">
              <w:rPr>
                <w:rFonts w:ascii="Arial" w:hAnsi="Arial" w:cs="Arial"/>
                <w:b/>
                <w:bCs/>
                <w:color w:val="FFFFFF"/>
                <w:sz w:val="20"/>
                <w:szCs w:val="20"/>
              </w:rPr>
              <w:t>£000</w:t>
            </w:r>
          </w:p>
        </w:tc>
      </w:tr>
      <w:tr w:rsidR="00482FAD" w:rsidRPr="00482FAD" w:rsidTr="00C80EBC">
        <w:trPr>
          <w:trHeight w:val="300"/>
        </w:trPr>
        <w:tc>
          <w:tcPr>
            <w:tcW w:w="4320" w:type="dxa"/>
            <w:tcBorders>
              <w:top w:val="nil"/>
              <w:left w:val="single" w:sz="8" w:space="0" w:color="FFFFFF"/>
              <w:bottom w:val="single" w:sz="8" w:space="0" w:color="FFFFFF"/>
              <w:right w:val="single" w:sz="8" w:space="0" w:color="FFFFFF"/>
            </w:tcBorders>
            <w:shd w:val="clear" w:color="auto" w:fill="auto"/>
            <w:vAlign w:val="center"/>
            <w:hideMark/>
          </w:tcPr>
          <w:p w:rsidR="00482FAD" w:rsidRPr="00482FAD" w:rsidRDefault="00482FAD" w:rsidP="00482FAD">
            <w:pPr>
              <w:rPr>
                <w:rFonts w:ascii="Arial" w:hAnsi="Arial" w:cs="Arial"/>
                <w:color w:val="000000"/>
                <w:sz w:val="18"/>
                <w:szCs w:val="18"/>
              </w:rPr>
            </w:pPr>
            <w:r w:rsidRPr="00482FAD">
              <w:rPr>
                <w:rFonts w:ascii="Arial" w:hAnsi="Arial" w:cs="Arial"/>
                <w:color w:val="000000"/>
                <w:sz w:val="18"/>
                <w:szCs w:val="18"/>
              </w:rPr>
              <w:t>HARP Developments</w:t>
            </w:r>
          </w:p>
        </w:tc>
        <w:tc>
          <w:tcPr>
            <w:tcW w:w="96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215</w:t>
            </w:r>
          </w:p>
        </w:tc>
        <w:tc>
          <w:tcPr>
            <w:tcW w:w="98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211</w:t>
            </w:r>
          </w:p>
        </w:tc>
        <w:tc>
          <w:tcPr>
            <w:tcW w:w="112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(4)</w:t>
            </w:r>
          </w:p>
        </w:tc>
        <w:tc>
          <w:tcPr>
            <w:tcW w:w="96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260</w:t>
            </w:r>
          </w:p>
        </w:tc>
        <w:tc>
          <w:tcPr>
            <w:tcW w:w="110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(49)</w:t>
            </w:r>
          </w:p>
        </w:tc>
      </w:tr>
      <w:tr w:rsidR="00482FAD" w:rsidRPr="00482FAD" w:rsidTr="00C80EBC">
        <w:trPr>
          <w:trHeight w:val="300"/>
        </w:trPr>
        <w:tc>
          <w:tcPr>
            <w:tcW w:w="4320" w:type="dxa"/>
            <w:tcBorders>
              <w:top w:val="nil"/>
              <w:left w:val="single" w:sz="8" w:space="0" w:color="FFFFFF"/>
              <w:bottom w:val="single" w:sz="8" w:space="0" w:color="FFFFFF"/>
              <w:right w:val="single" w:sz="8" w:space="0" w:color="FFFFFF"/>
            </w:tcBorders>
            <w:shd w:val="clear" w:color="auto" w:fill="auto"/>
            <w:vAlign w:val="center"/>
            <w:hideMark/>
          </w:tcPr>
          <w:p w:rsidR="00482FAD" w:rsidRPr="00482FAD" w:rsidRDefault="00482FAD" w:rsidP="00482FAD">
            <w:pPr>
              <w:rPr>
                <w:rFonts w:ascii="Arial" w:hAnsi="Arial" w:cs="Arial"/>
                <w:color w:val="000000"/>
                <w:sz w:val="18"/>
                <w:szCs w:val="18"/>
              </w:rPr>
            </w:pPr>
            <w:r w:rsidRPr="00482FAD">
              <w:rPr>
                <w:rFonts w:ascii="Arial" w:hAnsi="Arial" w:cs="Arial"/>
                <w:color w:val="000000"/>
                <w:sz w:val="18"/>
                <w:szCs w:val="18"/>
              </w:rPr>
              <w:t>IRAS Developments</w:t>
            </w:r>
          </w:p>
        </w:tc>
        <w:tc>
          <w:tcPr>
            <w:tcW w:w="96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362</w:t>
            </w:r>
          </w:p>
        </w:tc>
        <w:tc>
          <w:tcPr>
            <w:tcW w:w="98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367</w:t>
            </w:r>
          </w:p>
        </w:tc>
        <w:tc>
          <w:tcPr>
            <w:tcW w:w="112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5</w:t>
            </w:r>
          </w:p>
        </w:tc>
        <w:tc>
          <w:tcPr>
            <w:tcW w:w="96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544</w:t>
            </w:r>
          </w:p>
        </w:tc>
        <w:tc>
          <w:tcPr>
            <w:tcW w:w="110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(177)</w:t>
            </w:r>
          </w:p>
        </w:tc>
      </w:tr>
      <w:tr w:rsidR="00482FAD" w:rsidRPr="00482FAD" w:rsidTr="00C80EBC">
        <w:trPr>
          <w:trHeight w:val="300"/>
        </w:trPr>
        <w:tc>
          <w:tcPr>
            <w:tcW w:w="4320" w:type="dxa"/>
            <w:tcBorders>
              <w:top w:val="nil"/>
              <w:left w:val="single" w:sz="8" w:space="0" w:color="FFFFFF"/>
              <w:bottom w:val="single" w:sz="8" w:space="0" w:color="FFFFFF"/>
              <w:right w:val="single" w:sz="8" w:space="0" w:color="FFFFFF"/>
            </w:tcBorders>
            <w:shd w:val="clear" w:color="auto" w:fill="auto"/>
            <w:vAlign w:val="center"/>
            <w:hideMark/>
          </w:tcPr>
          <w:p w:rsidR="00482FAD" w:rsidRPr="00482FAD" w:rsidRDefault="00482FAD" w:rsidP="00482FAD">
            <w:pPr>
              <w:rPr>
                <w:rFonts w:ascii="Arial" w:hAnsi="Arial" w:cs="Arial"/>
                <w:color w:val="000000"/>
                <w:sz w:val="18"/>
                <w:szCs w:val="18"/>
              </w:rPr>
            </w:pPr>
            <w:r w:rsidRPr="00482FAD">
              <w:rPr>
                <w:rFonts w:ascii="Arial" w:hAnsi="Arial" w:cs="Arial"/>
                <w:color w:val="000000"/>
                <w:sz w:val="18"/>
                <w:szCs w:val="18"/>
              </w:rPr>
              <w:t>IS Team – capitalised salaries</w:t>
            </w:r>
          </w:p>
        </w:tc>
        <w:tc>
          <w:tcPr>
            <w:tcW w:w="96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155</w:t>
            </w:r>
          </w:p>
        </w:tc>
        <w:tc>
          <w:tcPr>
            <w:tcW w:w="98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127</w:t>
            </w:r>
          </w:p>
        </w:tc>
        <w:tc>
          <w:tcPr>
            <w:tcW w:w="112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(28)</w:t>
            </w:r>
          </w:p>
        </w:tc>
        <w:tc>
          <w:tcPr>
            <w:tcW w:w="96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156</w:t>
            </w:r>
          </w:p>
        </w:tc>
        <w:tc>
          <w:tcPr>
            <w:tcW w:w="110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(29)</w:t>
            </w:r>
          </w:p>
        </w:tc>
      </w:tr>
      <w:tr w:rsidR="00482FAD" w:rsidRPr="00482FAD" w:rsidTr="00C80EBC">
        <w:trPr>
          <w:trHeight w:val="300"/>
        </w:trPr>
        <w:tc>
          <w:tcPr>
            <w:tcW w:w="4320" w:type="dxa"/>
            <w:tcBorders>
              <w:top w:val="nil"/>
              <w:left w:val="single" w:sz="8" w:space="0" w:color="FFFFFF"/>
              <w:bottom w:val="single" w:sz="8" w:space="0" w:color="FFFFFF"/>
              <w:right w:val="single" w:sz="8" w:space="0" w:color="FFFFFF"/>
            </w:tcBorders>
            <w:shd w:val="clear" w:color="auto" w:fill="auto"/>
            <w:vAlign w:val="center"/>
            <w:hideMark/>
          </w:tcPr>
          <w:p w:rsidR="00482FAD" w:rsidRPr="00482FAD" w:rsidRDefault="00482FAD" w:rsidP="00482FAD">
            <w:pPr>
              <w:rPr>
                <w:rFonts w:ascii="Arial" w:hAnsi="Arial" w:cs="Arial"/>
                <w:color w:val="000000"/>
                <w:sz w:val="18"/>
                <w:szCs w:val="18"/>
              </w:rPr>
            </w:pPr>
            <w:r w:rsidRPr="00482FAD">
              <w:rPr>
                <w:rFonts w:ascii="Arial" w:hAnsi="Arial" w:cs="Arial"/>
                <w:color w:val="000000"/>
                <w:sz w:val="18"/>
                <w:szCs w:val="18"/>
              </w:rPr>
              <w:t>Capital reserve</w:t>
            </w:r>
          </w:p>
        </w:tc>
        <w:tc>
          <w:tcPr>
            <w:tcW w:w="96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178</w:t>
            </w:r>
          </w:p>
        </w:tc>
        <w:tc>
          <w:tcPr>
            <w:tcW w:w="98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65</w:t>
            </w:r>
          </w:p>
        </w:tc>
        <w:tc>
          <w:tcPr>
            <w:tcW w:w="112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(113)</w:t>
            </w:r>
          </w:p>
        </w:tc>
        <w:tc>
          <w:tcPr>
            <w:tcW w:w="96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0</w:t>
            </w:r>
          </w:p>
        </w:tc>
        <w:tc>
          <w:tcPr>
            <w:tcW w:w="1100" w:type="dxa"/>
            <w:tcBorders>
              <w:top w:val="nil"/>
              <w:left w:val="nil"/>
              <w:bottom w:val="single" w:sz="8" w:space="0" w:color="FFFFFF"/>
              <w:right w:val="single" w:sz="8" w:space="0" w:color="FFFFFF"/>
            </w:tcBorders>
            <w:shd w:val="clear" w:color="auto" w:fill="auto"/>
            <w:vAlign w:val="center"/>
            <w:hideMark/>
          </w:tcPr>
          <w:p w:rsidR="00482FAD" w:rsidRPr="00482FAD" w:rsidRDefault="00482FAD" w:rsidP="00482FAD">
            <w:pPr>
              <w:jc w:val="right"/>
              <w:rPr>
                <w:rFonts w:ascii="Arial" w:hAnsi="Arial" w:cs="Arial"/>
                <w:color w:val="000000"/>
                <w:sz w:val="18"/>
                <w:szCs w:val="18"/>
              </w:rPr>
            </w:pPr>
            <w:r w:rsidRPr="00482FAD">
              <w:rPr>
                <w:rFonts w:ascii="Arial" w:hAnsi="Arial" w:cs="Arial"/>
                <w:color w:val="000000"/>
                <w:sz w:val="18"/>
                <w:szCs w:val="18"/>
              </w:rPr>
              <w:t>65</w:t>
            </w:r>
          </w:p>
        </w:tc>
      </w:tr>
      <w:tr w:rsidR="00482FAD" w:rsidRPr="00482FAD" w:rsidTr="00C80EBC">
        <w:trPr>
          <w:trHeight w:val="288"/>
        </w:trPr>
        <w:tc>
          <w:tcPr>
            <w:tcW w:w="4320" w:type="dxa"/>
            <w:tcBorders>
              <w:top w:val="nil"/>
              <w:left w:val="single" w:sz="8" w:space="0" w:color="FFFFFF"/>
              <w:bottom w:val="nil"/>
              <w:right w:val="single" w:sz="8" w:space="0" w:color="FFFFFF"/>
            </w:tcBorders>
            <w:shd w:val="clear" w:color="auto" w:fill="365F91" w:themeFill="accent1" w:themeFillShade="BF"/>
            <w:vAlign w:val="center"/>
            <w:hideMark/>
          </w:tcPr>
          <w:p w:rsidR="00482FAD" w:rsidRPr="00482FAD" w:rsidRDefault="00482FAD" w:rsidP="00482FAD">
            <w:pPr>
              <w:rPr>
                <w:rFonts w:ascii="Arial" w:hAnsi="Arial" w:cs="Arial"/>
                <w:b/>
                <w:bCs/>
                <w:color w:val="FFFFFF"/>
                <w:sz w:val="18"/>
                <w:szCs w:val="18"/>
              </w:rPr>
            </w:pPr>
            <w:r w:rsidRPr="00482FAD">
              <w:rPr>
                <w:rFonts w:ascii="Arial" w:hAnsi="Arial" w:cs="Arial"/>
                <w:b/>
                <w:bCs/>
                <w:color w:val="FFFFFF"/>
                <w:sz w:val="18"/>
                <w:szCs w:val="18"/>
              </w:rPr>
              <w:t xml:space="preserve">TOTAL </w:t>
            </w:r>
          </w:p>
        </w:tc>
        <w:tc>
          <w:tcPr>
            <w:tcW w:w="960" w:type="dxa"/>
            <w:tcBorders>
              <w:top w:val="nil"/>
              <w:left w:val="single" w:sz="8" w:space="0" w:color="FFFFFF"/>
              <w:bottom w:val="nil"/>
              <w:right w:val="single" w:sz="8" w:space="0" w:color="FFFFFF"/>
            </w:tcBorders>
            <w:shd w:val="clear" w:color="auto" w:fill="365F91" w:themeFill="accent1" w:themeFillShade="BF"/>
            <w:vAlign w:val="center"/>
            <w:hideMark/>
          </w:tcPr>
          <w:p w:rsidR="00482FAD" w:rsidRPr="00482FAD" w:rsidRDefault="00482FAD" w:rsidP="00482FAD">
            <w:pPr>
              <w:jc w:val="right"/>
              <w:rPr>
                <w:rFonts w:ascii="Arial" w:hAnsi="Arial" w:cs="Arial"/>
                <w:b/>
                <w:bCs/>
                <w:color w:val="FFFFFF"/>
                <w:sz w:val="18"/>
                <w:szCs w:val="18"/>
              </w:rPr>
            </w:pPr>
            <w:r w:rsidRPr="00482FAD">
              <w:rPr>
                <w:rFonts w:ascii="Arial" w:hAnsi="Arial" w:cs="Arial"/>
                <w:b/>
                <w:bCs/>
                <w:color w:val="FFFFFF"/>
                <w:sz w:val="18"/>
                <w:szCs w:val="18"/>
              </w:rPr>
              <w:t>910</w:t>
            </w:r>
          </w:p>
        </w:tc>
        <w:tc>
          <w:tcPr>
            <w:tcW w:w="980" w:type="dxa"/>
            <w:tcBorders>
              <w:top w:val="nil"/>
              <w:left w:val="nil"/>
              <w:bottom w:val="nil"/>
              <w:right w:val="single" w:sz="8" w:space="0" w:color="FFFFFF"/>
            </w:tcBorders>
            <w:shd w:val="clear" w:color="auto" w:fill="365F91" w:themeFill="accent1" w:themeFillShade="BF"/>
            <w:vAlign w:val="center"/>
            <w:hideMark/>
          </w:tcPr>
          <w:p w:rsidR="00482FAD" w:rsidRPr="00482FAD" w:rsidRDefault="00482FAD" w:rsidP="00482FAD">
            <w:pPr>
              <w:jc w:val="right"/>
              <w:rPr>
                <w:rFonts w:ascii="Arial" w:hAnsi="Arial" w:cs="Arial"/>
                <w:b/>
                <w:bCs/>
                <w:color w:val="FFFFFF"/>
                <w:sz w:val="18"/>
                <w:szCs w:val="18"/>
              </w:rPr>
            </w:pPr>
            <w:r w:rsidRPr="00482FAD">
              <w:rPr>
                <w:rFonts w:ascii="Arial" w:hAnsi="Arial" w:cs="Arial"/>
                <w:b/>
                <w:bCs/>
                <w:color w:val="FFFFFF"/>
                <w:sz w:val="18"/>
                <w:szCs w:val="18"/>
              </w:rPr>
              <w:t>770</w:t>
            </w:r>
          </w:p>
        </w:tc>
        <w:tc>
          <w:tcPr>
            <w:tcW w:w="1120" w:type="dxa"/>
            <w:tcBorders>
              <w:top w:val="nil"/>
              <w:left w:val="nil"/>
              <w:bottom w:val="nil"/>
              <w:right w:val="single" w:sz="8" w:space="0" w:color="FFFFFF"/>
            </w:tcBorders>
            <w:shd w:val="clear" w:color="auto" w:fill="365F91" w:themeFill="accent1" w:themeFillShade="BF"/>
            <w:vAlign w:val="center"/>
            <w:hideMark/>
          </w:tcPr>
          <w:p w:rsidR="00482FAD" w:rsidRPr="00482FAD" w:rsidRDefault="00482FAD" w:rsidP="00482FAD">
            <w:pPr>
              <w:jc w:val="right"/>
              <w:rPr>
                <w:rFonts w:ascii="Arial" w:hAnsi="Arial" w:cs="Arial"/>
                <w:b/>
                <w:bCs/>
                <w:color w:val="FFFFFF"/>
                <w:sz w:val="18"/>
                <w:szCs w:val="18"/>
              </w:rPr>
            </w:pPr>
            <w:r w:rsidRPr="00482FAD">
              <w:rPr>
                <w:rFonts w:ascii="Arial" w:hAnsi="Arial" w:cs="Arial"/>
                <w:b/>
                <w:bCs/>
                <w:color w:val="FFFFFF"/>
                <w:sz w:val="18"/>
                <w:szCs w:val="18"/>
              </w:rPr>
              <w:t>(140)</w:t>
            </w:r>
          </w:p>
        </w:tc>
        <w:tc>
          <w:tcPr>
            <w:tcW w:w="960" w:type="dxa"/>
            <w:tcBorders>
              <w:top w:val="nil"/>
              <w:left w:val="nil"/>
              <w:bottom w:val="nil"/>
              <w:right w:val="single" w:sz="8" w:space="0" w:color="FFFFFF"/>
            </w:tcBorders>
            <w:shd w:val="clear" w:color="auto" w:fill="365F91" w:themeFill="accent1" w:themeFillShade="BF"/>
            <w:vAlign w:val="center"/>
            <w:hideMark/>
          </w:tcPr>
          <w:p w:rsidR="00482FAD" w:rsidRPr="00482FAD" w:rsidRDefault="00482FAD" w:rsidP="00482FAD">
            <w:pPr>
              <w:jc w:val="right"/>
              <w:rPr>
                <w:rFonts w:ascii="Arial" w:hAnsi="Arial" w:cs="Arial"/>
                <w:b/>
                <w:bCs/>
                <w:color w:val="FFFFFF"/>
                <w:sz w:val="18"/>
                <w:szCs w:val="18"/>
              </w:rPr>
            </w:pPr>
            <w:r w:rsidRPr="00482FAD">
              <w:rPr>
                <w:rFonts w:ascii="Arial" w:hAnsi="Arial" w:cs="Arial"/>
                <w:b/>
                <w:bCs/>
                <w:color w:val="FFFFFF"/>
                <w:sz w:val="18"/>
                <w:szCs w:val="18"/>
              </w:rPr>
              <w:t>960</w:t>
            </w:r>
          </w:p>
        </w:tc>
        <w:tc>
          <w:tcPr>
            <w:tcW w:w="1100" w:type="dxa"/>
            <w:tcBorders>
              <w:top w:val="nil"/>
              <w:left w:val="nil"/>
              <w:bottom w:val="nil"/>
              <w:right w:val="single" w:sz="8" w:space="0" w:color="FFFFFF"/>
            </w:tcBorders>
            <w:shd w:val="clear" w:color="auto" w:fill="365F91" w:themeFill="accent1" w:themeFillShade="BF"/>
            <w:vAlign w:val="center"/>
            <w:hideMark/>
          </w:tcPr>
          <w:p w:rsidR="00482FAD" w:rsidRPr="00482FAD" w:rsidRDefault="00482FAD" w:rsidP="00482FAD">
            <w:pPr>
              <w:jc w:val="right"/>
              <w:rPr>
                <w:rFonts w:ascii="Arial" w:hAnsi="Arial" w:cs="Arial"/>
                <w:b/>
                <w:bCs/>
                <w:color w:val="FFFFFF"/>
                <w:sz w:val="18"/>
                <w:szCs w:val="18"/>
              </w:rPr>
            </w:pPr>
            <w:r w:rsidRPr="00482FAD">
              <w:rPr>
                <w:rFonts w:ascii="Arial" w:hAnsi="Arial" w:cs="Arial"/>
                <w:b/>
                <w:bCs/>
                <w:color w:val="FFFFFF"/>
                <w:sz w:val="18"/>
                <w:szCs w:val="18"/>
              </w:rPr>
              <w:t>(190)</w:t>
            </w:r>
          </w:p>
        </w:tc>
      </w:tr>
    </w:tbl>
    <w:p w:rsidR="00DB368B" w:rsidRDefault="00DB368B" w:rsidP="006E30B3">
      <w:pPr>
        <w:spacing w:after="200" w:line="276" w:lineRule="auto"/>
        <w:rPr>
          <w:rFonts w:ascii="Arial" w:hAnsi="Arial" w:cs="Arial"/>
          <w:sz w:val="22"/>
          <w:szCs w:val="22"/>
        </w:rPr>
      </w:pPr>
    </w:p>
    <w:p w:rsidR="00B34A94" w:rsidRDefault="00DB368B" w:rsidP="006E30B3">
      <w:pPr>
        <w:spacing w:after="200" w:line="276" w:lineRule="auto"/>
        <w:rPr>
          <w:rFonts w:ascii="Arial" w:hAnsi="Arial" w:cs="Arial"/>
          <w:sz w:val="22"/>
          <w:szCs w:val="22"/>
        </w:rPr>
      </w:pPr>
      <w:r>
        <w:rPr>
          <w:rFonts w:ascii="Arial" w:hAnsi="Arial" w:cs="Arial"/>
          <w:sz w:val="22"/>
          <w:szCs w:val="22"/>
        </w:rPr>
        <w:t>T</w:t>
      </w:r>
      <w:r w:rsidR="006E30B3">
        <w:rPr>
          <w:rFonts w:ascii="Arial" w:hAnsi="Arial" w:cs="Arial"/>
          <w:sz w:val="22"/>
          <w:szCs w:val="22"/>
        </w:rPr>
        <w:t xml:space="preserve">he </w:t>
      </w:r>
      <w:r w:rsidR="00F60486">
        <w:rPr>
          <w:rFonts w:ascii="Arial" w:hAnsi="Arial" w:cs="Arial"/>
          <w:sz w:val="22"/>
          <w:szCs w:val="22"/>
        </w:rPr>
        <w:t xml:space="preserve">full year outturn for capital </w:t>
      </w:r>
      <w:r w:rsidR="004A32AC">
        <w:rPr>
          <w:rFonts w:ascii="Arial" w:hAnsi="Arial" w:cs="Arial"/>
          <w:sz w:val="22"/>
          <w:szCs w:val="22"/>
        </w:rPr>
        <w:t>was in-</w:t>
      </w:r>
      <w:proofErr w:type="spellStart"/>
      <w:r w:rsidR="004A32AC">
        <w:rPr>
          <w:rFonts w:ascii="Arial" w:hAnsi="Arial" w:cs="Arial"/>
          <w:sz w:val="22"/>
          <w:szCs w:val="22"/>
        </w:rPr>
        <w:t>Iine</w:t>
      </w:r>
      <w:proofErr w:type="spellEnd"/>
      <w:r w:rsidR="004A32AC">
        <w:rPr>
          <w:rFonts w:ascii="Arial" w:hAnsi="Arial" w:cs="Arial"/>
          <w:sz w:val="22"/>
          <w:szCs w:val="22"/>
        </w:rPr>
        <w:t xml:space="preserve"> with forecast at £</w:t>
      </w:r>
      <w:r w:rsidR="00482FAD">
        <w:rPr>
          <w:rFonts w:ascii="Arial" w:hAnsi="Arial" w:cs="Arial"/>
          <w:sz w:val="22"/>
          <w:szCs w:val="22"/>
        </w:rPr>
        <w:t>770</w:t>
      </w:r>
      <w:r w:rsidR="004A32AC">
        <w:rPr>
          <w:rFonts w:ascii="Arial" w:hAnsi="Arial" w:cs="Arial"/>
          <w:sz w:val="22"/>
          <w:szCs w:val="22"/>
        </w:rPr>
        <w:t>k, £</w:t>
      </w:r>
      <w:r w:rsidR="00482FAD">
        <w:rPr>
          <w:rFonts w:ascii="Arial" w:hAnsi="Arial" w:cs="Arial"/>
          <w:sz w:val="22"/>
          <w:szCs w:val="22"/>
        </w:rPr>
        <w:t>140</w:t>
      </w:r>
      <w:r w:rsidR="004A32AC">
        <w:rPr>
          <w:rFonts w:ascii="Arial" w:hAnsi="Arial" w:cs="Arial"/>
          <w:sz w:val="22"/>
          <w:szCs w:val="22"/>
        </w:rPr>
        <w:t>k underspend due to</w:t>
      </w:r>
      <w:r w:rsidR="00B34A94">
        <w:rPr>
          <w:rFonts w:ascii="Arial" w:hAnsi="Arial" w:cs="Arial"/>
          <w:sz w:val="22"/>
          <w:szCs w:val="22"/>
        </w:rPr>
        <w:t xml:space="preserve"> renegotiated contract with BGO for HARP/IRAS which generated substantial savings</w:t>
      </w:r>
      <w:r w:rsidR="00482FAD">
        <w:rPr>
          <w:rFonts w:ascii="Arial" w:hAnsi="Arial" w:cs="Arial"/>
          <w:sz w:val="22"/>
          <w:szCs w:val="22"/>
        </w:rPr>
        <w:t xml:space="preserve"> on our planned programme of work</w:t>
      </w:r>
      <w:r w:rsidR="00B34A94">
        <w:rPr>
          <w:rFonts w:ascii="Arial" w:hAnsi="Arial" w:cs="Arial"/>
          <w:sz w:val="22"/>
          <w:szCs w:val="22"/>
        </w:rPr>
        <w:t xml:space="preserve">. </w:t>
      </w:r>
      <w:r w:rsidR="00F60486">
        <w:rPr>
          <w:rFonts w:ascii="Arial" w:hAnsi="Arial" w:cs="Arial"/>
          <w:sz w:val="22"/>
          <w:szCs w:val="22"/>
        </w:rPr>
        <w:t xml:space="preserve"> </w:t>
      </w:r>
    </w:p>
    <w:p w:rsidR="00DD6897" w:rsidRDefault="00192D07" w:rsidP="00951DD0">
      <w:pPr>
        <w:pStyle w:val="ListParagraph"/>
        <w:spacing w:line="276" w:lineRule="auto"/>
        <w:ind w:left="0"/>
        <w:rPr>
          <w:rFonts w:ascii="Arial" w:hAnsi="Arial" w:cs="Arial"/>
          <w:b/>
          <w:sz w:val="22"/>
          <w:szCs w:val="22"/>
        </w:rPr>
      </w:pPr>
      <w:r>
        <w:rPr>
          <w:rFonts w:ascii="Arial" w:hAnsi="Arial" w:cs="Arial"/>
          <w:b/>
          <w:sz w:val="22"/>
          <w:szCs w:val="22"/>
        </w:rPr>
        <w:t>B</w:t>
      </w:r>
      <w:r w:rsidR="00DD6897">
        <w:rPr>
          <w:rFonts w:ascii="Arial" w:hAnsi="Arial" w:cs="Arial"/>
          <w:b/>
          <w:sz w:val="22"/>
          <w:szCs w:val="22"/>
        </w:rPr>
        <w:t>etter payments performance</w:t>
      </w:r>
      <w:r w:rsidR="00996C5F">
        <w:rPr>
          <w:rFonts w:ascii="Arial" w:hAnsi="Arial" w:cs="Arial"/>
          <w:b/>
          <w:sz w:val="22"/>
          <w:szCs w:val="22"/>
        </w:rPr>
        <w:t xml:space="preserve"> </w:t>
      </w:r>
    </w:p>
    <w:p w:rsidR="0035681C" w:rsidRP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 also maintaining the internal stretched target of paying 60% of suppliers in 10 days.</w:t>
      </w:r>
      <w:r w:rsidR="00643F97">
        <w:rPr>
          <w:rFonts w:ascii="Arial" w:hAnsi="Arial" w:cs="Arial"/>
          <w:sz w:val="22"/>
          <w:szCs w:val="22"/>
        </w:rPr>
        <w:t xml:space="preserve">  </w:t>
      </w:r>
    </w:p>
    <w:p w:rsidR="0035681C" w:rsidRDefault="0035681C" w:rsidP="00951DD0">
      <w:pPr>
        <w:pStyle w:val="ListParagraph"/>
        <w:spacing w:line="276" w:lineRule="auto"/>
        <w:ind w:left="0"/>
        <w:rPr>
          <w:rFonts w:ascii="Arial" w:hAnsi="Arial" w:cs="Arial"/>
          <w:b/>
          <w:sz w:val="22"/>
          <w:szCs w:val="22"/>
        </w:rPr>
      </w:pPr>
    </w:p>
    <w:tbl>
      <w:tblPr>
        <w:tblW w:w="5218" w:type="dxa"/>
        <w:jc w:val="center"/>
        <w:tblInd w:w="-398" w:type="dxa"/>
        <w:tblLook w:val="04A0" w:firstRow="1" w:lastRow="0" w:firstColumn="1" w:lastColumn="0" w:noHBand="0" w:noVBand="1"/>
      </w:tblPr>
      <w:tblGrid>
        <w:gridCol w:w="2916"/>
        <w:gridCol w:w="982"/>
        <w:gridCol w:w="1320"/>
      </w:tblGrid>
      <w:tr w:rsidR="00736CB7" w:rsidRPr="00236B2E" w:rsidTr="00C80EBC">
        <w:trPr>
          <w:trHeight w:val="537"/>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6CB7" w:rsidRPr="00236B2E" w:rsidRDefault="00736CB7" w:rsidP="00655157">
            <w:pPr>
              <w:rPr>
                <w:rFonts w:ascii="Calibri" w:hAnsi="Calibri" w:cs="Calibri"/>
                <w:color w:val="000000"/>
              </w:rPr>
            </w:pPr>
            <w:r w:rsidRPr="00236B2E">
              <w:rPr>
                <w:rFonts w:ascii="Calibri" w:hAnsi="Calibri" w:cs="Calibri"/>
                <w:color w:val="000000"/>
              </w:rPr>
              <w:t> </w:t>
            </w:r>
          </w:p>
        </w:tc>
        <w:tc>
          <w:tcPr>
            <w:tcW w:w="982"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655157">
            <w:pPr>
              <w:rPr>
                <w:rFonts w:ascii="Calibri" w:hAnsi="Calibri" w:cs="Calibri"/>
                <w:b/>
                <w:color w:val="FFFFFF" w:themeColor="background1"/>
                <w:sz w:val="22"/>
                <w:szCs w:val="22"/>
              </w:rPr>
            </w:pPr>
            <w:r w:rsidRPr="00C80EBC">
              <w:rPr>
                <w:rFonts w:ascii="Calibri" w:hAnsi="Calibri" w:cs="Calibri"/>
                <w:b/>
                <w:color w:val="FFFFFF" w:themeColor="background1"/>
                <w:sz w:val="22"/>
                <w:szCs w:val="22"/>
              </w:rPr>
              <w:t>Number</w:t>
            </w:r>
          </w:p>
        </w:tc>
        <w:tc>
          <w:tcPr>
            <w:tcW w:w="132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C80EBC">
            <w:pPr>
              <w:jc w:val="right"/>
              <w:rPr>
                <w:rFonts w:ascii="Calibri" w:hAnsi="Calibri" w:cs="Calibri"/>
                <w:b/>
                <w:color w:val="FFFFFF" w:themeColor="background1"/>
                <w:sz w:val="22"/>
                <w:szCs w:val="22"/>
              </w:rPr>
            </w:pPr>
            <w:r w:rsidRPr="00C80EBC">
              <w:rPr>
                <w:rFonts w:ascii="Calibri" w:hAnsi="Calibri" w:cs="Calibri"/>
                <w:b/>
                <w:color w:val="FFFFFF" w:themeColor="background1"/>
                <w:sz w:val="22"/>
                <w:szCs w:val="22"/>
              </w:rPr>
              <w:t>Value (£)</w:t>
            </w:r>
          </w:p>
        </w:tc>
      </w:tr>
      <w:tr w:rsidR="00707D4B"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7D4B" w:rsidRDefault="00707D4B" w:rsidP="00707D4B">
            <w:pPr>
              <w:rPr>
                <w:rFonts w:ascii="Calibri" w:hAnsi="Calibri" w:cs="Calibri"/>
                <w:b/>
                <w:bCs/>
                <w:color w:val="000000"/>
                <w:sz w:val="22"/>
                <w:szCs w:val="22"/>
              </w:rPr>
            </w:pPr>
            <w:r>
              <w:rPr>
                <w:rFonts w:ascii="Calibri" w:hAnsi="Calibri" w:cs="Calibri"/>
                <w:b/>
                <w:bCs/>
                <w:color w:val="000000"/>
                <w:sz w:val="22"/>
                <w:szCs w:val="22"/>
              </w:rPr>
              <w:t>Benchmark</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07D4B" w:rsidP="00707D4B">
            <w:pPr>
              <w:rPr>
                <w:rFonts w:ascii="Calibri" w:hAnsi="Calibri" w:cs="Calibri"/>
                <w:b/>
                <w:bCs/>
                <w:color w:val="000000"/>
                <w:sz w:val="22"/>
                <w:szCs w:val="22"/>
              </w:rPr>
            </w:pPr>
            <w:r>
              <w:rPr>
                <w:rFonts w:ascii="Calibri" w:hAnsi="Calibri" w:cs="Calibri"/>
                <w:b/>
                <w:bCs/>
                <w:color w:val="000000"/>
                <w:sz w:val="22"/>
                <w:szCs w:val="22"/>
              </w:rPr>
              <w:t>2016/17</w:t>
            </w:r>
            <w:r w:rsidR="00736CB7" w:rsidRPr="00236B2E">
              <w:rPr>
                <w:rFonts w:ascii="Calibri" w:hAnsi="Calibri" w:cs="Calibri"/>
                <w:b/>
                <w:bCs/>
                <w:color w:val="000000"/>
                <w:sz w:val="22"/>
                <w:szCs w:val="22"/>
              </w:rPr>
              <w:t xml:space="preserve"> </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36CB7" w:rsidP="00707D4B">
            <w:pPr>
              <w:rPr>
                <w:rFonts w:ascii="Calibri" w:hAnsi="Calibri" w:cs="Calibri"/>
                <w:b/>
                <w:bCs/>
                <w:color w:val="000000"/>
                <w:sz w:val="22"/>
                <w:szCs w:val="22"/>
              </w:rPr>
            </w:pPr>
            <w:r w:rsidRPr="00236B2E">
              <w:rPr>
                <w:rFonts w:ascii="Calibri" w:hAnsi="Calibri" w:cs="Calibri"/>
                <w:b/>
                <w:bCs/>
                <w:color w:val="000000"/>
                <w:sz w:val="22"/>
                <w:szCs w:val="22"/>
              </w:rPr>
              <w:t xml:space="preserve">2015/16 </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97%</w:t>
            </w:r>
          </w:p>
        </w:tc>
      </w:tr>
    </w:tbl>
    <w:p w:rsidR="004D4BF4" w:rsidRDefault="004D4BF4" w:rsidP="00DD6897">
      <w:pPr>
        <w:rPr>
          <w:rFonts w:ascii="Arial" w:hAnsi="Arial" w:cs="Arial"/>
          <w:sz w:val="22"/>
          <w:szCs w:val="22"/>
        </w:rPr>
      </w:pPr>
    </w:p>
    <w:p w:rsidR="0004137A" w:rsidRDefault="0004137A" w:rsidP="0028079F">
      <w:pPr>
        <w:jc w:val="both"/>
        <w:rPr>
          <w:rFonts w:ascii="Arial" w:hAnsi="Arial" w:cs="Arial"/>
          <w:b/>
          <w:sz w:val="22"/>
          <w:szCs w:val="22"/>
        </w:rPr>
      </w:pPr>
    </w:p>
    <w:p w:rsidR="00820EBD" w:rsidRDefault="00820EBD" w:rsidP="0028079F">
      <w:pPr>
        <w:jc w:val="both"/>
        <w:rPr>
          <w:rFonts w:ascii="Arial" w:hAnsi="Arial" w:cs="Arial"/>
          <w:b/>
          <w:sz w:val="22"/>
          <w:szCs w:val="22"/>
        </w:rPr>
      </w:pPr>
    </w:p>
    <w:p w:rsidR="0028079F" w:rsidRPr="00106232" w:rsidRDefault="0028079F" w:rsidP="0028079F">
      <w:pPr>
        <w:jc w:val="both"/>
        <w:rPr>
          <w:rFonts w:ascii="Arial" w:hAnsi="Arial" w:cs="Arial"/>
          <w:b/>
          <w:sz w:val="22"/>
          <w:szCs w:val="22"/>
        </w:rPr>
      </w:pPr>
      <w:r w:rsidRPr="00106232">
        <w:rPr>
          <w:rFonts w:ascii="Arial" w:hAnsi="Arial" w:cs="Arial"/>
          <w:b/>
          <w:sz w:val="22"/>
          <w:szCs w:val="22"/>
        </w:rPr>
        <w:t>Recommendations</w:t>
      </w:r>
    </w:p>
    <w:p w:rsidR="0028079F" w:rsidRPr="00106232" w:rsidRDefault="0028079F" w:rsidP="00B40EA9">
      <w:pPr>
        <w:jc w:val="both"/>
        <w:rPr>
          <w:rFonts w:ascii="Arial" w:hAnsi="Arial" w:cs="Arial"/>
          <w:b/>
          <w:sz w:val="22"/>
          <w:szCs w:val="22"/>
        </w:rPr>
      </w:pPr>
    </w:p>
    <w:p w:rsidR="00192D07" w:rsidRDefault="0044673F" w:rsidP="00192D07">
      <w:pPr>
        <w:overflowPunct w:val="0"/>
        <w:autoSpaceDE w:val="0"/>
        <w:autoSpaceDN w:val="0"/>
        <w:adjustRightInd w:val="0"/>
        <w:textAlignment w:val="baseline"/>
        <w:rPr>
          <w:rFonts w:ascii="Arial" w:hAnsi="Arial" w:cs="Arial"/>
          <w:sz w:val="22"/>
          <w:szCs w:val="22"/>
        </w:rPr>
      </w:pPr>
      <w:r w:rsidRPr="00106232">
        <w:rPr>
          <w:rFonts w:ascii="Arial" w:hAnsi="Arial" w:cs="Arial"/>
          <w:sz w:val="22"/>
          <w:szCs w:val="22"/>
        </w:rPr>
        <w:t>T</w:t>
      </w:r>
      <w:r w:rsidR="00B40EA9" w:rsidRPr="00106232">
        <w:rPr>
          <w:rFonts w:ascii="Arial" w:hAnsi="Arial" w:cs="Arial"/>
          <w:sz w:val="22"/>
          <w:szCs w:val="22"/>
        </w:rPr>
        <w:t xml:space="preserve">he </w:t>
      </w:r>
      <w:r w:rsidR="00D211BF" w:rsidRPr="00106232">
        <w:rPr>
          <w:rFonts w:ascii="Arial" w:hAnsi="Arial" w:cs="Arial"/>
          <w:sz w:val="22"/>
          <w:szCs w:val="22"/>
        </w:rPr>
        <w:t xml:space="preserve">Board </w:t>
      </w:r>
      <w:r w:rsidR="00DF39E7" w:rsidRPr="00106232">
        <w:rPr>
          <w:rFonts w:ascii="Arial" w:hAnsi="Arial" w:cs="Arial"/>
          <w:sz w:val="22"/>
          <w:szCs w:val="22"/>
        </w:rPr>
        <w:t xml:space="preserve">is asked to </w:t>
      </w:r>
      <w:r w:rsidR="004A32AC">
        <w:rPr>
          <w:rFonts w:ascii="Arial" w:hAnsi="Arial" w:cs="Arial"/>
          <w:sz w:val="22"/>
          <w:szCs w:val="22"/>
        </w:rPr>
        <w:t>review and approve</w:t>
      </w:r>
      <w:r w:rsidR="001C4432" w:rsidRPr="00106232">
        <w:rPr>
          <w:rFonts w:ascii="Arial" w:hAnsi="Arial" w:cs="Arial"/>
          <w:sz w:val="22"/>
          <w:szCs w:val="22"/>
        </w:rPr>
        <w:t xml:space="preserve"> </w:t>
      </w:r>
      <w:r w:rsidR="00B40EA9" w:rsidRPr="00106232">
        <w:rPr>
          <w:rFonts w:ascii="Arial" w:hAnsi="Arial" w:cs="Arial"/>
          <w:sz w:val="22"/>
          <w:szCs w:val="22"/>
        </w:rPr>
        <w:t xml:space="preserve">the financial </w:t>
      </w:r>
      <w:r w:rsidR="004A32AC">
        <w:rPr>
          <w:rFonts w:ascii="Arial" w:hAnsi="Arial" w:cs="Arial"/>
          <w:sz w:val="22"/>
          <w:szCs w:val="22"/>
        </w:rPr>
        <w:t>performance for 2016/17</w:t>
      </w:r>
      <w:r w:rsidR="00FA3EAB">
        <w:rPr>
          <w:rFonts w:ascii="Arial" w:hAnsi="Arial" w:cs="Arial"/>
          <w:sz w:val="22"/>
          <w:szCs w:val="22"/>
        </w:rPr>
        <w:t xml:space="preserve">. </w:t>
      </w:r>
      <w:r w:rsidR="004A32AC">
        <w:rPr>
          <w:rFonts w:ascii="Arial" w:hAnsi="Arial" w:cs="Arial"/>
          <w:sz w:val="22"/>
          <w:szCs w:val="22"/>
        </w:rPr>
        <w:t xml:space="preserve"> </w:t>
      </w:r>
    </w:p>
    <w:p w:rsidR="00CC740F" w:rsidRDefault="00CC740F" w:rsidP="00B40EA9">
      <w:pPr>
        <w:spacing w:line="276" w:lineRule="auto"/>
        <w:rPr>
          <w:rFonts w:ascii="Arial" w:hAnsi="Arial" w:cs="Arial"/>
          <w:b/>
          <w:sz w:val="22"/>
          <w:szCs w:val="22"/>
        </w:rPr>
      </w:pPr>
    </w:p>
    <w:p w:rsidR="00B40EA9" w:rsidRPr="00B40EA9" w:rsidRDefault="00192D07" w:rsidP="00B40EA9">
      <w:pPr>
        <w:spacing w:line="276" w:lineRule="auto"/>
        <w:rPr>
          <w:rFonts w:ascii="Arial" w:hAnsi="Arial" w:cs="Arial"/>
          <w:b/>
          <w:sz w:val="22"/>
          <w:szCs w:val="22"/>
        </w:rPr>
      </w:pPr>
      <w:r>
        <w:rPr>
          <w:rFonts w:ascii="Arial" w:hAnsi="Arial" w:cs="Arial"/>
          <w:b/>
          <w:sz w:val="22"/>
          <w:szCs w:val="22"/>
        </w:rPr>
        <w:t>Karen Williams</w:t>
      </w:r>
    </w:p>
    <w:p w:rsidR="00B40EA9" w:rsidRPr="00B40EA9" w:rsidRDefault="0004137A" w:rsidP="00B40EA9">
      <w:pPr>
        <w:spacing w:line="276" w:lineRule="auto"/>
        <w:rPr>
          <w:rFonts w:ascii="Arial" w:hAnsi="Arial" w:cs="Arial"/>
          <w:b/>
          <w:sz w:val="22"/>
          <w:szCs w:val="22"/>
        </w:rPr>
      </w:pPr>
      <w:r>
        <w:rPr>
          <w:rFonts w:ascii="Arial" w:hAnsi="Arial" w:cs="Arial"/>
          <w:b/>
          <w:sz w:val="22"/>
          <w:szCs w:val="22"/>
        </w:rPr>
        <w:t xml:space="preserve">Director of </w:t>
      </w:r>
      <w:r w:rsidR="00B40EA9" w:rsidRPr="00B40EA9">
        <w:rPr>
          <w:rFonts w:ascii="Arial" w:hAnsi="Arial" w:cs="Arial"/>
          <w:b/>
          <w:sz w:val="22"/>
          <w:szCs w:val="22"/>
        </w:rPr>
        <w:t>Finance</w:t>
      </w:r>
      <w:r w:rsidR="00B34A94">
        <w:rPr>
          <w:rFonts w:ascii="Arial" w:hAnsi="Arial" w:cs="Arial"/>
          <w:b/>
          <w:sz w:val="22"/>
          <w:szCs w:val="22"/>
        </w:rPr>
        <w:t xml:space="preserve">, </w:t>
      </w:r>
      <w:r w:rsidR="00E73495">
        <w:rPr>
          <w:rFonts w:ascii="Arial" w:hAnsi="Arial" w:cs="Arial"/>
          <w:b/>
          <w:sz w:val="22"/>
          <w:szCs w:val="22"/>
        </w:rPr>
        <w:t>Procurement</w:t>
      </w:r>
      <w:r w:rsidR="00B34A94">
        <w:rPr>
          <w:rFonts w:ascii="Arial" w:hAnsi="Arial" w:cs="Arial"/>
          <w:b/>
          <w:sz w:val="22"/>
          <w:szCs w:val="22"/>
        </w:rPr>
        <w:t xml:space="preserve"> and Estates</w:t>
      </w:r>
    </w:p>
    <w:p w:rsidR="00634D6C" w:rsidRDefault="00725AA5" w:rsidP="00B34A94">
      <w:pPr>
        <w:spacing w:line="276" w:lineRule="auto"/>
        <w:rPr>
          <w:rFonts w:ascii="Arial" w:hAnsi="Arial" w:cs="Arial"/>
          <w:b/>
          <w:sz w:val="22"/>
          <w:szCs w:val="22"/>
        </w:rPr>
      </w:pPr>
      <w:r>
        <w:rPr>
          <w:rFonts w:ascii="Arial" w:hAnsi="Arial" w:cs="Arial"/>
          <w:b/>
          <w:sz w:val="22"/>
          <w:szCs w:val="22"/>
        </w:rPr>
        <w:t>10</w:t>
      </w:r>
      <w:r w:rsidR="00B34A94">
        <w:rPr>
          <w:rFonts w:ascii="Arial" w:hAnsi="Arial" w:cs="Arial"/>
          <w:b/>
          <w:sz w:val="22"/>
          <w:szCs w:val="22"/>
        </w:rPr>
        <w:t xml:space="preserve"> </w:t>
      </w:r>
      <w:r w:rsidR="004A32AC">
        <w:rPr>
          <w:rFonts w:ascii="Arial" w:hAnsi="Arial" w:cs="Arial"/>
          <w:b/>
          <w:sz w:val="22"/>
          <w:szCs w:val="22"/>
        </w:rPr>
        <w:t>May</w:t>
      </w:r>
      <w:r w:rsidR="00B34A94">
        <w:rPr>
          <w:rFonts w:ascii="Arial" w:hAnsi="Arial" w:cs="Arial"/>
          <w:b/>
          <w:sz w:val="22"/>
          <w:szCs w:val="22"/>
        </w:rPr>
        <w:t xml:space="preserve"> 2017</w:t>
      </w:r>
    </w:p>
    <w:p w:rsidR="00681394" w:rsidRDefault="00681394" w:rsidP="00B34A94">
      <w:pPr>
        <w:spacing w:line="276" w:lineRule="auto"/>
        <w:rPr>
          <w:rFonts w:ascii="Arial" w:hAnsi="Arial" w:cs="Arial"/>
          <w:b/>
          <w:sz w:val="22"/>
          <w:szCs w:val="22"/>
        </w:rPr>
      </w:pPr>
    </w:p>
    <w:p w:rsidR="004D48AE" w:rsidRDefault="004D48AE" w:rsidP="00B34A94">
      <w:pPr>
        <w:spacing w:line="276" w:lineRule="auto"/>
        <w:rPr>
          <w:rFonts w:ascii="Arial" w:hAnsi="Arial" w:cs="Arial"/>
          <w:b/>
          <w:sz w:val="22"/>
          <w:szCs w:val="22"/>
        </w:rPr>
      </w:pPr>
    </w:p>
    <w:p w:rsidR="004D48AE" w:rsidRDefault="004D48AE" w:rsidP="00B34A94">
      <w:pPr>
        <w:spacing w:line="276" w:lineRule="auto"/>
        <w:rPr>
          <w:rFonts w:ascii="Arial" w:hAnsi="Arial" w:cs="Arial"/>
          <w:b/>
          <w:sz w:val="22"/>
          <w:szCs w:val="22"/>
        </w:rPr>
      </w:pPr>
    </w:p>
    <w:p w:rsidR="004D48AE" w:rsidRDefault="004D48AE" w:rsidP="00B34A94">
      <w:pPr>
        <w:spacing w:line="276" w:lineRule="auto"/>
        <w:rPr>
          <w:rFonts w:ascii="Arial" w:hAnsi="Arial" w:cs="Arial"/>
          <w:b/>
          <w:sz w:val="22"/>
          <w:szCs w:val="22"/>
        </w:rPr>
      </w:pPr>
    </w:p>
    <w:p w:rsidR="004D48AE" w:rsidRDefault="004D48AE" w:rsidP="00B34A94">
      <w:pPr>
        <w:spacing w:line="276" w:lineRule="auto"/>
        <w:rPr>
          <w:rFonts w:ascii="Arial" w:hAnsi="Arial" w:cs="Arial"/>
          <w:b/>
          <w:sz w:val="22"/>
          <w:szCs w:val="22"/>
        </w:rPr>
      </w:pPr>
    </w:p>
    <w:p w:rsidR="004D48AE" w:rsidRDefault="004D48AE" w:rsidP="00B34A94">
      <w:pPr>
        <w:spacing w:line="276" w:lineRule="auto"/>
        <w:rPr>
          <w:rFonts w:ascii="Arial" w:hAnsi="Arial" w:cs="Arial"/>
          <w:b/>
          <w:sz w:val="22"/>
          <w:szCs w:val="22"/>
        </w:rPr>
      </w:pPr>
    </w:p>
    <w:p w:rsidR="004D48AE" w:rsidRDefault="004D48AE" w:rsidP="00B34A94">
      <w:pPr>
        <w:spacing w:line="276" w:lineRule="auto"/>
        <w:rPr>
          <w:rFonts w:ascii="Arial" w:hAnsi="Arial" w:cs="Arial"/>
          <w:b/>
          <w:sz w:val="22"/>
          <w:szCs w:val="22"/>
        </w:rPr>
        <w:sectPr w:rsidR="004D48AE" w:rsidSect="00707D4B">
          <w:headerReference w:type="default" r:id="rId10"/>
          <w:footerReference w:type="default" r:id="rId11"/>
          <w:pgSz w:w="11906" w:h="16838"/>
          <w:pgMar w:top="706" w:right="990" w:bottom="720" w:left="900" w:header="706" w:footer="706" w:gutter="0"/>
          <w:cols w:space="708"/>
          <w:docGrid w:linePitch="360"/>
        </w:sectPr>
      </w:pPr>
    </w:p>
    <w:p w:rsidR="004D48AE" w:rsidRDefault="00725AA5" w:rsidP="00B34A94">
      <w:pPr>
        <w:spacing w:line="276" w:lineRule="auto"/>
        <w:rPr>
          <w:rFonts w:ascii="Arial" w:hAnsi="Arial" w:cs="Arial"/>
          <w:b/>
          <w:sz w:val="22"/>
          <w:szCs w:val="22"/>
        </w:rPr>
      </w:pPr>
      <w:r>
        <w:rPr>
          <w:rFonts w:ascii="Arial" w:hAnsi="Arial" w:cs="Arial"/>
          <w:b/>
          <w:sz w:val="22"/>
          <w:szCs w:val="22"/>
        </w:rPr>
        <w:lastRenderedPageBreak/>
        <w:t>HRA n</w:t>
      </w:r>
      <w:r w:rsidR="004D48AE">
        <w:rPr>
          <w:rFonts w:ascii="Arial" w:hAnsi="Arial" w:cs="Arial"/>
          <w:b/>
          <w:sz w:val="22"/>
          <w:szCs w:val="22"/>
        </w:rPr>
        <w:t>on pay expenditure analysis</w:t>
      </w:r>
      <w:r>
        <w:rPr>
          <w:rFonts w:ascii="Arial" w:hAnsi="Arial" w:cs="Arial"/>
          <w:b/>
          <w:sz w:val="22"/>
          <w:szCs w:val="22"/>
        </w:rPr>
        <w:t xml:space="preserve"> 2016/17</w:t>
      </w:r>
    </w:p>
    <w:p w:rsidR="00E470AC" w:rsidRDefault="00E470AC" w:rsidP="00B34A94">
      <w:pPr>
        <w:spacing w:line="276" w:lineRule="auto"/>
        <w:rPr>
          <w:rFonts w:ascii="Arial" w:hAnsi="Arial" w:cs="Arial"/>
          <w:b/>
          <w:sz w:val="22"/>
          <w:szCs w:val="22"/>
        </w:rPr>
      </w:pPr>
    </w:p>
    <w:tbl>
      <w:tblPr>
        <w:tblW w:w="13100" w:type="dxa"/>
        <w:tblInd w:w="93" w:type="dxa"/>
        <w:tblLook w:val="04A0" w:firstRow="1" w:lastRow="0" w:firstColumn="1" w:lastColumn="0" w:noHBand="0" w:noVBand="1"/>
      </w:tblPr>
      <w:tblGrid>
        <w:gridCol w:w="4460"/>
        <w:gridCol w:w="960"/>
        <w:gridCol w:w="960"/>
        <w:gridCol w:w="960"/>
        <w:gridCol w:w="960"/>
        <w:gridCol w:w="960"/>
        <w:gridCol w:w="960"/>
        <w:gridCol w:w="960"/>
        <w:gridCol w:w="960"/>
        <w:gridCol w:w="960"/>
      </w:tblGrid>
      <w:tr w:rsidR="00A30F13" w:rsidRPr="00A30F13" w:rsidTr="00AD74C8">
        <w:trPr>
          <w:trHeight w:val="288"/>
        </w:trPr>
        <w:tc>
          <w:tcPr>
            <w:tcW w:w="4460" w:type="dxa"/>
            <w:tcBorders>
              <w:top w:val="single" w:sz="8" w:space="0" w:color="auto"/>
              <w:left w:val="single" w:sz="8" w:space="0" w:color="auto"/>
              <w:bottom w:val="nil"/>
            </w:tcBorders>
            <w:shd w:val="clear" w:color="auto" w:fill="95B3D7" w:themeFill="accent1" w:themeFillTint="99"/>
            <w:hideMark/>
          </w:tcPr>
          <w:p w:rsidR="00A30F13" w:rsidRPr="00A30F13" w:rsidRDefault="00A30F13" w:rsidP="00A30F13">
            <w:pPr>
              <w:jc w:val="center"/>
              <w:rPr>
                <w:rFonts w:ascii="Calibri" w:hAnsi="Calibri" w:cs="Calibri"/>
                <w:b/>
                <w:bCs/>
                <w:color w:val="FFFFFF"/>
                <w:sz w:val="18"/>
                <w:szCs w:val="18"/>
              </w:rPr>
            </w:pPr>
            <w:r w:rsidRPr="00A30F13">
              <w:rPr>
                <w:rFonts w:ascii="Calibri" w:hAnsi="Calibri" w:cs="Calibri"/>
                <w:b/>
                <w:bCs/>
                <w:color w:val="FFFFFF"/>
                <w:sz w:val="18"/>
                <w:szCs w:val="18"/>
              </w:rPr>
              <w:t> </w:t>
            </w:r>
          </w:p>
        </w:tc>
        <w:tc>
          <w:tcPr>
            <w:tcW w:w="960" w:type="dxa"/>
            <w:tcBorders>
              <w:top w:val="single" w:sz="8" w:space="0" w:color="auto"/>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2016/17</w:t>
            </w:r>
          </w:p>
        </w:tc>
        <w:tc>
          <w:tcPr>
            <w:tcW w:w="2880" w:type="dxa"/>
            <w:gridSpan w:val="3"/>
            <w:tcBorders>
              <w:top w:val="single" w:sz="8" w:space="0" w:color="auto"/>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March 2017 (£)</w:t>
            </w:r>
          </w:p>
        </w:tc>
        <w:tc>
          <w:tcPr>
            <w:tcW w:w="960" w:type="dxa"/>
            <w:tcBorders>
              <w:top w:val="single" w:sz="8" w:space="0" w:color="auto"/>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 </w:t>
            </w:r>
          </w:p>
        </w:tc>
        <w:tc>
          <w:tcPr>
            <w:tcW w:w="2880" w:type="dxa"/>
            <w:gridSpan w:val="3"/>
            <w:tcBorders>
              <w:top w:val="single" w:sz="8" w:space="0" w:color="auto"/>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Full Year 2016/17 (£)</w:t>
            </w:r>
          </w:p>
        </w:tc>
        <w:tc>
          <w:tcPr>
            <w:tcW w:w="960" w:type="dxa"/>
            <w:tcBorders>
              <w:top w:val="single" w:sz="8" w:space="0" w:color="auto"/>
              <w:bottom w:val="nil"/>
              <w:right w:val="single" w:sz="8" w:space="0" w:color="auto"/>
            </w:tcBorders>
            <w:shd w:val="clear" w:color="auto" w:fill="95B3D7" w:themeFill="accent1" w:themeFillTint="99"/>
            <w:hideMark/>
          </w:tcPr>
          <w:p w:rsidR="00A30F13" w:rsidRPr="00A30F13" w:rsidRDefault="00A30F13" w:rsidP="00A30F13">
            <w:pPr>
              <w:jc w:val="center"/>
              <w:rPr>
                <w:rFonts w:ascii="Calibri" w:hAnsi="Calibri" w:cs="Calibri"/>
                <w:b/>
                <w:bCs/>
                <w:color w:val="FFFFFF"/>
                <w:sz w:val="18"/>
                <w:szCs w:val="18"/>
              </w:rPr>
            </w:pPr>
            <w:r w:rsidRPr="00A30F13">
              <w:rPr>
                <w:rFonts w:ascii="Calibri" w:hAnsi="Calibri" w:cs="Calibri"/>
                <w:b/>
                <w:bCs/>
                <w:color w:val="FFFFFF"/>
                <w:sz w:val="18"/>
                <w:szCs w:val="18"/>
              </w:rPr>
              <w:t> </w:t>
            </w:r>
          </w:p>
        </w:tc>
      </w:tr>
      <w:tr w:rsidR="00A30F13" w:rsidRPr="00A30F13" w:rsidTr="00AD74C8">
        <w:trPr>
          <w:trHeight w:val="288"/>
        </w:trPr>
        <w:tc>
          <w:tcPr>
            <w:tcW w:w="4460" w:type="dxa"/>
            <w:tcBorders>
              <w:top w:val="nil"/>
              <w:left w:val="single" w:sz="8" w:space="0" w:color="auto"/>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Expenditure classification</w:t>
            </w:r>
          </w:p>
        </w:tc>
        <w:tc>
          <w:tcPr>
            <w:tcW w:w="960" w:type="dxa"/>
            <w:tcBorders>
              <w:top w:val="nil"/>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budget (£)</w:t>
            </w:r>
          </w:p>
        </w:tc>
        <w:tc>
          <w:tcPr>
            <w:tcW w:w="960" w:type="dxa"/>
            <w:tcBorders>
              <w:top w:val="nil"/>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Budget</w:t>
            </w:r>
          </w:p>
        </w:tc>
        <w:tc>
          <w:tcPr>
            <w:tcW w:w="960" w:type="dxa"/>
            <w:tcBorders>
              <w:top w:val="nil"/>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Actual</w:t>
            </w:r>
          </w:p>
        </w:tc>
        <w:tc>
          <w:tcPr>
            <w:tcW w:w="960" w:type="dxa"/>
            <w:tcBorders>
              <w:top w:val="nil"/>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Variance</w:t>
            </w:r>
          </w:p>
        </w:tc>
        <w:tc>
          <w:tcPr>
            <w:tcW w:w="960" w:type="dxa"/>
            <w:tcBorders>
              <w:top w:val="nil"/>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 Variance</w:t>
            </w:r>
          </w:p>
        </w:tc>
        <w:tc>
          <w:tcPr>
            <w:tcW w:w="960" w:type="dxa"/>
            <w:tcBorders>
              <w:top w:val="nil"/>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Budget</w:t>
            </w:r>
          </w:p>
        </w:tc>
        <w:tc>
          <w:tcPr>
            <w:tcW w:w="960" w:type="dxa"/>
            <w:tcBorders>
              <w:top w:val="nil"/>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Actual</w:t>
            </w:r>
          </w:p>
        </w:tc>
        <w:tc>
          <w:tcPr>
            <w:tcW w:w="960" w:type="dxa"/>
            <w:tcBorders>
              <w:top w:val="nil"/>
              <w:bottom w:val="nil"/>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Variance</w:t>
            </w:r>
          </w:p>
        </w:tc>
        <w:tc>
          <w:tcPr>
            <w:tcW w:w="960" w:type="dxa"/>
            <w:tcBorders>
              <w:top w:val="nil"/>
              <w:bottom w:val="nil"/>
              <w:right w:val="single" w:sz="8" w:space="0" w:color="auto"/>
            </w:tcBorders>
            <w:shd w:val="clear" w:color="auto" w:fill="95B3D7" w:themeFill="accent1" w:themeFillTint="99"/>
            <w:hideMark/>
          </w:tcPr>
          <w:p w:rsidR="00A30F13" w:rsidRPr="00A30F13" w:rsidRDefault="00A30F13" w:rsidP="00A30F13">
            <w:pPr>
              <w:rPr>
                <w:rFonts w:ascii="Calibri" w:hAnsi="Calibri" w:cs="Calibri"/>
                <w:b/>
                <w:bCs/>
                <w:color w:val="FFFFFF"/>
                <w:sz w:val="18"/>
                <w:szCs w:val="18"/>
              </w:rPr>
            </w:pPr>
            <w:r w:rsidRPr="00A30F13">
              <w:rPr>
                <w:rFonts w:ascii="Calibri" w:hAnsi="Calibri" w:cs="Calibri"/>
                <w:b/>
                <w:bCs/>
                <w:color w:val="FFFFFF"/>
                <w:sz w:val="18"/>
                <w:szCs w:val="18"/>
              </w:rPr>
              <w:t>% Variance</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Meeting Rooms/Catering</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220,531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30,297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8,251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(22,046)</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(73%)</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220,531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218,935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(1,596)</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Office equipment/Stationery/Furniture/Consumable</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67,769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12,274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11,480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(794)</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(6%)</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67,769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45,201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(22,568)</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(33%)</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Photocopying/Printing/Postage/Storage/Waste</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159,169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15,180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8,027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(7,153)</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(47%)</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159,169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159,687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518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0%</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 xml:space="preserve">Premises - </w:t>
            </w:r>
            <w:proofErr w:type="spellStart"/>
            <w:r w:rsidRPr="00A30F13">
              <w:rPr>
                <w:rFonts w:ascii="Arial Narrow" w:hAnsi="Arial Narrow" w:cs="Calibri"/>
                <w:b/>
                <w:bCs/>
                <w:color w:val="000000"/>
                <w:sz w:val="16"/>
                <w:szCs w:val="16"/>
              </w:rPr>
              <w:t>inc</w:t>
            </w:r>
            <w:proofErr w:type="spellEnd"/>
            <w:r w:rsidRPr="00A30F13">
              <w:rPr>
                <w:rFonts w:ascii="Arial Narrow" w:hAnsi="Arial Narrow" w:cs="Calibri"/>
                <w:b/>
                <w:bCs/>
                <w:color w:val="000000"/>
                <w:sz w:val="16"/>
                <w:szCs w:val="16"/>
              </w:rPr>
              <w:t xml:space="preserve"> premise removal costs</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772,027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76,266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68,413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(7,853)</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(10%)</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772,027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758,959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(13,068)</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(2%)</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Training Expenses - expenses/materials , conferences, workshops</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116,790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41,698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41,318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(380)</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116,790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113,762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(3,028)</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(3%)</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Other Staff costs - Recruitment/adverts/redundancy/PILON</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27,000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n/a</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27,000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24,759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(2,241)</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(8%)</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Travel costs - include excess mileage/interview expenses</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592,704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52,842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100,469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47,627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90%</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592,704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634,953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42,249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7%</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Chairs/Members/Participation - activity costs</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280,710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26,994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24,613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(2,381)</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(9%)</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280,710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264,409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(16,301)</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(6%)</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Publications</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2,250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30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233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203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676%</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2,250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2,579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329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15%</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Mobile Phones/Mobile Data</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18,661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1,738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3,916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2,178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125%</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18,661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20,153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1,492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8%</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Statutory Costs - Health &amp; Safety/Legal/Audit Fees/Dep. &amp; Amort.</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549,365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197,449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173,778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(23,671)</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(12%)</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549,365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530,139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(19,226)</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(3%)</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Computer Costs - Software/licences/system maintenance/purchases</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411,172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118,162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97,371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(20,791)</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(18%)</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411,172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407,097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(4,075)</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Other External Contracts - SLA's - Premises, SBS,BSA, DH IT</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1,041,179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239,472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227,996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(11,476)</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(5%)</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1,041,179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1,045,708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4,529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0%</w:t>
            </w:r>
          </w:p>
        </w:tc>
      </w:tr>
      <w:tr w:rsidR="00A30F13" w:rsidRPr="00A30F13" w:rsidTr="00A30F13">
        <w:trPr>
          <w:trHeight w:val="300"/>
        </w:trPr>
        <w:tc>
          <w:tcPr>
            <w:tcW w:w="4460" w:type="dxa"/>
            <w:tcBorders>
              <w:top w:val="nil"/>
              <w:left w:val="nil"/>
              <w:bottom w:val="nil"/>
              <w:right w:val="nil"/>
            </w:tcBorders>
            <w:shd w:val="clear" w:color="auto" w:fill="auto"/>
            <w:noWrap/>
            <w:vAlign w:val="bottom"/>
            <w:hideMark/>
          </w:tcPr>
          <w:p w:rsidR="00A30F13" w:rsidRPr="00A30F13" w:rsidRDefault="00A30F13" w:rsidP="00A30F13">
            <w:pPr>
              <w:outlineLvl w:val="0"/>
              <w:rPr>
                <w:rFonts w:ascii="Arial Narrow" w:hAnsi="Arial Narrow" w:cs="Calibri"/>
                <w:b/>
                <w:bCs/>
                <w:color w:val="000000"/>
                <w:sz w:val="16"/>
                <w:szCs w:val="16"/>
              </w:rPr>
            </w:pPr>
            <w:r w:rsidRPr="00A30F13">
              <w:rPr>
                <w:rFonts w:ascii="Arial Narrow" w:hAnsi="Arial Narrow" w:cs="Calibri"/>
                <w:b/>
                <w:bCs/>
                <w:color w:val="000000"/>
                <w:sz w:val="16"/>
                <w:szCs w:val="16"/>
              </w:rPr>
              <w:t xml:space="preserve">Other - </w:t>
            </w:r>
            <w:proofErr w:type="spellStart"/>
            <w:r w:rsidRPr="00A30F13">
              <w:rPr>
                <w:rFonts w:ascii="Arial Narrow" w:hAnsi="Arial Narrow" w:cs="Calibri"/>
                <w:b/>
                <w:bCs/>
                <w:color w:val="000000"/>
                <w:sz w:val="16"/>
                <w:szCs w:val="16"/>
              </w:rPr>
              <w:t>Misc</w:t>
            </w:r>
            <w:proofErr w:type="spellEnd"/>
            <w:r w:rsidRPr="00A30F13">
              <w:rPr>
                <w:rFonts w:ascii="Arial Narrow" w:hAnsi="Arial Narrow" w:cs="Calibri"/>
                <w:b/>
                <w:bCs/>
                <w:color w:val="000000"/>
                <w:sz w:val="16"/>
                <w:szCs w:val="16"/>
              </w:rPr>
              <w:t>/Reserves</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174,579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174,579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312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(174,267)</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(100%)</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 xml:space="preserve">174,579 </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(4,138)</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(178,717)</w:t>
            </w:r>
          </w:p>
        </w:tc>
        <w:tc>
          <w:tcPr>
            <w:tcW w:w="960" w:type="dxa"/>
            <w:tcBorders>
              <w:top w:val="nil"/>
              <w:left w:val="nil"/>
              <w:bottom w:val="nil"/>
              <w:right w:val="nil"/>
            </w:tcBorders>
            <w:shd w:val="clear" w:color="auto" w:fill="auto"/>
            <w:hideMark/>
          </w:tcPr>
          <w:p w:rsidR="00A30F13" w:rsidRPr="00A30F13" w:rsidRDefault="00A30F13" w:rsidP="00A30F13">
            <w:pPr>
              <w:jc w:val="right"/>
              <w:outlineLvl w:val="0"/>
              <w:rPr>
                <w:rFonts w:ascii="Calibri" w:hAnsi="Calibri" w:cs="Calibri"/>
                <w:color w:val="000000"/>
                <w:sz w:val="16"/>
                <w:szCs w:val="16"/>
              </w:rPr>
            </w:pPr>
            <w:r w:rsidRPr="00A30F13">
              <w:rPr>
                <w:rFonts w:ascii="Calibri" w:hAnsi="Calibri" w:cs="Calibri"/>
                <w:color w:val="000000"/>
                <w:sz w:val="16"/>
                <w:szCs w:val="16"/>
              </w:rPr>
              <w:t>(102%)</w:t>
            </w:r>
          </w:p>
        </w:tc>
      </w:tr>
      <w:tr w:rsidR="00A30F13" w:rsidRPr="00A30F13" w:rsidTr="00AD74C8">
        <w:trPr>
          <w:trHeight w:val="300"/>
        </w:trPr>
        <w:tc>
          <w:tcPr>
            <w:tcW w:w="4460" w:type="dxa"/>
            <w:tcBorders>
              <w:top w:val="nil"/>
              <w:left w:val="nil"/>
              <w:bottom w:val="single" w:sz="8" w:space="0" w:color="auto"/>
              <w:right w:val="nil"/>
            </w:tcBorders>
            <w:shd w:val="clear" w:color="auto" w:fill="365F91" w:themeFill="accent1" w:themeFillShade="BF"/>
            <w:hideMark/>
          </w:tcPr>
          <w:p w:rsidR="00A30F13" w:rsidRPr="00AD74C8" w:rsidRDefault="00A30F13" w:rsidP="00A30F13">
            <w:pPr>
              <w:rPr>
                <w:rFonts w:ascii="Calibri" w:hAnsi="Calibri" w:cs="Calibri"/>
                <w:b/>
                <w:bCs/>
                <w:color w:val="FFFFFF" w:themeColor="background1"/>
                <w:sz w:val="22"/>
                <w:szCs w:val="22"/>
              </w:rPr>
            </w:pPr>
            <w:r w:rsidRPr="00AD74C8">
              <w:rPr>
                <w:rFonts w:ascii="Calibri" w:hAnsi="Calibri" w:cs="Calibri"/>
                <w:b/>
                <w:bCs/>
                <w:color w:val="FFFFFF" w:themeColor="background1"/>
                <w:sz w:val="22"/>
                <w:szCs w:val="22"/>
              </w:rPr>
              <w:t>Grand Total</w:t>
            </w:r>
          </w:p>
        </w:tc>
        <w:tc>
          <w:tcPr>
            <w:tcW w:w="960" w:type="dxa"/>
            <w:tcBorders>
              <w:top w:val="nil"/>
              <w:left w:val="nil"/>
              <w:bottom w:val="single" w:sz="8" w:space="0" w:color="auto"/>
              <w:right w:val="nil"/>
            </w:tcBorders>
            <w:shd w:val="clear" w:color="auto" w:fill="365F91" w:themeFill="accent1" w:themeFillShade="BF"/>
            <w:hideMark/>
          </w:tcPr>
          <w:p w:rsidR="00A30F13" w:rsidRPr="00AD74C8" w:rsidRDefault="00A30F13" w:rsidP="00A30F13">
            <w:pPr>
              <w:jc w:val="right"/>
              <w:rPr>
                <w:rFonts w:ascii="Calibri" w:hAnsi="Calibri" w:cs="Calibri"/>
                <w:b/>
                <w:bCs/>
                <w:color w:val="FFFFFF" w:themeColor="background1"/>
                <w:sz w:val="16"/>
                <w:szCs w:val="16"/>
              </w:rPr>
            </w:pPr>
            <w:r w:rsidRPr="00AD74C8">
              <w:rPr>
                <w:rFonts w:ascii="Calibri" w:hAnsi="Calibri" w:cs="Calibri"/>
                <w:b/>
                <w:bCs/>
                <w:color w:val="FFFFFF" w:themeColor="background1"/>
                <w:sz w:val="16"/>
                <w:szCs w:val="16"/>
              </w:rPr>
              <w:t xml:space="preserve">4,433,906 </w:t>
            </w:r>
          </w:p>
        </w:tc>
        <w:tc>
          <w:tcPr>
            <w:tcW w:w="960" w:type="dxa"/>
            <w:tcBorders>
              <w:top w:val="nil"/>
              <w:left w:val="nil"/>
              <w:bottom w:val="single" w:sz="8" w:space="0" w:color="auto"/>
              <w:right w:val="nil"/>
            </w:tcBorders>
            <w:shd w:val="clear" w:color="auto" w:fill="365F91" w:themeFill="accent1" w:themeFillShade="BF"/>
            <w:hideMark/>
          </w:tcPr>
          <w:p w:rsidR="00A30F13" w:rsidRPr="00AD74C8" w:rsidRDefault="00A30F13" w:rsidP="00A30F13">
            <w:pPr>
              <w:jc w:val="right"/>
              <w:rPr>
                <w:rFonts w:ascii="Calibri" w:hAnsi="Calibri" w:cs="Calibri"/>
                <w:b/>
                <w:bCs/>
                <w:color w:val="FFFFFF" w:themeColor="background1"/>
                <w:sz w:val="16"/>
                <w:szCs w:val="16"/>
              </w:rPr>
            </w:pPr>
            <w:r w:rsidRPr="00AD74C8">
              <w:rPr>
                <w:rFonts w:ascii="Calibri" w:hAnsi="Calibri" w:cs="Calibri"/>
                <w:b/>
                <w:bCs/>
                <w:color w:val="FFFFFF" w:themeColor="background1"/>
                <w:sz w:val="16"/>
                <w:szCs w:val="16"/>
              </w:rPr>
              <w:t xml:space="preserve">986,981 </w:t>
            </w:r>
          </w:p>
        </w:tc>
        <w:tc>
          <w:tcPr>
            <w:tcW w:w="960" w:type="dxa"/>
            <w:tcBorders>
              <w:top w:val="nil"/>
              <w:left w:val="nil"/>
              <w:bottom w:val="single" w:sz="8" w:space="0" w:color="auto"/>
              <w:right w:val="nil"/>
            </w:tcBorders>
            <w:shd w:val="clear" w:color="auto" w:fill="365F91" w:themeFill="accent1" w:themeFillShade="BF"/>
            <w:hideMark/>
          </w:tcPr>
          <w:p w:rsidR="00A30F13" w:rsidRPr="00AD74C8" w:rsidRDefault="00A30F13" w:rsidP="00A30F13">
            <w:pPr>
              <w:jc w:val="right"/>
              <w:rPr>
                <w:rFonts w:ascii="Calibri" w:hAnsi="Calibri" w:cs="Calibri"/>
                <w:b/>
                <w:bCs/>
                <w:color w:val="FFFFFF" w:themeColor="background1"/>
                <w:sz w:val="16"/>
                <w:szCs w:val="16"/>
              </w:rPr>
            </w:pPr>
            <w:r w:rsidRPr="00AD74C8">
              <w:rPr>
                <w:rFonts w:ascii="Calibri" w:hAnsi="Calibri" w:cs="Calibri"/>
                <w:b/>
                <w:bCs/>
                <w:color w:val="FFFFFF" w:themeColor="background1"/>
                <w:sz w:val="16"/>
                <w:szCs w:val="16"/>
              </w:rPr>
              <w:t xml:space="preserve">766,177 </w:t>
            </w:r>
          </w:p>
        </w:tc>
        <w:tc>
          <w:tcPr>
            <w:tcW w:w="960" w:type="dxa"/>
            <w:tcBorders>
              <w:top w:val="nil"/>
              <w:left w:val="nil"/>
              <w:bottom w:val="single" w:sz="8" w:space="0" w:color="auto"/>
              <w:right w:val="nil"/>
            </w:tcBorders>
            <w:shd w:val="clear" w:color="auto" w:fill="365F91" w:themeFill="accent1" w:themeFillShade="BF"/>
            <w:hideMark/>
          </w:tcPr>
          <w:p w:rsidR="00A30F13" w:rsidRPr="00AD74C8" w:rsidRDefault="00A30F13" w:rsidP="00A30F13">
            <w:pPr>
              <w:jc w:val="right"/>
              <w:rPr>
                <w:rFonts w:ascii="Calibri" w:hAnsi="Calibri" w:cs="Calibri"/>
                <w:b/>
                <w:bCs/>
                <w:color w:val="FFFFFF" w:themeColor="background1"/>
                <w:sz w:val="16"/>
                <w:szCs w:val="16"/>
              </w:rPr>
            </w:pPr>
            <w:r w:rsidRPr="00AD74C8">
              <w:rPr>
                <w:rFonts w:ascii="Calibri" w:hAnsi="Calibri" w:cs="Calibri"/>
                <w:b/>
                <w:bCs/>
                <w:color w:val="FFFFFF" w:themeColor="background1"/>
                <w:sz w:val="16"/>
                <w:szCs w:val="16"/>
              </w:rPr>
              <w:t>(220,804)</w:t>
            </w:r>
          </w:p>
        </w:tc>
        <w:tc>
          <w:tcPr>
            <w:tcW w:w="960" w:type="dxa"/>
            <w:tcBorders>
              <w:top w:val="nil"/>
              <w:left w:val="nil"/>
              <w:bottom w:val="single" w:sz="8" w:space="0" w:color="auto"/>
              <w:right w:val="nil"/>
            </w:tcBorders>
            <w:shd w:val="clear" w:color="auto" w:fill="365F91" w:themeFill="accent1" w:themeFillShade="BF"/>
            <w:hideMark/>
          </w:tcPr>
          <w:p w:rsidR="00A30F13" w:rsidRPr="00AD74C8" w:rsidRDefault="00A30F13" w:rsidP="00A30F13">
            <w:pPr>
              <w:jc w:val="right"/>
              <w:rPr>
                <w:rFonts w:ascii="Calibri" w:hAnsi="Calibri" w:cs="Calibri"/>
                <w:b/>
                <w:bCs/>
                <w:color w:val="FFFFFF" w:themeColor="background1"/>
                <w:sz w:val="16"/>
                <w:szCs w:val="16"/>
              </w:rPr>
            </w:pPr>
            <w:r w:rsidRPr="00AD74C8">
              <w:rPr>
                <w:rFonts w:ascii="Calibri" w:hAnsi="Calibri" w:cs="Calibri"/>
                <w:b/>
                <w:bCs/>
                <w:color w:val="FFFFFF" w:themeColor="background1"/>
                <w:sz w:val="16"/>
                <w:szCs w:val="16"/>
              </w:rPr>
              <w:t>(22%)</w:t>
            </w:r>
          </w:p>
        </w:tc>
        <w:tc>
          <w:tcPr>
            <w:tcW w:w="960" w:type="dxa"/>
            <w:tcBorders>
              <w:top w:val="nil"/>
              <w:left w:val="nil"/>
              <w:bottom w:val="single" w:sz="8" w:space="0" w:color="auto"/>
              <w:right w:val="nil"/>
            </w:tcBorders>
            <w:shd w:val="clear" w:color="auto" w:fill="365F91" w:themeFill="accent1" w:themeFillShade="BF"/>
            <w:hideMark/>
          </w:tcPr>
          <w:p w:rsidR="00A30F13" w:rsidRPr="00AD74C8" w:rsidRDefault="00A30F13" w:rsidP="00A30F13">
            <w:pPr>
              <w:jc w:val="right"/>
              <w:rPr>
                <w:rFonts w:ascii="Calibri" w:hAnsi="Calibri" w:cs="Calibri"/>
                <w:b/>
                <w:bCs/>
                <w:color w:val="FFFFFF" w:themeColor="background1"/>
                <w:sz w:val="16"/>
                <w:szCs w:val="16"/>
              </w:rPr>
            </w:pPr>
            <w:r w:rsidRPr="00AD74C8">
              <w:rPr>
                <w:rFonts w:ascii="Calibri" w:hAnsi="Calibri" w:cs="Calibri"/>
                <w:b/>
                <w:bCs/>
                <w:color w:val="FFFFFF" w:themeColor="background1"/>
                <w:sz w:val="16"/>
                <w:szCs w:val="16"/>
              </w:rPr>
              <w:t xml:space="preserve">4,433,906 </w:t>
            </w:r>
          </w:p>
        </w:tc>
        <w:tc>
          <w:tcPr>
            <w:tcW w:w="960" w:type="dxa"/>
            <w:tcBorders>
              <w:top w:val="nil"/>
              <w:left w:val="nil"/>
              <w:bottom w:val="single" w:sz="8" w:space="0" w:color="auto"/>
              <w:right w:val="nil"/>
            </w:tcBorders>
            <w:shd w:val="clear" w:color="auto" w:fill="365F91" w:themeFill="accent1" w:themeFillShade="BF"/>
            <w:hideMark/>
          </w:tcPr>
          <w:p w:rsidR="00A30F13" w:rsidRPr="00AD74C8" w:rsidRDefault="00A30F13" w:rsidP="00A30F13">
            <w:pPr>
              <w:jc w:val="right"/>
              <w:rPr>
                <w:rFonts w:ascii="Calibri" w:hAnsi="Calibri" w:cs="Calibri"/>
                <w:b/>
                <w:bCs/>
                <w:color w:val="FFFFFF" w:themeColor="background1"/>
                <w:sz w:val="16"/>
                <w:szCs w:val="16"/>
              </w:rPr>
            </w:pPr>
            <w:r w:rsidRPr="00AD74C8">
              <w:rPr>
                <w:rFonts w:ascii="Calibri" w:hAnsi="Calibri" w:cs="Calibri"/>
                <w:b/>
                <w:bCs/>
                <w:color w:val="FFFFFF" w:themeColor="background1"/>
                <w:sz w:val="16"/>
                <w:szCs w:val="16"/>
              </w:rPr>
              <w:t xml:space="preserve">4,222,204 </w:t>
            </w:r>
          </w:p>
        </w:tc>
        <w:tc>
          <w:tcPr>
            <w:tcW w:w="960" w:type="dxa"/>
            <w:tcBorders>
              <w:top w:val="nil"/>
              <w:left w:val="nil"/>
              <w:bottom w:val="single" w:sz="8" w:space="0" w:color="auto"/>
              <w:right w:val="nil"/>
            </w:tcBorders>
            <w:shd w:val="clear" w:color="auto" w:fill="365F91" w:themeFill="accent1" w:themeFillShade="BF"/>
            <w:hideMark/>
          </w:tcPr>
          <w:p w:rsidR="00A30F13" w:rsidRPr="00AD74C8" w:rsidRDefault="00A30F13" w:rsidP="00A30F13">
            <w:pPr>
              <w:jc w:val="right"/>
              <w:rPr>
                <w:rFonts w:ascii="Calibri" w:hAnsi="Calibri" w:cs="Calibri"/>
                <w:b/>
                <w:bCs/>
                <w:color w:val="FFFFFF" w:themeColor="background1"/>
                <w:sz w:val="16"/>
                <w:szCs w:val="16"/>
              </w:rPr>
            </w:pPr>
            <w:r w:rsidRPr="00AD74C8">
              <w:rPr>
                <w:rFonts w:ascii="Calibri" w:hAnsi="Calibri" w:cs="Calibri"/>
                <w:b/>
                <w:bCs/>
                <w:color w:val="FFFFFF" w:themeColor="background1"/>
                <w:sz w:val="16"/>
                <w:szCs w:val="16"/>
              </w:rPr>
              <w:t>(211,702)</w:t>
            </w:r>
          </w:p>
        </w:tc>
        <w:tc>
          <w:tcPr>
            <w:tcW w:w="960" w:type="dxa"/>
            <w:tcBorders>
              <w:top w:val="nil"/>
              <w:left w:val="nil"/>
              <w:bottom w:val="single" w:sz="8" w:space="0" w:color="auto"/>
              <w:right w:val="nil"/>
            </w:tcBorders>
            <w:shd w:val="clear" w:color="auto" w:fill="365F91" w:themeFill="accent1" w:themeFillShade="BF"/>
            <w:hideMark/>
          </w:tcPr>
          <w:p w:rsidR="00A30F13" w:rsidRPr="00AD74C8" w:rsidRDefault="00A30F13" w:rsidP="00A30F13">
            <w:pPr>
              <w:jc w:val="right"/>
              <w:rPr>
                <w:rFonts w:ascii="Calibri" w:hAnsi="Calibri" w:cs="Calibri"/>
                <w:b/>
                <w:bCs/>
                <w:color w:val="FFFFFF" w:themeColor="background1"/>
                <w:sz w:val="16"/>
                <w:szCs w:val="16"/>
              </w:rPr>
            </w:pPr>
            <w:r w:rsidRPr="00AD74C8">
              <w:rPr>
                <w:rFonts w:ascii="Calibri" w:hAnsi="Calibri" w:cs="Calibri"/>
                <w:b/>
                <w:bCs/>
                <w:color w:val="FFFFFF" w:themeColor="background1"/>
                <w:sz w:val="16"/>
                <w:szCs w:val="16"/>
              </w:rPr>
              <w:t>(5%)</w:t>
            </w:r>
          </w:p>
        </w:tc>
      </w:tr>
      <w:tr w:rsidR="00C80EBC" w:rsidRPr="00C80EBC" w:rsidTr="00A30F13">
        <w:trPr>
          <w:trHeight w:val="300"/>
        </w:trPr>
        <w:tc>
          <w:tcPr>
            <w:tcW w:w="4460" w:type="dxa"/>
            <w:tcBorders>
              <w:top w:val="nil"/>
              <w:left w:val="nil"/>
              <w:bottom w:val="nil"/>
              <w:right w:val="nil"/>
            </w:tcBorders>
            <w:shd w:val="clear" w:color="auto" w:fill="auto"/>
            <w:noWrap/>
            <w:vAlign w:val="bottom"/>
          </w:tcPr>
          <w:p w:rsidR="00C80EBC" w:rsidRPr="00C80EBC" w:rsidRDefault="00C80EBC" w:rsidP="00C80EBC">
            <w:pPr>
              <w:outlineLvl w:val="0"/>
              <w:rPr>
                <w:rFonts w:ascii="Arial Narrow" w:hAnsi="Arial Narrow" w:cs="Calibri"/>
                <w:b/>
                <w:bCs/>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r>
      <w:tr w:rsidR="00C80EBC" w:rsidRPr="00C80EBC" w:rsidTr="00A30F13">
        <w:trPr>
          <w:trHeight w:val="300"/>
        </w:trPr>
        <w:tc>
          <w:tcPr>
            <w:tcW w:w="4460" w:type="dxa"/>
            <w:tcBorders>
              <w:top w:val="nil"/>
              <w:left w:val="nil"/>
              <w:bottom w:val="nil"/>
              <w:right w:val="nil"/>
            </w:tcBorders>
            <w:shd w:val="clear" w:color="auto" w:fill="auto"/>
            <w:noWrap/>
            <w:vAlign w:val="bottom"/>
          </w:tcPr>
          <w:p w:rsidR="00C80EBC" w:rsidRPr="00C80EBC" w:rsidRDefault="00C80EBC" w:rsidP="00C80EBC">
            <w:pPr>
              <w:outlineLvl w:val="0"/>
              <w:rPr>
                <w:rFonts w:ascii="Arial Narrow" w:hAnsi="Arial Narrow" w:cs="Calibri"/>
                <w:b/>
                <w:bCs/>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r>
    </w:tbl>
    <w:p w:rsidR="004D48AE" w:rsidRDefault="004D48AE" w:rsidP="00B34A94">
      <w:pPr>
        <w:spacing w:line="276" w:lineRule="auto"/>
        <w:rPr>
          <w:rFonts w:ascii="Arial" w:hAnsi="Arial" w:cs="Arial"/>
          <w:b/>
          <w:sz w:val="22"/>
          <w:szCs w:val="22"/>
        </w:rPr>
      </w:pPr>
    </w:p>
    <w:sectPr w:rsidR="004D48AE" w:rsidSect="00707D4B">
      <w:pgSz w:w="16838" w:h="11906" w:orient="landscape"/>
      <w:pgMar w:top="902" w:right="709" w:bottom="99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13" w:rsidRDefault="00A30F13" w:rsidP="00412C00">
      <w:r>
        <w:separator/>
      </w:r>
    </w:p>
  </w:endnote>
  <w:endnote w:type="continuationSeparator" w:id="0">
    <w:p w:rsidR="00A30F13" w:rsidRDefault="00A30F13"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A30F13" w:rsidRPr="00195D4C" w:rsidRDefault="00A30F13">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F94723">
          <w:rPr>
            <w:rFonts w:ascii="Arial" w:hAnsi="Arial"/>
            <w:noProof/>
            <w:sz w:val="16"/>
          </w:rPr>
          <w:t>1</w:t>
        </w:r>
        <w:r w:rsidRPr="00195D4C">
          <w:rPr>
            <w:rFonts w:ascii="Arial" w:hAnsi="Arial"/>
            <w:noProof/>
            <w:sz w:val="16"/>
          </w:rPr>
          <w:fldChar w:fldCharType="end"/>
        </w:r>
      </w:p>
    </w:sdtContent>
  </w:sdt>
  <w:p w:rsidR="00A30F13" w:rsidRDefault="00A30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13" w:rsidRDefault="00A30F13" w:rsidP="00412C00">
      <w:r>
        <w:separator/>
      </w:r>
    </w:p>
  </w:footnote>
  <w:footnote w:type="continuationSeparator" w:id="0">
    <w:p w:rsidR="00A30F13" w:rsidRDefault="00A30F13"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13" w:rsidRDefault="00A30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AD70165"/>
    <w:multiLevelType w:val="hybridMultilevel"/>
    <w:tmpl w:val="A27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81567E2"/>
    <w:multiLevelType w:val="hybridMultilevel"/>
    <w:tmpl w:val="30D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3C6BD8"/>
    <w:multiLevelType w:val="hybridMultilevel"/>
    <w:tmpl w:val="FFE82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2">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42365D63"/>
    <w:multiLevelType w:val="hybridMultilevel"/>
    <w:tmpl w:val="95D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7">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9449AB"/>
    <w:multiLevelType w:val="hybridMultilevel"/>
    <w:tmpl w:val="B6C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AD4B64"/>
    <w:multiLevelType w:val="hybridMultilevel"/>
    <w:tmpl w:val="D5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7D6FD7"/>
    <w:multiLevelType w:val="hybridMultilevel"/>
    <w:tmpl w:val="DF5A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
  </w:num>
  <w:num w:numId="3">
    <w:abstractNumId w:val="11"/>
  </w:num>
  <w:num w:numId="4">
    <w:abstractNumId w:val="36"/>
  </w:num>
  <w:num w:numId="5">
    <w:abstractNumId w:val="23"/>
  </w:num>
  <w:num w:numId="6">
    <w:abstractNumId w:val="4"/>
  </w:num>
  <w:num w:numId="7">
    <w:abstractNumId w:val="5"/>
  </w:num>
  <w:num w:numId="8">
    <w:abstractNumId w:val="29"/>
  </w:num>
  <w:num w:numId="9">
    <w:abstractNumId w:val="17"/>
  </w:num>
  <w:num w:numId="10">
    <w:abstractNumId w:val="12"/>
  </w:num>
  <w:num w:numId="11">
    <w:abstractNumId w:val="10"/>
  </w:num>
  <w:num w:numId="12">
    <w:abstractNumId w:val="0"/>
  </w:num>
  <w:num w:numId="13">
    <w:abstractNumId w:val="6"/>
  </w:num>
  <w:num w:numId="14">
    <w:abstractNumId w:val="16"/>
  </w:num>
  <w:num w:numId="15">
    <w:abstractNumId w:val="3"/>
  </w:num>
  <w:num w:numId="16">
    <w:abstractNumId w:val="30"/>
  </w:num>
  <w:num w:numId="17">
    <w:abstractNumId w:val="35"/>
  </w:num>
  <w:num w:numId="18">
    <w:abstractNumId w:val="25"/>
  </w:num>
  <w:num w:numId="19">
    <w:abstractNumId w:val="18"/>
  </w:num>
  <w:num w:numId="20">
    <w:abstractNumId w:val="27"/>
  </w:num>
  <w:num w:numId="21">
    <w:abstractNumId w:val="26"/>
  </w:num>
  <w:num w:numId="22">
    <w:abstractNumId w:val="9"/>
  </w:num>
  <w:num w:numId="23">
    <w:abstractNumId w:val="21"/>
  </w:num>
  <w:num w:numId="24">
    <w:abstractNumId w:val="34"/>
  </w:num>
  <w:num w:numId="25">
    <w:abstractNumId w:val="31"/>
  </w:num>
  <w:num w:numId="26">
    <w:abstractNumId w:val="13"/>
  </w:num>
  <w:num w:numId="27">
    <w:abstractNumId w:val="24"/>
  </w:num>
  <w:num w:numId="28">
    <w:abstractNumId w:val="37"/>
  </w:num>
  <w:num w:numId="29">
    <w:abstractNumId w:val="20"/>
  </w:num>
  <w:num w:numId="30">
    <w:abstractNumId w:val="28"/>
  </w:num>
  <w:num w:numId="31">
    <w:abstractNumId w:val="14"/>
  </w:num>
  <w:num w:numId="32">
    <w:abstractNumId w:val="22"/>
  </w:num>
  <w:num w:numId="33">
    <w:abstractNumId w:val="1"/>
  </w:num>
  <w:num w:numId="34">
    <w:abstractNumId w:val="32"/>
  </w:num>
  <w:num w:numId="35">
    <w:abstractNumId w:val="7"/>
  </w:num>
  <w:num w:numId="36">
    <w:abstractNumId w:val="19"/>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06BA4"/>
    <w:rsid w:val="00007DD1"/>
    <w:rsid w:val="00011FDF"/>
    <w:rsid w:val="00012A71"/>
    <w:rsid w:val="000140FE"/>
    <w:rsid w:val="00015D1D"/>
    <w:rsid w:val="0001646D"/>
    <w:rsid w:val="00016856"/>
    <w:rsid w:val="00017760"/>
    <w:rsid w:val="000200FA"/>
    <w:rsid w:val="00020E2E"/>
    <w:rsid w:val="000217E9"/>
    <w:rsid w:val="00021ABB"/>
    <w:rsid w:val="00022301"/>
    <w:rsid w:val="0002376C"/>
    <w:rsid w:val="000239F7"/>
    <w:rsid w:val="0002461E"/>
    <w:rsid w:val="00024BC8"/>
    <w:rsid w:val="000271F4"/>
    <w:rsid w:val="00030167"/>
    <w:rsid w:val="00032034"/>
    <w:rsid w:val="0003250E"/>
    <w:rsid w:val="00033BC9"/>
    <w:rsid w:val="00033FF1"/>
    <w:rsid w:val="00034A25"/>
    <w:rsid w:val="00034D0F"/>
    <w:rsid w:val="00035367"/>
    <w:rsid w:val="0003758C"/>
    <w:rsid w:val="00037838"/>
    <w:rsid w:val="00040F35"/>
    <w:rsid w:val="0004137A"/>
    <w:rsid w:val="00042A65"/>
    <w:rsid w:val="0004366E"/>
    <w:rsid w:val="0004442F"/>
    <w:rsid w:val="00044467"/>
    <w:rsid w:val="0004446C"/>
    <w:rsid w:val="00044D07"/>
    <w:rsid w:val="00045648"/>
    <w:rsid w:val="00047960"/>
    <w:rsid w:val="00052048"/>
    <w:rsid w:val="0005228C"/>
    <w:rsid w:val="00053090"/>
    <w:rsid w:val="00054430"/>
    <w:rsid w:val="000550DF"/>
    <w:rsid w:val="00055303"/>
    <w:rsid w:val="00055506"/>
    <w:rsid w:val="00056576"/>
    <w:rsid w:val="0006158F"/>
    <w:rsid w:val="00062DFD"/>
    <w:rsid w:val="0006430C"/>
    <w:rsid w:val="000658EF"/>
    <w:rsid w:val="0006597A"/>
    <w:rsid w:val="00065E53"/>
    <w:rsid w:val="00066196"/>
    <w:rsid w:val="0006732B"/>
    <w:rsid w:val="00070A74"/>
    <w:rsid w:val="000719DD"/>
    <w:rsid w:val="00072739"/>
    <w:rsid w:val="00075A82"/>
    <w:rsid w:val="000776EB"/>
    <w:rsid w:val="0008641C"/>
    <w:rsid w:val="0008642A"/>
    <w:rsid w:val="00086661"/>
    <w:rsid w:val="00086665"/>
    <w:rsid w:val="000868B4"/>
    <w:rsid w:val="00087B0A"/>
    <w:rsid w:val="00090AC3"/>
    <w:rsid w:val="00091B76"/>
    <w:rsid w:val="00091F54"/>
    <w:rsid w:val="00092A9E"/>
    <w:rsid w:val="000949D1"/>
    <w:rsid w:val="000958EB"/>
    <w:rsid w:val="0009591A"/>
    <w:rsid w:val="00096422"/>
    <w:rsid w:val="0009793E"/>
    <w:rsid w:val="000A0F37"/>
    <w:rsid w:val="000A469D"/>
    <w:rsid w:val="000A5374"/>
    <w:rsid w:val="000B1B00"/>
    <w:rsid w:val="000B2EF8"/>
    <w:rsid w:val="000B483A"/>
    <w:rsid w:val="000B79E8"/>
    <w:rsid w:val="000C0ACC"/>
    <w:rsid w:val="000C1D47"/>
    <w:rsid w:val="000C1DF1"/>
    <w:rsid w:val="000C29D5"/>
    <w:rsid w:val="000C5914"/>
    <w:rsid w:val="000C6150"/>
    <w:rsid w:val="000C6D92"/>
    <w:rsid w:val="000D0C92"/>
    <w:rsid w:val="000D1E92"/>
    <w:rsid w:val="000D2212"/>
    <w:rsid w:val="000D2990"/>
    <w:rsid w:val="000D2D89"/>
    <w:rsid w:val="000D2F24"/>
    <w:rsid w:val="000D3D3A"/>
    <w:rsid w:val="000D3DBD"/>
    <w:rsid w:val="000D4339"/>
    <w:rsid w:val="000D4449"/>
    <w:rsid w:val="000D471E"/>
    <w:rsid w:val="000D47A6"/>
    <w:rsid w:val="000D5B3D"/>
    <w:rsid w:val="000D6B10"/>
    <w:rsid w:val="000D6E69"/>
    <w:rsid w:val="000D711F"/>
    <w:rsid w:val="000D7316"/>
    <w:rsid w:val="000E0B72"/>
    <w:rsid w:val="000E2B98"/>
    <w:rsid w:val="000E66A4"/>
    <w:rsid w:val="000E694D"/>
    <w:rsid w:val="000E771A"/>
    <w:rsid w:val="000E7FD2"/>
    <w:rsid w:val="000F0C7B"/>
    <w:rsid w:val="000F15BA"/>
    <w:rsid w:val="000F27AB"/>
    <w:rsid w:val="000F2E5B"/>
    <w:rsid w:val="000F4DF3"/>
    <w:rsid w:val="000F612E"/>
    <w:rsid w:val="000F669F"/>
    <w:rsid w:val="000F7175"/>
    <w:rsid w:val="000F71C0"/>
    <w:rsid w:val="0010188D"/>
    <w:rsid w:val="00105649"/>
    <w:rsid w:val="00105927"/>
    <w:rsid w:val="001059BA"/>
    <w:rsid w:val="00106106"/>
    <w:rsid w:val="00106232"/>
    <w:rsid w:val="00107767"/>
    <w:rsid w:val="00111951"/>
    <w:rsid w:val="0011341B"/>
    <w:rsid w:val="001138E6"/>
    <w:rsid w:val="0011557E"/>
    <w:rsid w:val="00115E84"/>
    <w:rsid w:val="00116098"/>
    <w:rsid w:val="001166D1"/>
    <w:rsid w:val="00122DA1"/>
    <w:rsid w:val="00123FF0"/>
    <w:rsid w:val="00124893"/>
    <w:rsid w:val="00124AA3"/>
    <w:rsid w:val="00124E28"/>
    <w:rsid w:val="00127B75"/>
    <w:rsid w:val="00127C34"/>
    <w:rsid w:val="00130783"/>
    <w:rsid w:val="00132DB0"/>
    <w:rsid w:val="001339A4"/>
    <w:rsid w:val="00135C17"/>
    <w:rsid w:val="00136DAB"/>
    <w:rsid w:val="0013718B"/>
    <w:rsid w:val="001415A5"/>
    <w:rsid w:val="00143415"/>
    <w:rsid w:val="00143E29"/>
    <w:rsid w:val="00145DEA"/>
    <w:rsid w:val="001504B0"/>
    <w:rsid w:val="00150CE4"/>
    <w:rsid w:val="001516FA"/>
    <w:rsid w:val="001528FE"/>
    <w:rsid w:val="0015351D"/>
    <w:rsid w:val="00153A62"/>
    <w:rsid w:val="00153E82"/>
    <w:rsid w:val="001540D4"/>
    <w:rsid w:val="00154E36"/>
    <w:rsid w:val="00156315"/>
    <w:rsid w:val="0016044C"/>
    <w:rsid w:val="001609ED"/>
    <w:rsid w:val="00160F9B"/>
    <w:rsid w:val="0016158F"/>
    <w:rsid w:val="00161C29"/>
    <w:rsid w:val="00162CB2"/>
    <w:rsid w:val="00163364"/>
    <w:rsid w:val="00163A5A"/>
    <w:rsid w:val="00165567"/>
    <w:rsid w:val="00165D47"/>
    <w:rsid w:val="001677C5"/>
    <w:rsid w:val="001679C3"/>
    <w:rsid w:val="00167A33"/>
    <w:rsid w:val="00167B08"/>
    <w:rsid w:val="00167EFA"/>
    <w:rsid w:val="00171C23"/>
    <w:rsid w:val="001721FC"/>
    <w:rsid w:val="00172DD0"/>
    <w:rsid w:val="00181165"/>
    <w:rsid w:val="00181BB8"/>
    <w:rsid w:val="00182577"/>
    <w:rsid w:val="00182D5E"/>
    <w:rsid w:val="001839DD"/>
    <w:rsid w:val="00185C18"/>
    <w:rsid w:val="0018609F"/>
    <w:rsid w:val="00187F7B"/>
    <w:rsid w:val="0019002F"/>
    <w:rsid w:val="001924BC"/>
    <w:rsid w:val="00192D07"/>
    <w:rsid w:val="001931DA"/>
    <w:rsid w:val="00194497"/>
    <w:rsid w:val="00194AB0"/>
    <w:rsid w:val="00194FFE"/>
    <w:rsid w:val="00195D4C"/>
    <w:rsid w:val="001965A9"/>
    <w:rsid w:val="001A01D0"/>
    <w:rsid w:val="001A1F7B"/>
    <w:rsid w:val="001A2303"/>
    <w:rsid w:val="001A387F"/>
    <w:rsid w:val="001A6027"/>
    <w:rsid w:val="001A7ECD"/>
    <w:rsid w:val="001B0417"/>
    <w:rsid w:val="001B085C"/>
    <w:rsid w:val="001B0CA4"/>
    <w:rsid w:val="001B12BA"/>
    <w:rsid w:val="001B1E04"/>
    <w:rsid w:val="001B3CD0"/>
    <w:rsid w:val="001B4F9E"/>
    <w:rsid w:val="001B52B4"/>
    <w:rsid w:val="001B669B"/>
    <w:rsid w:val="001B686D"/>
    <w:rsid w:val="001C2AB3"/>
    <w:rsid w:val="001C4432"/>
    <w:rsid w:val="001C63CB"/>
    <w:rsid w:val="001C6861"/>
    <w:rsid w:val="001C6A8A"/>
    <w:rsid w:val="001C6C26"/>
    <w:rsid w:val="001D039E"/>
    <w:rsid w:val="001D083E"/>
    <w:rsid w:val="001D1C69"/>
    <w:rsid w:val="001D5F0F"/>
    <w:rsid w:val="001D6A8C"/>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4E97"/>
    <w:rsid w:val="0020685D"/>
    <w:rsid w:val="002071FA"/>
    <w:rsid w:val="0020721C"/>
    <w:rsid w:val="00210D21"/>
    <w:rsid w:val="00210E3A"/>
    <w:rsid w:val="002132A1"/>
    <w:rsid w:val="002132BF"/>
    <w:rsid w:val="00215D81"/>
    <w:rsid w:val="00217F4F"/>
    <w:rsid w:val="002220C8"/>
    <w:rsid w:val="002228B6"/>
    <w:rsid w:val="00222CFA"/>
    <w:rsid w:val="00222E1A"/>
    <w:rsid w:val="0022372A"/>
    <w:rsid w:val="00225904"/>
    <w:rsid w:val="002260C0"/>
    <w:rsid w:val="00226834"/>
    <w:rsid w:val="002279D6"/>
    <w:rsid w:val="002303C6"/>
    <w:rsid w:val="00232B6B"/>
    <w:rsid w:val="0023394B"/>
    <w:rsid w:val="00234F1A"/>
    <w:rsid w:val="00236B2E"/>
    <w:rsid w:val="00237BF3"/>
    <w:rsid w:val="00237F3F"/>
    <w:rsid w:val="00240999"/>
    <w:rsid w:val="00241A21"/>
    <w:rsid w:val="002436F9"/>
    <w:rsid w:val="00243A93"/>
    <w:rsid w:val="002441AD"/>
    <w:rsid w:val="00244AB6"/>
    <w:rsid w:val="002450FB"/>
    <w:rsid w:val="0024691C"/>
    <w:rsid w:val="0024697B"/>
    <w:rsid w:val="002472C7"/>
    <w:rsid w:val="0025092F"/>
    <w:rsid w:val="002510CE"/>
    <w:rsid w:val="00252EDF"/>
    <w:rsid w:val="0025337B"/>
    <w:rsid w:val="0025472D"/>
    <w:rsid w:val="00254D93"/>
    <w:rsid w:val="0025538B"/>
    <w:rsid w:val="00255578"/>
    <w:rsid w:val="002570C1"/>
    <w:rsid w:val="002574E5"/>
    <w:rsid w:val="00257A11"/>
    <w:rsid w:val="00262B57"/>
    <w:rsid w:val="00262D70"/>
    <w:rsid w:val="00264356"/>
    <w:rsid w:val="00265C5D"/>
    <w:rsid w:val="002672C3"/>
    <w:rsid w:val="002675C3"/>
    <w:rsid w:val="00271399"/>
    <w:rsid w:val="0027173D"/>
    <w:rsid w:val="00271847"/>
    <w:rsid w:val="00272143"/>
    <w:rsid w:val="00272AA5"/>
    <w:rsid w:val="00272C4C"/>
    <w:rsid w:val="00273148"/>
    <w:rsid w:val="00273479"/>
    <w:rsid w:val="00273C65"/>
    <w:rsid w:val="00274232"/>
    <w:rsid w:val="00275BC6"/>
    <w:rsid w:val="00277DB0"/>
    <w:rsid w:val="0028079F"/>
    <w:rsid w:val="002823E9"/>
    <w:rsid w:val="00285E21"/>
    <w:rsid w:val="00286591"/>
    <w:rsid w:val="00286A07"/>
    <w:rsid w:val="00286A74"/>
    <w:rsid w:val="00286BA4"/>
    <w:rsid w:val="002905D6"/>
    <w:rsid w:val="00290CF7"/>
    <w:rsid w:val="002914D3"/>
    <w:rsid w:val="0029266C"/>
    <w:rsid w:val="00292E08"/>
    <w:rsid w:val="00297100"/>
    <w:rsid w:val="002974DC"/>
    <w:rsid w:val="002A13D0"/>
    <w:rsid w:val="002A6EF8"/>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D1079"/>
    <w:rsid w:val="002D19A0"/>
    <w:rsid w:val="002D2375"/>
    <w:rsid w:val="002D25C2"/>
    <w:rsid w:val="002D34F7"/>
    <w:rsid w:val="002D3762"/>
    <w:rsid w:val="002D3FD2"/>
    <w:rsid w:val="002D4299"/>
    <w:rsid w:val="002E0613"/>
    <w:rsid w:val="002E2A25"/>
    <w:rsid w:val="002E2D66"/>
    <w:rsid w:val="002E3A3E"/>
    <w:rsid w:val="002E488E"/>
    <w:rsid w:val="002E5EDF"/>
    <w:rsid w:val="002E68D4"/>
    <w:rsid w:val="002E7A27"/>
    <w:rsid w:val="002E7DBF"/>
    <w:rsid w:val="002F0239"/>
    <w:rsid w:val="002F0DFF"/>
    <w:rsid w:val="002F2264"/>
    <w:rsid w:val="002F3A55"/>
    <w:rsid w:val="002F4277"/>
    <w:rsid w:val="002F5E6A"/>
    <w:rsid w:val="002F75F6"/>
    <w:rsid w:val="003001BE"/>
    <w:rsid w:val="00301714"/>
    <w:rsid w:val="00301D79"/>
    <w:rsid w:val="003047AB"/>
    <w:rsid w:val="00305DE9"/>
    <w:rsid w:val="00306328"/>
    <w:rsid w:val="00306F9F"/>
    <w:rsid w:val="0030786C"/>
    <w:rsid w:val="003078FC"/>
    <w:rsid w:val="00307E54"/>
    <w:rsid w:val="00307FB7"/>
    <w:rsid w:val="00310095"/>
    <w:rsid w:val="00310852"/>
    <w:rsid w:val="00311080"/>
    <w:rsid w:val="00312045"/>
    <w:rsid w:val="00313F03"/>
    <w:rsid w:val="0031502B"/>
    <w:rsid w:val="00315375"/>
    <w:rsid w:val="0031644E"/>
    <w:rsid w:val="00316468"/>
    <w:rsid w:val="00316BE4"/>
    <w:rsid w:val="003171A7"/>
    <w:rsid w:val="003179D5"/>
    <w:rsid w:val="00320F7E"/>
    <w:rsid w:val="00322070"/>
    <w:rsid w:val="00323ABE"/>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2A2"/>
    <w:rsid w:val="0035681C"/>
    <w:rsid w:val="00357BF3"/>
    <w:rsid w:val="00360238"/>
    <w:rsid w:val="00361367"/>
    <w:rsid w:val="00361479"/>
    <w:rsid w:val="00364482"/>
    <w:rsid w:val="00366C8F"/>
    <w:rsid w:val="00367080"/>
    <w:rsid w:val="00375EE1"/>
    <w:rsid w:val="003764E7"/>
    <w:rsid w:val="003771DA"/>
    <w:rsid w:val="003837D4"/>
    <w:rsid w:val="00386586"/>
    <w:rsid w:val="00386AD1"/>
    <w:rsid w:val="00386ED9"/>
    <w:rsid w:val="0039070C"/>
    <w:rsid w:val="003914C4"/>
    <w:rsid w:val="0039154E"/>
    <w:rsid w:val="00391CF2"/>
    <w:rsid w:val="00392A4F"/>
    <w:rsid w:val="00392D76"/>
    <w:rsid w:val="003930D4"/>
    <w:rsid w:val="00393BEC"/>
    <w:rsid w:val="00395C0A"/>
    <w:rsid w:val="00395FF4"/>
    <w:rsid w:val="0039756E"/>
    <w:rsid w:val="003A1D2D"/>
    <w:rsid w:val="003A3805"/>
    <w:rsid w:val="003A41AE"/>
    <w:rsid w:val="003A42A7"/>
    <w:rsid w:val="003A4D87"/>
    <w:rsid w:val="003B135C"/>
    <w:rsid w:val="003B2F1E"/>
    <w:rsid w:val="003B2F87"/>
    <w:rsid w:val="003B711A"/>
    <w:rsid w:val="003C0EA6"/>
    <w:rsid w:val="003C121B"/>
    <w:rsid w:val="003C1D2F"/>
    <w:rsid w:val="003C2211"/>
    <w:rsid w:val="003C483B"/>
    <w:rsid w:val="003C64BE"/>
    <w:rsid w:val="003C6EBD"/>
    <w:rsid w:val="003D17A0"/>
    <w:rsid w:val="003D18BA"/>
    <w:rsid w:val="003D211B"/>
    <w:rsid w:val="003D2D79"/>
    <w:rsid w:val="003D449D"/>
    <w:rsid w:val="003D4747"/>
    <w:rsid w:val="003D54A5"/>
    <w:rsid w:val="003D5874"/>
    <w:rsid w:val="003D7263"/>
    <w:rsid w:val="003D76E0"/>
    <w:rsid w:val="003E0E56"/>
    <w:rsid w:val="003E2D72"/>
    <w:rsid w:val="003E2F76"/>
    <w:rsid w:val="003E3D23"/>
    <w:rsid w:val="003E70FC"/>
    <w:rsid w:val="003F3BB4"/>
    <w:rsid w:val="003F57C1"/>
    <w:rsid w:val="00401265"/>
    <w:rsid w:val="00403E01"/>
    <w:rsid w:val="00405763"/>
    <w:rsid w:val="00406C23"/>
    <w:rsid w:val="0040751E"/>
    <w:rsid w:val="00411FE9"/>
    <w:rsid w:val="00412C00"/>
    <w:rsid w:val="00412F67"/>
    <w:rsid w:val="00413148"/>
    <w:rsid w:val="00413357"/>
    <w:rsid w:val="004159BE"/>
    <w:rsid w:val="00416EA8"/>
    <w:rsid w:val="0042029E"/>
    <w:rsid w:val="00421288"/>
    <w:rsid w:val="0042146B"/>
    <w:rsid w:val="004226F6"/>
    <w:rsid w:val="00422BCD"/>
    <w:rsid w:val="00423AEF"/>
    <w:rsid w:val="00425BAC"/>
    <w:rsid w:val="00425DFA"/>
    <w:rsid w:val="004308A8"/>
    <w:rsid w:val="00430D14"/>
    <w:rsid w:val="00431F96"/>
    <w:rsid w:val="00435640"/>
    <w:rsid w:val="004365C6"/>
    <w:rsid w:val="0043662D"/>
    <w:rsid w:val="004405C3"/>
    <w:rsid w:val="00440BCB"/>
    <w:rsid w:val="00441C97"/>
    <w:rsid w:val="00442D4D"/>
    <w:rsid w:val="004458A7"/>
    <w:rsid w:val="00445C3C"/>
    <w:rsid w:val="0044673F"/>
    <w:rsid w:val="00447C0C"/>
    <w:rsid w:val="00447D56"/>
    <w:rsid w:val="00450E4B"/>
    <w:rsid w:val="004516BD"/>
    <w:rsid w:val="00453EFB"/>
    <w:rsid w:val="00454254"/>
    <w:rsid w:val="00461A11"/>
    <w:rsid w:val="00461E1B"/>
    <w:rsid w:val="004639EE"/>
    <w:rsid w:val="00467605"/>
    <w:rsid w:val="00467624"/>
    <w:rsid w:val="00467649"/>
    <w:rsid w:val="0047014D"/>
    <w:rsid w:val="004703C6"/>
    <w:rsid w:val="004704FD"/>
    <w:rsid w:val="00470CB0"/>
    <w:rsid w:val="0047125F"/>
    <w:rsid w:val="004717CC"/>
    <w:rsid w:val="00471EAB"/>
    <w:rsid w:val="0047213E"/>
    <w:rsid w:val="00474415"/>
    <w:rsid w:val="004802BC"/>
    <w:rsid w:val="004805B0"/>
    <w:rsid w:val="00480953"/>
    <w:rsid w:val="004818C1"/>
    <w:rsid w:val="00482DF3"/>
    <w:rsid w:val="00482FAD"/>
    <w:rsid w:val="004835A1"/>
    <w:rsid w:val="0048441C"/>
    <w:rsid w:val="00484837"/>
    <w:rsid w:val="0048525C"/>
    <w:rsid w:val="00485908"/>
    <w:rsid w:val="00486466"/>
    <w:rsid w:val="0048687E"/>
    <w:rsid w:val="00486E8F"/>
    <w:rsid w:val="004912DB"/>
    <w:rsid w:val="004916BD"/>
    <w:rsid w:val="004959F4"/>
    <w:rsid w:val="00497F63"/>
    <w:rsid w:val="004A0539"/>
    <w:rsid w:val="004A176F"/>
    <w:rsid w:val="004A1994"/>
    <w:rsid w:val="004A250F"/>
    <w:rsid w:val="004A26E0"/>
    <w:rsid w:val="004A32AC"/>
    <w:rsid w:val="004B1C3A"/>
    <w:rsid w:val="004B249E"/>
    <w:rsid w:val="004B455E"/>
    <w:rsid w:val="004B5487"/>
    <w:rsid w:val="004B57FB"/>
    <w:rsid w:val="004B5BD8"/>
    <w:rsid w:val="004B5C87"/>
    <w:rsid w:val="004B6C9A"/>
    <w:rsid w:val="004C1D2E"/>
    <w:rsid w:val="004C3A2F"/>
    <w:rsid w:val="004C536A"/>
    <w:rsid w:val="004C5CF8"/>
    <w:rsid w:val="004C68B2"/>
    <w:rsid w:val="004C6AF2"/>
    <w:rsid w:val="004C7812"/>
    <w:rsid w:val="004D1652"/>
    <w:rsid w:val="004D2387"/>
    <w:rsid w:val="004D3744"/>
    <w:rsid w:val="004D4716"/>
    <w:rsid w:val="004D48AE"/>
    <w:rsid w:val="004D4BF4"/>
    <w:rsid w:val="004D5ABD"/>
    <w:rsid w:val="004D61B7"/>
    <w:rsid w:val="004D66B0"/>
    <w:rsid w:val="004E0021"/>
    <w:rsid w:val="004E06FA"/>
    <w:rsid w:val="004E0E9D"/>
    <w:rsid w:val="004E11C1"/>
    <w:rsid w:val="004E25D4"/>
    <w:rsid w:val="004E2AEC"/>
    <w:rsid w:val="004E3AAD"/>
    <w:rsid w:val="004E73A6"/>
    <w:rsid w:val="004F1024"/>
    <w:rsid w:val="004F1E1A"/>
    <w:rsid w:val="004F3A45"/>
    <w:rsid w:val="004F4030"/>
    <w:rsid w:val="004F646F"/>
    <w:rsid w:val="005001D2"/>
    <w:rsid w:val="005009CA"/>
    <w:rsid w:val="00500E52"/>
    <w:rsid w:val="005030CD"/>
    <w:rsid w:val="005064E8"/>
    <w:rsid w:val="00506D7B"/>
    <w:rsid w:val="00511110"/>
    <w:rsid w:val="005113A0"/>
    <w:rsid w:val="00513000"/>
    <w:rsid w:val="00513557"/>
    <w:rsid w:val="005137D7"/>
    <w:rsid w:val="005147D8"/>
    <w:rsid w:val="00516D7F"/>
    <w:rsid w:val="005200F4"/>
    <w:rsid w:val="0052112F"/>
    <w:rsid w:val="00527E7A"/>
    <w:rsid w:val="00527EDD"/>
    <w:rsid w:val="00527EE9"/>
    <w:rsid w:val="0053026B"/>
    <w:rsid w:val="00530ADB"/>
    <w:rsid w:val="00534292"/>
    <w:rsid w:val="0053517D"/>
    <w:rsid w:val="005373EA"/>
    <w:rsid w:val="00537B13"/>
    <w:rsid w:val="00537CC2"/>
    <w:rsid w:val="00540FAA"/>
    <w:rsid w:val="00542880"/>
    <w:rsid w:val="00542A77"/>
    <w:rsid w:val="005431F7"/>
    <w:rsid w:val="0054372F"/>
    <w:rsid w:val="00543FAF"/>
    <w:rsid w:val="00544EF0"/>
    <w:rsid w:val="005477F2"/>
    <w:rsid w:val="00552D9B"/>
    <w:rsid w:val="005536F5"/>
    <w:rsid w:val="00553DC5"/>
    <w:rsid w:val="00553F42"/>
    <w:rsid w:val="0055512B"/>
    <w:rsid w:val="00560E95"/>
    <w:rsid w:val="00560F8E"/>
    <w:rsid w:val="00561B03"/>
    <w:rsid w:val="00562279"/>
    <w:rsid w:val="00563BB5"/>
    <w:rsid w:val="0056428E"/>
    <w:rsid w:val="005642DD"/>
    <w:rsid w:val="005645DC"/>
    <w:rsid w:val="00564FF5"/>
    <w:rsid w:val="0057009C"/>
    <w:rsid w:val="00574331"/>
    <w:rsid w:val="005743EE"/>
    <w:rsid w:val="00575DD6"/>
    <w:rsid w:val="00577406"/>
    <w:rsid w:val="00577CC7"/>
    <w:rsid w:val="005810CF"/>
    <w:rsid w:val="005836C1"/>
    <w:rsid w:val="0058476E"/>
    <w:rsid w:val="00584F18"/>
    <w:rsid w:val="00585FFC"/>
    <w:rsid w:val="00590197"/>
    <w:rsid w:val="0059044A"/>
    <w:rsid w:val="00590D64"/>
    <w:rsid w:val="00592E36"/>
    <w:rsid w:val="00594040"/>
    <w:rsid w:val="00594AE3"/>
    <w:rsid w:val="00596556"/>
    <w:rsid w:val="00597AF4"/>
    <w:rsid w:val="005A096F"/>
    <w:rsid w:val="005A2A17"/>
    <w:rsid w:val="005A3E19"/>
    <w:rsid w:val="005B0FDB"/>
    <w:rsid w:val="005B16B1"/>
    <w:rsid w:val="005B2CF0"/>
    <w:rsid w:val="005B2ED3"/>
    <w:rsid w:val="005B3EAA"/>
    <w:rsid w:val="005B60D5"/>
    <w:rsid w:val="005B62D4"/>
    <w:rsid w:val="005B664E"/>
    <w:rsid w:val="005C0C86"/>
    <w:rsid w:val="005C0DAE"/>
    <w:rsid w:val="005C11A4"/>
    <w:rsid w:val="005C163A"/>
    <w:rsid w:val="005C22E6"/>
    <w:rsid w:val="005C269A"/>
    <w:rsid w:val="005C3262"/>
    <w:rsid w:val="005C34A2"/>
    <w:rsid w:val="005C4B0A"/>
    <w:rsid w:val="005C652A"/>
    <w:rsid w:val="005C6E51"/>
    <w:rsid w:val="005C76AA"/>
    <w:rsid w:val="005D36D6"/>
    <w:rsid w:val="005D3876"/>
    <w:rsid w:val="005D3904"/>
    <w:rsid w:val="005E07FE"/>
    <w:rsid w:val="005E103E"/>
    <w:rsid w:val="005E10A2"/>
    <w:rsid w:val="005E4465"/>
    <w:rsid w:val="005E5369"/>
    <w:rsid w:val="005E6832"/>
    <w:rsid w:val="005E6B5C"/>
    <w:rsid w:val="005E6D18"/>
    <w:rsid w:val="005E6E81"/>
    <w:rsid w:val="005E715B"/>
    <w:rsid w:val="005F05D0"/>
    <w:rsid w:val="005F1D45"/>
    <w:rsid w:val="005F2504"/>
    <w:rsid w:val="005F5FBB"/>
    <w:rsid w:val="005F6484"/>
    <w:rsid w:val="006006D4"/>
    <w:rsid w:val="0060330C"/>
    <w:rsid w:val="0060431A"/>
    <w:rsid w:val="006054C2"/>
    <w:rsid w:val="00605553"/>
    <w:rsid w:val="0060575A"/>
    <w:rsid w:val="006059DC"/>
    <w:rsid w:val="00605A97"/>
    <w:rsid w:val="00606CBA"/>
    <w:rsid w:val="006102C2"/>
    <w:rsid w:val="006120D4"/>
    <w:rsid w:val="0061231A"/>
    <w:rsid w:val="00612681"/>
    <w:rsid w:val="00613941"/>
    <w:rsid w:val="00615A53"/>
    <w:rsid w:val="00616C9F"/>
    <w:rsid w:val="00622610"/>
    <w:rsid w:val="00623DCB"/>
    <w:rsid w:val="0062568C"/>
    <w:rsid w:val="006256EB"/>
    <w:rsid w:val="006273CF"/>
    <w:rsid w:val="00627FC3"/>
    <w:rsid w:val="0063161D"/>
    <w:rsid w:val="00631A38"/>
    <w:rsid w:val="00633529"/>
    <w:rsid w:val="00633BB4"/>
    <w:rsid w:val="00634D6C"/>
    <w:rsid w:val="00634E33"/>
    <w:rsid w:val="00635141"/>
    <w:rsid w:val="00635AA6"/>
    <w:rsid w:val="00635B3F"/>
    <w:rsid w:val="00636D90"/>
    <w:rsid w:val="00637E98"/>
    <w:rsid w:val="0064012C"/>
    <w:rsid w:val="00641123"/>
    <w:rsid w:val="00642455"/>
    <w:rsid w:val="00643128"/>
    <w:rsid w:val="00643927"/>
    <w:rsid w:val="00643F97"/>
    <w:rsid w:val="00643FCA"/>
    <w:rsid w:val="00645669"/>
    <w:rsid w:val="00646BC4"/>
    <w:rsid w:val="0064750A"/>
    <w:rsid w:val="00647D7D"/>
    <w:rsid w:val="00651D47"/>
    <w:rsid w:val="00652DA7"/>
    <w:rsid w:val="00653687"/>
    <w:rsid w:val="00655157"/>
    <w:rsid w:val="006562DE"/>
    <w:rsid w:val="00661E0A"/>
    <w:rsid w:val="0066437D"/>
    <w:rsid w:val="00665A34"/>
    <w:rsid w:val="00667AA6"/>
    <w:rsid w:val="0067132A"/>
    <w:rsid w:val="00673ADE"/>
    <w:rsid w:val="00681394"/>
    <w:rsid w:val="006843BB"/>
    <w:rsid w:val="006846BA"/>
    <w:rsid w:val="00684B3B"/>
    <w:rsid w:val="006856A4"/>
    <w:rsid w:val="006874A4"/>
    <w:rsid w:val="0068754E"/>
    <w:rsid w:val="006908F4"/>
    <w:rsid w:val="006935C1"/>
    <w:rsid w:val="006941E3"/>
    <w:rsid w:val="00694679"/>
    <w:rsid w:val="00696B24"/>
    <w:rsid w:val="00696F60"/>
    <w:rsid w:val="00697117"/>
    <w:rsid w:val="0069728E"/>
    <w:rsid w:val="006976EC"/>
    <w:rsid w:val="006A08E2"/>
    <w:rsid w:val="006A19BA"/>
    <w:rsid w:val="006A2367"/>
    <w:rsid w:val="006A2789"/>
    <w:rsid w:val="006A2923"/>
    <w:rsid w:val="006A29F0"/>
    <w:rsid w:val="006A2EF1"/>
    <w:rsid w:val="006A4B31"/>
    <w:rsid w:val="006A67BA"/>
    <w:rsid w:val="006A71A9"/>
    <w:rsid w:val="006A777C"/>
    <w:rsid w:val="006B165D"/>
    <w:rsid w:val="006B17CD"/>
    <w:rsid w:val="006B2E3C"/>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C7396"/>
    <w:rsid w:val="006D14D3"/>
    <w:rsid w:val="006D3824"/>
    <w:rsid w:val="006D3E2A"/>
    <w:rsid w:val="006E24B3"/>
    <w:rsid w:val="006E30B3"/>
    <w:rsid w:val="006E46EB"/>
    <w:rsid w:val="006E5CB4"/>
    <w:rsid w:val="006E76DC"/>
    <w:rsid w:val="006E7D8D"/>
    <w:rsid w:val="006F05D4"/>
    <w:rsid w:val="006F15BD"/>
    <w:rsid w:val="006F24A4"/>
    <w:rsid w:val="006F2974"/>
    <w:rsid w:val="006F2E59"/>
    <w:rsid w:val="006F3E2E"/>
    <w:rsid w:val="006F53B9"/>
    <w:rsid w:val="007006FE"/>
    <w:rsid w:val="007024E6"/>
    <w:rsid w:val="00703BA7"/>
    <w:rsid w:val="00704323"/>
    <w:rsid w:val="007053F1"/>
    <w:rsid w:val="007055AB"/>
    <w:rsid w:val="00706F89"/>
    <w:rsid w:val="00707D4B"/>
    <w:rsid w:val="007136E5"/>
    <w:rsid w:val="00714994"/>
    <w:rsid w:val="00714DBE"/>
    <w:rsid w:val="00714E4B"/>
    <w:rsid w:val="007162EA"/>
    <w:rsid w:val="00716AC4"/>
    <w:rsid w:val="007228B1"/>
    <w:rsid w:val="0072331F"/>
    <w:rsid w:val="00724C5B"/>
    <w:rsid w:val="00725AA5"/>
    <w:rsid w:val="00725C43"/>
    <w:rsid w:val="00727F62"/>
    <w:rsid w:val="00731002"/>
    <w:rsid w:val="007326AA"/>
    <w:rsid w:val="00732803"/>
    <w:rsid w:val="0073688F"/>
    <w:rsid w:val="00736CB7"/>
    <w:rsid w:val="00740CAA"/>
    <w:rsid w:val="007414C0"/>
    <w:rsid w:val="00743670"/>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70C3"/>
    <w:rsid w:val="00757DC4"/>
    <w:rsid w:val="00761B9E"/>
    <w:rsid w:val="0076244F"/>
    <w:rsid w:val="00762DFB"/>
    <w:rsid w:val="0076311E"/>
    <w:rsid w:val="00765609"/>
    <w:rsid w:val="00766455"/>
    <w:rsid w:val="007719C1"/>
    <w:rsid w:val="00771ADD"/>
    <w:rsid w:val="0077211A"/>
    <w:rsid w:val="00772701"/>
    <w:rsid w:val="00773FB5"/>
    <w:rsid w:val="00774CB5"/>
    <w:rsid w:val="00774E04"/>
    <w:rsid w:val="007750D1"/>
    <w:rsid w:val="00776D15"/>
    <w:rsid w:val="00781179"/>
    <w:rsid w:val="007813E1"/>
    <w:rsid w:val="007817C4"/>
    <w:rsid w:val="00781D5C"/>
    <w:rsid w:val="0078207C"/>
    <w:rsid w:val="00784B55"/>
    <w:rsid w:val="00785D39"/>
    <w:rsid w:val="007876D3"/>
    <w:rsid w:val="007913AA"/>
    <w:rsid w:val="00792336"/>
    <w:rsid w:val="00794745"/>
    <w:rsid w:val="007948D4"/>
    <w:rsid w:val="00796309"/>
    <w:rsid w:val="007A03AB"/>
    <w:rsid w:val="007A1E4C"/>
    <w:rsid w:val="007A3B4E"/>
    <w:rsid w:val="007A585B"/>
    <w:rsid w:val="007A5B29"/>
    <w:rsid w:val="007A7AB7"/>
    <w:rsid w:val="007B0DBE"/>
    <w:rsid w:val="007B0F30"/>
    <w:rsid w:val="007B31F5"/>
    <w:rsid w:val="007B50A8"/>
    <w:rsid w:val="007B5BC7"/>
    <w:rsid w:val="007B759B"/>
    <w:rsid w:val="007B7FEB"/>
    <w:rsid w:val="007C1E31"/>
    <w:rsid w:val="007C3356"/>
    <w:rsid w:val="007C4EA5"/>
    <w:rsid w:val="007C5117"/>
    <w:rsid w:val="007C542A"/>
    <w:rsid w:val="007C55A4"/>
    <w:rsid w:val="007C5F95"/>
    <w:rsid w:val="007C66A5"/>
    <w:rsid w:val="007C7418"/>
    <w:rsid w:val="007D0BF0"/>
    <w:rsid w:val="007D0D17"/>
    <w:rsid w:val="007D138D"/>
    <w:rsid w:val="007D460A"/>
    <w:rsid w:val="007D5E35"/>
    <w:rsid w:val="007D6292"/>
    <w:rsid w:val="007E017B"/>
    <w:rsid w:val="007E1B04"/>
    <w:rsid w:val="007E40A4"/>
    <w:rsid w:val="007E7C69"/>
    <w:rsid w:val="007F0DB5"/>
    <w:rsid w:val="007F4552"/>
    <w:rsid w:val="007F458D"/>
    <w:rsid w:val="0080199A"/>
    <w:rsid w:val="008034CE"/>
    <w:rsid w:val="00803D4B"/>
    <w:rsid w:val="008042F3"/>
    <w:rsid w:val="008053CB"/>
    <w:rsid w:val="00806DA2"/>
    <w:rsid w:val="00807387"/>
    <w:rsid w:val="00807CE9"/>
    <w:rsid w:val="00810820"/>
    <w:rsid w:val="00811F22"/>
    <w:rsid w:val="00812EC2"/>
    <w:rsid w:val="00814606"/>
    <w:rsid w:val="00814DFD"/>
    <w:rsid w:val="00820091"/>
    <w:rsid w:val="00820C02"/>
    <w:rsid w:val="00820EBD"/>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5AD1"/>
    <w:rsid w:val="00841354"/>
    <w:rsid w:val="00841ADE"/>
    <w:rsid w:val="00843435"/>
    <w:rsid w:val="00844B51"/>
    <w:rsid w:val="008506B4"/>
    <w:rsid w:val="00850AB1"/>
    <w:rsid w:val="00853914"/>
    <w:rsid w:val="00857E94"/>
    <w:rsid w:val="00861399"/>
    <w:rsid w:val="008618C5"/>
    <w:rsid w:val="00861C72"/>
    <w:rsid w:val="00863125"/>
    <w:rsid w:val="0086656B"/>
    <w:rsid w:val="0086694E"/>
    <w:rsid w:val="008704C8"/>
    <w:rsid w:val="00871912"/>
    <w:rsid w:val="008724A1"/>
    <w:rsid w:val="00872522"/>
    <w:rsid w:val="00872F97"/>
    <w:rsid w:val="0087383E"/>
    <w:rsid w:val="00877858"/>
    <w:rsid w:val="0088126E"/>
    <w:rsid w:val="00881798"/>
    <w:rsid w:val="00881A60"/>
    <w:rsid w:val="00882591"/>
    <w:rsid w:val="0088350C"/>
    <w:rsid w:val="00885376"/>
    <w:rsid w:val="00885A96"/>
    <w:rsid w:val="0088730C"/>
    <w:rsid w:val="008876BF"/>
    <w:rsid w:val="00890D27"/>
    <w:rsid w:val="00891562"/>
    <w:rsid w:val="008960CE"/>
    <w:rsid w:val="0089642A"/>
    <w:rsid w:val="008A0B50"/>
    <w:rsid w:val="008A2D27"/>
    <w:rsid w:val="008A31A7"/>
    <w:rsid w:val="008A730E"/>
    <w:rsid w:val="008A7910"/>
    <w:rsid w:val="008A7B94"/>
    <w:rsid w:val="008B07C2"/>
    <w:rsid w:val="008B46D1"/>
    <w:rsid w:val="008B5028"/>
    <w:rsid w:val="008B5C1A"/>
    <w:rsid w:val="008B70B1"/>
    <w:rsid w:val="008B77EA"/>
    <w:rsid w:val="008C049E"/>
    <w:rsid w:val="008C0981"/>
    <w:rsid w:val="008C1699"/>
    <w:rsid w:val="008C3DB3"/>
    <w:rsid w:val="008C4753"/>
    <w:rsid w:val="008C50D7"/>
    <w:rsid w:val="008C6ADC"/>
    <w:rsid w:val="008D1162"/>
    <w:rsid w:val="008D1704"/>
    <w:rsid w:val="008D2A86"/>
    <w:rsid w:val="008D3436"/>
    <w:rsid w:val="008D3E73"/>
    <w:rsid w:val="008D435D"/>
    <w:rsid w:val="008D5822"/>
    <w:rsid w:val="008E0624"/>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72C"/>
    <w:rsid w:val="00905E9B"/>
    <w:rsid w:val="00907BC3"/>
    <w:rsid w:val="00910362"/>
    <w:rsid w:val="009115E5"/>
    <w:rsid w:val="00911928"/>
    <w:rsid w:val="0091291C"/>
    <w:rsid w:val="009139B5"/>
    <w:rsid w:val="00913DA9"/>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749"/>
    <w:rsid w:val="00945882"/>
    <w:rsid w:val="00950174"/>
    <w:rsid w:val="009509FD"/>
    <w:rsid w:val="00951DD0"/>
    <w:rsid w:val="00953D5A"/>
    <w:rsid w:val="00953F8E"/>
    <w:rsid w:val="00954A12"/>
    <w:rsid w:val="0095771A"/>
    <w:rsid w:val="00960BE2"/>
    <w:rsid w:val="00960E89"/>
    <w:rsid w:val="00964464"/>
    <w:rsid w:val="00964491"/>
    <w:rsid w:val="00964CE2"/>
    <w:rsid w:val="009704EF"/>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8D"/>
    <w:rsid w:val="009B5B5B"/>
    <w:rsid w:val="009B5D7F"/>
    <w:rsid w:val="009B64AA"/>
    <w:rsid w:val="009B73F7"/>
    <w:rsid w:val="009C0D17"/>
    <w:rsid w:val="009C19DA"/>
    <w:rsid w:val="009C23E7"/>
    <w:rsid w:val="009C2F88"/>
    <w:rsid w:val="009C423A"/>
    <w:rsid w:val="009C5546"/>
    <w:rsid w:val="009C594C"/>
    <w:rsid w:val="009C5E6B"/>
    <w:rsid w:val="009C6E35"/>
    <w:rsid w:val="009C7573"/>
    <w:rsid w:val="009D1B59"/>
    <w:rsid w:val="009D2B26"/>
    <w:rsid w:val="009D2B6A"/>
    <w:rsid w:val="009D48D2"/>
    <w:rsid w:val="009D60C8"/>
    <w:rsid w:val="009D724D"/>
    <w:rsid w:val="009E0DB1"/>
    <w:rsid w:val="009E0E2F"/>
    <w:rsid w:val="009E101F"/>
    <w:rsid w:val="009E110B"/>
    <w:rsid w:val="009E14D7"/>
    <w:rsid w:val="009E1B54"/>
    <w:rsid w:val="009E247C"/>
    <w:rsid w:val="009E2CCC"/>
    <w:rsid w:val="009E3915"/>
    <w:rsid w:val="009E4963"/>
    <w:rsid w:val="009E5B29"/>
    <w:rsid w:val="009E6647"/>
    <w:rsid w:val="009E6D54"/>
    <w:rsid w:val="009F0FA3"/>
    <w:rsid w:val="009F3FB3"/>
    <w:rsid w:val="009F4292"/>
    <w:rsid w:val="009F5BD4"/>
    <w:rsid w:val="009F5C1B"/>
    <w:rsid w:val="00A0085E"/>
    <w:rsid w:val="00A00A5D"/>
    <w:rsid w:val="00A015C8"/>
    <w:rsid w:val="00A028DA"/>
    <w:rsid w:val="00A0358D"/>
    <w:rsid w:val="00A04714"/>
    <w:rsid w:val="00A04F66"/>
    <w:rsid w:val="00A05E1F"/>
    <w:rsid w:val="00A06507"/>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0F13"/>
    <w:rsid w:val="00A310F0"/>
    <w:rsid w:val="00A314BE"/>
    <w:rsid w:val="00A422D8"/>
    <w:rsid w:val="00A454CF"/>
    <w:rsid w:val="00A46CA2"/>
    <w:rsid w:val="00A505A6"/>
    <w:rsid w:val="00A50B6F"/>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5048"/>
    <w:rsid w:val="00A7506A"/>
    <w:rsid w:val="00A76C3F"/>
    <w:rsid w:val="00A7799B"/>
    <w:rsid w:val="00A86A0C"/>
    <w:rsid w:val="00A86E7C"/>
    <w:rsid w:val="00A86F0C"/>
    <w:rsid w:val="00A87591"/>
    <w:rsid w:val="00A91714"/>
    <w:rsid w:val="00AA06F0"/>
    <w:rsid w:val="00AA2997"/>
    <w:rsid w:val="00AA4127"/>
    <w:rsid w:val="00AA57D2"/>
    <w:rsid w:val="00AA636C"/>
    <w:rsid w:val="00AA70A4"/>
    <w:rsid w:val="00AB0B20"/>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2BAF"/>
    <w:rsid w:val="00AD400C"/>
    <w:rsid w:val="00AD43D2"/>
    <w:rsid w:val="00AD4685"/>
    <w:rsid w:val="00AD69BC"/>
    <w:rsid w:val="00AD74C8"/>
    <w:rsid w:val="00AD76CF"/>
    <w:rsid w:val="00AD7838"/>
    <w:rsid w:val="00AE0798"/>
    <w:rsid w:val="00AE1B24"/>
    <w:rsid w:val="00AE298D"/>
    <w:rsid w:val="00AE42CA"/>
    <w:rsid w:val="00AE471C"/>
    <w:rsid w:val="00AE63A6"/>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504F"/>
    <w:rsid w:val="00B06515"/>
    <w:rsid w:val="00B06977"/>
    <w:rsid w:val="00B06AFA"/>
    <w:rsid w:val="00B06BAE"/>
    <w:rsid w:val="00B07207"/>
    <w:rsid w:val="00B076D7"/>
    <w:rsid w:val="00B07E4C"/>
    <w:rsid w:val="00B1174F"/>
    <w:rsid w:val="00B12846"/>
    <w:rsid w:val="00B134B9"/>
    <w:rsid w:val="00B14BF6"/>
    <w:rsid w:val="00B1511E"/>
    <w:rsid w:val="00B17169"/>
    <w:rsid w:val="00B2011F"/>
    <w:rsid w:val="00B21BB6"/>
    <w:rsid w:val="00B25826"/>
    <w:rsid w:val="00B26EFB"/>
    <w:rsid w:val="00B27E7E"/>
    <w:rsid w:val="00B30A18"/>
    <w:rsid w:val="00B3182C"/>
    <w:rsid w:val="00B325BB"/>
    <w:rsid w:val="00B3402D"/>
    <w:rsid w:val="00B34A94"/>
    <w:rsid w:val="00B40A76"/>
    <w:rsid w:val="00B40EA9"/>
    <w:rsid w:val="00B41C51"/>
    <w:rsid w:val="00B43093"/>
    <w:rsid w:val="00B430A1"/>
    <w:rsid w:val="00B43880"/>
    <w:rsid w:val="00B440D7"/>
    <w:rsid w:val="00B445AE"/>
    <w:rsid w:val="00B4473B"/>
    <w:rsid w:val="00B44CC0"/>
    <w:rsid w:val="00B45307"/>
    <w:rsid w:val="00B45965"/>
    <w:rsid w:val="00B465A2"/>
    <w:rsid w:val="00B51F80"/>
    <w:rsid w:val="00B5494A"/>
    <w:rsid w:val="00B55417"/>
    <w:rsid w:val="00B5541D"/>
    <w:rsid w:val="00B55ECA"/>
    <w:rsid w:val="00B603BD"/>
    <w:rsid w:val="00B61983"/>
    <w:rsid w:val="00B62D6B"/>
    <w:rsid w:val="00B6318B"/>
    <w:rsid w:val="00B63E39"/>
    <w:rsid w:val="00B65461"/>
    <w:rsid w:val="00B654E3"/>
    <w:rsid w:val="00B7000D"/>
    <w:rsid w:val="00B7154A"/>
    <w:rsid w:val="00B72C94"/>
    <w:rsid w:val="00B734B9"/>
    <w:rsid w:val="00B7516A"/>
    <w:rsid w:val="00B7584B"/>
    <w:rsid w:val="00B75EB4"/>
    <w:rsid w:val="00B803BF"/>
    <w:rsid w:val="00B80995"/>
    <w:rsid w:val="00B80F37"/>
    <w:rsid w:val="00B81659"/>
    <w:rsid w:val="00B85394"/>
    <w:rsid w:val="00B85A40"/>
    <w:rsid w:val="00B90EA0"/>
    <w:rsid w:val="00B91162"/>
    <w:rsid w:val="00B91545"/>
    <w:rsid w:val="00B91D33"/>
    <w:rsid w:val="00B9257E"/>
    <w:rsid w:val="00B93553"/>
    <w:rsid w:val="00B9445F"/>
    <w:rsid w:val="00BA0253"/>
    <w:rsid w:val="00BA069C"/>
    <w:rsid w:val="00BA20DF"/>
    <w:rsid w:val="00BA2A8B"/>
    <w:rsid w:val="00BA2F41"/>
    <w:rsid w:val="00BA3A5A"/>
    <w:rsid w:val="00BA4988"/>
    <w:rsid w:val="00BA60A6"/>
    <w:rsid w:val="00BA72BF"/>
    <w:rsid w:val="00BB25EF"/>
    <w:rsid w:val="00BB2B8A"/>
    <w:rsid w:val="00BB2F36"/>
    <w:rsid w:val="00BB4161"/>
    <w:rsid w:val="00BB55C4"/>
    <w:rsid w:val="00BB6714"/>
    <w:rsid w:val="00BB6BFD"/>
    <w:rsid w:val="00BB7F83"/>
    <w:rsid w:val="00BC000F"/>
    <w:rsid w:val="00BC027A"/>
    <w:rsid w:val="00BC0710"/>
    <w:rsid w:val="00BC0D6A"/>
    <w:rsid w:val="00BC2C46"/>
    <w:rsid w:val="00BC4C58"/>
    <w:rsid w:val="00BC7822"/>
    <w:rsid w:val="00BD1346"/>
    <w:rsid w:val="00BD2534"/>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25"/>
    <w:rsid w:val="00C247A6"/>
    <w:rsid w:val="00C2538D"/>
    <w:rsid w:val="00C25B34"/>
    <w:rsid w:val="00C25D57"/>
    <w:rsid w:val="00C277CF"/>
    <w:rsid w:val="00C3142C"/>
    <w:rsid w:val="00C31944"/>
    <w:rsid w:val="00C33B76"/>
    <w:rsid w:val="00C369E4"/>
    <w:rsid w:val="00C409A5"/>
    <w:rsid w:val="00C40EA7"/>
    <w:rsid w:val="00C40FC4"/>
    <w:rsid w:val="00C42136"/>
    <w:rsid w:val="00C42404"/>
    <w:rsid w:val="00C45ED2"/>
    <w:rsid w:val="00C46F55"/>
    <w:rsid w:val="00C4745A"/>
    <w:rsid w:val="00C4787B"/>
    <w:rsid w:val="00C51E87"/>
    <w:rsid w:val="00C52506"/>
    <w:rsid w:val="00C53CE3"/>
    <w:rsid w:val="00C550A2"/>
    <w:rsid w:val="00C56469"/>
    <w:rsid w:val="00C60C6D"/>
    <w:rsid w:val="00C62877"/>
    <w:rsid w:val="00C62D4B"/>
    <w:rsid w:val="00C62E72"/>
    <w:rsid w:val="00C64441"/>
    <w:rsid w:val="00C64C09"/>
    <w:rsid w:val="00C67B11"/>
    <w:rsid w:val="00C70F53"/>
    <w:rsid w:val="00C71064"/>
    <w:rsid w:val="00C71DF6"/>
    <w:rsid w:val="00C722B6"/>
    <w:rsid w:val="00C73B95"/>
    <w:rsid w:val="00C755B1"/>
    <w:rsid w:val="00C75C3C"/>
    <w:rsid w:val="00C76FF6"/>
    <w:rsid w:val="00C8038E"/>
    <w:rsid w:val="00C80EBC"/>
    <w:rsid w:val="00C82BA9"/>
    <w:rsid w:val="00C91DE9"/>
    <w:rsid w:val="00C91F12"/>
    <w:rsid w:val="00C9206F"/>
    <w:rsid w:val="00C92EC3"/>
    <w:rsid w:val="00C931C3"/>
    <w:rsid w:val="00C95A63"/>
    <w:rsid w:val="00CA11B0"/>
    <w:rsid w:val="00CA15E0"/>
    <w:rsid w:val="00CA2311"/>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740F"/>
    <w:rsid w:val="00CC757F"/>
    <w:rsid w:val="00CC7BEE"/>
    <w:rsid w:val="00CD439E"/>
    <w:rsid w:val="00CD540D"/>
    <w:rsid w:val="00CD5D5C"/>
    <w:rsid w:val="00CE1147"/>
    <w:rsid w:val="00CE23F1"/>
    <w:rsid w:val="00CE2BA7"/>
    <w:rsid w:val="00CE4D6A"/>
    <w:rsid w:val="00CE6394"/>
    <w:rsid w:val="00CE7343"/>
    <w:rsid w:val="00CF2087"/>
    <w:rsid w:val="00CF3EC2"/>
    <w:rsid w:val="00D0015F"/>
    <w:rsid w:val="00D0058C"/>
    <w:rsid w:val="00D01165"/>
    <w:rsid w:val="00D05DE8"/>
    <w:rsid w:val="00D070F4"/>
    <w:rsid w:val="00D076C3"/>
    <w:rsid w:val="00D07ECB"/>
    <w:rsid w:val="00D11734"/>
    <w:rsid w:val="00D1262E"/>
    <w:rsid w:val="00D1288F"/>
    <w:rsid w:val="00D144B8"/>
    <w:rsid w:val="00D15B33"/>
    <w:rsid w:val="00D15B88"/>
    <w:rsid w:val="00D15F0D"/>
    <w:rsid w:val="00D17E9C"/>
    <w:rsid w:val="00D2020A"/>
    <w:rsid w:val="00D205DE"/>
    <w:rsid w:val="00D211BF"/>
    <w:rsid w:val="00D23AF7"/>
    <w:rsid w:val="00D30586"/>
    <w:rsid w:val="00D31211"/>
    <w:rsid w:val="00D33070"/>
    <w:rsid w:val="00D33CFD"/>
    <w:rsid w:val="00D36331"/>
    <w:rsid w:val="00D363C2"/>
    <w:rsid w:val="00D363E9"/>
    <w:rsid w:val="00D37596"/>
    <w:rsid w:val="00D37753"/>
    <w:rsid w:val="00D427CB"/>
    <w:rsid w:val="00D428E3"/>
    <w:rsid w:val="00D429DF"/>
    <w:rsid w:val="00D42DDE"/>
    <w:rsid w:val="00D46677"/>
    <w:rsid w:val="00D4764A"/>
    <w:rsid w:val="00D50BFA"/>
    <w:rsid w:val="00D51DEC"/>
    <w:rsid w:val="00D52847"/>
    <w:rsid w:val="00D552C4"/>
    <w:rsid w:val="00D55330"/>
    <w:rsid w:val="00D55E1F"/>
    <w:rsid w:val="00D55F0C"/>
    <w:rsid w:val="00D6177B"/>
    <w:rsid w:val="00D62F91"/>
    <w:rsid w:val="00D64655"/>
    <w:rsid w:val="00D6518F"/>
    <w:rsid w:val="00D65E0A"/>
    <w:rsid w:val="00D66419"/>
    <w:rsid w:val="00D71CFA"/>
    <w:rsid w:val="00D750FE"/>
    <w:rsid w:val="00D7554B"/>
    <w:rsid w:val="00D75573"/>
    <w:rsid w:val="00D76367"/>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B1038"/>
    <w:rsid w:val="00DB1BB3"/>
    <w:rsid w:val="00DB1FC5"/>
    <w:rsid w:val="00DB275A"/>
    <w:rsid w:val="00DB368B"/>
    <w:rsid w:val="00DB3CAC"/>
    <w:rsid w:val="00DB4864"/>
    <w:rsid w:val="00DB51E0"/>
    <w:rsid w:val="00DB5E04"/>
    <w:rsid w:val="00DB6762"/>
    <w:rsid w:val="00DC096C"/>
    <w:rsid w:val="00DC0E07"/>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6E33"/>
    <w:rsid w:val="00DE7664"/>
    <w:rsid w:val="00DF00CA"/>
    <w:rsid w:val="00DF0843"/>
    <w:rsid w:val="00DF0A25"/>
    <w:rsid w:val="00DF1AD3"/>
    <w:rsid w:val="00DF39E7"/>
    <w:rsid w:val="00DF3EE3"/>
    <w:rsid w:val="00DF4039"/>
    <w:rsid w:val="00DF44EE"/>
    <w:rsid w:val="00DF46BD"/>
    <w:rsid w:val="00DF4C69"/>
    <w:rsid w:val="00DF4D40"/>
    <w:rsid w:val="00E00739"/>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31839"/>
    <w:rsid w:val="00E31CA4"/>
    <w:rsid w:val="00E32CA3"/>
    <w:rsid w:val="00E32EB6"/>
    <w:rsid w:val="00E34821"/>
    <w:rsid w:val="00E350FE"/>
    <w:rsid w:val="00E36926"/>
    <w:rsid w:val="00E44973"/>
    <w:rsid w:val="00E4531A"/>
    <w:rsid w:val="00E470AC"/>
    <w:rsid w:val="00E475D3"/>
    <w:rsid w:val="00E47B5B"/>
    <w:rsid w:val="00E50E55"/>
    <w:rsid w:val="00E51F68"/>
    <w:rsid w:val="00E5214C"/>
    <w:rsid w:val="00E5355C"/>
    <w:rsid w:val="00E53B49"/>
    <w:rsid w:val="00E53DE1"/>
    <w:rsid w:val="00E54475"/>
    <w:rsid w:val="00E550F2"/>
    <w:rsid w:val="00E56B7E"/>
    <w:rsid w:val="00E575FA"/>
    <w:rsid w:val="00E601B0"/>
    <w:rsid w:val="00E61AA4"/>
    <w:rsid w:val="00E62B58"/>
    <w:rsid w:val="00E6328C"/>
    <w:rsid w:val="00E63F79"/>
    <w:rsid w:val="00E6420E"/>
    <w:rsid w:val="00E64294"/>
    <w:rsid w:val="00E655FF"/>
    <w:rsid w:val="00E67747"/>
    <w:rsid w:val="00E70FE6"/>
    <w:rsid w:val="00E71109"/>
    <w:rsid w:val="00E713F5"/>
    <w:rsid w:val="00E717FB"/>
    <w:rsid w:val="00E72B98"/>
    <w:rsid w:val="00E73495"/>
    <w:rsid w:val="00E74373"/>
    <w:rsid w:val="00E75225"/>
    <w:rsid w:val="00E75517"/>
    <w:rsid w:val="00E825C5"/>
    <w:rsid w:val="00E82962"/>
    <w:rsid w:val="00E82F54"/>
    <w:rsid w:val="00E83993"/>
    <w:rsid w:val="00E8417B"/>
    <w:rsid w:val="00E84ADF"/>
    <w:rsid w:val="00E85298"/>
    <w:rsid w:val="00E87571"/>
    <w:rsid w:val="00E9014E"/>
    <w:rsid w:val="00E904C3"/>
    <w:rsid w:val="00E93E08"/>
    <w:rsid w:val="00E977B4"/>
    <w:rsid w:val="00E97EB3"/>
    <w:rsid w:val="00EA0507"/>
    <w:rsid w:val="00EA10AB"/>
    <w:rsid w:val="00EA20B2"/>
    <w:rsid w:val="00EA4491"/>
    <w:rsid w:val="00EA5177"/>
    <w:rsid w:val="00EA580D"/>
    <w:rsid w:val="00EA6CFB"/>
    <w:rsid w:val="00EA77E1"/>
    <w:rsid w:val="00EB048A"/>
    <w:rsid w:val="00EB148B"/>
    <w:rsid w:val="00EB22E9"/>
    <w:rsid w:val="00EB2F49"/>
    <w:rsid w:val="00EB3C17"/>
    <w:rsid w:val="00EB4F32"/>
    <w:rsid w:val="00EB55F2"/>
    <w:rsid w:val="00EC0486"/>
    <w:rsid w:val="00EC2525"/>
    <w:rsid w:val="00EC2EBA"/>
    <w:rsid w:val="00EC64D7"/>
    <w:rsid w:val="00ED1A56"/>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1035"/>
    <w:rsid w:val="00F02709"/>
    <w:rsid w:val="00F03703"/>
    <w:rsid w:val="00F03CDB"/>
    <w:rsid w:val="00F0408B"/>
    <w:rsid w:val="00F04163"/>
    <w:rsid w:val="00F041C9"/>
    <w:rsid w:val="00F053C9"/>
    <w:rsid w:val="00F06479"/>
    <w:rsid w:val="00F1107F"/>
    <w:rsid w:val="00F1414F"/>
    <w:rsid w:val="00F14D16"/>
    <w:rsid w:val="00F15412"/>
    <w:rsid w:val="00F16278"/>
    <w:rsid w:val="00F16FCE"/>
    <w:rsid w:val="00F17BDD"/>
    <w:rsid w:val="00F22918"/>
    <w:rsid w:val="00F22EB1"/>
    <w:rsid w:val="00F24686"/>
    <w:rsid w:val="00F273CB"/>
    <w:rsid w:val="00F30718"/>
    <w:rsid w:val="00F317A0"/>
    <w:rsid w:val="00F31B10"/>
    <w:rsid w:val="00F3391E"/>
    <w:rsid w:val="00F408D6"/>
    <w:rsid w:val="00F415A3"/>
    <w:rsid w:val="00F42033"/>
    <w:rsid w:val="00F433DF"/>
    <w:rsid w:val="00F44362"/>
    <w:rsid w:val="00F44579"/>
    <w:rsid w:val="00F473D7"/>
    <w:rsid w:val="00F5045F"/>
    <w:rsid w:val="00F5159E"/>
    <w:rsid w:val="00F51731"/>
    <w:rsid w:val="00F52687"/>
    <w:rsid w:val="00F5434A"/>
    <w:rsid w:val="00F55B42"/>
    <w:rsid w:val="00F56A77"/>
    <w:rsid w:val="00F5706D"/>
    <w:rsid w:val="00F576C4"/>
    <w:rsid w:val="00F60486"/>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4723"/>
    <w:rsid w:val="00F95106"/>
    <w:rsid w:val="00F961F3"/>
    <w:rsid w:val="00FA0BBA"/>
    <w:rsid w:val="00FA0CFC"/>
    <w:rsid w:val="00FA1EAD"/>
    <w:rsid w:val="00FA1F5F"/>
    <w:rsid w:val="00FA2858"/>
    <w:rsid w:val="00FA3044"/>
    <w:rsid w:val="00FA37D5"/>
    <w:rsid w:val="00FA39CD"/>
    <w:rsid w:val="00FA3ABD"/>
    <w:rsid w:val="00FA3EAB"/>
    <w:rsid w:val="00FA507A"/>
    <w:rsid w:val="00FA6D17"/>
    <w:rsid w:val="00FA74EF"/>
    <w:rsid w:val="00FA7D4D"/>
    <w:rsid w:val="00FB0C18"/>
    <w:rsid w:val="00FB4480"/>
    <w:rsid w:val="00FB56CC"/>
    <w:rsid w:val="00FB71AF"/>
    <w:rsid w:val="00FC4C3F"/>
    <w:rsid w:val="00FC6782"/>
    <w:rsid w:val="00FC6EBF"/>
    <w:rsid w:val="00FD0AE5"/>
    <w:rsid w:val="00FD22AD"/>
    <w:rsid w:val="00FD451A"/>
    <w:rsid w:val="00FD47B4"/>
    <w:rsid w:val="00FE11E3"/>
    <w:rsid w:val="00FE3A8F"/>
    <w:rsid w:val="00FE71FF"/>
    <w:rsid w:val="00FE7B25"/>
    <w:rsid w:val="00FF0EB3"/>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2739196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55033687">
      <w:bodyDiv w:val="1"/>
      <w:marLeft w:val="0"/>
      <w:marRight w:val="0"/>
      <w:marTop w:val="0"/>
      <w:marBottom w:val="0"/>
      <w:divBdr>
        <w:top w:val="none" w:sz="0" w:space="0" w:color="auto"/>
        <w:left w:val="none" w:sz="0" w:space="0" w:color="auto"/>
        <w:bottom w:val="none" w:sz="0" w:space="0" w:color="auto"/>
        <w:right w:val="none" w:sz="0" w:space="0" w:color="auto"/>
      </w:divBdr>
    </w:div>
    <w:div w:id="672221307">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1373271">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76949411">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2481094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41085266">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43913468">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81849856">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017124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0370643">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269659">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16162123">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6613695">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79593452">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1904282">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83C8-3572-4529-BAEF-A17C3D14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5</cp:revision>
  <cp:lastPrinted>2015-04-24T15:52:00Z</cp:lastPrinted>
  <dcterms:created xsi:type="dcterms:W3CDTF">2017-05-10T09:29:00Z</dcterms:created>
  <dcterms:modified xsi:type="dcterms:W3CDTF">2017-05-11T12:25:00Z</dcterms:modified>
</cp:coreProperties>
</file>