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E1" w:rsidRDefault="000B6BE1" w:rsidP="0034541B">
      <w:pPr>
        <w:pStyle w:val="Default"/>
        <w:jc w:val="center"/>
        <w:rPr>
          <w:b/>
          <w:sz w:val="22"/>
          <w:szCs w:val="22"/>
          <w:u w:val="single"/>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F8223F" w:rsidTr="001A7C1D">
        <w:tc>
          <w:tcPr>
            <w:tcW w:w="3420" w:type="dxa"/>
          </w:tcPr>
          <w:p w:rsidR="00F8223F" w:rsidRPr="001B0E16" w:rsidRDefault="00F8223F" w:rsidP="001A7C1D">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F8223F" w:rsidRPr="001B0E16" w:rsidRDefault="00EA7A23" w:rsidP="001A7C1D">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9</w:t>
            </w:r>
          </w:p>
        </w:tc>
      </w:tr>
      <w:tr w:rsidR="00F8223F" w:rsidTr="001A7C1D">
        <w:tc>
          <w:tcPr>
            <w:tcW w:w="3420" w:type="dxa"/>
          </w:tcPr>
          <w:p w:rsidR="00F8223F" w:rsidRPr="001B0E16" w:rsidRDefault="00F8223F" w:rsidP="001A7C1D">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F8223F" w:rsidRPr="001B0E16" w:rsidRDefault="00EA7A23" w:rsidP="00EA7A2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D</w:t>
            </w:r>
          </w:p>
        </w:tc>
      </w:tr>
    </w:tbl>
    <w:p w:rsidR="00F8223F" w:rsidRDefault="00F8223F" w:rsidP="00F8223F">
      <w:pPr>
        <w:spacing w:after="0" w:line="240" w:lineRule="auto"/>
        <w:jc w:val="center"/>
        <w:rPr>
          <w:rFonts w:cstheme="minorHAnsi"/>
          <w:b/>
          <w:sz w:val="44"/>
          <w:szCs w:val="44"/>
        </w:rPr>
      </w:pPr>
    </w:p>
    <w:p w:rsidR="00F8223F" w:rsidRDefault="00F8223F" w:rsidP="00F8223F">
      <w:pPr>
        <w:spacing w:after="0" w:line="240" w:lineRule="auto"/>
        <w:jc w:val="center"/>
        <w:rPr>
          <w:rFonts w:cstheme="minorHAnsi"/>
          <w:b/>
          <w:sz w:val="44"/>
          <w:szCs w:val="44"/>
        </w:rPr>
      </w:pPr>
    </w:p>
    <w:p w:rsidR="00F8223F" w:rsidRDefault="00F8223F" w:rsidP="00F8223F">
      <w:pPr>
        <w:spacing w:after="0" w:line="240" w:lineRule="auto"/>
        <w:jc w:val="center"/>
        <w:rPr>
          <w:rFonts w:cstheme="minorHAnsi"/>
          <w:b/>
          <w:sz w:val="44"/>
          <w:szCs w:val="44"/>
        </w:rPr>
      </w:pPr>
    </w:p>
    <w:p w:rsidR="00F8223F" w:rsidRPr="00151DBF" w:rsidRDefault="00F8223F" w:rsidP="00F8223F">
      <w:pPr>
        <w:spacing w:after="0" w:line="240" w:lineRule="auto"/>
        <w:jc w:val="center"/>
        <w:rPr>
          <w:rFonts w:cstheme="minorHAnsi"/>
          <w:b/>
          <w:sz w:val="44"/>
          <w:szCs w:val="44"/>
        </w:rPr>
      </w:pPr>
      <w:r w:rsidRPr="00151DBF">
        <w:rPr>
          <w:rFonts w:cstheme="minorHAnsi"/>
          <w:b/>
          <w:sz w:val="44"/>
          <w:szCs w:val="44"/>
        </w:rPr>
        <w:t xml:space="preserve">HRA </w:t>
      </w:r>
      <w:r>
        <w:rPr>
          <w:rFonts w:cstheme="minorHAnsi"/>
          <w:b/>
          <w:sz w:val="44"/>
          <w:szCs w:val="44"/>
        </w:rPr>
        <w:t>BOARD</w:t>
      </w:r>
      <w:r w:rsidRPr="00151DBF">
        <w:rPr>
          <w:rFonts w:cstheme="minorHAnsi"/>
          <w:b/>
          <w:sz w:val="44"/>
          <w:szCs w:val="44"/>
        </w:rPr>
        <w:t xml:space="preserve"> COVER SHEET</w:t>
      </w:r>
    </w:p>
    <w:p w:rsidR="00F8223F" w:rsidRDefault="00F8223F" w:rsidP="00F8223F">
      <w:pPr>
        <w:spacing w:after="0"/>
        <w:jc w:val="center"/>
        <w:rPr>
          <w:rFonts w:cstheme="minorHAnsi"/>
          <w:b/>
          <w:sz w:val="24"/>
          <w:szCs w:val="24"/>
        </w:rPr>
      </w:pPr>
    </w:p>
    <w:tbl>
      <w:tblPr>
        <w:tblStyle w:val="TableGrid"/>
        <w:tblW w:w="0" w:type="auto"/>
        <w:tblLook w:val="04A0" w:firstRow="1" w:lastRow="0" w:firstColumn="1" w:lastColumn="0" w:noHBand="0" w:noVBand="1"/>
      </w:tblPr>
      <w:tblGrid>
        <w:gridCol w:w="2628"/>
        <w:gridCol w:w="6320"/>
      </w:tblGrid>
      <w:tr w:rsidR="00F8223F" w:rsidRPr="00C90060" w:rsidTr="001A7C1D">
        <w:tc>
          <w:tcPr>
            <w:tcW w:w="2628" w:type="dxa"/>
          </w:tcPr>
          <w:p w:rsidR="00F8223F" w:rsidRPr="00C90060" w:rsidRDefault="00F8223F" w:rsidP="001A7C1D">
            <w:pPr>
              <w:rPr>
                <w:rFonts w:cstheme="minorHAnsi"/>
                <w:b/>
              </w:rPr>
            </w:pPr>
            <w:r w:rsidRPr="00C90060">
              <w:rPr>
                <w:rFonts w:cstheme="minorHAnsi"/>
                <w:b/>
              </w:rPr>
              <w:t>Date of Meeting:</w:t>
            </w:r>
          </w:p>
          <w:p w:rsidR="00F8223F" w:rsidRPr="00C90060" w:rsidRDefault="00F8223F" w:rsidP="001A7C1D">
            <w:pPr>
              <w:rPr>
                <w:rFonts w:cstheme="minorHAnsi"/>
                <w:b/>
              </w:rPr>
            </w:pPr>
          </w:p>
        </w:tc>
        <w:tc>
          <w:tcPr>
            <w:tcW w:w="6320" w:type="dxa"/>
          </w:tcPr>
          <w:p w:rsidR="00F8223F" w:rsidRDefault="0081664A" w:rsidP="001A7C1D">
            <w:pPr>
              <w:rPr>
                <w:rFonts w:cstheme="minorHAnsi"/>
              </w:rPr>
            </w:pPr>
            <w:r>
              <w:rPr>
                <w:rFonts w:cstheme="minorHAnsi"/>
              </w:rPr>
              <w:t>13</w:t>
            </w:r>
            <w:r w:rsidRPr="0081664A">
              <w:rPr>
                <w:rFonts w:cstheme="minorHAnsi"/>
                <w:vertAlign w:val="superscript"/>
              </w:rPr>
              <w:t>th</w:t>
            </w:r>
            <w:r>
              <w:rPr>
                <w:rFonts w:cstheme="minorHAnsi"/>
              </w:rPr>
              <w:t xml:space="preserve"> April 2016</w:t>
            </w:r>
          </w:p>
          <w:p w:rsidR="00F8223F" w:rsidRDefault="00F8223F" w:rsidP="001A7C1D">
            <w:pPr>
              <w:rPr>
                <w:rFonts w:cstheme="minorHAnsi"/>
              </w:rPr>
            </w:pPr>
          </w:p>
          <w:p w:rsidR="00F8223F" w:rsidRPr="00C90060" w:rsidRDefault="00F8223F" w:rsidP="001A7C1D">
            <w:pPr>
              <w:rPr>
                <w:rFonts w:cstheme="minorHAnsi"/>
              </w:rPr>
            </w:pPr>
          </w:p>
        </w:tc>
      </w:tr>
    </w:tbl>
    <w:p w:rsidR="00F8223F" w:rsidRPr="00C90060" w:rsidRDefault="00F8223F" w:rsidP="00F8223F">
      <w:pPr>
        <w:spacing w:after="0"/>
        <w:jc w:val="center"/>
        <w:rPr>
          <w:rFonts w:cstheme="minorHAnsi"/>
          <w:b/>
        </w:rPr>
      </w:pPr>
    </w:p>
    <w:tbl>
      <w:tblPr>
        <w:tblStyle w:val="TableGrid"/>
        <w:tblW w:w="0" w:type="auto"/>
        <w:tblLook w:val="04A0" w:firstRow="1" w:lastRow="0" w:firstColumn="1" w:lastColumn="0" w:noHBand="0" w:noVBand="1"/>
      </w:tblPr>
      <w:tblGrid>
        <w:gridCol w:w="2628"/>
        <w:gridCol w:w="6320"/>
      </w:tblGrid>
      <w:tr w:rsidR="00F8223F" w:rsidRPr="00C90060" w:rsidTr="001A7C1D">
        <w:tc>
          <w:tcPr>
            <w:tcW w:w="2628" w:type="dxa"/>
          </w:tcPr>
          <w:p w:rsidR="00F8223F" w:rsidRDefault="00F8223F" w:rsidP="001A7C1D">
            <w:pPr>
              <w:rPr>
                <w:rFonts w:cstheme="minorHAnsi"/>
                <w:b/>
              </w:rPr>
            </w:pPr>
            <w:r w:rsidRPr="00C90060">
              <w:rPr>
                <w:rFonts w:cstheme="minorHAnsi"/>
                <w:b/>
              </w:rPr>
              <w:t>Title of Paper:</w:t>
            </w:r>
          </w:p>
          <w:p w:rsidR="00F8223F" w:rsidRDefault="00F8223F" w:rsidP="001A7C1D">
            <w:pPr>
              <w:rPr>
                <w:rFonts w:cstheme="minorHAnsi"/>
                <w:b/>
              </w:rPr>
            </w:pPr>
          </w:p>
          <w:p w:rsidR="00F8223F" w:rsidRPr="00C90060" w:rsidRDefault="00F8223F" w:rsidP="001A7C1D">
            <w:pPr>
              <w:rPr>
                <w:rFonts w:cstheme="minorHAnsi"/>
                <w:b/>
              </w:rPr>
            </w:pPr>
          </w:p>
        </w:tc>
        <w:tc>
          <w:tcPr>
            <w:tcW w:w="6320" w:type="dxa"/>
          </w:tcPr>
          <w:p w:rsidR="00F8223F" w:rsidRPr="00C90060" w:rsidRDefault="0081664A" w:rsidP="001A7C1D">
            <w:pPr>
              <w:rPr>
                <w:rFonts w:cstheme="minorHAnsi"/>
              </w:rPr>
            </w:pPr>
            <w:r>
              <w:rPr>
                <w:rFonts w:cstheme="minorHAnsi"/>
              </w:rPr>
              <w:t>HRA Key Performance indicators 2016/17</w:t>
            </w:r>
            <w:bookmarkStart w:id="0" w:name="_GoBack"/>
            <w:bookmarkEnd w:id="0"/>
          </w:p>
        </w:tc>
      </w:tr>
      <w:tr w:rsidR="00F8223F" w:rsidRPr="00C90060" w:rsidTr="001A7C1D">
        <w:tc>
          <w:tcPr>
            <w:tcW w:w="2628" w:type="dxa"/>
          </w:tcPr>
          <w:p w:rsidR="00F8223F" w:rsidRDefault="00F8223F" w:rsidP="001A7C1D">
            <w:pPr>
              <w:rPr>
                <w:rFonts w:cstheme="minorHAnsi"/>
                <w:b/>
              </w:rPr>
            </w:pPr>
            <w:r w:rsidRPr="00C90060">
              <w:rPr>
                <w:rFonts w:cstheme="minorHAnsi"/>
                <w:b/>
              </w:rPr>
              <w:t>Purpose of Paper:</w:t>
            </w:r>
          </w:p>
          <w:p w:rsidR="00F8223F" w:rsidRPr="00C90060" w:rsidRDefault="00F8223F" w:rsidP="001A7C1D">
            <w:pPr>
              <w:rPr>
                <w:rFonts w:cstheme="minorHAnsi"/>
                <w:b/>
              </w:rPr>
            </w:pPr>
          </w:p>
          <w:p w:rsidR="00F8223F" w:rsidRPr="00C90060" w:rsidRDefault="00F8223F" w:rsidP="001A7C1D">
            <w:pPr>
              <w:rPr>
                <w:rFonts w:cstheme="minorHAnsi"/>
                <w:b/>
              </w:rPr>
            </w:pPr>
          </w:p>
        </w:tc>
        <w:tc>
          <w:tcPr>
            <w:tcW w:w="6320" w:type="dxa"/>
          </w:tcPr>
          <w:p w:rsidR="00F8223F" w:rsidRPr="00C90060" w:rsidRDefault="008179EE" w:rsidP="00C0713D">
            <w:pPr>
              <w:rPr>
                <w:rFonts w:cstheme="minorHAnsi"/>
              </w:rPr>
            </w:pPr>
            <w:r>
              <w:rPr>
                <w:rFonts w:cstheme="minorHAnsi"/>
              </w:rPr>
              <w:t xml:space="preserve">To </w:t>
            </w:r>
            <w:r w:rsidR="00712491">
              <w:rPr>
                <w:rFonts w:cstheme="minorHAnsi"/>
              </w:rPr>
              <w:t>offer the board an opportunity to consider</w:t>
            </w:r>
            <w:r w:rsidR="00C0713D">
              <w:rPr>
                <w:rFonts w:cstheme="minorHAnsi"/>
              </w:rPr>
              <w:t xml:space="preserve"> and comment on</w:t>
            </w:r>
            <w:r w:rsidR="00712491">
              <w:rPr>
                <w:rFonts w:cstheme="minorHAnsi"/>
              </w:rPr>
              <w:t xml:space="preserve"> the proposed suite of KPI’s for 16 and 17 and </w:t>
            </w:r>
            <w:r w:rsidR="007550C4">
              <w:rPr>
                <w:rFonts w:cstheme="minorHAnsi"/>
              </w:rPr>
              <w:t>discuss</w:t>
            </w:r>
            <w:r w:rsidR="00C24209">
              <w:rPr>
                <w:rFonts w:cstheme="minorHAnsi"/>
              </w:rPr>
              <w:t xml:space="preserve"> their </w:t>
            </w:r>
            <w:r w:rsidR="007550C4">
              <w:rPr>
                <w:rFonts w:cstheme="minorHAnsi"/>
              </w:rPr>
              <w:t>suitability and effectiveness</w:t>
            </w:r>
            <w:r w:rsidR="00C24209">
              <w:rPr>
                <w:rFonts w:cstheme="minorHAnsi"/>
              </w:rPr>
              <w:t xml:space="preserve"> </w:t>
            </w:r>
            <w:r w:rsidR="00C0713D">
              <w:rPr>
                <w:rFonts w:cstheme="minorHAnsi"/>
              </w:rPr>
              <w:t>as well as the rationale for their selection described within the paper.</w:t>
            </w:r>
          </w:p>
        </w:tc>
      </w:tr>
      <w:tr w:rsidR="00F8223F" w:rsidRPr="00C90060" w:rsidTr="001A7C1D">
        <w:tc>
          <w:tcPr>
            <w:tcW w:w="2628" w:type="dxa"/>
          </w:tcPr>
          <w:p w:rsidR="00F8223F" w:rsidRDefault="00F8223F" w:rsidP="001A7C1D">
            <w:pPr>
              <w:rPr>
                <w:rFonts w:cstheme="minorHAnsi"/>
                <w:b/>
              </w:rPr>
            </w:pPr>
            <w:r w:rsidRPr="00C90060">
              <w:rPr>
                <w:rFonts w:cstheme="minorHAnsi"/>
                <w:b/>
              </w:rPr>
              <w:t>Reason for Submission:</w:t>
            </w:r>
          </w:p>
          <w:p w:rsidR="00F8223F" w:rsidRPr="00C90060" w:rsidRDefault="00F8223F" w:rsidP="001A7C1D">
            <w:pPr>
              <w:rPr>
                <w:rFonts w:cstheme="minorHAnsi"/>
                <w:b/>
              </w:rPr>
            </w:pPr>
          </w:p>
          <w:p w:rsidR="00F8223F" w:rsidRPr="00C90060" w:rsidRDefault="00F8223F" w:rsidP="001A7C1D">
            <w:pPr>
              <w:rPr>
                <w:rFonts w:cstheme="minorHAnsi"/>
                <w:b/>
              </w:rPr>
            </w:pPr>
          </w:p>
        </w:tc>
        <w:tc>
          <w:tcPr>
            <w:tcW w:w="6320" w:type="dxa"/>
          </w:tcPr>
          <w:p w:rsidR="00F8223F" w:rsidRPr="00C90060" w:rsidRDefault="00C24209" w:rsidP="00C24209">
            <w:pPr>
              <w:rPr>
                <w:rFonts w:cstheme="minorHAnsi"/>
              </w:rPr>
            </w:pPr>
            <w:r>
              <w:rPr>
                <w:rFonts w:cstheme="minorHAnsi"/>
              </w:rPr>
              <w:t xml:space="preserve">It is critical that the HRA is able to demonstrate its level of performance against agreed objectives </w:t>
            </w:r>
            <w:r w:rsidR="007550C4">
              <w:rPr>
                <w:rFonts w:cstheme="minorHAnsi"/>
              </w:rPr>
              <w:t>contained within the business plan</w:t>
            </w:r>
          </w:p>
        </w:tc>
      </w:tr>
      <w:tr w:rsidR="00F8223F" w:rsidRPr="00C90060" w:rsidTr="001A7C1D">
        <w:tc>
          <w:tcPr>
            <w:tcW w:w="2628" w:type="dxa"/>
          </w:tcPr>
          <w:p w:rsidR="00F8223F" w:rsidRDefault="00F8223F" w:rsidP="001A7C1D">
            <w:pPr>
              <w:rPr>
                <w:rFonts w:cstheme="minorHAnsi"/>
                <w:b/>
              </w:rPr>
            </w:pPr>
            <w:r>
              <w:rPr>
                <w:rFonts w:cstheme="minorHAnsi"/>
                <w:b/>
              </w:rPr>
              <w:t>Lead reviewer:</w:t>
            </w:r>
          </w:p>
          <w:p w:rsidR="00F8223F" w:rsidRDefault="00F8223F" w:rsidP="001A7C1D">
            <w:pPr>
              <w:rPr>
                <w:rFonts w:cstheme="minorHAnsi"/>
                <w:b/>
              </w:rPr>
            </w:pPr>
          </w:p>
          <w:p w:rsidR="00F8223F" w:rsidRPr="00C90060" w:rsidRDefault="00F8223F" w:rsidP="001A7C1D">
            <w:pPr>
              <w:rPr>
                <w:rFonts w:cstheme="minorHAnsi"/>
                <w:b/>
              </w:rPr>
            </w:pPr>
          </w:p>
        </w:tc>
        <w:tc>
          <w:tcPr>
            <w:tcW w:w="6320" w:type="dxa"/>
          </w:tcPr>
          <w:p w:rsidR="00F8223F" w:rsidRPr="00C90060" w:rsidRDefault="00F8223F" w:rsidP="001A7C1D">
            <w:pPr>
              <w:rPr>
                <w:rFonts w:cstheme="minorHAnsi"/>
              </w:rPr>
            </w:pPr>
            <w:r>
              <w:rPr>
                <w:rFonts w:cstheme="minorHAnsi"/>
              </w:rPr>
              <w:t>Janet Wisely</w:t>
            </w:r>
          </w:p>
        </w:tc>
      </w:tr>
      <w:tr w:rsidR="00F8223F" w:rsidRPr="00C90060" w:rsidTr="001A7C1D">
        <w:tc>
          <w:tcPr>
            <w:tcW w:w="2628" w:type="dxa"/>
          </w:tcPr>
          <w:p w:rsidR="00F8223F" w:rsidRPr="00024663" w:rsidRDefault="00F8223F" w:rsidP="001A7C1D">
            <w:pPr>
              <w:rPr>
                <w:rFonts w:cstheme="minorHAnsi"/>
                <w:b/>
              </w:rPr>
            </w:pPr>
            <w:r w:rsidRPr="00024663">
              <w:rPr>
                <w:rFonts w:cstheme="minorHAnsi"/>
                <w:b/>
              </w:rPr>
              <w:t>Details:</w:t>
            </w:r>
          </w:p>
          <w:p w:rsidR="00F8223F" w:rsidRPr="00024663" w:rsidRDefault="00F8223F" w:rsidP="001A7C1D">
            <w:pPr>
              <w:rPr>
                <w:rFonts w:cstheme="minorHAnsi"/>
                <w:b/>
              </w:rPr>
            </w:pPr>
          </w:p>
          <w:p w:rsidR="00F8223F" w:rsidRPr="00024663" w:rsidRDefault="00F8223F" w:rsidP="001A7C1D">
            <w:pPr>
              <w:rPr>
                <w:rFonts w:cstheme="minorHAnsi"/>
                <w:b/>
              </w:rPr>
            </w:pPr>
          </w:p>
        </w:tc>
        <w:tc>
          <w:tcPr>
            <w:tcW w:w="6320" w:type="dxa"/>
          </w:tcPr>
          <w:p w:rsidR="00F8223F" w:rsidRPr="00024663" w:rsidRDefault="00C24209" w:rsidP="001A7C1D">
            <w:pPr>
              <w:jc w:val="both"/>
              <w:rPr>
                <w:rFonts w:cstheme="minorHAnsi"/>
              </w:rPr>
            </w:pPr>
            <w:r>
              <w:rPr>
                <w:rFonts w:cstheme="minorHAnsi"/>
              </w:rPr>
              <w:t>Contained within report</w:t>
            </w:r>
          </w:p>
        </w:tc>
      </w:tr>
      <w:tr w:rsidR="00F8223F" w:rsidRPr="00C90060" w:rsidTr="001A7C1D">
        <w:tc>
          <w:tcPr>
            <w:tcW w:w="2628" w:type="dxa"/>
          </w:tcPr>
          <w:p w:rsidR="00F8223F" w:rsidRDefault="00F8223F" w:rsidP="001A7C1D">
            <w:pPr>
              <w:rPr>
                <w:rFonts w:cstheme="minorHAnsi"/>
                <w:b/>
              </w:rPr>
            </w:pPr>
            <w:r w:rsidRPr="00C90060">
              <w:rPr>
                <w:rFonts w:cstheme="minorHAnsi"/>
                <w:b/>
              </w:rPr>
              <w:t>Suitable for wider circulation?</w:t>
            </w:r>
          </w:p>
          <w:p w:rsidR="00F8223F" w:rsidRPr="00C90060" w:rsidRDefault="00F8223F" w:rsidP="001A7C1D">
            <w:pPr>
              <w:rPr>
                <w:rFonts w:cstheme="minorHAnsi"/>
                <w:b/>
              </w:rPr>
            </w:pPr>
          </w:p>
        </w:tc>
        <w:tc>
          <w:tcPr>
            <w:tcW w:w="6320" w:type="dxa"/>
          </w:tcPr>
          <w:p w:rsidR="00F8223F" w:rsidRPr="004E2270" w:rsidRDefault="00C24209" w:rsidP="00C24209">
            <w:pPr>
              <w:rPr>
                <w:rFonts w:cstheme="minorHAnsi"/>
              </w:rPr>
            </w:pPr>
            <w:r>
              <w:rPr>
                <w:rFonts w:cstheme="minorHAnsi"/>
              </w:rPr>
              <w:t>When agreed will be incorporated into 16/17 Business Plan</w:t>
            </w:r>
          </w:p>
        </w:tc>
      </w:tr>
      <w:tr w:rsidR="00F8223F" w:rsidRPr="00C90060" w:rsidTr="001A7C1D">
        <w:tc>
          <w:tcPr>
            <w:tcW w:w="2628" w:type="dxa"/>
          </w:tcPr>
          <w:p w:rsidR="00F8223F" w:rsidRDefault="00F8223F" w:rsidP="001A7C1D">
            <w:pPr>
              <w:rPr>
                <w:rFonts w:cstheme="minorHAnsi"/>
                <w:b/>
              </w:rPr>
            </w:pPr>
            <w:r>
              <w:rPr>
                <w:rFonts w:cstheme="minorHAnsi"/>
                <w:b/>
              </w:rPr>
              <w:t>Time required for item:</w:t>
            </w:r>
          </w:p>
          <w:p w:rsidR="00F8223F" w:rsidRDefault="00F8223F" w:rsidP="001A7C1D">
            <w:pPr>
              <w:rPr>
                <w:rFonts w:cstheme="minorHAnsi"/>
                <w:b/>
              </w:rPr>
            </w:pPr>
          </w:p>
          <w:p w:rsidR="00F8223F" w:rsidRPr="00C90060" w:rsidRDefault="00F8223F" w:rsidP="001A7C1D">
            <w:pPr>
              <w:rPr>
                <w:rFonts w:cstheme="minorHAnsi"/>
                <w:b/>
              </w:rPr>
            </w:pPr>
          </w:p>
        </w:tc>
        <w:tc>
          <w:tcPr>
            <w:tcW w:w="6320" w:type="dxa"/>
          </w:tcPr>
          <w:p w:rsidR="00F8223F" w:rsidRPr="004E2270" w:rsidRDefault="00C24209" w:rsidP="001A7C1D">
            <w:pPr>
              <w:rPr>
                <w:rFonts w:cstheme="minorHAnsi"/>
              </w:rPr>
            </w:pPr>
            <w:r>
              <w:rPr>
                <w:rFonts w:cstheme="minorHAnsi"/>
              </w:rPr>
              <w:t>20 mins (to include short presentation)</w:t>
            </w:r>
          </w:p>
        </w:tc>
      </w:tr>
    </w:tbl>
    <w:p w:rsidR="00F8223F" w:rsidRPr="00C90060" w:rsidRDefault="00F8223F" w:rsidP="00F8223F">
      <w:pPr>
        <w:spacing w:after="0"/>
        <w:rPr>
          <w:rFonts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F8223F" w:rsidRPr="00C90060" w:rsidTr="001A7C1D">
        <w:tc>
          <w:tcPr>
            <w:tcW w:w="2628" w:type="dxa"/>
            <w:vMerge w:val="restart"/>
            <w:shd w:val="clear" w:color="auto" w:fill="D9D9D9" w:themeFill="background1" w:themeFillShade="D9"/>
          </w:tcPr>
          <w:p w:rsidR="00F8223F" w:rsidRPr="00C90060" w:rsidRDefault="00F8223F" w:rsidP="001A7C1D">
            <w:pPr>
              <w:rPr>
                <w:rFonts w:cstheme="minorHAnsi"/>
                <w:b/>
              </w:rPr>
            </w:pPr>
            <w:r w:rsidRPr="00C90060">
              <w:rPr>
                <w:rFonts w:cstheme="minorHAnsi"/>
                <w:b/>
              </w:rPr>
              <w:t>Recommendation / Proposed Actions:</w:t>
            </w:r>
          </w:p>
          <w:p w:rsidR="00F8223F" w:rsidRPr="00C90060" w:rsidRDefault="00F8223F" w:rsidP="001A7C1D">
            <w:pPr>
              <w:rPr>
                <w:rFonts w:cstheme="minorHAnsi"/>
                <w:b/>
              </w:rPr>
            </w:pPr>
          </w:p>
        </w:tc>
        <w:tc>
          <w:tcPr>
            <w:tcW w:w="5040" w:type="dxa"/>
            <w:gridSpan w:val="2"/>
            <w:shd w:val="clear" w:color="auto" w:fill="D9D9D9" w:themeFill="background1" w:themeFillShade="D9"/>
          </w:tcPr>
          <w:p w:rsidR="00F8223F" w:rsidRPr="00C90060" w:rsidRDefault="00F8223F" w:rsidP="001A7C1D">
            <w:pPr>
              <w:rPr>
                <w:rFonts w:cstheme="minorHAnsi"/>
                <w:b/>
              </w:rPr>
            </w:pPr>
            <w:r w:rsidRPr="00C90060">
              <w:rPr>
                <w:rFonts w:cstheme="minorHAnsi"/>
                <w:b/>
              </w:rPr>
              <w:t>To Approve</w:t>
            </w:r>
          </w:p>
        </w:tc>
        <w:tc>
          <w:tcPr>
            <w:tcW w:w="1280" w:type="dxa"/>
            <w:shd w:val="clear" w:color="auto" w:fill="auto"/>
          </w:tcPr>
          <w:p w:rsidR="00F8223F" w:rsidRPr="00C90060" w:rsidRDefault="0081664A" w:rsidP="001A7C1D">
            <w:pPr>
              <w:rPr>
                <w:rFonts w:cstheme="minorHAnsi"/>
                <w:b/>
              </w:rPr>
            </w:pPr>
            <w:r>
              <w:rPr>
                <w:rFonts w:cstheme="minorHAnsi"/>
                <w:b/>
              </w:rPr>
              <w:t>Yes</w:t>
            </w:r>
          </w:p>
        </w:tc>
      </w:tr>
      <w:tr w:rsidR="00F8223F" w:rsidRPr="00C90060" w:rsidTr="001A7C1D">
        <w:tc>
          <w:tcPr>
            <w:tcW w:w="2628" w:type="dxa"/>
            <w:vMerge/>
            <w:shd w:val="clear" w:color="auto" w:fill="D9D9D9" w:themeFill="background1" w:themeFillShade="D9"/>
          </w:tcPr>
          <w:p w:rsidR="00F8223F" w:rsidRPr="00C90060" w:rsidRDefault="00F8223F" w:rsidP="001A7C1D">
            <w:pPr>
              <w:rPr>
                <w:rFonts w:cstheme="minorHAnsi"/>
                <w:b/>
              </w:rPr>
            </w:pPr>
          </w:p>
        </w:tc>
        <w:tc>
          <w:tcPr>
            <w:tcW w:w="5040" w:type="dxa"/>
            <w:gridSpan w:val="2"/>
            <w:shd w:val="clear" w:color="auto" w:fill="D9D9D9" w:themeFill="background1" w:themeFillShade="D9"/>
          </w:tcPr>
          <w:p w:rsidR="00F8223F" w:rsidRPr="00C90060" w:rsidRDefault="00F8223F" w:rsidP="001A7C1D">
            <w:pPr>
              <w:rPr>
                <w:rFonts w:cstheme="minorHAnsi"/>
                <w:b/>
              </w:rPr>
            </w:pPr>
            <w:r w:rsidRPr="00C90060">
              <w:rPr>
                <w:rFonts w:cstheme="minorHAnsi"/>
                <w:b/>
              </w:rPr>
              <w:t>To Note</w:t>
            </w:r>
          </w:p>
        </w:tc>
        <w:tc>
          <w:tcPr>
            <w:tcW w:w="1280" w:type="dxa"/>
            <w:shd w:val="clear" w:color="auto" w:fill="auto"/>
          </w:tcPr>
          <w:p w:rsidR="00F8223F" w:rsidRPr="00C90060" w:rsidRDefault="00F8223F" w:rsidP="001A7C1D">
            <w:pPr>
              <w:rPr>
                <w:rFonts w:cstheme="minorHAnsi"/>
                <w:b/>
              </w:rPr>
            </w:pPr>
          </w:p>
        </w:tc>
      </w:tr>
      <w:tr w:rsidR="00F8223F" w:rsidRPr="00C90060" w:rsidTr="001A7C1D">
        <w:tc>
          <w:tcPr>
            <w:tcW w:w="2628" w:type="dxa"/>
            <w:vMerge/>
            <w:shd w:val="clear" w:color="auto" w:fill="D9D9D9" w:themeFill="background1" w:themeFillShade="D9"/>
          </w:tcPr>
          <w:p w:rsidR="00F8223F" w:rsidRPr="00C90060" w:rsidRDefault="00F8223F" w:rsidP="001A7C1D">
            <w:pPr>
              <w:rPr>
                <w:rFonts w:cstheme="minorHAnsi"/>
                <w:b/>
              </w:rPr>
            </w:pPr>
          </w:p>
        </w:tc>
        <w:tc>
          <w:tcPr>
            <w:tcW w:w="5040" w:type="dxa"/>
            <w:gridSpan w:val="2"/>
            <w:shd w:val="clear" w:color="auto" w:fill="D9D9D9" w:themeFill="background1" w:themeFillShade="D9"/>
          </w:tcPr>
          <w:p w:rsidR="00F8223F" w:rsidRPr="00C90060" w:rsidRDefault="00F8223F" w:rsidP="001A7C1D">
            <w:pPr>
              <w:rPr>
                <w:rFonts w:cstheme="minorHAnsi"/>
                <w:b/>
              </w:rPr>
            </w:pPr>
            <w:r w:rsidRPr="00C90060">
              <w:rPr>
                <w:rFonts w:cstheme="minorHAnsi"/>
                <w:b/>
              </w:rPr>
              <w:t>For Discussion</w:t>
            </w:r>
          </w:p>
        </w:tc>
        <w:tc>
          <w:tcPr>
            <w:tcW w:w="1280" w:type="dxa"/>
            <w:shd w:val="clear" w:color="auto" w:fill="auto"/>
          </w:tcPr>
          <w:p w:rsidR="00F8223F" w:rsidRPr="00C90060" w:rsidRDefault="0081664A" w:rsidP="001A7C1D">
            <w:pPr>
              <w:rPr>
                <w:rFonts w:cstheme="minorHAnsi"/>
                <w:b/>
              </w:rPr>
            </w:pPr>
            <w:r>
              <w:rPr>
                <w:rFonts w:cstheme="minorHAnsi"/>
                <w:b/>
              </w:rPr>
              <w:t>Yes</w:t>
            </w:r>
          </w:p>
        </w:tc>
      </w:tr>
      <w:tr w:rsidR="00F8223F" w:rsidRPr="00C90060" w:rsidTr="001A7C1D">
        <w:tc>
          <w:tcPr>
            <w:tcW w:w="2628" w:type="dxa"/>
            <w:vMerge/>
            <w:shd w:val="clear" w:color="auto" w:fill="D9D9D9" w:themeFill="background1" w:themeFillShade="D9"/>
          </w:tcPr>
          <w:p w:rsidR="00F8223F" w:rsidRPr="00C90060" w:rsidRDefault="00F8223F" w:rsidP="001A7C1D">
            <w:pPr>
              <w:rPr>
                <w:rFonts w:cstheme="minorHAnsi"/>
                <w:b/>
              </w:rPr>
            </w:pPr>
          </w:p>
        </w:tc>
        <w:tc>
          <w:tcPr>
            <w:tcW w:w="1350" w:type="dxa"/>
            <w:shd w:val="clear" w:color="auto" w:fill="D9D9D9" w:themeFill="background1" w:themeFillShade="D9"/>
          </w:tcPr>
          <w:p w:rsidR="00F8223F" w:rsidRPr="00C90060" w:rsidRDefault="00F8223F" w:rsidP="001A7C1D">
            <w:pPr>
              <w:rPr>
                <w:rFonts w:cstheme="minorHAnsi"/>
                <w:b/>
              </w:rPr>
            </w:pPr>
            <w:r w:rsidRPr="00C90060">
              <w:rPr>
                <w:rFonts w:cstheme="minorHAnsi"/>
                <w:b/>
              </w:rPr>
              <w:t>Comments</w:t>
            </w:r>
          </w:p>
        </w:tc>
        <w:tc>
          <w:tcPr>
            <w:tcW w:w="4970" w:type="dxa"/>
            <w:gridSpan w:val="2"/>
            <w:shd w:val="clear" w:color="auto" w:fill="auto"/>
          </w:tcPr>
          <w:p w:rsidR="00F8223F" w:rsidRPr="00C90060" w:rsidRDefault="00F8223F" w:rsidP="001A7C1D">
            <w:pPr>
              <w:rPr>
                <w:rFonts w:cstheme="minorHAnsi"/>
                <w:b/>
              </w:rPr>
            </w:pPr>
          </w:p>
          <w:p w:rsidR="00F8223F" w:rsidRPr="00C90060" w:rsidRDefault="00F8223F" w:rsidP="001A7C1D">
            <w:pPr>
              <w:rPr>
                <w:rFonts w:cstheme="minorHAnsi"/>
                <w:b/>
              </w:rPr>
            </w:pPr>
          </w:p>
          <w:p w:rsidR="00F8223F" w:rsidRPr="00C90060" w:rsidRDefault="00F8223F" w:rsidP="001A7C1D">
            <w:pPr>
              <w:rPr>
                <w:rFonts w:cstheme="minorHAnsi"/>
                <w:b/>
              </w:rPr>
            </w:pPr>
          </w:p>
        </w:tc>
      </w:tr>
    </w:tbl>
    <w:p w:rsidR="00F8223F" w:rsidRPr="00C90060" w:rsidRDefault="00F8223F" w:rsidP="00F8223F">
      <w:pPr>
        <w:tabs>
          <w:tab w:val="left" w:pos="1980"/>
        </w:tabs>
        <w:spacing w:after="0" w:line="240" w:lineRule="auto"/>
        <w:rPr>
          <w:rFonts w:cstheme="minorHAnsi"/>
          <w:b/>
        </w:rPr>
      </w:pPr>
    </w:p>
    <w:tbl>
      <w:tblPr>
        <w:tblStyle w:val="TableGrid"/>
        <w:tblW w:w="0" w:type="auto"/>
        <w:tblLook w:val="04A0" w:firstRow="1" w:lastRow="0" w:firstColumn="1" w:lastColumn="0" w:noHBand="0" w:noVBand="1"/>
      </w:tblPr>
      <w:tblGrid>
        <w:gridCol w:w="2628"/>
        <w:gridCol w:w="6320"/>
      </w:tblGrid>
      <w:tr w:rsidR="00F8223F" w:rsidRPr="00C90060" w:rsidTr="001A7C1D">
        <w:tc>
          <w:tcPr>
            <w:tcW w:w="2628" w:type="dxa"/>
          </w:tcPr>
          <w:p w:rsidR="00F8223F" w:rsidRPr="00C90060" w:rsidRDefault="00F8223F" w:rsidP="001A7C1D">
            <w:pPr>
              <w:rPr>
                <w:rFonts w:cstheme="minorHAnsi"/>
                <w:b/>
              </w:rPr>
            </w:pPr>
            <w:r w:rsidRPr="00C90060">
              <w:rPr>
                <w:rFonts w:cstheme="minorHAnsi"/>
                <w:b/>
              </w:rPr>
              <w:t>Name:</w:t>
            </w:r>
          </w:p>
          <w:p w:rsidR="00F8223F" w:rsidRPr="00C90060" w:rsidRDefault="00F8223F" w:rsidP="001A7C1D">
            <w:pPr>
              <w:rPr>
                <w:rFonts w:cstheme="minorHAnsi"/>
                <w:b/>
              </w:rPr>
            </w:pPr>
          </w:p>
        </w:tc>
        <w:tc>
          <w:tcPr>
            <w:tcW w:w="6320" w:type="dxa"/>
          </w:tcPr>
          <w:p w:rsidR="00F8223F" w:rsidRPr="00C90060" w:rsidRDefault="00712491" w:rsidP="001A7C1D">
            <w:pPr>
              <w:rPr>
                <w:rFonts w:cstheme="minorHAnsi"/>
              </w:rPr>
            </w:pPr>
            <w:r>
              <w:rPr>
                <w:rFonts w:cstheme="minorHAnsi"/>
              </w:rPr>
              <w:t>Ian Cook</w:t>
            </w:r>
          </w:p>
        </w:tc>
      </w:tr>
      <w:tr w:rsidR="00F8223F" w:rsidRPr="00C90060" w:rsidTr="001A7C1D">
        <w:tc>
          <w:tcPr>
            <w:tcW w:w="2628" w:type="dxa"/>
          </w:tcPr>
          <w:p w:rsidR="00F8223F" w:rsidRPr="00C90060" w:rsidRDefault="00F8223F" w:rsidP="001A7C1D">
            <w:pPr>
              <w:rPr>
                <w:rFonts w:cstheme="minorHAnsi"/>
                <w:b/>
              </w:rPr>
            </w:pPr>
            <w:r w:rsidRPr="00C90060">
              <w:rPr>
                <w:rFonts w:cstheme="minorHAnsi"/>
                <w:b/>
              </w:rPr>
              <w:t>Job Title:</w:t>
            </w:r>
          </w:p>
          <w:p w:rsidR="00F8223F" w:rsidRPr="00C90060" w:rsidRDefault="00F8223F" w:rsidP="001A7C1D">
            <w:pPr>
              <w:rPr>
                <w:rFonts w:cstheme="minorHAnsi"/>
                <w:b/>
              </w:rPr>
            </w:pPr>
          </w:p>
        </w:tc>
        <w:tc>
          <w:tcPr>
            <w:tcW w:w="6320" w:type="dxa"/>
          </w:tcPr>
          <w:p w:rsidR="00F8223F" w:rsidRPr="00C90060" w:rsidRDefault="00712491" w:rsidP="001A7C1D">
            <w:pPr>
              <w:rPr>
                <w:rFonts w:cstheme="minorHAnsi"/>
              </w:rPr>
            </w:pPr>
            <w:r>
              <w:rPr>
                <w:rFonts w:cstheme="minorHAnsi"/>
              </w:rPr>
              <w:t>Director Corporate Services</w:t>
            </w:r>
          </w:p>
        </w:tc>
      </w:tr>
      <w:tr w:rsidR="00F8223F" w:rsidRPr="00C90060" w:rsidTr="001A7C1D">
        <w:tc>
          <w:tcPr>
            <w:tcW w:w="2628" w:type="dxa"/>
          </w:tcPr>
          <w:p w:rsidR="00F8223F" w:rsidRPr="00C90060" w:rsidRDefault="00F8223F" w:rsidP="001A7C1D">
            <w:pPr>
              <w:rPr>
                <w:rFonts w:cstheme="minorHAnsi"/>
                <w:b/>
              </w:rPr>
            </w:pPr>
            <w:r w:rsidRPr="00C90060">
              <w:rPr>
                <w:rFonts w:cstheme="minorHAnsi"/>
                <w:b/>
              </w:rPr>
              <w:t>Date:</w:t>
            </w:r>
          </w:p>
          <w:p w:rsidR="00F8223F" w:rsidRPr="00C90060" w:rsidRDefault="00F8223F" w:rsidP="001A7C1D">
            <w:pPr>
              <w:rPr>
                <w:rFonts w:cstheme="minorHAnsi"/>
                <w:b/>
              </w:rPr>
            </w:pPr>
          </w:p>
        </w:tc>
        <w:tc>
          <w:tcPr>
            <w:tcW w:w="6320" w:type="dxa"/>
          </w:tcPr>
          <w:p w:rsidR="00F8223F" w:rsidRPr="00C90060" w:rsidRDefault="00712491" w:rsidP="001A7C1D">
            <w:pPr>
              <w:rPr>
                <w:rFonts w:cstheme="minorHAnsi"/>
              </w:rPr>
            </w:pPr>
            <w:r>
              <w:rPr>
                <w:rFonts w:cstheme="minorHAnsi"/>
              </w:rPr>
              <w:t>7</w:t>
            </w:r>
            <w:r w:rsidRPr="00712491">
              <w:rPr>
                <w:rFonts w:cstheme="minorHAnsi"/>
                <w:vertAlign w:val="superscript"/>
              </w:rPr>
              <w:t>th</w:t>
            </w:r>
            <w:r>
              <w:rPr>
                <w:rFonts w:cstheme="minorHAnsi"/>
              </w:rPr>
              <w:t xml:space="preserve"> April 2016</w:t>
            </w:r>
          </w:p>
        </w:tc>
      </w:tr>
    </w:tbl>
    <w:p w:rsidR="00F8223F" w:rsidRDefault="00F8223F" w:rsidP="00F8223F">
      <w:pPr>
        <w:tabs>
          <w:tab w:val="left" w:pos="1980"/>
        </w:tabs>
        <w:spacing w:after="0" w:line="240" w:lineRule="auto"/>
        <w:rPr>
          <w:rFonts w:cstheme="minorHAnsi"/>
          <w:b/>
        </w:rPr>
      </w:pPr>
    </w:p>
    <w:p w:rsidR="00F8223F" w:rsidRDefault="00F8223F" w:rsidP="0034541B">
      <w:pPr>
        <w:pStyle w:val="Default"/>
        <w:jc w:val="center"/>
        <w:rPr>
          <w:b/>
          <w:sz w:val="22"/>
          <w:szCs w:val="22"/>
          <w:u w:val="single"/>
        </w:rPr>
      </w:pPr>
    </w:p>
    <w:p w:rsidR="00F8223F" w:rsidRDefault="00F8223F" w:rsidP="0034541B">
      <w:pPr>
        <w:pStyle w:val="Default"/>
        <w:jc w:val="center"/>
        <w:rPr>
          <w:b/>
          <w:sz w:val="22"/>
          <w:szCs w:val="22"/>
          <w:u w:val="single"/>
        </w:rPr>
      </w:pPr>
    </w:p>
    <w:p w:rsidR="00C75B95" w:rsidRPr="00005579" w:rsidRDefault="00F77097" w:rsidP="0034541B">
      <w:pPr>
        <w:pStyle w:val="Default"/>
        <w:jc w:val="center"/>
        <w:rPr>
          <w:b/>
          <w:sz w:val="22"/>
          <w:szCs w:val="22"/>
          <w:u w:val="single"/>
        </w:rPr>
      </w:pPr>
      <w:r w:rsidRPr="00005579">
        <w:rPr>
          <w:b/>
          <w:sz w:val="22"/>
          <w:szCs w:val="22"/>
          <w:u w:val="single"/>
        </w:rPr>
        <w:t>HRA K</w:t>
      </w:r>
      <w:r w:rsidR="00695A5D">
        <w:rPr>
          <w:b/>
          <w:sz w:val="22"/>
          <w:szCs w:val="22"/>
          <w:u w:val="single"/>
        </w:rPr>
        <w:t xml:space="preserve">ey </w:t>
      </w:r>
      <w:r w:rsidRPr="00005579">
        <w:rPr>
          <w:b/>
          <w:sz w:val="22"/>
          <w:szCs w:val="22"/>
          <w:u w:val="single"/>
        </w:rPr>
        <w:t>P</w:t>
      </w:r>
      <w:r w:rsidR="00695A5D">
        <w:rPr>
          <w:b/>
          <w:sz w:val="22"/>
          <w:szCs w:val="22"/>
          <w:u w:val="single"/>
        </w:rPr>
        <w:t xml:space="preserve">erformance </w:t>
      </w:r>
      <w:r w:rsidRPr="00005579">
        <w:rPr>
          <w:b/>
          <w:sz w:val="22"/>
          <w:szCs w:val="22"/>
          <w:u w:val="single"/>
        </w:rPr>
        <w:t>I</w:t>
      </w:r>
      <w:r w:rsidR="00695A5D">
        <w:rPr>
          <w:b/>
          <w:sz w:val="22"/>
          <w:szCs w:val="22"/>
          <w:u w:val="single"/>
        </w:rPr>
        <w:t>ndicators</w:t>
      </w:r>
      <w:r w:rsidR="003A15D6">
        <w:rPr>
          <w:b/>
          <w:sz w:val="22"/>
          <w:szCs w:val="22"/>
          <w:u w:val="single"/>
        </w:rPr>
        <w:t xml:space="preserve"> for 2016/17</w:t>
      </w:r>
    </w:p>
    <w:p w:rsidR="00ED3F19" w:rsidRPr="0034541B" w:rsidRDefault="00ED3F19" w:rsidP="0034541B">
      <w:pPr>
        <w:pStyle w:val="Default"/>
        <w:jc w:val="both"/>
        <w:rPr>
          <w:sz w:val="22"/>
          <w:szCs w:val="22"/>
        </w:rPr>
      </w:pPr>
    </w:p>
    <w:p w:rsidR="00695A5D" w:rsidRDefault="00001BBF" w:rsidP="00695A5D">
      <w:pPr>
        <w:pStyle w:val="Default"/>
        <w:numPr>
          <w:ilvl w:val="0"/>
          <w:numId w:val="15"/>
        </w:numPr>
        <w:jc w:val="both"/>
        <w:rPr>
          <w:b/>
          <w:sz w:val="22"/>
          <w:szCs w:val="22"/>
          <w:u w:val="single"/>
        </w:rPr>
      </w:pPr>
      <w:r>
        <w:rPr>
          <w:b/>
          <w:sz w:val="22"/>
          <w:szCs w:val="22"/>
          <w:u w:val="single"/>
        </w:rPr>
        <w:t xml:space="preserve">Introduction </w:t>
      </w:r>
    </w:p>
    <w:p w:rsidR="00695A5D" w:rsidRDefault="00695A5D" w:rsidP="00695A5D">
      <w:pPr>
        <w:pStyle w:val="Default"/>
        <w:ind w:left="360"/>
        <w:jc w:val="both"/>
        <w:rPr>
          <w:b/>
          <w:sz w:val="22"/>
          <w:szCs w:val="22"/>
          <w:u w:val="single"/>
        </w:rPr>
      </w:pPr>
    </w:p>
    <w:p w:rsidR="00001BBF" w:rsidRPr="00695A5D" w:rsidRDefault="00001BBF" w:rsidP="0034541B">
      <w:pPr>
        <w:pStyle w:val="Default"/>
        <w:numPr>
          <w:ilvl w:val="1"/>
          <w:numId w:val="15"/>
        </w:numPr>
        <w:jc w:val="both"/>
        <w:rPr>
          <w:b/>
          <w:sz w:val="22"/>
          <w:szCs w:val="22"/>
          <w:u w:val="single"/>
        </w:rPr>
      </w:pPr>
      <w:r w:rsidRPr="00695A5D">
        <w:rPr>
          <w:sz w:val="22"/>
          <w:szCs w:val="22"/>
        </w:rPr>
        <w:t xml:space="preserve">A comprehensive review has been carried out on the suite of </w:t>
      </w:r>
      <w:r w:rsidR="00811638" w:rsidRPr="00695A5D">
        <w:rPr>
          <w:sz w:val="22"/>
          <w:szCs w:val="22"/>
        </w:rPr>
        <w:t>Key Performance Indicators (KPI’s)</w:t>
      </w:r>
      <w:r w:rsidRPr="00695A5D">
        <w:rPr>
          <w:sz w:val="22"/>
          <w:szCs w:val="22"/>
        </w:rPr>
        <w:t xml:space="preserve"> used for 2015/16 to ascertain their relevance and suitability for use in 2016/17 as well as to consider new KPI’s that will reflect the implementation of HRA Approval</w:t>
      </w:r>
      <w:r w:rsidR="00811638" w:rsidRPr="00695A5D">
        <w:rPr>
          <w:sz w:val="22"/>
          <w:szCs w:val="22"/>
        </w:rPr>
        <w:t xml:space="preserve">. This work is intended to complement the development of benefit measures </w:t>
      </w:r>
      <w:r w:rsidR="00C076AE" w:rsidRPr="00695A5D">
        <w:rPr>
          <w:sz w:val="22"/>
          <w:szCs w:val="22"/>
        </w:rPr>
        <w:t>(</w:t>
      </w:r>
      <w:r w:rsidR="00811638" w:rsidRPr="00695A5D">
        <w:rPr>
          <w:sz w:val="22"/>
          <w:szCs w:val="22"/>
        </w:rPr>
        <w:t xml:space="preserve">also </w:t>
      </w:r>
      <w:r w:rsidR="00C076AE" w:rsidRPr="00695A5D">
        <w:rPr>
          <w:sz w:val="22"/>
          <w:szCs w:val="22"/>
        </w:rPr>
        <w:t xml:space="preserve">to </w:t>
      </w:r>
      <w:r w:rsidR="00811638" w:rsidRPr="00695A5D">
        <w:rPr>
          <w:sz w:val="22"/>
          <w:szCs w:val="22"/>
        </w:rPr>
        <w:t>be considered by the board at this meeting</w:t>
      </w:r>
      <w:r w:rsidR="00C076AE" w:rsidRPr="00695A5D">
        <w:rPr>
          <w:sz w:val="22"/>
          <w:szCs w:val="22"/>
        </w:rPr>
        <w:t>). This short paper intends to:</w:t>
      </w:r>
    </w:p>
    <w:p w:rsidR="00C076AE" w:rsidRDefault="00C076AE" w:rsidP="0034541B">
      <w:pPr>
        <w:pStyle w:val="Default"/>
        <w:jc w:val="both"/>
        <w:rPr>
          <w:sz w:val="22"/>
          <w:szCs w:val="22"/>
        </w:rPr>
      </w:pPr>
    </w:p>
    <w:p w:rsidR="00C076AE" w:rsidRDefault="00C076AE" w:rsidP="00695A5D">
      <w:pPr>
        <w:pStyle w:val="Default"/>
        <w:numPr>
          <w:ilvl w:val="0"/>
          <w:numId w:val="11"/>
        </w:numPr>
        <w:ind w:left="1418" w:hanging="567"/>
        <w:jc w:val="both"/>
        <w:rPr>
          <w:sz w:val="22"/>
          <w:szCs w:val="22"/>
        </w:rPr>
      </w:pPr>
      <w:r>
        <w:rPr>
          <w:sz w:val="22"/>
          <w:szCs w:val="22"/>
        </w:rPr>
        <w:t>Suggest a working definition of KPI’s</w:t>
      </w:r>
    </w:p>
    <w:p w:rsidR="00C076AE" w:rsidRDefault="00C076AE" w:rsidP="00695A5D">
      <w:pPr>
        <w:pStyle w:val="Default"/>
        <w:numPr>
          <w:ilvl w:val="0"/>
          <w:numId w:val="11"/>
        </w:numPr>
        <w:ind w:left="1418" w:hanging="567"/>
        <w:jc w:val="both"/>
        <w:rPr>
          <w:sz w:val="22"/>
          <w:szCs w:val="22"/>
        </w:rPr>
      </w:pPr>
      <w:r>
        <w:rPr>
          <w:sz w:val="22"/>
          <w:szCs w:val="22"/>
        </w:rPr>
        <w:t>Outline a set of principles that</w:t>
      </w:r>
      <w:r w:rsidR="005129EB">
        <w:rPr>
          <w:sz w:val="22"/>
          <w:szCs w:val="22"/>
        </w:rPr>
        <w:t xml:space="preserve"> can be used to ‘test’ </w:t>
      </w:r>
      <w:r w:rsidR="004A1244">
        <w:rPr>
          <w:sz w:val="22"/>
          <w:szCs w:val="22"/>
        </w:rPr>
        <w:t xml:space="preserve">existing/new </w:t>
      </w:r>
      <w:r w:rsidR="00C44A54">
        <w:rPr>
          <w:sz w:val="22"/>
          <w:szCs w:val="22"/>
        </w:rPr>
        <w:t>indicators</w:t>
      </w:r>
    </w:p>
    <w:p w:rsidR="005129EB" w:rsidRDefault="005129EB" w:rsidP="00695A5D">
      <w:pPr>
        <w:pStyle w:val="Default"/>
        <w:numPr>
          <w:ilvl w:val="0"/>
          <w:numId w:val="11"/>
        </w:numPr>
        <w:ind w:left="1418" w:hanging="567"/>
        <w:jc w:val="both"/>
        <w:rPr>
          <w:sz w:val="22"/>
          <w:szCs w:val="22"/>
        </w:rPr>
      </w:pPr>
      <w:r>
        <w:rPr>
          <w:sz w:val="22"/>
          <w:szCs w:val="22"/>
        </w:rPr>
        <w:t>Identify the key ‘themes’ in the business plan</w:t>
      </w:r>
      <w:r w:rsidR="004A1244">
        <w:rPr>
          <w:sz w:val="22"/>
          <w:szCs w:val="22"/>
        </w:rPr>
        <w:t xml:space="preserve"> to which </w:t>
      </w:r>
      <w:r w:rsidR="00C44A54">
        <w:rPr>
          <w:sz w:val="22"/>
          <w:szCs w:val="22"/>
        </w:rPr>
        <w:t>KPI’s</w:t>
      </w:r>
      <w:r w:rsidR="004A1244">
        <w:rPr>
          <w:sz w:val="22"/>
          <w:szCs w:val="22"/>
        </w:rPr>
        <w:t xml:space="preserve"> </w:t>
      </w:r>
      <w:r w:rsidR="00F83707">
        <w:rPr>
          <w:sz w:val="22"/>
          <w:szCs w:val="22"/>
        </w:rPr>
        <w:t>could</w:t>
      </w:r>
      <w:r w:rsidR="004A1244">
        <w:rPr>
          <w:sz w:val="22"/>
          <w:szCs w:val="22"/>
        </w:rPr>
        <w:t xml:space="preserve"> be applied</w:t>
      </w:r>
    </w:p>
    <w:p w:rsidR="004A1244" w:rsidRPr="0059277A" w:rsidRDefault="004A1244" w:rsidP="00695A5D">
      <w:pPr>
        <w:pStyle w:val="Default"/>
        <w:numPr>
          <w:ilvl w:val="0"/>
          <w:numId w:val="11"/>
        </w:numPr>
        <w:ind w:left="1418" w:hanging="567"/>
        <w:jc w:val="both"/>
        <w:rPr>
          <w:sz w:val="22"/>
          <w:szCs w:val="22"/>
        </w:rPr>
      </w:pPr>
      <w:r>
        <w:rPr>
          <w:sz w:val="22"/>
          <w:szCs w:val="22"/>
        </w:rPr>
        <w:t>Offer a ‘categorisation’ model that separates out KPI’s from</w:t>
      </w:r>
      <w:r w:rsidR="00F83707">
        <w:rPr>
          <w:sz w:val="22"/>
          <w:szCs w:val="22"/>
        </w:rPr>
        <w:t xml:space="preserve"> what may be considered</w:t>
      </w:r>
      <w:r>
        <w:rPr>
          <w:sz w:val="22"/>
          <w:szCs w:val="22"/>
        </w:rPr>
        <w:t xml:space="preserve"> Management Information (MI) and other performance evidence </w:t>
      </w:r>
      <w:r w:rsidRPr="00D571BE">
        <w:rPr>
          <w:b/>
          <w:sz w:val="22"/>
          <w:szCs w:val="22"/>
        </w:rPr>
        <w:t>(Annex A).</w:t>
      </w:r>
    </w:p>
    <w:p w:rsidR="0059277A" w:rsidRDefault="00F83707" w:rsidP="00695A5D">
      <w:pPr>
        <w:pStyle w:val="Default"/>
        <w:numPr>
          <w:ilvl w:val="0"/>
          <w:numId w:val="11"/>
        </w:numPr>
        <w:ind w:left="1418" w:hanging="567"/>
        <w:jc w:val="both"/>
        <w:rPr>
          <w:sz w:val="22"/>
          <w:szCs w:val="22"/>
        </w:rPr>
      </w:pPr>
      <w:r>
        <w:rPr>
          <w:sz w:val="22"/>
          <w:szCs w:val="22"/>
        </w:rPr>
        <w:t xml:space="preserve">Propose a more detailed rationale for the implementation of KPI’s linked to HRA Approval </w:t>
      </w:r>
      <w:r w:rsidRPr="00F83707">
        <w:rPr>
          <w:b/>
          <w:sz w:val="22"/>
          <w:szCs w:val="22"/>
        </w:rPr>
        <w:t>(Annex B).</w:t>
      </w:r>
    </w:p>
    <w:p w:rsidR="004A1244" w:rsidRDefault="004A1244" w:rsidP="004A1244">
      <w:pPr>
        <w:pStyle w:val="Default"/>
        <w:jc w:val="both"/>
        <w:rPr>
          <w:sz w:val="22"/>
          <w:szCs w:val="22"/>
        </w:rPr>
      </w:pPr>
    </w:p>
    <w:p w:rsidR="004A1244" w:rsidRPr="00D571BE" w:rsidRDefault="00D571BE" w:rsidP="00695A5D">
      <w:pPr>
        <w:pStyle w:val="Default"/>
        <w:ind w:left="720"/>
        <w:jc w:val="both"/>
        <w:rPr>
          <w:sz w:val="20"/>
          <w:szCs w:val="20"/>
        </w:rPr>
      </w:pPr>
      <w:r w:rsidRPr="00D571BE">
        <w:rPr>
          <w:sz w:val="20"/>
          <w:szCs w:val="20"/>
        </w:rPr>
        <w:t xml:space="preserve">Note: </w:t>
      </w:r>
      <w:r w:rsidR="004A1244" w:rsidRPr="00D571BE">
        <w:rPr>
          <w:sz w:val="20"/>
          <w:szCs w:val="20"/>
        </w:rPr>
        <w:t>The board are asked to consider this paper alongside a brief presentation</w:t>
      </w:r>
      <w:r w:rsidRPr="00D571BE">
        <w:rPr>
          <w:sz w:val="20"/>
          <w:szCs w:val="20"/>
        </w:rPr>
        <w:t xml:space="preserve"> which </w:t>
      </w:r>
      <w:r>
        <w:rPr>
          <w:sz w:val="20"/>
          <w:szCs w:val="20"/>
        </w:rPr>
        <w:t xml:space="preserve">will </w:t>
      </w:r>
      <w:r w:rsidRPr="00D571BE">
        <w:rPr>
          <w:sz w:val="20"/>
          <w:szCs w:val="20"/>
        </w:rPr>
        <w:t>be delivered at the meeting</w:t>
      </w:r>
    </w:p>
    <w:p w:rsidR="00001BBF" w:rsidRDefault="00001BBF" w:rsidP="0034541B">
      <w:pPr>
        <w:pStyle w:val="Default"/>
        <w:jc w:val="both"/>
        <w:rPr>
          <w:b/>
          <w:sz w:val="22"/>
          <w:szCs w:val="22"/>
          <w:u w:val="single"/>
        </w:rPr>
      </w:pPr>
    </w:p>
    <w:p w:rsidR="00ED3F19" w:rsidRPr="00B25A8C" w:rsidRDefault="00ED3F19" w:rsidP="00695A5D">
      <w:pPr>
        <w:pStyle w:val="Default"/>
        <w:numPr>
          <w:ilvl w:val="0"/>
          <w:numId w:val="15"/>
        </w:numPr>
        <w:jc w:val="both"/>
        <w:rPr>
          <w:b/>
          <w:sz w:val="22"/>
          <w:szCs w:val="22"/>
          <w:u w:val="single"/>
        </w:rPr>
      </w:pPr>
      <w:r w:rsidRPr="00B25A8C">
        <w:rPr>
          <w:b/>
          <w:sz w:val="22"/>
          <w:szCs w:val="22"/>
          <w:u w:val="single"/>
        </w:rPr>
        <w:t>Definition</w:t>
      </w:r>
      <w:r w:rsidR="000F36A3">
        <w:rPr>
          <w:b/>
          <w:sz w:val="22"/>
          <w:szCs w:val="22"/>
          <w:u w:val="single"/>
        </w:rPr>
        <w:t xml:space="preserve"> of KPI</w:t>
      </w:r>
    </w:p>
    <w:p w:rsidR="00ED3F19" w:rsidRPr="0034541B" w:rsidRDefault="00ED3F19" w:rsidP="0034541B">
      <w:pPr>
        <w:pStyle w:val="Default"/>
        <w:jc w:val="both"/>
        <w:rPr>
          <w:b/>
          <w:sz w:val="22"/>
          <w:szCs w:val="22"/>
        </w:rPr>
      </w:pPr>
    </w:p>
    <w:p w:rsidR="00695A5D" w:rsidRDefault="00C076AE" w:rsidP="00695A5D">
      <w:pPr>
        <w:pStyle w:val="Default"/>
        <w:numPr>
          <w:ilvl w:val="1"/>
          <w:numId w:val="15"/>
        </w:numPr>
        <w:jc w:val="both"/>
        <w:rPr>
          <w:sz w:val="22"/>
          <w:szCs w:val="22"/>
        </w:rPr>
      </w:pPr>
      <w:r>
        <w:rPr>
          <w:sz w:val="22"/>
          <w:szCs w:val="22"/>
        </w:rPr>
        <w:t xml:space="preserve">A broad sweep of existing literature </w:t>
      </w:r>
      <w:r w:rsidR="005129EB">
        <w:rPr>
          <w:sz w:val="22"/>
          <w:szCs w:val="22"/>
        </w:rPr>
        <w:t>broadly states</w:t>
      </w:r>
      <w:r>
        <w:rPr>
          <w:sz w:val="22"/>
          <w:szCs w:val="22"/>
        </w:rPr>
        <w:t xml:space="preserve"> that the function of a KPI is to</w:t>
      </w:r>
      <w:r w:rsidR="00695A5D">
        <w:rPr>
          <w:sz w:val="22"/>
          <w:szCs w:val="22"/>
        </w:rPr>
        <w:t>:</w:t>
      </w:r>
    </w:p>
    <w:p w:rsidR="00695A5D" w:rsidRDefault="00695A5D" w:rsidP="00695A5D">
      <w:pPr>
        <w:pStyle w:val="Default"/>
        <w:ind w:left="792"/>
        <w:jc w:val="both"/>
        <w:rPr>
          <w:sz w:val="22"/>
          <w:szCs w:val="22"/>
        </w:rPr>
      </w:pPr>
    </w:p>
    <w:p w:rsidR="00C076AE" w:rsidRDefault="00C076AE" w:rsidP="00695A5D">
      <w:pPr>
        <w:pStyle w:val="Default"/>
        <w:numPr>
          <w:ilvl w:val="0"/>
          <w:numId w:val="19"/>
        </w:numPr>
        <w:ind w:left="1418" w:hanging="567"/>
        <w:jc w:val="both"/>
        <w:rPr>
          <w:sz w:val="22"/>
          <w:szCs w:val="22"/>
        </w:rPr>
      </w:pPr>
      <w:r w:rsidRPr="00C076AE">
        <w:rPr>
          <w:i/>
          <w:sz w:val="22"/>
          <w:szCs w:val="22"/>
        </w:rPr>
        <w:t xml:space="preserve">‘evaluate/measure the success of an organisation or of a particular </w:t>
      </w:r>
      <w:r>
        <w:rPr>
          <w:i/>
          <w:sz w:val="22"/>
          <w:szCs w:val="22"/>
        </w:rPr>
        <w:t>activity it engag</w:t>
      </w:r>
      <w:r w:rsidRPr="00C076AE">
        <w:rPr>
          <w:i/>
          <w:sz w:val="22"/>
          <w:szCs w:val="22"/>
        </w:rPr>
        <w:t>es’</w:t>
      </w:r>
    </w:p>
    <w:p w:rsidR="00C076AE" w:rsidRDefault="00C076AE" w:rsidP="0034541B">
      <w:pPr>
        <w:pStyle w:val="Default"/>
        <w:jc w:val="both"/>
        <w:rPr>
          <w:sz w:val="22"/>
          <w:szCs w:val="22"/>
        </w:rPr>
      </w:pPr>
    </w:p>
    <w:p w:rsidR="00ED3F19" w:rsidRPr="0034541B" w:rsidRDefault="00C076AE" w:rsidP="00695A5D">
      <w:pPr>
        <w:pStyle w:val="Default"/>
        <w:numPr>
          <w:ilvl w:val="1"/>
          <w:numId w:val="15"/>
        </w:numPr>
        <w:jc w:val="both"/>
        <w:rPr>
          <w:sz w:val="22"/>
          <w:szCs w:val="22"/>
        </w:rPr>
      </w:pPr>
      <w:r>
        <w:rPr>
          <w:sz w:val="22"/>
          <w:szCs w:val="22"/>
        </w:rPr>
        <w:t xml:space="preserve">Translating that into a </w:t>
      </w:r>
      <w:r w:rsidR="00920784">
        <w:rPr>
          <w:sz w:val="22"/>
          <w:szCs w:val="22"/>
        </w:rPr>
        <w:t xml:space="preserve">working </w:t>
      </w:r>
      <w:r>
        <w:rPr>
          <w:sz w:val="22"/>
          <w:szCs w:val="22"/>
        </w:rPr>
        <w:t xml:space="preserve">definition applicable to the HRA, the following </w:t>
      </w:r>
      <w:r w:rsidR="00920784">
        <w:rPr>
          <w:sz w:val="22"/>
          <w:szCs w:val="22"/>
        </w:rPr>
        <w:t>is suggested:</w:t>
      </w:r>
    </w:p>
    <w:p w:rsidR="00ED3F19" w:rsidRPr="0034541B" w:rsidRDefault="00ED3F19" w:rsidP="0034541B">
      <w:pPr>
        <w:pStyle w:val="Default"/>
        <w:jc w:val="both"/>
        <w:rPr>
          <w:sz w:val="22"/>
          <w:szCs w:val="22"/>
        </w:rPr>
      </w:pPr>
    </w:p>
    <w:p w:rsidR="00ED3F19" w:rsidRPr="0034541B" w:rsidRDefault="00ED3F19" w:rsidP="00695A5D">
      <w:pPr>
        <w:pStyle w:val="Default"/>
        <w:numPr>
          <w:ilvl w:val="2"/>
          <w:numId w:val="16"/>
        </w:numPr>
        <w:jc w:val="both"/>
        <w:rPr>
          <w:i/>
          <w:sz w:val="22"/>
          <w:szCs w:val="22"/>
        </w:rPr>
      </w:pPr>
      <w:r w:rsidRPr="0034541B">
        <w:rPr>
          <w:i/>
          <w:sz w:val="22"/>
          <w:szCs w:val="22"/>
        </w:rPr>
        <w:t>‘Measures by which the HRA can effectively judge its performance in contributing to improving the Health Research Economy/</w:t>
      </w:r>
      <w:r w:rsidR="003153CE" w:rsidRPr="0034541B">
        <w:rPr>
          <w:i/>
          <w:sz w:val="22"/>
          <w:szCs w:val="22"/>
        </w:rPr>
        <w:t>Environment</w:t>
      </w:r>
      <w:r w:rsidRPr="0034541B">
        <w:rPr>
          <w:i/>
          <w:sz w:val="22"/>
          <w:szCs w:val="22"/>
        </w:rPr>
        <w:t>’</w:t>
      </w:r>
    </w:p>
    <w:p w:rsidR="00ED3F19" w:rsidRPr="0034541B" w:rsidRDefault="00ED3F19" w:rsidP="0034541B">
      <w:pPr>
        <w:pStyle w:val="Default"/>
        <w:jc w:val="both"/>
        <w:rPr>
          <w:i/>
          <w:sz w:val="22"/>
          <w:szCs w:val="22"/>
        </w:rPr>
      </w:pPr>
    </w:p>
    <w:p w:rsidR="00695A5D" w:rsidRDefault="00F77097" w:rsidP="00695A5D">
      <w:pPr>
        <w:pStyle w:val="Default"/>
        <w:numPr>
          <w:ilvl w:val="0"/>
          <w:numId w:val="15"/>
        </w:numPr>
        <w:jc w:val="both"/>
        <w:rPr>
          <w:b/>
          <w:sz w:val="22"/>
          <w:szCs w:val="22"/>
          <w:u w:val="single"/>
        </w:rPr>
      </w:pPr>
      <w:r w:rsidRPr="00B25A8C">
        <w:rPr>
          <w:b/>
          <w:sz w:val="22"/>
          <w:szCs w:val="22"/>
          <w:u w:val="single"/>
        </w:rPr>
        <w:t>Principles</w:t>
      </w:r>
    </w:p>
    <w:p w:rsidR="00695A5D" w:rsidRDefault="00695A5D" w:rsidP="00695A5D">
      <w:pPr>
        <w:pStyle w:val="Default"/>
        <w:jc w:val="both"/>
        <w:rPr>
          <w:b/>
          <w:sz w:val="22"/>
          <w:szCs w:val="22"/>
          <w:u w:val="single"/>
        </w:rPr>
      </w:pPr>
    </w:p>
    <w:p w:rsidR="00ED3F19" w:rsidRPr="00695A5D" w:rsidRDefault="00ED3F19" w:rsidP="00695A5D">
      <w:pPr>
        <w:pStyle w:val="Default"/>
        <w:numPr>
          <w:ilvl w:val="1"/>
          <w:numId w:val="15"/>
        </w:numPr>
        <w:jc w:val="both"/>
        <w:rPr>
          <w:b/>
          <w:sz w:val="22"/>
          <w:szCs w:val="22"/>
          <w:u w:val="single"/>
        </w:rPr>
      </w:pPr>
      <w:r w:rsidRPr="00695A5D">
        <w:rPr>
          <w:sz w:val="22"/>
          <w:szCs w:val="22"/>
        </w:rPr>
        <w:t xml:space="preserve">In determining </w:t>
      </w:r>
      <w:r w:rsidR="00005579" w:rsidRPr="00695A5D">
        <w:rPr>
          <w:sz w:val="22"/>
          <w:szCs w:val="22"/>
        </w:rPr>
        <w:t>the</w:t>
      </w:r>
      <w:r w:rsidR="003153CE" w:rsidRPr="00695A5D">
        <w:rPr>
          <w:sz w:val="22"/>
          <w:szCs w:val="22"/>
        </w:rPr>
        <w:t xml:space="preserve"> nature</w:t>
      </w:r>
      <w:r w:rsidR="001E3019" w:rsidRPr="00695A5D">
        <w:rPr>
          <w:sz w:val="22"/>
          <w:szCs w:val="22"/>
        </w:rPr>
        <w:t xml:space="preserve"> and ‘acceptability’</w:t>
      </w:r>
      <w:r w:rsidR="003153CE" w:rsidRPr="00695A5D">
        <w:rPr>
          <w:sz w:val="22"/>
          <w:szCs w:val="22"/>
        </w:rPr>
        <w:t xml:space="preserve"> of </w:t>
      </w:r>
      <w:r w:rsidR="00C44A54" w:rsidRPr="00695A5D">
        <w:rPr>
          <w:sz w:val="22"/>
          <w:szCs w:val="22"/>
        </w:rPr>
        <w:t xml:space="preserve">indicators </w:t>
      </w:r>
      <w:r w:rsidRPr="00695A5D">
        <w:rPr>
          <w:sz w:val="22"/>
          <w:szCs w:val="22"/>
        </w:rPr>
        <w:t xml:space="preserve"> </w:t>
      </w:r>
      <w:r w:rsidR="003153CE" w:rsidRPr="00695A5D">
        <w:rPr>
          <w:sz w:val="22"/>
          <w:szCs w:val="22"/>
        </w:rPr>
        <w:t>to be</w:t>
      </w:r>
      <w:r w:rsidRPr="00695A5D">
        <w:rPr>
          <w:sz w:val="22"/>
          <w:szCs w:val="22"/>
        </w:rPr>
        <w:t xml:space="preserve"> used</w:t>
      </w:r>
      <w:r w:rsidR="00002B79" w:rsidRPr="00695A5D">
        <w:rPr>
          <w:sz w:val="22"/>
          <w:szCs w:val="22"/>
        </w:rPr>
        <w:t xml:space="preserve"> against this definition</w:t>
      </w:r>
      <w:r w:rsidRPr="00695A5D">
        <w:rPr>
          <w:sz w:val="22"/>
          <w:szCs w:val="22"/>
        </w:rPr>
        <w:t>, the following represent a set of principles that could be applied</w:t>
      </w:r>
      <w:r w:rsidR="003153CE" w:rsidRPr="00695A5D">
        <w:rPr>
          <w:sz w:val="22"/>
          <w:szCs w:val="22"/>
        </w:rPr>
        <w:t>:</w:t>
      </w:r>
    </w:p>
    <w:p w:rsidR="00F77097" w:rsidRPr="0034541B" w:rsidRDefault="00F77097" w:rsidP="0034541B">
      <w:pPr>
        <w:pStyle w:val="Default"/>
        <w:jc w:val="both"/>
        <w:rPr>
          <w:sz w:val="22"/>
          <w:szCs w:val="22"/>
        </w:rPr>
      </w:pPr>
    </w:p>
    <w:p w:rsidR="00BC180F" w:rsidRPr="0034541B" w:rsidRDefault="00BC180F" w:rsidP="0034541B">
      <w:pPr>
        <w:pStyle w:val="ListParagraph"/>
        <w:numPr>
          <w:ilvl w:val="0"/>
          <w:numId w:val="4"/>
        </w:numPr>
        <w:jc w:val="both"/>
        <w:rPr>
          <w:rFonts w:ascii="Arial" w:hAnsi="Arial" w:cs="Arial"/>
        </w:rPr>
      </w:pPr>
      <w:r w:rsidRPr="0034541B">
        <w:rPr>
          <w:rFonts w:ascii="Arial" w:hAnsi="Arial" w:cs="Arial"/>
          <w:b/>
        </w:rPr>
        <w:t>Performance of HRA can be clearly identified</w:t>
      </w:r>
      <w:r w:rsidR="00ED3F19" w:rsidRPr="0034541B">
        <w:rPr>
          <w:rFonts w:ascii="Arial" w:hAnsi="Arial" w:cs="Arial"/>
        </w:rPr>
        <w:t xml:space="preserve"> </w:t>
      </w:r>
      <w:r w:rsidR="003153CE" w:rsidRPr="0034541B">
        <w:rPr>
          <w:rFonts w:ascii="Arial" w:hAnsi="Arial" w:cs="Arial"/>
        </w:rPr>
        <w:t xml:space="preserve">- </w:t>
      </w:r>
      <w:r w:rsidR="00ED3F19" w:rsidRPr="0034541B">
        <w:rPr>
          <w:rFonts w:ascii="Arial" w:hAnsi="Arial" w:cs="Arial"/>
        </w:rPr>
        <w:t xml:space="preserve">even </w:t>
      </w:r>
      <w:r w:rsidR="00C44A54">
        <w:rPr>
          <w:rFonts w:ascii="Arial" w:hAnsi="Arial" w:cs="Arial"/>
        </w:rPr>
        <w:t xml:space="preserve">when </w:t>
      </w:r>
      <w:r w:rsidR="00ED3F19" w:rsidRPr="0034541B">
        <w:rPr>
          <w:rFonts w:ascii="Arial" w:hAnsi="Arial" w:cs="Arial"/>
        </w:rPr>
        <w:t xml:space="preserve">part of wider system with </w:t>
      </w:r>
      <w:r w:rsidR="00C44A54">
        <w:rPr>
          <w:rFonts w:ascii="Arial" w:hAnsi="Arial" w:cs="Arial"/>
        </w:rPr>
        <w:t xml:space="preserve">other </w:t>
      </w:r>
      <w:r w:rsidR="003153CE" w:rsidRPr="0034541B">
        <w:rPr>
          <w:rFonts w:ascii="Arial" w:hAnsi="Arial" w:cs="Arial"/>
        </w:rPr>
        <w:t>stakeholders</w:t>
      </w:r>
    </w:p>
    <w:p w:rsidR="00D90CAC" w:rsidRPr="0034541B" w:rsidRDefault="00D90CAC" w:rsidP="0034541B">
      <w:pPr>
        <w:pStyle w:val="ListParagraph"/>
        <w:numPr>
          <w:ilvl w:val="0"/>
          <w:numId w:val="4"/>
        </w:numPr>
        <w:jc w:val="both"/>
        <w:rPr>
          <w:rFonts w:ascii="Arial" w:hAnsi="Arial" w:cs="Arial"/>
        </w:rPr>
      </w:pPr>
      <w:r w:rsidRPr="0034541B">
        <w:rPr>
          <w:rFonts w:ascii="Arial" w:hAnsi="Arial" w:cs="Arial"/>
          <w:b/>
        </w:rPr>
        <w:t>Has an agreed target and/or benchmark</w:t>
      </w:r>
      <w:r w:rsidR="003153CE" w:rsidRPr="0034541B">
        <w:rPr>
          <w:rFonts w:ascii="Arial" w:hAnsi="Arial" w:cs="Arial"/>
        </w:rPr>
        <w:t xml:space="preserve"> – it is important that the level of performance can be compared either with a statutory target or a </w:t>
      </w:r>
      <w:r w:rsidR="00C44A54">
        <w:rPr>
          <w:rFonts w:ascii="Arial" w:hAnsi="Arial" w:cs="Arial"/>
        </w:rPr>
        <w:t xml:space="preserve">HRA established </w:t>
      </w:r>
      <w:r w:rsidR="003153CE" w:rsidRPr="0034541B">
        <w:rPr>
          <w:rFonts w:ascii="Arial" w:hAnsi="Arial" w:cs="Arial"/>
        </w:rPr>
        <w:t xml:space="preserve"> one </w:t>
      </w:r>
    </w:p>
    <w:p w:rsidR="00BC180F" w:rsidRPr="0034541B" w:rsidRDefault="00BC180F" w:rsidP="0034541B">
      <w:pPr>
        <w:pStyle w:val="ListParagraph"/>
        <w:numPr>
          <w:ilvl w:val="0"/>
          <w:numId w:val="4"/>
        </w:numPr>
        <w:jc w:val="both"/>
        <w:rPr>
          <w:rFonts w:ascii="Arial" w:hAnsi="Arial" w:cs="Arial"/>
        </w:rPr>
      </w:pPr>
      <w:r w:rsidRPr="0034541B">
        <w:rPr>
          <w:rFonts w:ascii="Arial" w:hAnsi="Arial" w:cs="Arial"/>
          <w:b/>
        </w:rPr>
        <w:t>Measure outputs rather than inputs</w:t>
      </w:r>
      <w:r w:rsidR="003153CE" w:rsidRPr="0034541B">
        <w:rPr>
          <w:rFonts w:ascii="Arial" w:hAnsi="Arial" w:cs="Arial"/>
        </w:rPr>
        <w:t xml:space="preserve"> – to move away from </w:t>
      </w:r>
      <w:r w:rsidR="00C44A54">
        <w:rPr>
          <w:rFonts w:ascii="Arial" w:hAnsi="Arial" w:cs="Arial"/>
        </w:rPr>
        <w:t xml:space="preserve">routine </w:t>
      </w:r>
      <w:r w:rsidR="003153CE" w:rsidRPr="0034541B">
        <w:rPr>
          <w:rFonts w:ascii="Arial" w:hAnsi="Arial" w:cs="Arial"/>
        </w:rPr>
        <w:t xml:space="preserve">reporting </w:t>
      </w:r>
      <w:r w:rsidR="00030038" w:rsidRPr="0034541B">
        <w:rPr>
          <w:rFonts w:ascii="Arial" w:hAnsi="Arial" w:cs="Arial"/>
        </w:rPr>
        <w:t xml:space="preserve">to the board </w:t>
      </w:r>
      <w:r w:rsidR="003153CE" w:rsidRPr="0034541B">
        <w:rPr>
          <w:rFonts w:ascii="Arial" w:hAnsi="Arial" w:cs="Arial"/>
        </w:rPr>
        <w:t xml:space="preserve">what could be considered management information e.g. HR, Training, </w:t>
      </w:r>
      <w:r w:rsidR="003153CE" w:rsidRPr="0034541B">
        <w:rPr>
          <w:rFonts w:ascii="Arial" w:hAnsi="Arial" w:cs="Arial"/>
        </w:rPr>
        <w:lastRenderedPageBreak/>
        <w:t xml:space="preserve">Finance data to focus on </w:t>
      </w:r>
      <w:r w:rsidR="00C44A54">
        <w:rPr>
          <w:rFonts w:ascii="Arial" w:hAnsi="Arial" w:cs="Arial"/>
        </w:rPr>
        <w:t xml:space="preserve">KPI’s </w:t>
      </w:r>
      <w:r w:rsidR="003153CE" w:rsidRPr="0034541B">
        <w:rPr>
          <w:rFonts w:ascii="Arial" w:hAnsi="Arial" w:cs="Arial"/>
        </w:rPr>
        <w:t xml:space="preserve"> that will clearly measure th</w:t>
      </w:r>
      <w:r w:rsidR="004E2244" w:rsidRPr="0034541B">
        <w:rPr>
          <w:rFonts w:ascii="Arial" w:hAnsi="Arial" w:cs="Arial"/>
        </w:rPr>
        <w:t>e  operational impact of the HRA</w:t>
      </w:r>
    </w:p>
    <w:p w:rsidR="004F76DE" w:rsidRPr="00005579" w:rsidRDefault="004F76DE" w:rsidP="0034541B">
      <w:pPr>
        <w:pStyle w:val="ListParagraph"/>
        <w:numPr>
          <w:ilvl w:val="0"/>
          <w:numId w:val="4"/>
        </w:numPr>
        <w:jc w:val="both"/>
        <w:rPr>
          <w:rFonts w:ascii="Arial" w:hAnsi="Arial" w:cs="Arial"/>
        </w:rPr>
      </w:pPr>
      <w:r w:rsidRPr="0034541B">
        <w:rPr>
          <w:rFonts w:ascii="Arial" w:hAnsi="Arial" w:cs="Arial"/>
          <w:b/>
        </w:rPr>
        <w:t>Data is readily available  and can be collected monthly</w:t>
      </w:r>
      <w:r w:rsidR="003153CE" w:rsidRPr="0034541B">
        <w:rPr>
          <w:rFonts w:ascii="Arial" w:hAnsi="Arial" w:cs="Arial"/>
        </w:rPr>
        <w:t xml:space="preserve"> – unless the data can be regularly and efficiently collected, analysed and presented on a regular cycle </w:t>
      </w:r>
      <w:r w:rsidR="00005579">
        <w:rPr>
          <w:rFonts w:ascii="Arial" w:hAnsi="Arial" w:cs="Arial"/>
        </w:rPr>
        <w:t>then its value is diminshed</w:t>
      </w:r>
    </w:p>
    <w:p w:rsidR="00ED3F19" w:rsidRPr="00695A5D" w:rsidRDefault="00ED3F19" w:rsidP="0034541B">
      <w:pPr>
        <w:pStyle w:val="ListParagraph"/>
        <w:numPr>
          <w:ilvl w:val="0"/>
          <w:numId w:val="4"/>
        </w:numPr>
        <w:jc w:val="both"/>
        <w:rPr>
          <w:rFonts w:ascii="Arial" w:hAnsi="Arial" w:cs="Arial"/>
          <w:b/>
        </w:rPr>
      </w:pPr>
      <w:r w:rsidRPr="0034541B">
        <w:rPr>
          <w:rFonts w:ascii="Arial" w:hAnsi="Arial" w:cs="Arial"/>
          <w:b/>
        </w:rPr>
        <w:t xml:space="preserve">Performance </w:t>
      </w:r>
      <w:r w:rsidR="003153CE" w:rsidRPr="0034541B">
        <w:rPr>
          <w:rFonts w:ascii="Arial" w:hAnsi="Arial" w:cs="Arial"/>
          <w:b/>
        </w:rPr>
        <w:t xml:space="preserve">can be compared over time </w:t>
      </w:r>
      <w:r w:rsidR="004E2244" w:rsidRPr="0034541B">
        <w:rPr>
          <w:rFonts w:ascii="Arial" w:hAnsi="Arial" w:cs="Arial"/>
        </w:rPr>
        <w:t>–</w:t>
      </w:r>
      <w:r w:rsidR="003153CE" w:rsidRPr="0034541B">
        <w:rPr>
          <w:rFonts w:ascii="Arial" w:hAnsi="Arial" w:cs="Arial"/>
        </w:rPr>
        <w:t xml:space="preserve"> </w:t>
      </w:r>
      <w:r w:rsidR="004E2244" w:rsidRPr="0034541B">
        <w:rPr>
          <w:rFonts w:ascii="Arial" w:hAnsi="Arial" w:cs="Arial"/>
        </w:rPr>
        <w:t xml:space="preserve">The ability to identify trends is vital to ensure that we make timely interventions to address any issues of failing performance as well as celebrate </w:t>
      </w:r>
      <w:r w:rsidR="0020012D" w:rsidRPr="0034541B">
        <w:rPr>
          <w:rFonts w:ascii="Arial" w:hAnsi="Arial" w:cs="Arial"/>
        </w:rPr>
        <w:t xml:space="preserve">improving or continuing </w:t>
      </w:r>
      <w:r w:rsidR="004E2244" w:rsidRPr="0034541B">
        <w:rPr>
          <w:rFonts w:ascii="Arial" w:hAnsi="Arial" w:cs="Arial"/>
        </w:rPr>
        <w:t>good performance</w:t>
      </w:r>
      <w:r w:rsidR="00695A5D">
        <w:rPr>
          <w:rFonts w:ascii="Arial" w:hAnsi="Arial" w:cs="Arial"/>
        </w:rPr>
        <w:t>.</w:t>
      </w:r>
    </w:p>
    <w:p w:rsidR="00695A5D" w:rsidRPr="0034541B" w:rsidRDefault="00695A5D" w:rsidP="00695A5D">
      <w:pPr>
        <w:pStyle w:val="ListParagraph"/>
        <w:ind w:left="1080"/>
        <w:jc w:val="both"/>
        <w:rPr>
          <w:rFonts w:ascii="Arial" w:hAnsi="Arial" w:cs="Arial"/>
          <w:b/>
        </w:rPr>
      </w:pPr>
    </w:p>
    <w:p w:rsidR="005F7BB7" w:rsidRDefault="0058363F" w:rsidP="00695A5D">
      <w:pPr>
        <w:pStyle w:val="ListParagraph"/>
        <w:numPr>
          <w:ilvl w:val="0"/>
          <w:numId w:val="15"/>
        </w:numPr>
        <w:jc w:val="both"/>
        <w:rPr>
          <w:rFonts w:ascii="Arial" w:hAnsi="Arial" w:cs="Arial"/>
          <w:b/>
          <w:u w:val="single"/>
        </w:rPr>
      </w:pPr>
      <w:r w:rsidRPr="00695A5D">
        <w:rPr>
          <w:rFonts w:ascii="Arial" w:hAnsi="Arial" w:cs="Arial"/>
          <w:b/>
          <w:u w:val="single"/>
        </w:rPr>
        <w:t xml:space="preserve">Consistent </w:t>
      </w:r>
      <w:r w:rsidR="005F7BB7" w:rsidRPr="00695A5D">
        <w:rPr>
          <w:rFonts w:ascii="Arial" w:hAnsi="Arial" w:cs="Arial"/>
          <w:b/>
          <w:u w:val="single"/>
        </w:rPr>
        <w:t>Themes</w:t>
      </w:r>
      <w:r w:rsidRPr="00695A5D">
        <w:rPr>
          <w:rFonts w:ascii="Arial" w:hAnsi="Arial" w:cs="Arial"/>
          <w:b/>
          <w:u w:val="single"/>
        </w:rPr>
        <w:t xml:space="preserve"> in Business Plan</w:t>
      </w:r>
    </w:p>
    <w:p w:rsidR="00695A5D" w:rsidRPr="00695A5D" w:rsidRDefault="00695A5D" w:rsidP="00695A5D">
      <w:pPr>
        <w:pStyle w:val="ListParagraph"/>
        <w:ind w:left="360"/>
        <w:jc w:val="both"/>
        <w:rPr>
          <w:rFonts w:ascii="Arial" w:hAnsi="Arial" w:cs="Arial"/>
          <w:b/>
          <w:u w:val="single"/>
        </w:rPr>
      </w:pPr>
    </w:p>
    <w:p w:rsidR="00CA10E0" w:rsidRDefault="00CA10E0" w:rsidP="00695A5D">
      <w:pPr>
        <w:pStyle w:val="ListParagraph"/>
        <w:numPr>
          <w:ilvl w:val="1"/>
          <w:numId w:val="15"/>
        </w:numPr>
        <w:jc w:val="both"/>
        <w:rPr>
          <w:rFonts w:ascii="Arial" w:hAnsi="Arial" w:cs="Arial"/>
        </w:rPr>
      </w:pPr>
      <w:r w:rsidRPr="00695A5D">
        <w:rPr>
          <w:rFonts w:ascii="Arial" w:hAnsi="Arial" w:cs="Arial"/>
        </w:rPr>
        <w:t xml:space="preserve">Prior to agreeing specific </w:t>
      </w:r>
      <w:r w:rsidR="0016031B" w:rsidRPr="00695A5D">
        <w:rPr>
          <w:rFonts w:ascii="Arial" w:hAnsi="Arial" w:cs="Arial"/>
        </w:rPr>
        <w:t xml:space="preserve">KPI’s </w:t>
      </w:r>
      <w:r w:rsidRPr="00695A5D">
        <w:rPr>
          <w:rFonts w:ascii="Arial" w:hAnsi="Arial" w:cs="Arial"/>
        </w:rPr>
        <w:t xml:space="preserve">it is important that we identify what it is we want to measure. In considering the content of the business plan the following </w:t>
      </w:r>
      <w:r w:rsidR="00412EAB" w:rsidRPr="00695A5D">
        <w:rPr>
          <w:rFonts w:ascii="Arial" w:hAnsi="Arial" w:cs="Arial"/>
        </w:rPr>
        <w:t>were</w:t>
      </w:r>
      <w:r w:rsidR="00030038" w:rsidRPr="00695A5D">
        <w:rPr>
          <w:rFonts w:ascii="Arial" w:hAnsi="Arial" w:cs="Arial"/>
        </w:rPr>
        <w:t xml:space="preserve"> recurring themes:</w:t>
      </w:r>
    </w:p>
    <w:p w:rsidR="00695A5D" w:rsidRPr="00695A5D" w:rsidRDefault="00695A5D" w:rsidP="00695A5D">
      <w:pPr>
        <w:pStyle w:val="ListParagraph"/>
        <w:ind w:left="792"/>
        <w:jc w:val="both"/>
        <w:rPr>
          <w:rFonts w:ascii="Arial" w:hAnsi="Arial" w:cs="Arial"/>
        </w:rPr>
      </w:pPr>
    </w:p>
    <w:p w:rsidR="001E3019" w:rsidRPr="0034541B" w:rsidRDefault="00483012" w:rsidP="00695A5D">
      <w:pPr>
        <w:pStyle w:val="ListParagraph"/>
        <w:numPr>
          <w:ilvl w:val="0"/>
          <w:numId w:val="5"/>
        </w:numPr>
        <w:ind w:left="1134" w:hanging="425"/>
        <w:jc w:val="both"/>
        <w:rPr>
          <w:rFonts w:ascii="Arial" w:hAnsi="Arial" w:cs="Arial"/>
          <w:b/>
        </w:rPr>
      </w:pPr>
      <w:r w:rsidRPr="0034541B">
        <w:rPr>
          <w:rFonts w:ascii="Arial" w:hAnsi="Arial" w:cs="Arial"/>
          <w:b/>
        </w:rPr>
        <w:t>System efficiency</w:t>
      </w:r>
      <w:r w:rsidR="001E3019" w:rsidRPr="0034541B">
        <w:rPr>
          <w:rFonts w:ascii="Arial" w:hAnsi="Arial" w:cs="Arial"/>
          <w:b/>
        </w:rPr>
        <w:t xml:space="preserve"> </w:t>
      </w:r>
      <w:r w:rsidRPr="0034541B">
        <w:rPr>
          <w:rFonts w:ascii="Arial" w:hAnsi="Arial" w:cs="Arial"/>
          <w:b/>
        </w:rPr>
        <w:t>–</w:t>
      </w:r>
      <w:r w:rsidR="001E3019" w:rsidRPr="0034541B">
        <w:rPr>
          <w:rFonts w:ascii="Arial" w:hAnsi="Arial" w:cs="Arial"/>
          <w:b/>
        </w:rPr>
        <w:t xml:space="preserve"> </w:t>
      </w:r>
      <w:r w:rsidRPr="0034541B">
        <w:rPr>
          <w:rFonts w:ascii="Arial" w:hAnsi="Arial" w:cs="Arial"/>
        </w:rPr>
        <w:t>processes are quicker and easier for researchers to navigate</w:t>
      </w:r>
    </w:p>
    <w:p w:rsidR="001E3019" w:rsidRPr="0034541B" w:rsidRDefault="004F76DE" w:rsidP="00695A5D">
      <w:pPr>
        <w:pStyle w:val="ListParagraph"/>
        <w:numPr>
          <w:ilvl w:val="0"/>
          <w:numId w:val="5"/>
        </w:numPr>
        <w:ind w:left="1134" w:hanging="425"/>
        <w:jc w:val="both"/>
        <w:rPr>
          <w:rFonts w:ascii="Arial" w:hAnsi="Arial" w:cs="Arial"/>
        </w:rPr>
      </w:pPr>
      <w:r w:rsidRPr="0034541B">
        <w:rPr>
          <w:rFonts w:ascii="Arial" w:hAnsi="Arial" w:cs="Arial"/>
          <w:b/>
        </w:rPr>
        <w:t>Quality/</w:t>
      </w:r>
      <w:r w:rsidR="00C75B95" w:rsidRPr="0034541B">
        <w:rPr>
          <w:rFonts w:ascii="Arial" w:hAnsi="Arial" w:cs="Arial"/>
          <w:b/>
        </w:rPr>
        <w:t>Consistency</w:t>
      </w:r>
      <w:r w:rsidR="001E3019" w:rsidRPr="0034541B">
        <w:rPr>
          <w:rFonts w:ascii="Arial" w:hAnsi="Arial" w:cs="Arial"/>
          <w:b/>
        </w:rPr>
        <w:t xml:space="preserve">  - </w:t>
      </w:r>
      <w:r w:rsidR="001E3019" w:rsidRPr="0034541B">
        <w:rPr>
          <w:rFonts w:ascii="Arial" w:hAnsi="Arial" w:cs="Arial"/>
        </w:rPr>
        <w:t>t</w:t>
      </w:r>
      <w:r w:rsidRPr="0034541B">
        <w:rPr>
          <w:rFonts w:ascii="Arial" w:hAnsi="Arial" w:cs="Arial"/>
        </w:rPr>
        <w:t xml:space="preserve">o ensure that the desire for </w:t>
      </w:r>
      <w:r w:rsidR="00483012" w:rsidRPr="0034541B">
        <w:rPr>
          <w:rFonts w:ascii="Arial" w:hAnsi="Arial" w:cs="Arial"/>
        </w:rPr>
        <w:t>‘</w:t>
      </w:r>
      <w:r w:rsidRPr="0034541B">
        <w:rPr>
          <w:rFonts w:ascii="Arial" w:hAnsi="Arial" w:cs="Arial"/>
        </w:rPr>
        <w:t>speed</w:t>
      </w:r>
      <w:r w:rsidR="00483012" w:rsidRPr="0034541B">
        <w:rPr>
          <w:rFonts w:ascii="Arial" w:hAnsi="Arial" w:cs="Arial"/>
        </w:rPr>
        <w:t>’</w:t>
      </w:r>
      <w:r w:rsidRPr="0034541B">
        <w:rPr>
          <w:rFonts w:ascii="Arial" w:hAnsi="Arial" w:cs="Arial"/>
        </w:rPr>
        <w:t xml:space="preserve"> is matched b</w:t>
      </w:r>
      <w:r w:rsidR="001E3019" w:rsidRPr="0034541B">
        <w:rPr>
          <w:rFonts w:ascii="Arial" w:hAnsi="Arial" w:cs="Arial"/>
        </w:rPr>
        <w:t>y the desire to achieve consistency and quality</w:t>
      </w:r>
    </w:p>
    <w:p w:rsidR="001E3019" w:rsidRPr="0034541B" w:rsidRDefault="00CC6543" w:rsidP="00695A5D">
      <w:pPr>
        <w:pStyle w:val="ListParagraph"/>
        <w:numPr>
          <w:ilvl w:val="0"/>
          <w:numId w:val="5"/>
        </w:numPr>
        <w:ind w:left="1134" w:hanging="425"/>
        <w:jc w:val="both"/>
        <w:rPr>
          <w:rFonts w:ascii="Arial" w:hAnsi="Arial" w:cs="Arial"/>
        </w:rPr>
      </w:pPr>
      <w:r w:rsidRPr="0034541B">
        <w:rPr>
          <w:rFonts w:ascii="Arial" w:hAnsi="Arial" w:cs="Arial"/>
          <w:b/>
        </w:rPr>
        <w:t>Transparency</w:t>
      </w:r>
      <w:r w:rsidR="001E3019" w:rsidRPr="0034541B">
        <w:rPr>
          <w:rFonts w:ascii="Arial" w:hAnsi="Arial" w:cs="Arial"/>
          <w:b/>
        </w:rPr>
        <w:t xml:space="preserve"> - </w:t>
      </w:r>
      <w:r w:rsidR="001E3019" w:rsidRPr="0034541B">
        <w:rPr>
          <w:rFonts w:ascii="Arial" w:hAnsi="Arial" w:cs="Arial"/>
        </w:rPr>
        <w:t>t</w:t>
      </w:r>
      <w:r w:rsidRPr="0034541B">
        <w:rPr>
          <w:rFonts w:ascii="Arial" w:hAnsi="Arial" w:cs="Arial"/>
        </w:rPr>
        <w:t>hat the HRA contribution to the transparency agenda has a positive impact</w:t>
      </w:r>
      <w:r w:rsidR="0016031B">
        <w:rPr>
          <w:rFonts w:ascii="Arial" w:hAnsi="Arial" w:cs="Arial"/>
        </w:rPr>
        <w:t>, including public confidence in health research</w:t>
      </w:r>
    </w:p>
    <w:p w:rsidR="001E3019" w:rsidRPr="0034541B" w:rsidRDefault="00796191" w:rsidP="00695A5D">
      <w:pPr>
        <w:pStyle w:val="ListParagraph"/>
        <w:numPr>
          <w:ilvl w:val="0"/>
          <w:numId w:val="5"/>
        </w:numPr>
        <w:ind w:left="1134" w:hanging="425"/>
        <w:jc w:val="both"/>
        <w:rPr>
          <w:rFonts w:ascii="Arial" w:hAnsi="Arial" w:cs="Arial"/>
          <w:b/>
        </w:rPr>
      </w:pPr>
      <w:r w:rsidRPr="0034541B">
        <w:rPr>
          <w:rFonts w:ascii="Arial" w:hAnsi="Arial" w:cs="Arial"/>
          <w:b/>
        </w:rPr>
        <w:t>Public Involvement</w:t>
      </w:r>
      <w:r w:rsidR="00483012" w:rsidRPr="0034541B">
        <w:rPr>
          <w:rFonts w:ascii="Arial" w:hAnsi="Arial" w:cs="Arial"/>
          <w:b/>
        </w:rPr>
        <w:t xml:space="preserve"> </w:t>
      </w:r>
      <w:r w:rsidR="001E3019" w:rsidRPr="0034541B">
        <w:rPr>
          <w:rFonts w:ascii="Arial" w:hAnsi="Arial" w:cs="Arial"/>
          <w:b/>
        </w:rPr>
        <w:t xml:space="preserve">- </w:t>
      </w:r>
      <w:r w:rsidRPr="0034541B">
        <w:rPr>
          <w:rFonts w:ascii="Arial" w:hAnsi="Arial" w:cs="Arial"/>
        </w:rPr>
        <w:t>That the HRA contribution to the Public Involvem</w:t>
      </w:r>
      <w:r w:rsidR="001E3019" w:rsidRPr="0034541B">
        <w:rPr>
          <w:rFonts w:ascii="Arial" w:hAnsi="Arial" w:cs="Arial"/>
        </w:rPr>
        <w:t>ent agenda has a positive impact</w:t>
      </w:r>
    </w:p>
    <w:p w:rsidR="00412EAB" w:rsidRPr="0034541B" w:rsidRDefault="00412EAB" w:rsidP="00695A5D">
      <w:pPr>
        <w:pStyle w:val="ListParagraph"/>
        <w:numPr>
          <w:ilvl w:val="0"/>
          <w:numId w:val="5"/>
        </w:numPr>
        <w:ind w:left="1134" w:hanging="425"/>
        <w:jc w:val="both"/>
        <w:rPr>
          <w:rFonts w:ascii="Arial" w:hAnsi="Arial" w:cs="Arial"/>
          <w:b/>
        </w:rPr>
      </w:pPr>
      <w:r w:rsidRPr="0034541B">
        <w:rPr>
          <w:rFonts w:ascii="Arial" w:hAnsi="Arial" w:cs="Arial"/>
          <w:b/>
        </w:rPr>
        <w:t>Participation in research</w:t>
      </w:r>
      <w:r w:rsidR="00C70C71" w:rsidRPr="0034541B">
        <w:rPr>
          <w:rFonts w:ascii="Arial" w:hAnsi="Arial" w:cs="Arial"/>
          <w:b/>
        </w:rPr>
        <w:t xml:space="preserve"> – </w:t>
      </w:r>
      <w:r w:rsidR="00C70C71" w:rsidRPr="0034541B">
        <w:rPr>
          <w:rFonts w:ascii="Arial" w:hAnsi="Arial" w:cs="Arial"/>
        </w:rPr>
        <w:t xml:space="preserve">improving/increasing </w:t>
      </w:r>
      <w:r w:rsidR="0016031B">
        <w:rPr>
          <w:rFonts w:ascii="Arial" w:hAnsi="Arial" w:cs="Arial"/>
        </w:rPr>
        <w:t xml:space="preserve">value of </w:t>
      </w:r>
      <w:r w:rsidR="00C70C71" w:rsidRPr="0034541B">
        <w:rPr>
          <w:rFonts w:ascii="Arial" w:hAnsi="Arial" w:cs="Arial"/>
        </w:rPr>
        <w:t>public participation in research</w:t>
      </w:r>
    </w:p>
    <w:p w:rsidR="00C75B95" w:rsidRDefault="005F234F" w:rsidP="00695A5D">
      <w:pPr>
        <w:pStyle w:val="ListParagraph"/>
        <w:numPr>
          <w:ilvl w:val="0"/>
          <w:numId w:val="5"/>
        </w:numPr>
        <w:ind w:left="1134" w:hanging="425"/>
        <w:jc w:val="both"/>
        <w:rPr>
          <w:rFonts w:ascii="Arial" w:hAnsi="Arial" w:cs="Arial"/>
        </w:rPr>
      </w:pPr>
      <w:r w:rsidRPr="0034541B">
        <w:rPr>
          <w:rFonts w:ascii="Arial" w:hAnsi="Arial" w:cs="Arial"/>
          <w:b/>
        </w:rPr>
        <w:t>Value for money</w:t>
      </w:r>
      <w:r w:rsidR="001E3019" w:rsidRPr="0034541B">
        <w:rPr>
          <w:rFonts w:ascii="Arial" w:hAnsi="Arial" w:cs="Arial"/>
          <w:b/>
        </w:rPr>
        <w:t xml:space="preserve"> - </w:t>
      </w:r>
      <w:r w:rsidR="00483012" w:rsidRPr="0034541B">
        <w:rPr>
          <w:rFonts w:ascii="Arial" w:hAnsi="Arial" w:cs="Arial"/>
        </w:rPr>
        <w:t>t</w:t>
      </w:r>
      <w:r w:rsidRPr="0034541B">
        <w:rPr>
          <w:rFonts w:ascii="Arial" w:hAnsi="Arial" w:cs="Arial"/>
        </w:rPr>
        <w:t xml:space="preserve">o demonstrate that the HRA represents a positive </w:t>
      </w:r>
      <w:r w:rsidR="00036BF2">
        <w:rPr>
          <w:rFonts w:ascii="Arial" w:hAnsi="Arial" w:cs="Arial"/>
        </w:rPr>
        <w:t>return on in</w:t>
      </w:r>
      <w:r w:rsidR="00695A5D">
        <w:rPr>
          <w:rFonts w:ascii="Arial" w:hAnsi="Arial" w:cs="Arial"/>
        </w:rPr>
        <w:t>v</w:t>
      </w:r>
      <w:r w:rsidR="00036BF2">
        <w:rPr>
          <w:rFonts w:ascii="Arial" w:hAnsi="Arial" w:cs="Arial"/>
        </w:rPr>
        <w:t>estment</w:t>
      </w:r>
      <w:r w:rsidR="00440205" w:rsidRPr="0034541B">
        <w:rPr>
          <w:rFonts w:ascii="Arial" w:hAnsi="Arial" w:cs="Arial"/>
        </w:rPr>
        <w:t xml:space="preserve"> (more money on research less on bureaucracy)</w:t>
      </w:r>
    </w:p>
    <w:p w:rsidR="00695A5D" w:rsidRPr="0034541B" w:rsidRDefault="00695A5D" w:rsidP="00695A5D">
      <w:pPr>
        <w:pStyle w:val="ListParagraph"/>
        <w:ind w:left="1134"/>
        <w:jc w:val="both"/>
        <w:rPr>
          <w:rFonts w:ascii="Arial" w:hAnsi="Arial" w:cs="Arial"/>
        </w:rPr>
      </w:pPr>
    </w:p>
    <w:p w:rsidR="00695A5D" w:rsidRDefault="00695A5D" w:rsidP="00695A5D">
      <w:pPr>
        <w:pStyle w:val="ListParagraph"/>
        <w:numPr>
          <w:ilvl w:val="0"/>
          <w:numId w:val="15"/>
        </w:numPr>
        <w:jc w:val="both"/>
        <w:rPr>
          <w:rFonts w:ascii="Arial" w:hAnsi="Arial" w:cs="Arial"/>
          <w:b/>
        </w:rPr>
      </w:pPr>
      <w:r w:rsidRPr="00695A5D">
        <w:rPr>
          <w:rFonts w:ascii="Arial" w:hAnsi="Arial" w:cs="Arial"/>
          <w:b/>
        </w:rPr>
        <w:t xml:space="preserve">Categorisation </w:t>
      </w:r>
    </w:p>
    <w:p w:rsidR="00695A5D" w:rsidRPr="00695A5D" w:rsidRDefault="00695A5D" w:rsidP="00695A5D">
      <w:pPr>
        <w:pStyle w:val="ListParagraph"/>
        <w:ind w:left="360"/>
        <w:jc w:val="both"/>
        <w:rPr>
          <w:rFonts w:ascii="Arial" w:hAnsi="Arial" w:cs="Arial"/>
          <w:b/>
        </w:rPr>
      </w:pPr>
    </w:p>
    <w:p w:rsidR="00A62592" w:rsidRDefault="00030038" w:rsidP="00695A5D">
      <w:pPr>
        <w:pStyle w:val="ListParagraph"/>
        <w:numPr>
          <w:ilvl w:val="1"/>
          <w:numId w:val="15"/>
        </w:numPr>
        <w:jc w:val="both"/>
        <w:rPr>
          <w:rFonts w:ascii="Arial" w:hAnsi="Arial" w:cs="Arial"/>
        </w:rPr>
      </w:pPr>
      <w:r w:rsidRPr="00695A5D">
        <w:rPr>
          <w:rFonts w:ascii="Arial" w:hAnsi="Arial" w:cs="Arial"/>
        </w:rPr>
        <w:t>The table</w:t>
      </w:r>
      <w:r w:rsidR="00E6456E" w:rsidRPr="00695A5D">
        <w:rPr>
          <w:rFonts w:ascii="Arial" w:hAnsi="Arial" w:cs="Arial"/>
        </w:rPr>
        <w:t>s</w:t>
      </w:r>
      <w:r w:rsidRPr="00695A5D">
        <w:rPr>
          <w:rFonts w:ascii="Arial" w:hAnsi="Arial" w:cs="Arial"/>
        </w:rPr>
        <w:t xml:space="preserve"> in </w:t>
      </w:r>
      <w:r w:rsidRPr="00695A5D">
        <w:rPr>
          <w:rFonts w:ascii="Arial" w:hAnsi="Arial" w:cs="Arial"/>
          <w:b/>
        </w:rPr>
        <w:t>Annex A</w:t>
      </w:r>
      <w:r w:rsidR="004A0854" w:rsidRPr="00695A5D">
        <w:rPr>
          <w:rFonts w:ascii="Arial" w:hAnsi="Arial" w:cs="Arial"/>
        </w:rPr>
        <w:t xml:space="preserve"> represent</w:t>
      </w:r>
      <w:r w:rsidRPr="00695A5D">
        <w:rPr>
          <w:rFonts w:ascii="Arial" w:hAnsi="Arial" w:cs="Arial"/>
        </w:rPr>
        <w:t xml:space="preserve"> </w:t>
      </w:r>
      <w:r w:rsidR="005A4DFA" w:rsidRPr="00695A5D">
        <w:rPr>
          <w:rFonts w:ascii="Arial" w:hAnsi="Arial" w:cs="Arial"/>
        </w:rPr>
        <w:t xml:space="preserve">the outcome of a </w:t>
      </w:r>
      <w:r w:rsidRPr="00695A5D">
        <w:rPr>
          <w:rFonts w:ascii="Arial" w:hAnsi="Arial" w:cs="Arial"/>
        </w:rPr>
        <w:t xml:space="preserve">review of </w:t>
      </w:r>
      <w:r w:rsidR="0016031B" w:rsidRPr="00695A5D">
        <w:rPr>
          <w:rFonts w:ascii="Arial" w:hAnsi="Arial" w:cs="Arial"/>
        </w:rPr>
        <w:t xml:space="preserve">the 15/16 KPI’s </w:t>
      </w:r>
      <w:r w:rsidR="00C0575A" w:rsidRPr="00695A5D">
        <w:rPr>
          <w:rFonts w:ascii="Arial" w:hAnsi="Arial" w:cs="Arial"/>
        </w:rPr>
        <w:t xml:space="preserve"> against these definitions, principles and themes</w:t>
      </w:r>
      <w:r w:rsidR="00885124" w:rsidRPr="00695A5D">
        <w:rPr>
          <w:rFonts w:ascii="Arial" w:hAnsi="Arial" w:cs="Arial"/>
        </w:rPr>
        <w:t xml:space="preserve">, </w:t>
      </w:r>
      <w:r w:rsidR="00DD27C4" w:rsidRPr="00695A5D">
        <w:rPr>
          <w:rFonts w:ascii="Arial" w:hAnsi="Arial" w:cs="Arial"/>
        </w:rPr>
        <w:t>resulting in a</w:t>
      </w:r>
      <w:r w:rsidR="004A0854" w:rsidRPr="00695A5D">
        <w:rPr>
          <w:rFonts w:ascii="Arial" w:hAnsi="Arial" w:cs="Arial"/>
        </w:rPr>
        <w:t xml:space="preserve"> </w:t>
      </w:r>
      <w:r w:rsidR="00DD27C4" w:rsidRPr="00695A5D">
        <w:rPr>
          <w:rFonts w:ascii="Arial" w:hAnsi="Arial" w:cs="Arial"/>
        </w:rPr>
        <w:t>‘</w:t>
      </w:r>
      <w:r w:rsidR="004A0854" w:rsidRPr="00695A5D">
        <w:rPr>
          <w:rFonts w:ascii="Arial" w:hAnsi="Arial" w:cs="Arial"/>
        </w:rPr>
        <w:t>re-assignment</w:t>
      </w:r>
      <w:r w:rsidR="00DD27C4" w:rsidRPr="00695A5D">
        <w:rPr>
          <w:rFonts w:ascii="Arial" w:hAnsi="Arial" w:cs="Arial"/>
        </w:rPr>
        <w:t>’</w:t>
      </w:r>
      <w:r w:rsidR="00A62592" w:rsidRPr="00695A5D">
        <w:rPr>
          <w:rFonts w:ascii="Arial" w:hAnsi="Arial" w:cs="Arial"/>
        </w:rPr>
        <w:t xml:space="preserve"> </w:t>
      </w:r>
      <w:r w:rsidR="007B5BE8" w:rsidRPr="00695A5D">
        <w:rPr>
          <w:rFonts w:ascii="Arial" w:hAnsi="Arial" w:cs="Arial"/>
        </w:rPr>
        <w:t>to</w:t>
      </w:r>
      <w:r w:rsidR="00A62592" w:rsidRPr="00695A5D">
        <w:rPr>
          <w:rFonts w:ascii="Arial" w:hAnsi="Arial" w:cs="Arial"/>
        </w:rPr>
        <w:t xml:space="preserve"> three </w:t>
      </w:r>
      <w:r w:rsidR="00DD27C4" w:rsidRPr="00695A5D">
        <w:rPr>
          <w:rFonts w:ascii="Arial" w:hAnsi="Arial" w:cs="Arial"/>
        </w:rPr>
        <w:t xml:space="preserve">specific </w:t>
      </w:r>
      <w:r w:rsidR="00A62592" w:rsidRPr="00695A5D">
        <w:rPr>
          <w:rFonts w:ascii="Arial" w:hAnsi="Arial" w:cs="Arial"/>
        </w:rPr>
        <w:t>categories</w:t>
      </w:r>
    </w:p>
    <w:tbl>
      <w:tblPr>
        <w:tblStyle w:val="MediumGrid1-Accent1"/>
        <w:tblpPr w:leftFromText="180" w:rightFromText="180" w:vertAnchor="text" w:horzAnchor="margin" w:tblpXSpec="right" w:tblpY="161"/>
        <w:tblW w:w="0" w:type="auto"/>
        <w:tblLook w:val="04A0" w:firstRow="1" w:lastRow="0" w:firstColumn="1" w:lastColumn="0" w:noHBand="0" w:noVBand="1"/>
      </w:tblPr>
      <w:tblGrid>
        <w:gridCol w:w="8330"/>
      </w:tblGrid>
      <w:tr w:rsidR="00BE79CE" w:rsidRPr="00695A5D" w:rsidTr="00BE79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Pr>
          <w:p w:rsidR="00BE79CE" w:rsidRPr="00695A5D" w:rsidRDefault="00BE79CE" w:rsidP="00BE79CE">
            <w:pPr>
              <w:pStyle w:val="ListParagraph"/>
              <w:ind w:left="0"/>
              <w:jc w:val="both"/>
              <w:rPr>
                <w:rFonts w:ascii="Arial" w:hAnsi="Arial" w:cs="Arial"/>
                <w:b w:val="0"/>
              </w:rPr>
            </w:pPr>
            <w:r w:rsidRPr="00695A5D">
              <w:rPr>
                <w:rFonts w:ascii="Arial" w:hAnsi="Arial" w:cs="Arial"/>
              </w:rPr>
              <w:t xml:space="preserve">KPI’s </w:t>
            </w:r>
            <w:r>
              <w:rPr>
                <w:rFonts w:ascii="Arial" w:hAnsi="Arial" w:cs="Arial"/>
              </w:rPr>
              <w:t xml:space="preserve">– </w:t>
            </w:r>
            <w:r w:rsidRPr="00BE79CE">
              <w:rPr>
                <w:rFonts w:ascii="Arial" w:hAnsi="Arial" w:cs="Arial"/>
                <w:b w:val="0"/>
              </w:rPr>
              <w:t>Collected monthly and reported to the board quarterly. These are considered to be the measures which will be of greatest interest to the board as they reflect the impact that the HRA has on the wider health research economy/environment</w:t>
            </w:r>
          </w:p>
        </w:tc>
      </w:tr>
      <w:tr w:rsidR="00BE79CE" w:rsidRPr="00695A5D" w:rsidTr="00BE79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Pr>
          <w:p w:rsidR="00BE79CE" w:rsidRPr="00695A5D" w:rsidRDefault="00BE79CE" w:rsidP="00BE79CE">
            <w:pPr>
              <w:jc w:val="both"/>
              <w:rPr>
                <w:rFonts w:ascii="Arial" w:hAnsi="Arial" w:cs="Arial"/>
              </w:rPr>
            </w:pPr>
          </w:p>
        </w:tc>
      </w:tr>
      <w:tr w:rsidR="00BE79CE" w:rsidRPr="00695A5D" w:rsidTr="00BE79CE">
        <w:tc>
          <w:tcPr>
            <w:cnfStyle w:val="001000000000" w:firstRow="0" w:lastRow="0" w:firstColumn="1" w:lastColumn="0" w:oddVBand="0" w:evenVBand="0" w:oddHBand="0" w:evenHBand="0" w:firstRowFirstColumn="0" w:firstRowLastColumn="0" w:lastRowFirstColumn="0" w:lastRowLastColumn="0"/>
            <w:tcW w:w="8330" w:type="dxa"/>
          </w:tcPr>
          <w:p w:rsidR="00BE79CE" w:rsidRPr="00695A5D" w:rsidRDefault="00BE79CE" w:rsidP="00BE79CE">
            <w:pPr>
              <w:jc w:val="both"/>
              <w:rPr>
                <w:rFonts w:ascii="Arial" w:hAnsi="Arial" w:cs="Arial"/>
              </w:rPr>
            </w:pPr>
            <w:r w:rsidRPr="00695A5D">
              <w:rPr>
                <w:rFonts w:ascii="Arial" w:hAnsi="Arial" w:cs="Arial"/>
              </w:rPr>
              <w:t xml:space="preserve">MI </w:t>
            </w:r>
            <w:r>
              <w:rPr>
                <w:rFonts w:ascii="Arial" w:hAnsi="Arial" w:cs="Arial"/>
              </w:rPr>
              <w:t xml:space="preserve">– </w:t>
            </w:r>
            <w:r w:rsidRPr="00BE79CE">
              <w:rPr>
                <w:rFonts w:ascii="Arial" w:hAnsi="Arial" w:cs="Arial"/>
                <w:b w:val="0"/>
              </w:rPr>
              <w:t>Collected monthly and considered by EMT, Important data that generally reflects internal service measures with ‘triggers’ i.e. points at which  a level of performance that is below an acceptable level would be reported to the Board</w:t>
            </w:r>
          </w:p>
        </w:tc>
      </w:tr>
      <w:tr w:rsidR="00BE79CE" w:rsidRPr="00695A5D" w:rsidTr="00BE79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Pr>
          <w:p w:rsidR="00BE79CE" w:rsidRPr="00695A5D" w:rsidRDefault="00BE79CE" w:rsidP="00BE79CE">
            <w:pPr>
              <w:rPr>
                <w:rFonts w:ascii="Arial" w:hAnsi="Arial" w:cs="Arial"/>
              </w:rPr>
            </w:pPr>
          </w:p>
        </w:tc>
      </w:tr>
      <w:tr w:rsidR="00BE79CE" w:rsidRPr="00695A5D" w:rsidTr="00BE79CE">
        <w:tc>
          <w:tcPr>
            <w:cnfStyle w:val="001000000000" w:firstRow="0" w:lastRow="0" w:firstColumn="1" w:lastColumn="0" w:oddVBand="0" w:evenVBand="0" w:oddHBand="0" w:evenHBand="0" w:firstRowFirstColumn="0" w:firstRowLastColumn="0" w:lastRowFirstColumn="0" w:lastRowLastColumn="0"/>
            <w:tcW w:w="8330" w:type="dxa"/>
          </w:tcPr>
          <w:p w:rsidR="00BE79CE" w:rsidRPr="00695A5D" w:rsidRDefault="00BE79CE" w:rsidP="00BE79CE">
            <w:pPr>
              <w:jc w:val="both"/>
              <w:rPr>
                <w:rFonts w:ascii="Arial" w:hAnsi="Arial" w:cs="Arial"/>
              </w:rPr>
            </w:pPr>
            <w:r w:rsidRPr="00695A5D">
              <w:rPr>
                <w:rFonts w:ascii="Arial" w:hAnsi="Arial" w:cs="Arial"/>
              </w:rPr>
              <w:t xml:space="preserve">Further Evidence – </w:t>
            </w:r>
            <w:r>
              <w:rPr>
                <w:rFonts w:ascii="Arial" w:hAnsi="Arial" w:cs="Arial"/>
                <w:b w:val="0"/>
              </w:rPr>
              <w:t>C</w:t>
            </w:r>
            <w:r w:rsidRPr="00BE79CE">
              <w:rPr>
                <w:rFonts w:ascii="Arial" w:hAnsi="Arial" w:cs="Arial"/>
                <w:b w:val="0"/>
              </w:rPr>
              <w:t>onsidered at agreed periods during the year, in most cases this would be on an annual reporting basis generated by a particular scheduled activity to gather that evidence</w:t>
            </w:r>
            <w:r w:rsidRPr="00695A5D">
              <w:rPr>
                <w:rFonts w:ascii="Arial" w:hAnsi="Arial" w:cs="Arial"/>
              </w:rPr>
              <w:t xml:space="preserve"> </w:t>
            </w:r>
          </w:p>
        </w:tc>
      </w:tr>
    </w:tbl>
    <w:p w:rsidR="00BE79CE" w:rsidRPr="00695A5D" w:rsidRDefault="00BE79CE" w:rsidP="00BE79CE">
      <w:pPr>
        <w:pStyle w:val="ListParagraph"/>
        <w:ind w:left="792"/>
        <w:jc w:val="both"/>
        <w:rPr>
          <w:rFonts w:ascii="Arial" w:hAnsi="Arial" w:cs="Arial"/>
        </w:rPr>
      </w:pPr>
    </w:p>
    <w:p w:rsidR="0059277A" w:rsidRDefault="0059277A" w:rsidP="00F83707">
      <w:pPr>
        <w:spacing w:after="0" w:line="240" w:lineRule="auto"/>
        <w:jc w:val="both"/>
        <w:rPr>
          <w:rFonts w:ascii="Arial" w:hAnsi="Arial" w:cs="Arial"/>
          <w:b/>
        </w:rPr>
      </w:pPr>
    </w:p>
    <w:p w:rsidR="00BE79CE" w:rsidRDefault="00BE79CE" w:rsidP="00F83707">
      <w:pPr>
        <w:spacing w:line="240" w:lineRule="auto"/>
        <w:jc w:val="both"/>
        <w:rPr>
          <w:rFonts w:ascii="Arial" w:hAnsi="Arial" w:cs="Arial"/>
          <w:b/>
        </w:rPr>
      </w:pPr>
    </w:p>
    <w:p w:rsidR="00BE79CE" w:rsidRDefault="00BE79CE" w:rsidP="00F83707">
      <w:pPr>
        <w:spacing w:line="240" w:lineRule="auto"/>
        <w:jc w:val="both"/>
        <w:rPr>
          <w:rFonts w:ascii="Arial" w:hAnsi="Arial" w:cs="Arial"/>
          <w:b/>
        </w:rPr>
      </w:pPr>
    </w:p>
    <w:p w:rsidR="00BE79CE" w:rsidRDefault="00BE79CE" w:rsidP="00F83707">
      <w:pPr>
        <w:spacing w:line="240" w:lineRule="auto"/>
        <w:jc w:val="both"/>
        <w:rPr>
          <w:rFonts w:ascii="Arial" w:hAnsi="Arial" w:cs="Arial"/>
          <w:b/>
        </w:rPr>
      </w:pPr>
    </w:p>
    <w:p w:rsidR="00BE79CE" w:rsidRDefault="00BE79CE" w:rsidP="00F83707">
      <w:pPr>
        <w:spacing w:line="240" w:lineRule="auto"/>
        <w:jc w:val="both"/>
        <w:rPr>
          <w:rFonts w:ascii="Arial" w:hAnsi="Arial" w:cs="Arial"/>
          <w:b/>
        </w:rPr>
      </w:pPr>
    </w:p>
    <w:p w:rsidR="00BE79CE" w:rsidRDefault="00BE79CE" w:rsidP="00F83707">
      <w:pPr>
        <w:spacing w:line="240" w:lineRule="auto"/>
        <w:jc w:val="both"/>
        <w:rPr>
          <w:rFonts w:ascii="Arial" w:hAnsi="Arial" w:cs="Arial"/>
          <w:b/>
        </w:rPr>
      </w:pPr>
    </w:p>
    <w:p w:rsidR="00BE79CE" w:rsidRDefault="00BE79CE" w:rsidP="00F83707">
      <w:pPr>
        <w:spacing w:line="240" w:lineRule="auto"/>
        <w:jc w:val="both"/>
        <w:rPr>
          <w:rFonts w:ascii="Arial" w:hAnsi="Arial" w:cs="Arial"/>
          <w:b/>
        </w:rPr>
      </w:pPr>
    </w:p>
    <w:p w:rsidR="00BE79CE" w:rsidRDefault="00BE79CE" w:rsidP="00F83707">
      <w:pPr>
        <w:spacing w:line="240" w:lineRule="auto"/>
        <w:jc w:val="both"/>
        <w:rPr>
          <w:rFonts w:ascii="Arial" w:hAnsi="Arial" w:cs="Arial"/>
          <w:b/>
        </w:rPr>
      </w:pPr>
    </w:p>
    <w:p w:rsidR="00BE79CE" w:rsidRDefault="00BE79CE" w:rsidP="00F83707">
      <w:pPr>
        <w:spacing w:line="240" w:lineRule="auto"/>
        <w:jc w:val="both"/>
        <w:rPr>
          <w:rFonts w:ascii="Arial" w:hAnsi="Arial" w:cs="Arial"/>
          <w:b/>
        </w:rPr>
      </w:pPr>
    </w:p>
    <w:p w:rsidR="00BE79CE" w:rsidRDefault="00BE79CE" w:rsidP="00F83707">
      <w:pPr>
        <w:spacing w:line="240" w:lineRule="auto"/>
        <w:jc w:val="both"/>
        <w:rPr>
          <w:rFonts w:ascii="Arial" w:hAnsi="Arial" w:cs="Arial"/>
          <w:b/>
        </w:rPr>
      </w:pPr>
    </w:p>
    <w:p w:rsidR="0059277A" w:rsidRDefault="0059277A" w:rsidP="002B48FB">
      <w:pPr>
        <w:pStyle w:val="ListParagraph"/>
        <w:numPr>
          <w:ilvl w:val="0"/>
          <w:numId w:val="15"/>
        </w:numPr>
        <w:spacing w:line="240" w:lineRule="auto"/>
        <w:jc w:val="both"/>
        <w:rPr>
          <w:rFonts w:ascii="Arial" w:hAnsi="Arial" w:cs="Arial"/>
          <w:b/>
        </w:rPr>
      </w:pPr>
      <w:r w:rsidRPr="002B48FB">
        <w:rPr>
          <w:rFonts w:ascii="Arial" w:hAnsi="Arial" w:cs="Arial"/>
          <w:b/>
        </w:rPr>
        <w:t>Summary</w:t>
      </w:r>
    </w:p>
    <w:p w:rsidR="002B48FB" w:rsidRPr="002B48FB" w:rsidRDefault="002B48FB" w:rsidP="002B48FB">
      <w:pPr>
        <w:pStyle w:val="ListParagraph"/>
        <w:spacing w:line="240" w:lineRule="auto"/>
        <w:ind w:left="360"/>
        <w:jc w:val="both"/>
        <w:rPr>
          <w:rFonts w:ascii="Arial" w:hAnsi="Arial" w:cs="Arial"/>
          <w:b/>
        </w:rPr>
      </w:pPr>
    </w:p>
    <w:p w:rsidR="00D571BE" w:rsidRPr="002B48FB" w:rsidRDefault="00C0575A" w:rsidP="002B48FB">
      <w:pPr>
        <w:pStyle w:val="ListParagraph"/>
        <w:numPr>
          <w:ilvl w:val="1"/>
          <w:numId w:val="15"/>
        </w:numPr>
        <w:jc w:val="both"/>
        <w:rPr>
          <w:rFonts w:ascii="Arial" w:hAnsi="Arial" w:cs="Arial"/>
        </w:rPr>
      </w:pPr>
      <w:r w:rsidRPr="002B48FB">
        <w:rPr>
          <w:rFonts w:ascii="Arial" w:hAnsi="Arial" w:cs="Arial"/>
        </w:rPr>
        <w:t>The existing set of KPI’s have been reviewed and re-categorised. KPI’s have been added for HRA Approval (based on the management information that is reported to the HRA Approval Programme Board). This management information will also be tabled for the Board in April given the recent full roll out of Approval. The Board is asked to consider and agree these KPI’s and the benefit measures that are presented in a separate paper</w:t>
      </w:r>
    </w:p>
    <w:p w:rsidR="00017D82" w:rsidRDefault="00017D82" w:rsidP="00B44FE1">
      <w:pPr>
        <w:spacing w:after="0" w:line="240" w:lineRule="auto"/>
        <w:jc w:val="both"/>
        <w:rPr>
          <w:rFonts w:ascii="Arial" w:hAnsi="Arial" w:cs="Arial"/>
        </w:rPr>
      </w:pPr>
    </w:p>
    <w:p w:rsidR="009C3FF3" w:rsidRDefault="009C3FF3"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9C3FF3" w:rsidRDefault="009C3FF3" w:rsidP="00B44FE1">
      <w:pPr>
        <w:spacing w:after="0" w:line="240" w:lineRule="auto"/>
        <w:jc w:val="both"/>
        <w:rPr>
          <w:rFonts w:ascii="Arial" w:hAnsi="Arial" w:cs="Arial"/>
          <w:b/>
        </w:rPr>
      </w:pPr>
      <w:r w:rsidRPr="009C3FF3">
        <w:rPr>
          <w:rFonts w:ascii="Arial" w:hAnsi="Arial" w:cs="Arial"/>
          <w:b/>
        </w:rPr>
        <w:t>Annex A</w:t>
      </w:r>
    </w:p>
    <w:p w:rsidR="009C3FF3" w:rsidRDefault="009C3FF3" w:rsidP="00B44FE1">
      <w:pPr>
        <w:spacing w:after="0" w:line="240" w:lineRule="auto"/>
        <w:jc w:val="both"/>
        <w:rPr>
          <w:rFonts w:ascii="Arial" w:hAnsi="Arial" w:cs="Arial"/>
          <w:b/>
        </w:rPr>
      </w:pPr>
    </w:p>
    <w:p w:rsidR="009C3FF3" w:rsidRDefault="009C3FF3" w:rsidP="00B44FE1">
      <w:pPr>
        <w:spacing w:after="0" w:line="240" w:lineRule="auto"/>
        <w:jc w:val="both"/>
        <w:rPr>
          <w:rFonts w:ascii="Arial" w:hAnsi="Arial" w:cs="Arial"/>
          <w:b/>
        </w:rPr>
      </w:pPr>
      <w:r>
        <w:rPr>
          <w:rFonts w:ascii="Arial" w:hAnsi="Arial" w:cs="Arial"/>
          <w:b/>
          <w:noProof/>
          <w:lang w:eastAsia="en-GB"/>
        </w:rPr>
        <w:drawing>
          <wp:inline distT="0" distB="0" distL="0" distR="0" wp14:anchorId="6B4F67C9">
            <wp:extent cx="5730875" cy="28956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2895600"/>
                    </a:xfrm>
                    <a:prstGeom prst="rect">
                      <a:avLst/>
                    </a:prstGeom>
                    <a:noFill/>
                  </pic:spPr>
                </pic:pic>
              </a:graphicData>
            </a:graphic>
          </wp:inline>
        </w:drawing>
      </w:r>
    </w:p>
    <w:p w:rsidR="009C3FF3" w:rsidRDefault="008B21A7" w:rsidP="00B44FE1">
      <w:pPr>
        <w:spacing w:after="0" w:line="240" w:lineRule="auto"/>
        <w:jc w:val="both"/>
        <w:rPr>
          <w:rFonts w:ascii="Arial" w:hAnsi="Arial" w:cs="Arial"/>
          <w:b/>
        </w:rPr>
      </w:pPr>
      <w:r>
        <w:rPr>
          <w:rFonts w:ascii="Arial" w:hAnsi="Arial" w:cs="Arial"/>
          <w:b/>
          <w:noProof/>
          <w:lang w:eastAsia="en-GB"/>
        </w:rPr>
        <w:drawing>
          <wp:inline distT="0" distB="0" distL="0" distR="0" wp14:anchorId="50C46B9B">
            <wp:extent cx="5730875" cy="5023485"/>
            <wp:effectExtent l="0" t="0" r="317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5023485"/>
                    </a:xfrm>
                    <a:prstGeom prst="rect">
                      <a:avLst/>
                    </a:prstGeom>
                    <a:noFill/>
                  </pic:spPr>
                </pic:pic>
              </a:graphicData>
            </a:graphic>
          </wp:inline>
        </w:drawing>
      </w:r>
    </w:p>
    <w:p w:rsidR="008B21A7" w:rsidRDefault="008B21A7" w:rsidP="00B44FE1">
      <w:pPr>
        <w:spacing w:after="0" w:line="240" w:lineRule="auto"/>
        <w:jc w:val="both"/>
        <w:rPr>
          <w:rFonts w:ascii="Arial" w:hAnsi="Arial" w:cs="Arial"/>
          <w:b/>
        </w:rPr>
      </w:pPr>
    </w:p>
    <w:p w:rsidR="008B21A7" w:rsidRPr="009C3FF3" w:rsidRDefault="008B21A7" w:rsidP="00B44FE1">
      <w:pPr>
        <w:spacing w:after="0" w:line="240" w:lineRule="auto"/>
        <w:jc w:val="both"/>
        <w:rPr>
          <w:rFonts w:ascii="Arial" w:hAnsi="Arial" w:cs="Arial"/>
          <w:b/>
        </w:rPr>
      </w:pPr>
    </w:p>
    <w:p w:rsidR="009C3FF3" w:rsidRDefault="008B21A7" w:rsidP="00B44FE1">
      <w:pPr>
        <w:spacing w:after="0" w:line="240" w:lineRule="auto"/>
        <w:jc w:val="both"/>
        <w:rPr>
          <w:rFonts w:ascii="Arial" w:hAnsi="Arial" w:cs="Arial"/>
        </w:rPr>
      </w:pPr>
      <w:r>
        <w:rPr>
          <w:rFonts w:ascii="Arial" w:hAnsi="Arial" w:cs="Arial"/>
          <w:noProof/>
          <w:lang w:eastAsia="en-GB"/>
        </w:rPr>
        <w:lastRenderedPageBreak/>
        <w:drawing>
          <wp:inline distT="0" distB="0" distL="0" distR="0" wp14:anchorId="088567F3">
            <wp:extent cx="5730875" cy="3060700"/>
            <wp:effectExtent l="0" t="0" r="317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3060700"/>
                    </a:xfrm>
                    <a:prstGeom prst="rect">
                      <a:avLst/>
                    </a:prstGeom>
                    <a:noFill/>
                  </pic:spPr>
                </pic:pic>
              </a:graphicData>
            </a:graphic>
          </wp:inline>
        </w:drawing>
      </w:r>
    </w:p>
    <w:p w:rsidR="008B21A7" w:rsidRDefault="008B21A7" w:rsidP="00B44FE1">
      <w:pPr>
        <w:spacing w:after="0" w:line="240" w:lineRule="auto"/>
        <w:jc w:val="both"/>
        <w:rPr>
          <w:rFonts w:ascii="Arial" w:hAnsi="Arial" w:cs="Arial"/>
        </w:rPr>
      </w:pPr>
    </w:p>
    <w:p w:rsidR="008B21A7" w:rsidRDefault="008B21A7"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BE79CE" w:rsidRDefault="00BE79CE" w:rsidP="00B44FE1">
      <w:pPr>
        <w:spacing w:after="0" w:line="240" w:lineRule="auto"/>
        <w:jc w:val="both"/>
        <w:rPr>
          <w:rFonts w:ascii="Arial" w:hAnsi="Arial" w:cs="Arial"/>
        </w:rPr>
      </w:pPr>
    </w:p>
    <w:p w:rsidR="00017D82" w:rsidRDefault="00017D82" w:rsidP="00B44FE1">
      <w:pPr>
        <w:spacing w:after="0" w:line="240" w:lineRule="auto"/>
        <w:jc w:val="both"/>
        <w:rPr>
          <w:rFonts w:ascii="Arial" w:hAnsi="Arial" w:cs="Arial"/>
        </w:rPr>
      </w:pPr>
    </w:p>
    <w:p w:rsidR="008B21A7" w:rsidRPr="008B21A7" w:rsidRDefault="008B21A7" w:rsidP="008B21A7">
      <w:pPr>
        <w:spacing w:after="0" w:line="240" w:lineRule="auto"/>
        <w:rPr>
          <w:rFonts w:ascii="Arial" w:hAnsi="Arial" w:cs="Arial"/>
          <w:b/>
        </w:rPr>
      </w:pPr>
      <w:r w:rsidRPr="008B21A7">
        <w:rPr>
          <w:rFonts w:ascii="Arial" w:hAnsi="Arial" w:cs="Arial"/>
          <w:b/>
        </w:rPr>
        <w:lastRenderedPageBreak/>
        <w:t>Annex B</w:t>
      </w:r>
    </w:p>
    <w:p w:rsidR="008B21A7" w:rsidRPr="008B21A7" w:rsidRDefault="008B21A7" w:rsidP="008B21A7">
      <w:pPr>
        <w:spacing w:after="0" w:line="240" w:lineRule="auto"/>
        <w:rPr>
          <w:rFonts w:ascii="Arial" w:hAnsi="Arial" w:cs="Arial"/>
          <w:b/>
        </w:rPr>
      </w:pPr>
    </w:p>
    <w:p w:rsidR="008B21A7" w:rsidRPr="008B21A7" w:rsidRDefault="008B21A7" w:rsidP="008B21A7">
      <w:pPr>
        <w:spacing w:after="0" w:line="240" w:lineRule="auto"/>
        <w:rPr>
          <w:rFonts w:ascii="Arial" w:hAnsi="Arial" w:cs="Arial"/>
          <w:b/>
        </w:rPr>
      </w:pPr>
      <w:r w:rsidRPr="008B21A7">
        <w:rPr>
          <w:rFonts w:ascii="Arial" w:hAnsi="Arial" w:cs="Arial"/>
          <w:b/>
        </w:rPr>
        <w:t>Proposals for KPIs for HRA Approval</w:t>
      </w:r>
    </w:p>
    <w:p w:rsidR="008B21A7" w:rsidRPr="008B21A7" w:rsidRDefault="008B21A7" w:rsidP="008B21A7">
      <w:pPr>
        <w:spacing w:after="0" w:line="240" w:lineRule="auto"/>
        <w:rPr>
          <w:rFonts w:ascii="Arial" w:hAnsi="Arial" w:cs="Arial"/>
        </w:rPr>
      </w:pPr>
    </w:p>
    <w:p w:rsidR="008B21A7" w:rsidRPr="008B21A7" w:rsidRDefault="008B21A7" w:rsidP="008B21A7">
      <w:pPr>
        <w:numPr>
          <w:ilvl w:val="0"/>
          <w:numId w:val="12"/>
        </w:numPr>
        <w:spacing w:after="0" w:line="240" w:lineRule="auto"/>
        <w:rPr>
          <w:rFonts w:ascii="Arial" w:hAnsi="Arial" w:cs="Arial"/>
        </w:rPr>
      </w:pPr>
      <w:r w:rsidRPr="008B21A7">
        <w:rPr>
          <w:rFonts w:ascii="Arial" w:hAnsi="Arial" w:cs="Arial"/>
        </w:rPr>
        <w:t>Proposed metrics are based on early information and will therefore be open to review and revision with further experience.</w:t>
      </w:r>
    </w:p>
    <w:p w:rsidR="008B21A7" w:rsidRPr="008B21A7" w:rsidRDefault="008B21A7" w:rsidP="008B21A7">
      <w:pPr>
        <w:numPr>
          <w:ilvl w:val="0"/>
          <w:numId w:val="12"/>
        </w:numPr>
        <w:spacing w:after="0" w:line="240" w:lineRule="auto"/>
        <w:rPr>
          <w:rFonts w:ascii="Arial" w:hAnsi="Arial" w:cs="Arial"/>
        </w:rPr>
      </w:pPr>
      <w:r w:rsidRPr="008B21A7">
        <w:rPr>
          <w:rFonts w:ascii="Arial" w:hAnsi="Arial" w:cs="Arial"/>
        </w:rPr>
        <w:t>No overall single measure for application to Approval – metrics must reflect different study types and be proportionate</w:t>
      </w:r>
    </w:p>
    <w:p w:rsidR="008B21A7" w:rsidRPr="008B21A7" w:rsidRDefault="008B21A7" w:rsidP="008B21A7">
      <w:pPr>
        <w:numPr>
          <w:ilvl w:val="0"/>
          <w:numId w:val="12"/>
        </w:numPr>
        <w:spacing w:after="0" w:line="240" w:lineRule="auto"/>
        <w:rPr>
          <w:rFonts w:ascii="Arial" w:hAnsi="Arial" w:cs="Arial"/>
        </w:rPr>
      </w:pPr>
      <w:r w:rsidRPr="008B21A7">
        <w:rPr>
          <w:rFonts w:ascii="Arial" w:hAnsi="Arial" w:cs="Arial"/>
        </w:rPr>
        <w:t>Measuring from the point of REC favourable opinion to HRA Approval is relevant to stakeholders and avoids double-counting the Approval and REC metrics.</w:t>
      </w:r>
    </w:p>
    <w:p w:rsidR="008B21A7" w:rsidRPr="008B21A7" w:rsidRDefault="008B21A7" w:rsidP="008B21A7">
      <w:pPr>
        <w:numPr>
          <w:ilvl w:val="0"/>
          <w:numId w:val="12"/>
        </w:numPr>
        <w:spacing w:after="0" w:line="240" w:lineRule="auto"/>
        <w:rPr>
          <w:rFonts w:ascii="Arial" w:hAnsi="Arial" w:cs="Arial"/>
        </w:rPr>
      </w:pPr>
      <w:r w:rsidRPr="008B21A7">
        <w:rPr>
          <w:rFonts w:ascii="Arial" w:hAnsi="Arial" w:cs="Arial"/>
        </w:rPr>
        <w:t>We need to measure studies with full and PR REC separately as the shorter timeline for PR review reduces the potential to address all issues prior to REC opinion</w:t>
      </w:r>
    </w:p>
    <w:p w:rsidR="008B21A7" w:rsidRPr="008B21A7" w:rsidRDefault="008B21A7" w:rsidP="008B21A7">
      <w:pPr>
        <w:numPr>
          <w:ilvl w:val="0"/>
          <w:numId w:val="12"/>
        </w:numPr>
        <w:spacing w:after="0" w:line="240" w:lineRule="auto"/>
        <w:rPr>
          <w:rFonts w:ascii="Arial" w:hAnsi="Arial" w:cs="Arial"/>
        </w:rPr>
      </w:pPr>
      <w:r w:rsidRPr="008B21A7">
        <w:rPr>
          <w:rFonts w:ascii="Arial" w:hAnsi="Arial" w:cs="Arial"/>
        </w:rPr>
        <w:t xml:space="preserve">Clinical trials are of particular interest because of the benchmarks – we need to measure commercial and non-commercial separately though as industry generally respond quicker and we want to be able to show data to industry that reflects the part they are playing to improve performance. </w:t>
      </w:r>
    </w:p>
    <w:p w:rsidR="008B21A7" w:rsidRPr="008B21A7" w:rsidRDefault="008B21A7" w:rsidP="008B21A7">
      <w:pPr>
        <w:numPr>
          <w:ilvl w:val="0"/>
          <w:numId w:val="12"/>
        </w:numPr>
        <w:spacing w:after="0" w:line="240" w:lineRule="auto"/>
        <w:rPr>
          <w:rFonts w:ascii="Arial" w:hAnsi="Arial" w:cs="Arial"/>
        </w:rPr>
      </w:pPr>
      <w:r w:rsidRPr="008B21A7">
        <w:rPr>
          <w:rFonts w:ascii="Arial" w:hAnsi="Arial" w:cs="Arial"/>
        </w:rPr>
        <w:t>Propose using medians rather than percentage achieving a target. This better reflects the reality of different studies having different complexities and use of medians resonates better with applicants and industry</w:t>
      </w:r>
    </w:p>
    <w:p w:rsidR="008B21A7" w:rsidRPr="008B21A7" w:rsidRDefault="008B21A7" w:rsidP="008B21A7">
      <w:pPr>
        <w:spacing w:after="0" w:line="240" w:lineRule="auto"/>
        <w:rPr>
          <w:rFonts w:ascii="Arial" w:hAnsi="Arial" w:cs="Arial"/>
        </w:rPr>
      </w:pPr>
      <w:r w:rsidRPr="008B21A7">
        <w:rPr>
          <w:rFonts w:ascii="Arial" w:hAnsi="Arial" w:cs="Arial"/>
        </w:rPr>
        <w:t> </w:t>
      </w:r>
    </w:p>
    <w:p w:rsidR="008B21A7" w:rsidRPr="008179EE" w:rsidRDefault="008B21A7" w:rsidP="008B21A7">
      <w:pPr>
        <w:spacing w:after="0" w:line="240" w:lineRule="auto"/>
        <w:rPr>
          <w:rFonts w:ascii="Arial" w:hAnsi="Arial" w:cs="Arial"/>
          <w:b/>
        </w:rPr>
      </w:pPr>
      <w:r w:rsidRPr="008179EE">
        <w:rPr>
          <w:rFonts w:ascii="Arial" w:hAnsi="Arial" w:cs="Arial"/>
          <w:b/>
        </w:rPr>
        <w:t>Suggested KPIs:</w:t>
      </w:r>
    </w:p>
    <w:p w:rsidR="008B21A7" w:rsidRPr="008B21A7" w:rsidRDefault="008B21A7" w:rsidP="008B21A7">
      <w:pPr>
        <w:spacing w:after="0" w:line="240" w:lineRule="auto"/>
        <w:rPr>
          <w:rFonts w:ascii="Arial" w:hAnsi="Arial" w:cs="Arial"/>
        </w:rPr>
      </w:pPr>
    </w:p>
    <w:p w:rsidR="008B21A7" w:rsidRPr="008B21A7" w:rsidRDefault="008B21A7" w:rsidP="008B21A7">
      <w:pPr>
        <w:numPr>
          <w:ilvl w:val="0"/>
          <w:numId w:val="13"/>
        </w:numPr>
        <w:spacing w:after="0" w:line="240" w:lineRule="auto"/>
        <w:rPr>
          <w:rFonts w:ascii="Arial" w:hAnsi="Arial" w:cs="Arial"/>
        </w:rPr>
      </w:pPr>
      <w:r w:rsidRPr="008B21A7">
        <w:rPr>
          <w:rFonts w:ascii="Arial" w:hAnsi="Arial" w:cs="Arial"/>
        </w:rPr>
        <w:t>Non-REC studies: Approved studies (non-REC) are approved in median 15 days from date of application to HRA to date of Approval (amber=15-25, red=25+)</w:t>
      </w:r>
    </w:p>
    <w:p w:rsidR="008B21A7" w:rsidRPr="008B21A7" w:rsidRDefault="008B21A7" w:rsidP="008B21A7">
      <w:pPr>
        <w:numPr>
          <w:ilvl w:val="0"/>
          <w:numId w:val="13"/>
        </w:numPr>
        <w:spacing w:after="0" w:line="240" w:lineRule="auto"/>
        <w:rPr>
          <w:rFonts w:ascii="Arial" w:hAnsi="Arial" w:cs="Arial"/>
        </w:rPr>
      </w:pPr>
      <w:r w:rsidRPr="008B21A7">
        <w:rPr>
          <w:rFonts w:ascii="Arial" w:hAnsi="Arial" w:cs="Arial"/>
        </w:rPr>
        <w:t>REC-PR studies: Approved studies (REC-PR) are approved in median 10 days from date of additional REC conditions being met to date of Approval (amber=10-20, red=20+)</w:t>
      </w:r>
    </w:p>
    <w:p w:rsidR="008B21A7" w:rsidRPr="008B21A7" w:rsidRDefault="008B21A7" w:rsidP="008B21A7">
      <w:pPr>
        <w:numPr>
          <w:ilvl w:val="0"/>
          <w:numId w:val="13"/>
        </w:numPr>
        <w:spacing w:after="0" w:line="240" w:lineRule="auto"/>
        <w:rPr>
          <w:rFonts w:ascii="Arial" w:hAnsi="Arial" w:cs="Arial"/>
        </w:rPr>
      </w:pPr>
      <w:r w:rsidRPr="008B21A7">
        <w:rPr>
          <w:rFonts w:ascii="Arial" w:hAnsi="Arial" w:cs="Arial"/>
        </w:rPr>
        <w:t>Full-REC Non-Commercial studies (NC Full REC): Approval studies are approved in median 25 days from date of final REC decision to date of Approval (amber=25-35, red=35+)</w:t>
      </w:r>
    </w:p>
    <w:p w:rsidR="008B21A7" w:rsidRPr="008B21A7" w:rsidRDefault="008B21A7" w:rsidP="008B21A7">
      <w:pPr>
        <w:numPr>
          <w:ilvl w:val="0"/>
          <w:numId w:val="13"/>
        </w:numPr>
        <w:spacing w:after="0" w:line="240" w:lineRule="auto"/>
        <w:rPr>
          <w:rFonts w:ascii="Arial" w:hAnsi="Arial" w:cs="Arial"/>
        </w:rPr>
      </w:pPr>
      <w:r w:rsidRPr="008B21A7">
        <w:rPr>
          <w:rFonts w:ascii="Arial" w:hAnsi="Arial" w:cs="Arial"/>
        </w:rPr>
        <w:t>Full-REC Commercial studies (C Full REC): Approval studies are approved in median 10 days from date of final REC decision to date of Approval (amber=10-20, red=20+)</w:t>
      </w:r>
    </w:p>
    <w:p w:rsidR="008B21A7" w:rsidRPr="008B21A7" w:rsidRDefault="008B21A7" w:rsidP="008B21A7">
      <w:pPr>
        <w:spacing w:after="0" w:line="240" w:lineRule="auto"/>
        <w:rPr>
          <w:rFonts w:ascii="Arial" w:hAnsi="Arial" w:cs="Arial"/>
        </w:rPr>
      </w:pPr>
    </w:p>
    <w:p w:rsidR="008B21A7" w:rsidRPr="008B21A7" w:rsidRDefault="008B21A7" w:rsidP="008B21A7">
      <w:pPr>
        <w:spacing w:after="0" w:line="240" w:lineRule="auto"/>
        <w:rPr>
          <w:rFonts w:ascii="Arial" w:hAnsi="Arial" w:cs="Arial"/>
        </w:rPr>
      </w:pPr>
      <w:r w:rsidRPr="008B21A7">
        <w:rPr>
          <w:rFonts w:ascii="Arial" w:hAnsi="Arial" w:cs="Arial"/>
        </w:rPr>
        <w:t xml:space="preserve">All above figures to be </w:t>
      </w:r>
      <w:r w:rsidRPr="008B21A7">
        <w:rPr>
          <w:rFonts w:ascii="Arial" w:hAnsi="Arial" w:cs="Arial"/>
          <w:i/>
        </w:rPr>
        <w:t>calendar</w:t>
      </w:r>
      <w:r w:rsidRPr="008B21A7">
        <w:rPr>
          <w:rFonts w:ascii="Arial" w:hAnsi="Arial" w:cs="Arial"/>
        </w:rPr>
        <w:t xml:space="preserve"> days without clock stops. </w:t>
      </w:r>
    </w:p>
    <w:p w:rsidR="008B21A7" w:rsidRPr="008B21A7" w:rsidRDefault="008B21A7" w:rsidP="008B21A7">
      <w:pPr>
        <w:spacing w:after="0" w:line="240" w:lineRule="auto"/>
        <w:rPr>
          <w:rFonts w:ascii="Arial" w:hAnsi="Arial" w:cs="Arial"/>
        </w:rPr>
      </w:pPr>
    </w:p>
    <w:p w:rsidR="008B21A7" w:rsidRPr="008B21A7" w:rsidRDefault="008B21A7" w:rsidP="008B21A7">
      <w:pPr>
        <w:spacing w:after="0" w:line="240" w:lineRule="auto"/>
        <w:rPr>
          <w:rFonts w:ascii="Arial" w:hAnsi="Arial" w:cs="Arial"/>
        </w:rPr>
      </w:pPr>
      <w:r w:rsidRPr="008B21A7">
        <w:rPr>
          <w:rFonts w:ascii="Arial" w:hAnsi="Arial" w:cs="Arial"/>
        </w:rPr>
        <w:t> </w:t>
      </w:r>
    </w:p>
    <w:p w:rsidR="008B21A7" w:rsidRPr="008B21A7" w:rsidRDefault="008B21A7" w:rsidP="008B21A7">
      <w:pPr>
        <w:spacing w:after="0" w:line="240" w:lineRule="auto"/>
        <w:rPr>
          <w:rFonts w:ascii="Arial" w:hAnsi="Arial" w:cs="Arial"/>
        </w:rPr>
      </w:pPr>
      <w:r w:rsidRPr="008B21A7">
        <w:rPr>
          <w:rFonts w:ascii="Arial" w:hAnsi="Arial" w:cs="Arial"/>
        </w:rPr>
        <w:t>We will separately undertake some work to start predicting how long it will take to get a study approved, and then collect data on whether it is possible to accurately predict the approval timelines for different studies. The outcome for this may be a paper that sets out the factors identifiable in an application on receipt that make it easy to predict, or that increase the chances of it getting Approved quickly, or the features of projects that make them ‘complex’ from the perspective of getting through Approval.</w:t>
      </w:r>
    </w:p>
    <w:p w:rsidR="008B21A7" w:rsidRPr="0034541B" w:rsidRDefault="008B21A7" w:rsidP="00B44FE1">
      <w:pPr>
        <w:spacing w:after="0" w:line="240" w:lineRule="auto"/>
        <w:jc w:val="both"/>
        <w:rPr>
          <w:rFonts w:ascii="Arial" w:hAnsi="Arial" w:cs="Arial"/>
        </w:rPr>
      </w:pPr>
    </w:p>
    <w:sectPr w:rsidR="008B21A7" w:rsidRPr="0034541B">
      <w:headerReference w:type="even" r:id="rId12"/>
      <w:head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A8E" w:rsidRDefault="00BD6A8E" w:rsidP="004C22A0">
      <w:pPr>
        <w:spacing w:after="0" w:line="240" w:lineRule="auto"/>
      </w:pPr>
      <w:r>
        <w:separator/>
      </w:r>
    </w:p>
  </w:endnote>
  <w:endnote w:type="continuationSeparator" w:id="0">
    <w:p w:rsidR="00BD6A8E" w:rsidRDefault="00BD6A8E" w:rsidP="004C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A8E" w:rsidRDefault="00BD6A8E" w:rsidP="004C22A0">
      <w:pPr>
        <w:spacing w:after="0" w:line="240" w:lineRule="auto"/>
      </w:pPr>
      <w:r>
        <w:separator/>
      </w:r>
    </w:p>
  </w:footnote>
  <w:footnote w:type="continuationSeparator" w:id="0">
    <w:p w:rsidR="00BD6A8E" w:rsidRDefault="00BD6A8E" w:rsidP="004C2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A0" w:rsidRDefault="004C22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A0" w:rsidRDefault="00001DE7" w:rsidP="00001DE7">
    <w:pPr>
      <w:pStyle w:val="Header"/>
      <w:jc w:val="right"/>
    </w:pPr>
    <w:r>
      <w:rPr>
        <w:rFonts w:cs="Arial"/>
        <w:b/>
        <w:noProof/>
        <w:lang w:eastAsia="en-GB"/>
      </w:rPr>
      <w:drawing>
        <wp:inline distT="0" distB="0" distL="0" distR="0" wp14:anchorId="25D6FE01" wp14:editId="43DB3F4F">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A0" w:rsidRDefault="004C2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7AB8"/>
    <w:multiLevelType w:val="multilevel"/>
    <w:tmpl w:val="6BAC2E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C37D01"/>
    <w:multiLevelType w:val="hybridMultilevel"/>
    <w:tmpl w:val="D554AD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C960D7"/>
    <w:multiLevelType w:val="hybridMultilevel"/>
    <w:tmpl w:val="DC9A7B0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D852F2E"/>
    <w:multiLevelType w:val="hybridMultilevel"/>
    <w:tmpl w:val="47C6F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832F16"/>
    <w:multiLevelType w:val="multilevel"/>
    <w:tmpl w:val="3D72D0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896F94"/>
    <w:multiLevelType w:val="hybridMultilevel"/>
    <w:tmpl w:val="671E5D5E"/>
    <w:lvl w:ilvl="0" w:tplc="75ACC0C0">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785C5C"/>
    <w:multiLevelType w:val="hybridMultilevel"/>
    <w:tmpl w:val="0AAE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1D1168"/>
    <w:multiLevelType w:val="hybridMultilevel"/>
    <w:tmpl w:val="CB88D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AAE6001"/>
    <w:multiLevelType w:val="hybridMultilevel"/>
    <w:tmpl w:val="888E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0F23C1"/>
    <w:multiLevelType w:val="hybridMultilevel"/>
    <w:tmpl w:val="BDBE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372726"/>
    <w:multiLevelType w:val="multilevel"/>
    <w:tmpl w:val="3D72D0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17729F1"/>
    <w:multiLevelType w:val="multilevel"/>
    <w:tmpl w:val="3D72D0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B9B5107"/>
    <w:multiLevelType w:val="hybridMultilevel"/>
    <w:tmpl w:val="99BAF924"/>
    <w:lvl w:ilvl="0" w:tplc="713A5D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2433D0"/>
    <w:multiLevelType w:val="hybridMultilevel"/>
    <w:tmpl w:val="BE728EC4"/>
    <w:lvl w:ilvl="0" w:tplc="5AEA5D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182402"/>
    <w:multiLevelType w:val="hybridMultilevel"/>
    <w:tmpl w:val="971C8526"/>
    <w:lvl w:ilvl="0" w:tplc="C94867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6353DB"/>
    <w:multiLevelType w:val="hybridMultilevel"/>
    <w:tmpl w:val="A8622034"/>
    <w:lvl w:ilvl="0" w:tplc="A7C47B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0E582C"/>
    <w:multiLevelType w:val="hybridMultilevel"/>
    <w:tmpl w:val="7FFC6B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7599375E"/>
    <w:multiLevelType w:val="multilevel"/>
    <w:tmpl w:val="E56C05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6335770"/>
    <w:multiLevelType w:val="hybridMultilevel"/>
    <w:tmpl w:val="ACCC9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C01AA3"/>
    <w:multiLevelType w:val="hybridMultilevel"/>
    <w:tmpl w:val="4C56F426"/>
    <w:lvl w:ilvl="0" w:tplc="713A5D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5"/>
  </w:num>
  <w:num w:numId="4">
    <w:abstractNumId w:val="7"/>
  </w:num>
  <w:num w:numId="5">
    <w:abstractNumId w:val="8"/>
  </w:num>
  <w:num w:numId="6">
    <w:abstractNumId w:val="18"/>
  </w:num>
  <w:num w:numId="7">
    <w:abstractNumId w:val="2"/>
  </w:num>
  <w:num w:numId="8">
    <w:abstractNumId w:val="5"/>
  </w:num>
  <w:num w:numId="9">
    <w:abstractNumId w:val="19"/>
  </w:num>
  <w:num w:numId="10">
    <w:abstractNumId w:val="12"/>
  </w:num>
  <w:num w:numId="11">
    <w:abstractNumId w:val="6"/>
  </w:num>
  <w:num w:numId="12">
    <w:abstractNumId w:val="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7"/>
  </w:num>
  <w:num w:numId="16">
    <w:abstractNumId w:val="10"/>
  </w:num>
  <w:num w:numId="17">
    <w:abstractNumId w:val="11"/>
  </w:num>
  <w:num w:numId="18">
    <w:abstractNumId w:val="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95"/>
    <w:rsid w:val="00001BBF"/>
    <w:rsid w:val="00001DE7"/>
    <w:rsid w:val="00002B79"/>
    <w:rsid w:val="00005579"/>
    <w:rsid w:val="00017D82"/>
    <w:rsid w:val="00030038"/>
    <w:rsid w:val="00036BF2"/>
    <w:rsid w:val="000406E0"/>
    <w:rsid w:val="000424C2"/>
    <w:rsid w:val="000B6BE1"/>
    <w:rsid w:val="000F36A3"/>
    <w:rsid w:val="00125B50"/>
    <w:rsid w:val="0016031B"/>
    <w:rsid w:val="001E3019"/>
    <w:rsid w:val="0020012D"/>
    <w:rsid w:val="002432FF"/>
    <w:rsid w:val="002A54FC"/>
    <w:rsid w:val="002B48FB"/>
    <w:rsid w:val="002C6301"/>
    <w:rsid w:val="003153CE"/>
    <w:rsid w:val="00322DDE"/>
    <w:rsid w:val="0034541B"/>
    <w:rsid w:val="003A15D6"/>
    <w:rsid w:val="003A59E3"/>
    <w:rsid w:val="003D5C51"/>
    <w:rsid w:val="00412EAB"/>
    <w:rsid w:val="00440205"/>
    <w:rsid w:val="00444850"/>
    <w:rsid w:val="00483012"/>
    <w:rsid w:val="0048478C"/>
    <w:rsid w:val="004A0854"/>
    <w:rsid w:val="004A1244"/>
    <w:rsid w:val="004C22A0"/>
    <w:rsid w:val="004E2244"/>
    <w:rsid w:val="004F76DE"/>
    <w:rsid w:val="005129EB"/>
    <w:rsid w:val="00527178"/>
    <w:rsid w:val="0058363F"/>
    <w:rsid w:val="0059277A"/>
    <w:rsid w:val="005A2637"/>
    <w:rsid w:val="005A4DFA"/>
    <w:rsid w:val="005D5658"/>
    <w:rsid w:val="005F234F"/>
    <w:rsid w:val="005F7BB7"/>
    <w:rsid w:val="006408A4"/>
    <w:rsid w:val="006456B3"/>
    <w:rsid w:val="00695A5D"/>
    <w:rsid w:val="006A3047"/>
    <w:rsid w:val="006E784E"/>
    <w:rsid w:val="00712491"/>
    <w:rsid w:val="007550C4"/>
    <w:rsid w:val="00796191"/>
    <w:rsid w:val="007B5BE8"/>
    <w:rsid w:val="007E1D57"/>
    <w:rsid w:val="007E6FD0"/>
    <w:rsid w:val="00811638"/>
    <w:rsid w:val="0081664A"/>
    <w:rsid w:val="008179EE"/>
    <w:rsid w:val="00885124"/>
    <w:rsid w:val="008B21A7"/>
    <w:rsid w:val="008D5620"/>
    <w:rsid w:val="008E3584"/>
    <w:rsid w:val="00920784"/>
    <w:rsid w:val="0099029B"/>
    <w:rsid w:val="009C3FF3"/>
    <w:rsid w:val="009E7E9B"/>
    <w:rsid w:val="00A62592"/>
    <w:rsid w:val="00B25A8C"/>
    <w:rsid w:val="00B44FE1"/>
    <w:rsid w:val="00BC180F"/>
    <w:rsid w:val="00BD6A8E"/>
    <w:rsid w:val="00BE79CE"/>
    <w:rsid w:val="00C0575A"/>
    <w:rsid w:val="00C0713D"/>
    <w:rsid w:val="00C076AE"/>
    <w:rsid w:val="00C10EAE"/>
    <w:rsid w:val="00C24209"/>
    <w:rsid w:val="00C252FB"/>
    <w:rsid w:val="00C44A54"/>
    <w:rsid w:val="00C70C71"/>
    <w:rsid w:val="00C75B95"/>
    <w:rsid w:val="00CA10E0"/>
    <w:rsid w:val="00CB1672"/>
    <w:rsid w:val="00CC6543"/>
    <w:rsid w:val="00CF2FE9"/>
    <w:rsid w:val="00D06827"/>
    <w:rsid w:val="00D571BE"/>
    <w:rsid w:val="00D90CAC"/>
    <w:rsid w:val="00DB2EE1"/>
    <w:rsid w:val="00DC677D"/>
    <w:rsid w:val="00DC77BB"/>
    <w:rsid w:val="00DD24DF"/>
    <w:rsid w:val="00DD27C4"/>
    <w:rsid w:val="00E6456E"/>
    <w:rsid w:val="00E71516"/>
    <w:rsid w:val="00E935C3"/>
    <w:rsid w:val="00E95DF5"/>
    <w:rsid w:val="00EA7A23"/>
    <w:rsid w:val="00ED3F19"/>
    <w:rsid w:val="00F42C92"/>
    <w:rsid w:val="00F77097"/>
    <w:rsid w:val="00F8223F"/>
    <w:rsid w:val="00F83707"/>
    <w:rsid w:val="00F83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5B9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F234F"/>
    <w:pPr>
      <w:ind w:left="720"/>
      <w:contextualSpacing/>
    </w:pPr>
  </w:style>
  <w:style w:type="table" w:styleId="TableGrid">
    <w:name w:val="Table Grid"/>
    <w:basedOn w:val="TableNormal"/>
    <w:uiPriority w:val="59"/>
    <w:rsid w:val="005F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2A0"/>
  </w:style>
  <w:style w:type="paragraph" w:styleId="Footer">
    <w:name w:val="footer"/>
    <w:basedOn w:val="Normal"/>
    <w:link w:val="FooterChar"/>
    <w:uiPriority w:val="99"/>
    <w:unhideWhenUsed/>
    <w:rsid w:val="004C2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2A0"/>
  </w:style>
  <w:style w:type="paragraph" w:styleId="NoSpacing">
    <w:name w:val="No Spacing"/>
    <w:uiPriority w:val="99"/>
    <w:qFormat/>
    <w:rsid w:val="000B6BE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001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E7"/>
    <w:rPr>
      <w:rFonts w:ascii="Tahoma" w:hAnsi="Tahoma" w:cs="Tahoma"/>
      <w:sz w:val="16"/>
      <w:szCs w:val="16"/>
    </w:rPr>
  </w:style>
  <w:style w:type="character" w:styleId="CommentReference">
    <w:name w:val="annotation reference"/>
    <w:basedOn w:val="DefaultParagraphFont"/>
    <w:uiPriority w:val="99"/>
    <w:semiHidden/>
    <w:unhideWhenUsed/>
    <w:rsid w:val="00C44A54"/>
    <w:rPr>
      <w:sz w:val="16"/>
      <w:szCs w:val="16"/>
    </w:rPr>
  </w:style>
  <w:style w:type="paragraph" w:styleId="CommentText">
    <w:name w:val="annotation text"/>
    <w:basedOn w:val="Normal"/>
    <w:link w:val="CommentTextChar"/>
    <w:uiPriority w:val="99"/>
    <w:semiHidden/>
    <w:unhideWhenUsed/>
    <w:rsid w:val="00C44A54"/>
    <w:pPr>
      <w:spacing w:line="240" w:lineRule="auto"/>
    </w:pPr>
    <w:rPr>
      <w:sz w:val="20"/>
      <w:szCs w:val="20"/>
    </w:rPr>
  </w:style>
  <w:style w:type="character" w:customStyle="1" w:styleId="CommentTextChar">
    <w:name w:val="Comment Text Char"/>
    <w:basedOn w:val="DefaultParagraphFont"/>
    <w:link w:val="CommentText"/>
    <w:uiPriority w:val="99"/>
    <w:semiHidden/>
    <w:rsid w:val="00C44A54"/>
    <w:rPr>
      <w:sz w:val="20"/>
      <w:szCs w:val="20"/>
    </w:rPr>
  </w:style>
  <w:style w:type="paragraph" w:styleId="CommentSubject">
    <w:name w:val="annotation subject"/>
    <w:basedOn w:val="CommentText"/>
    <w:next w:val="CommentText"/>
    <w:link w:val="CommentSubjectChar"/>
    <w:uiPriority w:val="99"/>
    <w:semiHidden/>
    <w:unhideWhenUsed/>
    <w:rsid w:val="00C44A54"/>
    <w:rPr>
      <w:b/>
      <w:bCs/>
    </w:rPr>
  </w:style>
  <w:style w:type="character" w:customStyle="1" w:styleId="CommentSubjectChar">
    <w:name w:val="Comment Subject Char"/>
    <w:basedOn w:val="CommentTextChar"/>
    <w:link w:val="CommentSubject"/>
    <w:uiPriority w:val="99"/>
    <w:semiHidden/>
    <w:rsid w:val="00C44A54"/>
    <w:rPr>
      <w:b/>
      <w:bCs/>
      <w:sz w:val="20"/>
      <w:szCs w:val="20"/>
    </w:rPr>
  </w:style>
  <w:style w:type="table" w:styleId="MediumGrid1-Accent1">
    <w:name w:val="Medium Grid 1 Accent 1"/>
    <w:basedOn w:val="TableNormal"/>
    <w:uiPriority w:val="67"/>
    <w:rsid w:val="00BE79C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5B9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F234F"/>
    <w:pPr>
      <w:ind w:left="720"/>
      <w:contextualSpacing/>
    </w:pPr>
  </w:style>
  <w:style w:type="table" w:styleId="TableGrid">
    <w:name w:val="Table Grid"/>
    <w:basedOn w:val="TableNormal"/>
    <w:uiPriority w:val="59"/>
    <w:rsid w:val="005F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2A0"/>
  </w:style>
  <w:style w:type="paragraph" w:styleId="Footer">
    <w:name w:val="footer"/>
    <w:basedOn w:val="Normal"/>
    <w:link w:val="FooterChar"/>
    <w:uiPriority w:val="99"/>
    <w:unhideWhenUsed/>
    <w:rsid w:val="004C2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2A0"/>
  </w:style>
  <w:style w:type="paragraph" w:styleId="NoSpacing">
    <w:name w:val="No Spacing"/>
    <w:uiPriority w:val="99"/>
    <w:qFormat/>
    <w:rsid w:val="000B6BE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001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E7"/>
    <w:rPr>
      <w:rFonts w:ascii="Tahoma" w:hAnsi="Tahoma" w:cs="Tahoma"/>
      <w:sz w:val="16"/>
      <w:szCs w:val="16"/>
    </w:rPr>
  </w:style>
  <w:style w:type="character" w:styleId="CommentReference">
    <w:name w:val="annotation reference"/>
    <w:basedOn w:val="DefaultParagraphFont"/>
    <w:uiPriority w:val="99"/>
    <w:semiHidden/>
    <w:unhideWhenUsed/>
    <w:rsid w:val="00C44A54"/>
    <w:rPr>
      <w:sz w:val="16"/>
      <w:szCs w:val="16"/>
    </w:rPr>
  </w:style>
  <w:style w:type="paragraph" w:styleId="CommentText">
    <w:name w:val="annotation text"/>
    <w:basedOn w:val="Normal"/>
    <w:link w:val="CommentTextChar"/>
    <w:uiPriority w:val="99"/>
    <w:semiHidden/>
    <w:unhideWhenUsed/>
    <w:rsid w:val="00C44A54"/>
    <w:pPr>
      <w:spacing w:line="240" w:lineRule="auto"/>
    </w:pPr>
    <w:rPr>
      <w:sz w:val="20"/>
      <w:szCs w:val="20"/>
    </w:rPr>
  </w:style>
  <w:style w:type="character" w:customStyle="1" w:styleId="CommentTextChar">
    <w:name w:val="Comment Text Char"/>
    <w:basedOn w:val="DefaultParagraphFont"/>
    <w:link w:val="CommentText"/>
    <w:uiPriority w:val="99"/>
    <w:semiHidden/>
    <w:rsid w:val="00C44A54"/>
    <w:rPr>
      <w:sz w:val="20"/>
      <w:szCs w:val="20"/>
    </w:rPr>
  </w:style>
  <w:style w:type="paragraph" w:styleId="CommentSubject">
    <w:name w:val="annotation subject"/>
    <w:basedOn w:val="CommentText"/>
    <w:next w:val="CommentText"/>
    <w:link w:val="CommentSubjectChar"/>
    <w:uiPriority w:val="99"/>
    <w:semiHidden/>
    <w:unhideWhenUsed/>
    <w:rsid w:val="00C44A54"/>
    <w:rPr>
      <w:b/>
      <w:bCs/>
    </w:rPr>
  </w:style>
  <w:style w:type="character" w:customStyle="1" w:styleId="CommentSubjectChar">
    <w:name w:val="Comment Subject Char"/>
    <w:basedOn w:val="CommentTextChar"/>
    <w:link w:val="CommentSubject"/>
    <w:uiPriority w:val="99"/>
    <w:semiHidden/>
    <w:rsid w:val="00C44A54"/>
    <w:rPr>
      <w:b/>
      <w:bCs/>
      <w:sz w:val="20"/>
      <w:szCs w:val="20"/>
    </w:rPr>
  </w:style>
  <w:style w:type="table" w:styleId="MediumGrid1-Accent1">
    <w:name w:val="Medium Grid 1 Accent 1"/>
    <w:basedOn w:val="TableNormal"/>
    <w:uiPriority w:val="67"/>
    <w:rsid w:val="00BE79C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D2BE9-F1A0-4CCD-B043-A4A7F1E3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Cook</dc:creator>
  <cp:lastModifiedBy>Steve Tebbutt</cp:lastModifiedBy>
  <cp:revision>10</cp:revision>
  <dcterms:created xsi:type="dcterms:W3CDTF">2016-04-06T08:41:00Z</dcterms:created>
  <dcterms:modified xsi:type="dcterms:W3CDTF">2016-04-06T12:11:00Z</dcterms:modified>
</cp:coreProperties>
</file>