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59" w:rsidRPr="005E1059" w:rsidRDefault="005E1059" w:rsidP="005E1059">
      <w:pPr>
        <w:pStyle w:val="NoSpacing"/>
        <w:jc w:val="right"/>
        <w:rPr>
          <w:rFonts w:asciiTheme="majorHAnsi" w:hAnsiTheme="majorHAnsi" w:cstheme="majorHAnsi"/>
          <w:b/>
          <w:lang w:val="en-GB"/>
        </w:rPr>
      </w:pPr>
      <w:bookmarkStart w:id="0" w:name="_Toc400975559"/>
      <w:r w:rsidRPr="005E1059">
        <w:rPr>
          <w:rFonts w:asciiTheme="majorHAnsi" w:hAnsiTheme="majorHAnsi" w:cstheme="majorHAnsi"/>
          <w:b/>
          <w:lang w:val="en-GB"/>
        </w:rPr>
        <w:tab/>
      </w:r>
      <w:r w:rsidRPr="005E1059">
        <w:rPr>
          <w:rFonts w:asciiTheme="majorHAnsi" w:hAnsiTheme="majorHAnsi" w:cstheme="majorHAnsi"/>
          <w:b/>
          <w:lang w:val="en-GB"/>
        </w:rPr>
        <w:tab/>
      </w:r>
      <w:r w:rsidRPr="005E1059">
        <w:rPr>
          <w:rFonts w:asciiTheme="majorHAnsi" w:hAnsiTheme="majorHAnsi" w:cstheme="majorHAnsi"/>
          <w:b/>
          <w:noProof/>
          <w:lang w:val="en-GB" w:eastAsia="en-GB"/>
        </w:rPr>
        <w:drawing>
          <wp:inline distT="0" distB="0" distL="0" distR="0" wp14:anchorId="1D5F4EC9" wp14:editId="6C5E49E9">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5E1059" w:rsidRPr="005E1059" w:rsidRDefault="005E1059" w:rsidP="005E1059">
      <w:pPr>
        <w:spacing w:after="0" w:line="240" w:lineRule="auto"/>
        <w:jc w:val="right"/>
        <w:rPr>
          <w:rFonts w:asciiTheme="majorHAnsi" w:hAnsiTheme="majorHAnsi" w:cstheme="majorHAnsi"/>
          <w:b/>
          <w:szCs w:val="22"/>
        </w:rPr>
      </w:pPr>
    </w:p>
    <w:p w:rsidR="005E1059" w:rsidRPr="005E1059" w:rsidRDefault="005E1059" w:rsidP="005E1059">
      <w:pPr>
        <w:spacing w:after="0" w:line="240" w:lineRule="auto"/>
        <w:jc w:val="right"/>
        <w:rPr>
          <w:rFonts w:asciiTheme="majorHAnsi" w:hAnsiTheme="majorHAnsi" w:cstheme="majorHAnsi"/>
          <w:b/>
          <w:szCs w:val="22"/>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5E1059" w:rsidRPr="005E1059" w:rsidTr="002A74F7">
        <w:trPr>
          <w:trHeight w:val="386"/>
        </w:trPr>
        <w:tc>
          <w:tcPr>
            <w:tcW w:w="3420" w:type="dxa"/>
          </w:tcPr>
          <w:p w:rsidR="005E1059" w:rsidRPr="005E1059" w:rsidRDefault="005E1059" w:rsidP="005E1059">
            <w:pPr>
              <w:spacing w:after="0" w:line="240" w:lineRule="auto"/>
              <w:jc w:val="right"/>
              <w:rPr>
                <w:rFonts w:asciiTheme="majorHAnsi" w:hAnsiTheme="majorHAnsi" w:cstheme="majorHAnsi"/>
                <w:b/>
                <w:sz w:val="44"/>
                <w:szCs w:val="44"/>
              </w:rPr>
            </w:pPr>
            <w:r w:rsidRPr="005E1059">
              <w:rPr>
                <w:rFonts w:asciiTheme="majorHAnsi" w:hAnsiTheme="majorHAnsi" w:cstheme="majorHAnsi"/>
                <w:b/>
                <w:sz w:val="44"/>
                <w:szCs w:val="44"/>
              </w:rPr>
              <w:t>Agenda item:</w:t>
            </w:r>
          </w:p>
        </w:tc>
        <w:tc>
          <w:tcPr>
            <w:tcW w:w="1260" w:type="dxa"/>
          </w:tcPr>
          <w:p w:rsidR="005E1059" w:rsidRPr="005E1059" w:rsidRDefault="005E1059" w:rsidP="005E1059">
            <w:pPr>
              <w:spacing w:after="0" w:line="240" w:lineRule="auto"/>
              <w:jc w:val="center"/>
              <w:rPr>
                <w:rFonts w:asciiTheme="majorHAnsi" w:hAnsiTheme="majorHAnsi" w:cstheme="majorHAnsi"/>
                <w:b/>
                <w:sz w:val="44"/>
                <w:szCs w:val="44"/>
              </w:rPr>
            </w:pPr>
            <w:r>
              <w:rPr>
                <w:rFonts w:asciiTheme="majorHAnsi" w:hAnsiTheme="majorHAnsi" w:cstheme="majorHAnsi"/>
                <w:b/>
                <w:sz w:val="44"/>
                <w:szCs w:val="44"/>
              </w:rPr>
              <w:t>8</w:t>
            </w:r>
          </w:p>
        </w:tc>
      </w:tr>
      <w:tr w:rsidR="005E1059" w:rsidRPr="005E1059" w:rsidTr="002A74F7">
        <w:tc>
          <w:tcPr>
            <w:tcW w:w="3420" w:type="dxa"/>
          </w:tcPr>
          <w:p w:rsidR="005E1059" w:rsidRPr="005E1059" w:rsidRDefault="005E1059" w:rsidP="005E1059">
            <w:pPr>
              <w:spacing w:after="0" w:line="240" w:lineRule="auto"/>
              <w:jc w:val="right"/>
              <w:rPr>
                <w:rFonts w:asciiTheme="majorHAnsi" w:hAnsiTheme="majorHAnsi" w:cstheme="majorHAnsi"/>
                <w:b/>
                <w:sz w:val="44"/>
                <w:szCs w:val="44"/>
              </w:rPr>
            </w:pPr>
            <w:r w:rsidRPr="005E1059">
              <w:rPr>
                <w:rFonts w:asciiTheme="majorHAnsi" w:hAnsiTheme="majorHAnsi" w:cstheme="majorHAnsi"/>
                <w:b/>
                <w:sz w:val="44"/>
                <w:szCs w:val="44"/>
              </w:rPr>
              <w:t>Attachment:</w:t>
            </w:r>
          </w:p>
        </w:tc>
        <w:tc>
          <w:tcPr>
            <w:tcW w:w="1260" w:type="dxa"/>
          </w:tcPr>
          <w:p w:rsidR="005E1059" w:rsidRPr="005E1059" w:rsidRDefault="005E1059" w:rsidP="005E1059">
            <w:pPr>
              <w:spacing w:after="0" w:line="240" w:lineRule="auto"/>
              <w:jc w:val="center"/>
              <w:rPr>
                <w:rFonts w:asciiTheme="majorHAnsi" w:hAnsiTheme="majorHAnsi" w:cstheme="majorHAnsi"/>
                <w:b/>
                <w:sz w:val="44"/>
                <w:szCs w:val="44"/>
              </w:rPr>
            </w:pPr>
            <w:r>
              <w:rPr>
                <w:rFonts w:asciiTheme="majorHAnsi" w:hAnsiTheme="majorHAnsi" w:cstheme="majorHAnsi"/>
                <w:b/>
                <w:sz w:val="44"/>
                <w:szCs w:val="44"/>
              </w:rPr>
              <w:t>C</w:t>
            </w:r>
          </w:p>
        </w:tc>
      </w:tr>
    </w:tbl>
    <w:p w:rsidR="005E1059" w:rsidRPr="005E1059" w:rsidRDefault="005E1059" w:rsidP="005E1059">
      <w:pPr>
        <w:spacing w:after="0" w:line="240" w:lineRule="auto"/>
        <w:jc w:val="center"/>
        <w:rPr>
          <w:rFonts w:asciiTheme="majorHAnsi" w:eastAsiaTheme="minorHAnsi" w:hAnsiTheme="majorHAnsi" w:cstheme="majorHAnsi"/>
          <w:b/>
        </w:rPr>
      </w:pPr>
    </w:p>
    <w:p w:rsidR="005E1059" w:rsidRPr="005E1059" w:rsidRDefault="005E1059" w:rsidP="005E1059">
      <w:pPr>
        <w:spacing w:after="0" w:line="240" w:lineRule="auto"/>
        <w:jc w:val="center"/>
        <w:rPr>
          <w:rFonts w:asciiTheme="majorHAnsi" w:eastAsiaTheme="minorHAnsi" w:hAnsiTheme="majorHAnsi" w:cstheme="majorHAnsi"/>
          <w:b/>
          <w:sz w:val="40"/>
          <w:szCs w:val="40"/>
        </w:rPr>
      </w:pPr>
    </w:p>
    <w:p w:rsidR="005E1059" w:rsidRPr="005E1059" w:rsidRDefault="005E1059" w:rsidP="005E1059">
      <w:pPr>
        <w:spacing w:after="0" w:line="240" w:lineRule="auto"/>
        <w:jc w:val="center"/>
        <w:rPr>
          <w:rFonts w:asciiTheme="majorHAnsi" w:eastAsiaTheme="minorHAnsi" w:hAnsiTheme="majorHAnsi" w:cstheme="majorHAnsi"/>
          <w:b/>
        </w:rPr>
      </w:pPr>
    </w:p>
    <w:p w:rsidR="005E1059" w:rsidRDefault="005E1059" w:rsidP="005E1059">
      <w:pPr>
        <w:spacing w:after="0" w:line="240" w:lineRule="auto"/>
        <w:jc w:val="center"/>
        <w:rPr>
          <w:rFonts w:asciiTheme="majorHAnsi" w:eastAsiaTheme="minorHAnsi" w:hAnsiTheme="majorHAnsi" w:cstheme="majorHAnsi"/>
          <w:b/>
          <w:sz w:val="44"/>
          <w:szCs w:val="44"/>
        </w:rPr>
      </w:pPr>
    </w:p>
    <w:p w:rsidR="005E1059" w:rsidRPr="005E1059" w:rsidRDefault="005E1059" w:rsidP="005E1059">
      <w:pPr>
        <w:spacing w:after="0" w:line="240" w:lineRule="auto"/>
        <w:jc w:val="center"/>
        <w:rPr>
          <w:rFonts w:asciiTheme="majorHAnsi" w:eastAsiaTheme="minorHAnsi" w:hAnsiTheme="majorHAnsi" w:cstheme="majorHAnsi"/>
          <w:b/>
          <w:sz w:val="44"/>
          <w:szCs w:val="44"/>
        </w:rPr>
      </w:pPr>
      <w:r w:rsidRPr="005E1059">
        <w:rPr>
          <w:rFonts w:asciiTheme="majorHAnsi" w:eastAsiaTheme="minorHAnsi" w:hAnsiTheme="majorHAnsi" w:cstheme="majorHAnsi"/>
          <w:b/>
          <w:sz w:val="44"/>
          <w:szCs w:val="44"/>
        </w:rPr>
        <w:t>HRA BOARD COVER SHEET</w:t>
      </w:r>
    </w:p>
    <w:p w:rsidR="005E1059" w:rsidRPr="005E1059" w:rsidRDefault="005E1059" w:rsidP="005E1059">
      <w:pPr>
        <w:spacing w:after="0" w:line="240" w:lineRule="auto"/>
        <w:jc w:val="center"/>
        <w:rPr>
          <w:rFonts w:asciiTheme="majorHAnsi" w:eastAsiaTheme="minorHAnsi" w:hAnsiTheme="majorHAnsi" w:cstheme="majorHAnsi"/>
          <w:b/>
        </w:rPr>
      </w:pPr>
    </w:p>
    <w:tbl>
      <w:tblPr>
        <w:tblStyle w:val="TableGrid1"/>
        <w:tblW w:w="0" w:type="auto"/>
        <w:tblLook w:val="04A0" w:firstRow="1" w:lastRow="0" w:firstColumn="1" w:lastColumn="0" w:noHBand="0" w:noVBand="1"/>
      </w:tblPr>
      <w:tblGrid>
        <w:gridCol w:w="2628"/>
        <w:gridCol w:w="6320"/>
      </w:tblGrid>
      <w:tr w:rsidR="005E1059" w:rsidRPr="005E1059" w:rsidTr="002A74F7">
        <w:trPr>
          <w:trHeight w:val="689"/>
        </w:trPr>
        <w:tc>
          <w:tcPr>
            <w:tcW w:w="2628" w:type="dxa"/>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Date of Meeting:</w:t>
            </w:r>
          </w:p>
        </w:tc>
        <w:tc>
          <w:tcPr>
            <w:tcW w:w="6320" w:type="dxa"/>
          </w:tcPr>
          <w:p w:rsidR="005E1059" w:rsidRPr="005E1059" w:rsidRDefault="005E1059" w:rsidP="005E1059">
            <w:pPr>
              <w:spacing w:after="0" w:line="240" w:lineRule="auto"/>
              <w:rPr>
                <w:rFonts w:asciiTheme="majorHAnsi" w:hAnsiTheme="majorHAnsi" w:cstheme="majorHAnsi"/>
              </w:rPr>
            </w:pPr>
            <w:r w:rsidRPr="005E1059">
              <w:rPr>
                <w:rFonts w:asciiTheme="majorHAnsi" w:hAnsiTheme="majorHAnsi" w:cstheme="majorHAnsi"/>
              </w:rPr>
              <w:t>29 October 2014</w:t>
            </w:r>
          </w:p>
        </w:tc>
      </w:tr>
    </w:tbl>
    <w:p w:rsidR="005E1059" w:rsidRPr="005E1059" w:rsidRDefault="005E1059" w:rsidP="005E1059">
      <w:pPr>
        <w:spacing w:after="0" w:line="240" w:lineRule="auto"/>
        <w:jc w:val="center"/>
        <w:rPr>
          <w:rFonts w:asciiTheme="majorHAnsi" w:eastAsiaTheme="minorHAnsi" w:hAnsiTheme="majorHAnsi" w:cstheme="majorHAnsi"/>
          <w:b/>
        </w:rPr>
      </w:pPr>
    </w:p>
    <w:tbl>
      <w:tblPr>
        <w:tblStyle w:val="TableGrid1"/>
        <w:tblW w:w="0" w:type="auto"/>
        <w:tblLook w:val="04A0" w:firstRow="1" w:lastRow="0" w:firstColumn="1" w:lastColumn="0" w:noHBand="0" w:noVBand="1"/>
      </w:tblPr>
      <w:tblGrid>
        <w:gridCol w:w="2628"/>
        <w:gridCol w:w="6320"/>
      </w:tblGrid>
      <w:tr w:rsidR="005E1059" w:rsidRPr="005E1059" w:rsidTr="002A74F7">
        <w:tc>
          <w:tcPr>
            <w:tcW w:w="2628" w:type="dxa"/>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Title of Paper:</w:t>
            </w:r>
          </w:p>
        </w:tc>
        <w:tc>
          <w:tcPr>
            <w:tcW w:w="6320" w:type="dxa"/>
          </w:tcPr>
          <w:p w:rsidR="005E1059" w:rsidRDefault="005E1059" w:rsidP="005E1059">
            <w:pPr>
              <w:spacing w:after="0" w:line="240" w:lineRule="auto"/>
              <w:rPr>
                <w:rFonts w:asciiTheme="majorHAnsi" w:hAnsiTheme="majorHAnsi" w:cstheme="majorHAnsi"/>
              </w:rPr>
            </w:pPr>
            <w:r>
              <w:rPr>
                <w:rFonts w:asciiTheme="majorHAnsi" w:hAnsiTheme="majorHAnsi" w:cstheme="majorHAnsi"/>
              </w:rPr>
              <w:t>HRA Estates Strategy</w:t>
            </w:r>
          </w:p>
          <w:p w:rsidR="005E1059" w:rsidRPr="005E1059" w:rsidRDefault="005E1059" w:rsidP="005E1059">
            <w:pPr>
              <w:spacing w:after="0" w:line="240" w:lineRule="auto"/>
              <w:rPr>
                <w:rFonts w:asciiTheme="majorHAnsi" w:hAnsiTheme="majorHAnsi" w:cstheme="majorHAnsi"/>
              </w:rPr>
            </w:pPr>
          </w:p>
        </w:tc>
      </w:tr>
      <w:tr w:rsidR="005E1059" w:rsidRPr="005E1059" w:rsidTr="002A74F7">
        <w:tc>
          <w:tcPr>
            <w:tcW w:w="2628" w:type="dxa"/>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Purpose of Paper:</w:t>
            </w:r>
          </w:p>
        </w:tc>
        <w:tc>
          <w:tcPr>
            <w:tcW w:w="6320" w:type="dxa"/>
          </w:tcPr>
          <w:p w:rsidR="005E1059" w:rsidRDefault="005E1059" w:rsidP="005E1059">
            <w:pPr>
              <w:spacing w:after="0" w:line="240" w:lineRule="auto"/>
              <w:rPr>
                <w:rFonts w:asciiTheme="majorHAnsi" w:hAnsiTheme="majorHAnsi" w:cstheme="majorHAnsi"/>
              </w:rPr>
            </w:pPr>
            <w:r>
              <w:rPr>
                <w:rFonts w:asciiTheme="majorHAnsi" w:hAnsiTheme="majorHAnsi" w:cstheme="majorHAnsi"/>
              </w:rPr>
              <w:t>To describe the HRA’s Estate strategy, detailing the HRA’s current estates profile, the drivers and context for change and the future estates vision with the key principles underpinning the estates strategy set out.</w:t>
            </w:r>
          </w:p>
          <w:p w:rsidR="005E1059" w:rsidRPr="005E1059" w:rsidRDefault="005E1059" w:rsidP="005E1059">
            <w:pPr>
              <w:spacing w:after="0" w:line="240" w:lineRule="auto"/>
              <w:rPr>
                <w:rFonts w:asciiTheme="majorHAnsi" w:hAnsiTheme="majorHAnsi" w:cstheme="majorHAnsi"/>
              </w:rPr>
            </w:pPr>
          </w:p>
        </w:tc>
      </w:tr>
      <w:tr w:rsidR="005E1059" w:rsidRPr="005E1059" w:rsidTr="002A74F7">
        <w:tc>
          <w:tcPr>
            <w:tcW w:w="2628" w:type="dxa"/>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Reason for Submission:</w:t>
            </w:r>
          </w:p>
          <w:p w:rsidR="005E1059" w:rsidRPr="005E1059" w:rsidRDefault="005E1059" w:rsidP="005E1059">
            <w:pPr>
              <w:spacing w:after="0" w:line="240" w:lineRule="auto"/>
              <w:rPr>
                <w:rFonts w:asciiTheme="majorHAnsi" w:hAnsiTheme="majorHAnsi" w:cstheme="majorHAnsi"/>
                <w:b/>
              </w:rPr>
            </w:pPr>
          </w:p>
        </w:tc>
        <w:tc>
          <w:tcPr>
            <w:tcW w:w="6320" w:type="dxa"/>
          </w:tcPr>
          <w:p w:rsidR="005E1059" w:rsidRDefault="005E1059" w:rsidP="005E1059">
            <w:pPr>
              <w:spacing w:after="0" w:line="240" w:lineRule="auto"/>
              <w:rPr>
                <w:rFonts w:asciiTheme="majorHAnsi" w:hAnsiTheme="majorHAnsi" w:cstheme="majorHAnsi"/>
              </w:rPr>
            </w:pPr>
            <w:r w:rsidRPr="005E1059">
              <w:rPr>
                <w:rFonts w:asciiTheme="majorHAnsi" w:hAnsiTheme="majorHAnsi" w:cstheme="majorHAnsi"/>
              </w:rPr>
              <w:t xml:space="preserve">To </w:t>
            </w:r>
            <w:r>
              <w:rPr>
                <w:rFonts w:asciiTheme="majorHAnsi" w:hAnsiTheme="majorHAnsi" w:cstheme="majorHAnsi"/>
              </w:rPr>
              <w:t>seek Board approval for the HRA Estates strategy</w:t>
            </w:r>
            <w:r>
              <w:rPr>
                <w:rFonts w:asciiTheme="majorHAnsi" w:hAnsiTheme="majorHAnsi" w:cstheme="majorHAnsi"/>
              </w:rPr>
              <w:t xml:space="preserve">. This </w:t>
            </w:r>
            <w:bookmarkStart w:id="1" w:name="_GoBack"/>
            <w:bookmarkEnd w:id="1"/>
            <w:r>
              <w:rPr>
                <w:rFonts w:asciiTheme="majorHAnsi" w:hAnsiTheme="majorHAnsi" w:cstheme="majorHAnsi"/>
              </w:rPr>
              <w:t>will allow the development of a detailed implementation plan.</w:t>
            </w:r>
          </w:p>
          <w:p w:rsidR="005E1059" w:rsidRPr="005E1059" w:rsidRDefault="005E1059" w:rsidP="005E1059">
            <w:pPr>
              <w:spacing w:after="0" w:line="240" w:lineRule="auto"/>
              <w:rPr>
                <w:rFonts w:asciiTheme="majorHAnsi" w:hAnsiTheme="majorHAnsi" w:cstheme="majorHAnsi"/>
              </w:rPr>
            </w:pPr>
          </w:p>
        </w:tc>
      </w:tr>
      <w:tr w:rsidR="005E1059" w:rsidRPr="005E1059" w:rsidTr="002A74F7">
        <w:tc>
          <w:tcPr>
            <w:tcW w:w="2628" w:type="dxa"/>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Details:</w:t>
            </w:r>
          </w:p>
        </w:tc>
        <w:tc>
          <w:tcPr>
            <w:tcW w:w="6320" w:type="dxa"/>
          </w:tcPr>
          <w:p w:rsidR="005E1059" w:rsidRDefault="005E1059" w:rsidP="005E1059">
            <w:pPr>
              <w:tabs>
                <w:tab w:val="clear" w:pos="567"/>
                <w:tab w:val="clear" w:pos="992"/>
              </w:tabs>
              <w:spacing w:after="0" w:line="240" w:lineRule="auto"/>
              <w:contextualSpacing/>
              <w:rPr>
                <w:rFonts w:asciiTheme="majorHAnsi" w:hAnsiTheme="majorHAnsi" w:cstheme="majorHAnsi"/>
              </w:rPr>
            </w:pPr>
            <w:r>
              <w:rPr>
                <w:rFonts w:asciiTheme="majorHAnsi" w:hAnsiTheme="majorHAnsi" w:cstheme="majorHAnsi"/>
              </w:rPr>
              <w:t>See paper</w:t>
            </w:r>
          </w:p>
          <w:p w:rsidR="005E1059" w:rsidRPr="005E1059" w:rsidRDefault="005E1059" w:rsidP="005E1059">
            <w:pPr>
              <w:tabs>
                <w:tab w:val="clear" w:pos="567"/>
                <w:tab w:val="clear" w:pos="992"/>
              </w:tabs>
              <w:spacing w:after="0" w:line="240" w:lineRule="auto"/>
              <w:contextualSpacing/>
              <w:rPr>
                <w:rFonts w:asciiTheme="majorHAnsi" w:hAnsiTheme="majorHAnsi" w:cstheme="majorHAnsi"/>
              </w:rPr>
            </w:pPr>
          </w:p>
        </w:tc>
      </w:tr>
      <w:tr w:rsidR="005E1059" w:rsidRPr="005E1059" w:rsidTr="002A74F7">
        <w:tc>
          <w:tcPr>
            <w:tcW w:w="2628" w:type="dxa"/>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Suitable for wider circulation?</w:t>
            </w:r>
          </w:p>
        </w:tc>
        <w:tc>
          <w:tcPr>
            <w:tcW w:w="6320" w:type="dxa"/>
          </w:tcPr>
          <w:p w:rsidR="005E1059" w:rsidRPr="005E1059" w:rsidRDefault="005E1059" w:rsidP="005E1059">
            <w:pPr>
              <w:spacing w:after="0" w:line="240" w:lineRule="auto"/>
              <w:rPr>
                <w:rFonts w:asciiTheme="majorHAnsi" w:hAnsiTheme="majorHAnsi" w:cstheme="majorHAnsi"/>
                <w:b/>
              </w:rPr>
            </w:pPr>
            <w:r>
              <w:rPr>
                <w:rFonts w:asciiTheme="majorHAnsi" w:hAnsiTheme="majorHAnsi" w:cstheme="majorHAnsi"/>
                <w:b/>
              </w:rPr>
              <w:t>Yes</w:t>
            </w:r>
          </w:p>
        </w:tc>
      </w:tr>
    </w:tbl>
    <w:p w:rsidR="005E1059" w:rsidRPr="005E1059" w:rsidRDefault="005E1059" w:rsidP="005E1059">
      <w:pPr>
        <w:spacing w:after="0" w:line="240" w:lineRule="auto"/>
        <w:rPr>
          <w:rFonts w:asciiTheme="majorHAnsi" w:eastAsiaTheme="minorHAnsi" w:hAnsiTheme="majorHAnsi" w:cstheme="majorHAnsi"/>
          <w:b/>
        </w:rPr>
      </w:pPr>
    </w:p>
    <w:p w:rsidR="005E1059" w:rsidRPr="005E1059" w:rsidRDefault="005E1059" w:rsidP="005E1059">
      <w:pPr>
        <w:spacing w:after="0" w:line="240" w:lineRule="auto"/>
        <w:rPr>
          <w:rFonts w:asciiTheme="majorHAnsi" w:eastAsiaTheme="minorHAnsi" w:hAnsiTheme="majorHAnsi" w:cstheme="majorHAnsi"/>
          <w:b/>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5E1059" w:rsidRPr="005E1059" w:rsidTr="002A74F7">
        <w:tc>
          <w:tcPr>
            <w:tcW w:w="2628" w:type="dxa"/>
            <w:vMerge w:val="restart"/>
            <w:shd w:val="clear" w:color="auto" w:fill="D9D9D9" w:themeFill="background1" w:themeFillShade="D9"/>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Recommendation / Proposed Actions:</w:t>
            </w:r>
          </w:p>
          <w:p w:rsidR="005E1059" w:rsidRPr="005E1059" w:rsidRDefault="005E1059" w:rsidP="005E1059">
            <w:pPr>
              <w:spacing w:after="0" w:line="240" w:lineRule="auto"/>
              <w:rPr>
                <w:rFonts w:asciiTheme="majorHAnsi" w:hAnsiTheme="majorHAnsi" w:cstheme="majorHAnsi"/>
                <w:b/>
              </w:rPr>
            </w:pPr>
          </w:p>
        </w:tc>
        <w:tc>
          <w:tcPr>
            <w:tcW w:w="5040" w:type="dxa"/>
            <w:gridSpan w:val="2"/>
            <w:shd w:val="clear" w:color="auto" w:fill="D9D9D9" w:themeFill="background1" w:themeFillShade="D9"/>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To Approve</w:t>
            </w:r>
          </w:p>
        </w:tc>
        <w:tc>
          <w:tcPr>
            <w:tcW w:w="1280" w:type="dxa"/>
            <w:shd w:val="clear" w:color="auto" w:fill="auto"/>
          </w:tcPr>
          <w:p w:rsid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Yes</w:t>
            </w:r>
          </w:p>
          <w:p w:rsidR="005E1059" w:rsidRPr="005E1059" w:rsidRDefault="005E1059" w:rsidP="005E1059">
            <w:pPr>
              <w:spacing w:after="0" w:line="240" w:lineRule="auto"/>
              <w:rPr>
                <w:rFonts w:asciiTheme="majorHAnsi" w:hAnsiTheme="majorHAnsi" w:cstheme="majorHAnsi"/>
                <w:b/>
              </w:rPr>
            </w:pPr>
          </w:p>
        </w:tc>
      </w:tr>
      <w:tr w:rsidR="005E1059" w:rsidRPr="005E1059" w:rsidTr="002A74F7">
        <w:tc>
          <w:tcPr>
            <w:tcW w:w="2628" w:type="dxa"/>
            <w:vMerge/>
            <w:shd w:val="clear" w:color="auto" w:fill="D9D9D9" w:themeFill="background1" w:themeFillShade="D9"/>
          </w:tcPr>
          <w:p w:rsidR="005E1059" w:rsidRPr="005E1059" w:rsidRDefault="005E1059" w:rsidP="005E1059">
            <w:pPr>
              <w:spacing w:after="0" w:line="240" w:lineRule="auto"/>
              <w:rPr>
                <w:rFonts w:asciiTheme="majorHAnsi" w:hAnsiTheme="majorHAnsi" w:cstheme="majorHAnsi"/>
                <w:b/>
              </w:rPr>
            </w:pPr>
          </w:p>
        </w:tc>
        <w:tc>
          <w:tcPr>
            <w:tcW w:w="5040" w:type="dxa"/>
            <w:gridSpan w:val="2"/>
            <w:shd w:val="clear" w:color="auto" w:fill="D9D9D9" w:themeFill="background1" w:themeFillShade="D9"/>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To Note</w:t>
            </w:r>
          </w:p>
        </w:tc>
        <w:tc>
          <w:tcPr>
            <w:tcW w:w="1280" w:type="dxa"/>
            <w:shd w:val="clear" w:color="auto" w:fill="auto"/>
          </w:tcPr>
          <w:p w:rsidR="005E1059" w:rsidRDefault="005E1059" w:rsidP="005E1059">
            <w:pPr>
              <w:spacing w:after="0" w:line="240" w:lineRule="auto"/>
              <w:rPr>
                <w:rFonts w:asciiTheme="majorHAnsi" w:hAnsiTheme="majorHAnsi" w:cstheme="majorHAnsi"/>
                <w:b/>
              </w:rPr>
            </w:pPr>
          </w:p>
          <w:p w:rsidR="005E1059" w:rsidRPr="005E1059" w:rsidRDefault="005E1059" w:rsidP="005E1059">
            <w:pPr>
              <w:spacing w:after="0" w:line="240" w:lineRule="auto"/>
              <w:rPr>
                <w:rFonts w:asciiTheme="majorHAnsi" w:hAnsiTheme="majorHAnsi" w:cstheme="majorHAnsi"/>
                <w:b/>
              </w:rPr>
            </w:pPr>
          </w:p>
        </w:tc>
      </w:tr>
      <w:tr w:rsidR="005E1059" w:rsidRPr="005E1059" w:rsidTr="002A74F7">
        <w:tc>
          <w:tcPr>
            <w:tcW w:w="2628" w:type="dxa"/>
            <w:vMerge/>
            <w:shd w:val="clear" w:color="auto" w:fill="D9D9D9" w:themeFill="background1" w:themeFillShade="D9"/>
          </w:tcPr>
          <w:p w:rsidR="005E1059" w:rsidRPr="005E1059" w:rsidRDefault="005E1059" w:rsidP="005E1059">
            <w:pPr>
              <w:spacing w:after="0" w:line="240" w:lineRule="auto"/>
              <w:rPr>
                <w:rFonts w:asciiTheme="majorHAnsi" w:hAnsiTheme="majorHAnsi" w:cstheme="majorHAnsi"/>
                <w:b/>
              </w:rPr>
            </w:pPr>
          </w:p>
        </w:tc>
        <w:tc>
          <w:tcPr>
            <w:tcW w:w="1350" w:type="dxa"/>
            <w:shd w:val="clear" w:color="auto" w:fill="D9D9D9" w:themeFill="background1" w:themeFillShade="D9"/>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Comments</w:t>
            </w:r>
          </w:p>
        </w:tc>
        <w:tc>
          <w:tcPr>
            <w:tcW w:w="4970" w:type="dxa"/>
            <w:gridSpan w:val="2"/>
            <w:shd w:val="clear" w:color="auto" w:fill="auto"/>
          </w:tcPr>
          <w:p w:rsidR="005E1059" w:rsidRDefault="005E1059" w:rsidP="005E1059">
            <w:pPr>
              <w:spacing w:after="0" w:line="240" w:lineRule="auto"/>
              <w:rPr>
                <w:rFonts w:asciiTheme="majorHAnsi" w:hAnsiTheme="majorHAnsi" w:cstheme="majorHAnsi"/>
                <w:b/>
              </w:rPr>
            </w:pPr>
          </w:p>
          <w:p w:rsidR="005E1059" w:rsidRPr="005E1059" w:rsidRDefault="005E1059" w:rsidP="005E1059">
            <w:pPr>
              <w:spacing w:after="0" w:line="240" w:lineRule="auto"/>
              <w:rPr>
                <w:rFonts w:asciiTheme="majorHAnsi" w:hAnsiTheme="majorHAnsi" w:cstheme="majorHAnsi"/>
                <w:b/>
              </w:rPr>
            </w:pPr>
          </w:p>
        </w:tc>
      </w:tr>
    </w:tbl>
    <w:p w:rsidR="005E1059" w:rsidRPr="005E1059" w:rsidRDefault="005E1059" w:rsidP="005E1059">
      <w:pPr>
        <w:tabs>
          <w:tab w:val="left" w:pos="1980"/>
        </w:tabs>
        <w:spacing w:after="0" w:line="240" w:lineRule="auto"/>
        <w:rPr>
          <w:rFonts w:asciiTheme="majorHAnsi" w:eastAsiaTheme="minorHAnsi" w:hAnsiTheme="majorHAnsi" w:cstheme="majorHAnsi"/>
          <w:b/>
        </w:rPr>
      </w:pPr>
    </w:p>
    <w:p w:rsidR="005E1059" w:rsidRPr="005E1059" w:rsidRDefault="005E1059" w:rsidP="005E1059">
      <w:pPr>
        <w:tabs>
          <w:tab w:val="left" w:pos="1980"/>
        </w:tabs>
        <w:spacing w:after="0" w:line="240" w:lineRule="auto"/>
        <w:rPr>
          <w:rFonts w:asciiTheme="majorHAnsi" w:eastAsiaTheme="minorHAnsi" w:hAnsiTheme="majorHAnsi" w:cstheme="majorHAnsi"/>
          <w:b/>
        </w:rPr>
      </w:pPr>
    </w:p>
    <w:tbl>
      <w:tblPr>
        <w:tblStyle w:val="TableGrid1"/>
        <w:tblW w:w="0" w:type="auto"/>
        <w:tblLook w:val="04A0" w:firstRow="1" w:lastRow="0" w:firstColumn="1" w:lastColumn="0" w:noHBand="0" w:noVBand="1"/>
      </w:tblPr>
      <w:tblGrid>
        <w:gridCol w:w="2628"/>
        <w:gridCol w:w="6320"/>
      </w:tblGrid>
      <w:tr w:rsidR="005E1059" w:rsidRPr="005E1059" w:rsidTr="002A74F7">
        <w:tc>
          <w:tcPr>
            <w:tcW w:w="2628" w:type="dxa"/>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Name:</w:t>
            </w:r>
          </w:p>
        </w:tc>
        <w:tc>
          <w:tcPr>
            <w:tcW w:w="6320" w:type="dxa"/>
          </w:tcPr>
          <w:p w:rsidR="005E1059" w:rsidRDefault="005E1059" w:rsidP="005E1059">
            <w:pPr>
              <w:spacing w:after="0" w:line="240" w:lineRule="auto"/>
              <w:rPr>
                <w:rFonts w:asciiTheme="majorHAnsi" w:hAnsiTheme="majorHAnsi" w:cstheme="majorHAnsi"/>
              </w:rPr>
            </w:pPr>
            <w:r w:rsidRPr="005E1059">
              <w:rPr>
                <w:rFonts w:asciiTheme="majorHAnsi" w:hAnsiTheme="majorHAnsi" w:cstheme="majorHAnsi"/>
              </w:rPr>
              <w:t>Debbie Corrigan</w:t>
            </w:r>
          </w:p>
          <w:p w:rsidR="005E1059" w:rsidRPr="005E1059" w:rsidRDefault="005E1059" w:rsidP="005E1059">
            <w:pPr>
              <w:spacing w:after="0" w:line="240" w:lineRule="auto"/>
              <w:rPr>
                <w:rFonts w:asciiTheme="majorHAnsi" w:hAnsiTheme="majorHAnsi" w:cstheme="majorHAnsi"/>
              </w:rPr>
            </w:pPr>
          </w:p>
        </w:tc>
      </w:tr>
      <w:tr w:rsidR="005E1059" w:rsidRPr="005E1059" w:rsidTr="002A74F7">
        <w:tc>
          <w:tcPr>
            <w:tcW w:w="2628" w:type="dxa"/>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Job Title:</w:t>
            </w:r>
          </w:p>
        </w:tc>
        <w:tc>
          <w:tcPr>
            <w:tcW w:w="6320" w:type="dxa"/>
          </w:tcPr>
          <w:p w:rsidR="005E1059" w:rsidRDefault="005E1059" w:rsidP="005E1059">
            <w:pPr>
              <w:spacing w:after="0" w:line="240" w:lineRule="auto"/>
              <w:rPr>
                <w:rFonts w:asciiTheme="majorHAnsi" w:hAnsiTheme="majorHAnsi" w:cstheme="majorHAnsi"/>
              </w:rPr>
            </w:pPr>
            <w:r w:rsidRPr="005E1059">
              <w:rPr>
                <w:rFonts w:asciiTheme="majorHAnsi" w:hAnsiTheme="majorHAnsi" w:cstheme="majorHAnsi"/>
              </w:rPr>
              <w:t>Director of Finance</w:t>
            </w:r>
          </w:p>
          <w:p w:rsidR="005E1059" w:rsidRPr="005E1059" w:rsidRDefault="005E1059" w:rsidP="005E1059">
            <w:pPr>
              <w:spacing w:after="0" w:line="240" w:lineRule="auto"/>
              <w:rPr>
                <w:rFonts w:asciiTheme="majorHAnsi" w:hAnsiTheme="majorHAnsi" w:cstheme="majorHAnsi"/>
              </w:rPr>
            </w:pPr>
          </w:p>
        </w:tc>
      </w:tr>
      <w:tr w:rsidR="005E1059" w:rsidRPr="005E1059" w:rsidTr="002A74F7">
        <w:tc>
          <w:tcPr>
            <w:tcW w:w="2628" w:type="dxa"/>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Date:</w:t>
            </w:r>
          </w:p>
        </w:tc>
        <w:tc>
          <w:tcPr>
            <w:tcW w:w="6320" w:type="dxa"/>
          </w:tcPr>
          <w:p w:rsidR="005E1059" w:rsidRDefault="005E1059" w:rsidP="005E1059">
            <w:pPr>
              <w:spacing w:after="0" w:line="240" w:lineRule="auto"/>
              <w:rPr>
                <w:rFonts w:asciiTheme="majorHAnsi" w:hAnsiTheme="majorHAnsi" w:cstheme="majorHAnsi"/>
              </w:rPr>
            </w:pPr>
            <w:r>
              <w:rPr>
                <w:rFonts w:asciiTheme="majorHAnsi" w:hAnsiTheme="majorHAnsi" w:cstheme="majorHAnsi"/>
              </w:rPr>
              <w:t>21</w:t>
            </w:r>
            <w:r w:rsidRPr="005E1059">
              <w:rPr>
                <w:rFonts w:asciiTheme="majorHAnsi" w:hAnsiTheme="majorHAnsi" w:cstheme="majorHAnsi"/>
              </w:rPr>
              <w:t xml:space="preserve"> October 2014</w:t>
            </w:r>
          </w:p>
          <w:p w:rsidR="005E1059" w:rsidRPr="005E1059" w:rsidRDefault="005E1059" w:rsidP="005E1059">
            <w:pPr>
              <w:spacing w:after="0" w:line="240" w:lineRule="auto"/>
              <w:rPr>
                <w:rFonts w:asciiTheme="majorHAnsi" w:hAnsiTheme="majorHAnsi" w:cstheme="majorHAnsi"/>
              </w:rPr>
            </w:pPr>
          </w:p>
        </w:tc>
      </w:tr>
    </w:tbl>
    <w:p w:rsidR="005E1059" w:rsidRPr="005E1059" w:rsidRDefault="005E1059" w:rsidP="005E1059">
      <w:pPr>
        <w:spacing w:after="0" w:line="240" w:lineRule="auto"/>
        <w:rPr>
          <w:rFonts w:asciiTheme="majorHAnsi" w:hAnsiTheme="majorHAnsi" w:cstheme="majorHAnsi"/>
          <w:b/>
          <w:szCs w:val="22"/>
        </w:rPr>
      </w:pPr>
    </w:p>
    <w:p w:rsidR="005E1059" w:rsidRDefault="005E1059" w:rsidP="005E1059">
      <w:pPr>
        <w:spacing w:after="0" w:line="240" w:lineRule="auto"/>
        <w:rPr>
          <w:rFonts w:cs="Arial"/>
          <w:b/>
          <w:szCs w:val="22"/>
        </w:rPr>
      </w:pPr>
    </w:p>
    <w:p w:rsidR="005E1059" w:rsidRDefault="005E1059" w:rsidP="005E1059">
      <w:pPr>
        <w:rPr>
          <w:rFonts w:cs="Arial"/>
          <w:b/>
          <w:szCs w:val="22"/>
        </w:rPr>
      </w:pPr>
    </w:p>
    <w:p w:rsidR="005E1059" w:rsidRDefault="005E1059" w:rsidP="005E1059">
      <w:pPr>
        <w:rPr>
          <w:rFonts w:cs="Arial"/>
          <w:b/>
          <w:szCs w:val="22"/>
        </w:rPr>
      </w:pPr>
    </w:p>
    <w:p w:rsidR="005E1059" w:rsidRDefault="005E1059" w:rsidP="005E1059">
      <w:pPr>
        <w:rPr>
          <w:rFonts w:cs="Arial"/>
          <w:b/>
          <w:szCs w:val="22"/>
        </w:rPr>
      </w:pPr>
    </w:p>
    <w:p w:rsidR="005E1059" w:rsidRDefault="005E1059" w:rsidP="009B3A1B">
      <w:pPr>
        <w:pStyle w:val="Title"/>
        <w:sectPr w:rsidR="005E1059" w:rsidSect="005E1059">
          <w:headerReference w:type="even" r:id="rId10"/>
          <w:headerReference w:type="default" r:id="rId11"/>
          <w:footerReference w:type="even" r:id="rId12"/>
          <w:headerReference w:type="first" r:id="rId13"/>
          <w:footerReference w:type="first" r:id="rId14"/>
          <w:type w:val="continuous"/>
          <w:pgSz w:w="11900" w:h="16840" w:code="9"/>
          <w:pgMar w:top="1385" w:right="1021" w:bottom="680" w:left="1134" w:header="624" w:footer="624" w:gutter="0"/>
          <w:cols w:space="680"/>
          <w:docGrid w:linePitch="360"/>
        </w:sectPr>
      </w:pPr>
    </w:p>
    <w:p w:rsidR="009B3A1B" w:rsidRDefault="0010261F" w:rsidP="009B3A1B">
      <w:pPr>
        <w:pStyle w:val="Title"/>
      </w:pPr>
      <w:r>
        <w:lastRenderedPageBreak/>
        <w:t xml:space="preserve">HRA </w:t>
      </w:r>
      <w:r w:rsidR="003E7D93">
        <w:t>Estates Strategy</w:t>
      </w:r>
      <w:bookmarkEnd w:id="0"/>
    </w:p>
    <w:p w:rsidR="009B3A1B" w:rsidRDefault="009B3A1B" w:rsidP="009B3A1B">
      <w:pPr>
        <w:pStyle w:val="Accreditations"/>
        <w:spacing w:before="8000"/>
      </w:pPr>
    </w:p>
    <w:p w:rsidR="003E7D93" w:rsidRDefault="003E7D93" w:rsidP="003E7D93"/>
    <w:p w:rsidR="003E7D93" w:rsidRDefault="003E7D93" w:rsidP="003E7D93">
      <w:pPr>
        <w:spacing w:after="0" w:line="240" w:lineRule="auto"/>
      </w:pPr>
      <w:r>
        <w:t>Author:</w:t>
      </w:r>
      <w:r>
        <w:tab/>
      </w:r>
      <w:r>
        <w:tab/>
      </w:r>
      <w:r>
        <w:tab/>
        <w:t>Debbie Corrigan</w:t>
      </w:r>
    </w:p>
    <w:p w:rsidR="003E7D93" w:rsidRDefault="003E7D93" w:rsidP="003E7D93">
      <w:pPr>
        <w:spacing w:after="0" w:line="240" w:lineRule="auto"/>
      </w:pPr>
      <w:r>
        <w:t>Date of Release:</w:t>
      </w:r>
      <w:r>
        <w:tab/>
      </w:r>
      <w:r w:rsidR="00961A97">
        <w:t>13</w:t>
      </w:r>
      <w:r>
        <w:t xml:space="preserve"> October 2014</w:t>
      </w:r>
    </w:p>
    <w:p w:rsidR="003E7D93" w:rsidRDefault="007B130E" w:rsidP="003E7D93">
      <w:pPr>
        <w:spacing w:after="0" w:line="240" w:lineRule="auto"/>
      </w:pPr>
      <w:proofErr w:type="gramStart"/>
      <w:r>
        <w:t>Version No.</w:t>
      </w:r>
      <w:proofErr w:type="gramEnd"/>
      <w:r>
        <w:t xml:space="preserve"> &amp; Status:</w:t>
      </w:r>
      <w:r>
        <w:tab/>
        <w:t xml:space="preserve"> V1.</w:t>
      </w:r>
      <w:r w:rsidR="00223E93">
        <w:t>2</w:t>
      </w:r>
    </w:p>
    <w:p w:rsidR="003E7D93" w:rsidRDefault="003E7D93" w:rsidP="003E7D93">
      <w:pPr>
        <w:spacing w:after="0" w:line="240" w:lineRule="auto"/>
      </w:pPr>
      <w:r>
        <w:t xml:space="preserve">Approved By:  </w:t>
      </w:r>
      <w:r>
        <w:tab/>
        <w:t>EMT 20 October 2014</w:t>
      </w:r>
    </w:p>
    <w:p w:rsidR="003E7D93" w:rsidRDefault="00223E93" w:rsidP="003E7D93">
      <w:pPr>
        <w:spacing w:after="0" w:line="240" w:lineRule="auto"/>
      </w:pPr>
      <w:r>
        <w:tab/>
      </w:r>
      <w:r>
        <w:tab/>
      </w:r>
      <w:r>
        <w:tab/>
      </w:r>
      <w:r>
        <w:tab/>
      </w:r>
      <w:proofErr w:type="gramStart"/>
      <w:r w:rsidR="003E7D93">
        <w:t>Board  29</w:t>
      </w:r>
      <w:proofErr w:type="gramEnd"/>
      <w:r w:rsidR="003E7D93">
        <w:t xml:space="preserve"> October 2014</w:t>
      </w:r>
    </w:p>
    <w:p w:rsidR="003E7D93" w:rsidRDefault="003E7D93" w:rsidP="003E7D93">
      <w:pPr>
        <w:spacing w:after="0" w:line="240" w:lineRule="auto"/>
      </w:pPr>
      <w:r>
        <w:t>Supersedes Version:   N/A</w:t>
      </w:r>
    </w:p>
    <w:p w:rsidR="003E7D93" w:rsidRDefault="003E7D93" w:rsidP="003E7D93">
      <w:pPr>
        <w:spacing w:after="0" w:line="240" w:lineRule="auto"/>
      </w:pPr>
      <w:r>
        <w:t xml:space="preserve">Review Date: </w:t>
      </w:r>
      <w:r>
        <w:tab/>
      </w:r>
      <w:r>
        <w:tab/>
      </w:r>
      <w:r w:rsidR="00B162C8">
        <w:t>May 201</w:t>
      </w:r>
      <w:r w:rsidR="00C97B52">
        <w:t>5</w:t>
      </w:r>
      <w:r w:rsidR="00B162C8">
        <w:t xml:space="preserve"> initial review</w:t>
      </w:r>
    </w:p>
    <w:p w:rsidR="003E7D93" w:rsidRDefault="003E7D93" w:rsidP="003E7D93">
      <w:pPr>
        <w:spacing w:after="0" w:line="240" w:lineRule="auto"/>
      </w:pPr>
      <w:r>
        <w:t>Owner:</w:t>
      </w:r>
      <w:r>
        <w:tab/>
      </w:r>
      <w:r>
        <w:tab/>
      </w:r>
      <w:r>
        <w:tab/>
        <w:t>Debbie Corrigan</w:t>
      </w:r>
    </w:p>
    <w:p w:rsidR="009B3A1B" w:rsidRDefault="002226C3" w:rsidP="002226C3">
      <w:pPr>
        <w:pStyle w:val="Accreditations"/>
        <w:sectPr w:rsidR="009B3A1B" w:rsidSect="005E1059">
          <w:pgSz w:w="11900" w:h="16840" w:code="9"/>
          <w:pgMar w:top="3686" w:right="1021" w:bottom="680" w:left="1134" w:header="624" w:footer="624" w:gutter="0"/>
          <w:cols w:space="680"/>
          <w:titlePg/>
          <w:docGrid w:linePitch="360"/>
        </w:sectPr>
      </w:pPr>
      <w:r>
        <w:t xml:space="preserve"> </w:t>
      </w:r>
    </w:p>
    <w:p w:rsidR="00D44549" w:rsidRDefault="00D44549" w:rsidP="00792302"/>
    <w:p w:rsidR="00D44549" w:rsidRDefault="00D44549" w:rsidP="00792302"/>
    <w:p w:rsidR="00D44549" w:rsidRDefault="00D44549" w:rsidP="00792302"/>
    <w:p w:rsidR="00D44549" w:rsidRDefault="00D44549" w:rsidP="00D44549">
      <w:pPr>
        <w:spacing w:after="0" w:line="240" w:lineRule="auto"/>
        <w:rPr>
          <w:rFonts w:eastAsia="MS Gothic"/>
          <w:bCs/>
          <w:color w:val="331188"/>
          <w:kern w:val="32"/>
          <w:sz w:val="52"/>
          <w:szCs w:val="32"/>
        </w:rPr>
      </w:pPr>
      <w:r>
        <w:rPr>
          <w:rFonts w:eastAsia="MS Gothic"/>
          <w:bCs/>
          <w:color w:val="331188"/>
          <w:kern w:val="32"/>
          <w:sz w:val="52"/>
          <w:szCs w:val="32"/>
        </w:rPr>
        <w:t>CONTENTS</w:t>
      </w:r>
    </w:p>
    <w:p w:rsidR="00D44549" w:rsidRDefault="00D44549" w:rsidP="000E0B77"/>
    <w:p w:rsidR="009D46CA" w:rsidRDefault="009D46CA" w:rsidP="009D46CA"/>
    <w:p w:rsidR="00D16EF7" w:rsidRPr="00750332" w:rsidRDefault="00D16EF7" w:rsidP="00D16EF7">
      <w:pPr>
        <w:tabs>
          <w:tab w:val="right" w:leader="dot" w:pos="9639"/>
        </w:tabs>
        <w:rPr>
          <w:sz w:val="24"/>
        </w:rPr>
      </w:pPr>
      <w:r w:rsidRPr="00D16EF7">
        <w:rPr>
          <w:color w:val="7030A0"/>
          <w:sz w:val="28"/>
        </w:rPr>
        <w:t>HRA Estates Strategy</w:t>
      </w:r>
      <w:r w:rsidR="00750332">
        <w:rPr>
          <w:color w:val="7030A0"/>
          <w:sz w:val="28"/>
        </w:rPr>
        <w:t xml:space="preserve"> </w:t>
      </w:r>
      <w:r w:rsidRPr="00750332">
        <w:rPr>
          <w:sz w:val="24"/>
        </w:rPr>
        <w:tab/>
        <w:t>1</w:t>
      </w:r>
    </w:p>
    <w:p w:rsidR="00D16EF7" w:rsidRPr="00D16EF7" w:rsidRDefault="00D16EF7" w:rsidP="00D16EF7">
      <w:pPr>
        <w:tabs>
          <w:tab w:val="right" w:leader="dot" w:pos="9639"/>
        </w:tabs>
        <w:ind w:left="567"/>
        <w:rPr>
          <w:color w:val="F79646" w:themeColor="accent6"/>
        </w:rPr>
      </w:pPr>
      <w:r w:rsidRPr="00D16EF7">
        <w:rPr>
          <w:color w:val="F79646" w:themeColor="accent6"/>
        </w:rPr>
        <w:t>Executive Summary</w:t>
      </w:r>
    </w:p>
    <w:p w:rsidR="00D16EF7" w:rsidRPr="00750332" w:rsidRDefault="001D4F59" w:rsidP="001D4F59">
      <w:pPr>
        <w:tabs>
          <w:tab w:val="right" w:leader="dot" w:pos="9639"/>
        </w:tabs>
      </w:pPr>
      <w:r>
        <w:rPr>
          <w:color w:val="7030A0"/>
          <w:sz w:val="28"/>
        </w:rPr>
        <w:t>1.0</w:t>
      </w:r>
      <w:r>
        <w:rPr>
          <w:color w:val="7030A0"/>
          <w:sz w:val="28"/>
        </w:rPr>
        <w:tab/>
      </w:r>
      <w:r w:rsidR="00D16EF7" w:rsidRPr="001D4F59">
        <w:rPr>
          <w:color w:val="7030A0"/>
          <w:sz w:val="28"/>
        </w:rPr>
        <w:t>Where are we now?</w:t>
      </w:r>
      <w:r w:rsidR="00750332">
        <w:rPr>
          <w:color w:val="7030A0"/>
          <w:sz w:val="28"/>
        </w:rPr>
        <w:t xml:space="preserve"> </w:t>
      </w:r>
      <w:r w:rsidR="00D16EF7" w:rsidRPr="00750332">
        <w:tab/>
      </w:r>
      <w:r w:rsidR="00750332">
        <w:t>3</w:t>
      </w:r>
    </w:p>
    <w:p w:rsidR="00750332" w:rsidRDefault="00750332" w:rsidP="00750332">
      <w:pPr>
        <w:tabs>
          <w:tab w:val="right" w:leader="dot" w:pos="9639"/>
        </w:tabs>
        <w:ind w:left="567"/>
      </w:pPr>
      <w:r>
        <w:rPr>
          <w:color w:val="F79646" w:themeColor="accent6"/>
        </w:rPr>
        <w:t xml:space="preserve">Introduction to organisation </w:t>
      </w:r>
      <w:r w:rsidRPr="00750332">
        <w:tab/>
        <w:t>3</w:t>
      </w:r>
    </w:p>
    <w:p w:rsidR="00750332" w:rsidRDefault="00750332" w:rsidP="00750332">
      <w:pPr>
        <w:tabs>
          <w:tab w:val="right" w:leader="dot" w:pos="9639"/>
        </w:tabs>
        <w:ind w:left="567"/>
      </w:pPr>
      <w:r>
        <w:rPr>
          <w:color w:val="F79646" w:themeColor="accent6"/>
        </w:rPr>
        <w:t xml:space="preserve">Drivers and context for change </w:t>
      </w:r>
      <w:r w:rsidRPr="00750332">
        <w:tab/>
      </w:r>
      <w:r>
        <w:t>4</w:t>
      </w:r>
    </w:p>
    <w:p w:rsidR="00750332" w:rsidRPr="00750332" w:rsidRDefault="00750332" w:rsidP="00750332">
      <w:pPr>
        <w:tabs>
          <w:tab w:val="right" w:leader="dot" w:pos="9639"/>
        </w:tabs>
        <w:ind w:left="567"/>
      </w:pPr>
      <w:r w:rsidRPr="00750332">
        <w:rPr>
          <w:color w:val="F79646" w:themeColor="accent6"/>
        </w:rPr>
        <w:t>Current and relevant HRA estate profile</w:t>
      </w:r>
      <w:r>
        <w:t xml:space="preserve"> </w:t>
      </w:r>
      <w:r>
        <w:tab/>
        <w:t>4</w:t>
      </w:r>
    </w:p>
    <w:p w:rsidR="00D16EF7" w:rsidRPr="00750332" w:rsidRDefault="001D4F59" w:rsidP="001D4F59">
      <w:pPr>
        <w:tabs>
          <w:tab w:val="right" w:leader="dot" w:pos="9639"/>
        </w:tabs>
      </w:pPr>
      <w:r>
        <w:rPr>
          <w:color w:val="7030A0"/>
          <w:sz w:val="28"/>
        </w:rPr>
        <w:t>2.0</w:t>
      </w:r>
      <w:r>
        <w:rPr>
          <w:color w:val="7030A0"/>
          <w:sz w:val="28"/>
        </w:rPr>
        <w:tab/>
      </w:r>
      <w:r w:rsidR="00D16EF7" w:rsidRPr="001D4F59">
        <w:rPr>
          <w:color w:val="7030A0"/>
          <w:sz w:val="28"/>
        </w:rPr>
        <w:t>Where do we want to be?</w:t>
      </w:r>
      <w:r w:rsidR="00750332">
        <w:rPr>
          <w:color w:val="7030A0"/>
          <w:sz w:val="28"/>
        </w:rPr>
        <w:t xml:space="preserve"> </w:t>
      </w:r>
      <w:r w:rsidR="00D16EF7" w:rsidRPr="00750332">
        <w:tab/>
      </w:r>
      <w:r w:rsidR="00750332">
        <w:t>7</w:t>
      </w:r>
    </w:p>
    <w:p w:rsidR="00750332" w:rsidRPr="005C3872" w:rsidRDefault="00750332" w:rsidP="00750332">
      <w:pPr>
        <w:tabs>
          <w:tab w:val="right" w:leader="dot" w:pos="9639"/>
        </w:tabs>
        <w:ind w:left="567"/>
      </w:pPr>
      <w:r>
        <w:rPr>
          <w:color w:val="F79646" w:themeColor="accent6"/>
        </w:rPr>
        <w:t xml:space="preserve">Future service profile </w:t>
      </w:r>
      <w:r w:rsidRPr="005C3872">
        <w:tab/>
      </w:r>
      <w:r w:rsidR="005C3872">
        <w:t>7</w:t>
      </w:r>
    </w:p>
    <w:p w:rsidR="00750332" w:rsidRPr="005C3872" w:rsidRDefault="00750332" w:rsidP="00750332">
      <w:pPr>
        <w:tabs>
          <w:tab w:val="right" w:leader="dot" w:pos="9639"/>
        </w:tabs>
        <w:ind w:left="567"/>
      </w:pPr>
      <w:r>
        <w:rPr>
          <w:color w:val="F79646" w:themeColor="accent6"/>
        </w:rPr>
        <w:t xml:space="preserve">Estate options </w:t>
      </w:r>
      <w:r w:rsidRPr="005C3872">
        <w:tab/>
      </w:r>
      <w:r w:rsidR="005C3872">
        <w:t>7</w:t>
      </w:r>
    </w:p>
    <w:p w:rsidR="00750332" w:rsidRPr="005C3872" w:rsidRDefault="00750332" w:rsidP="00750332">
      <w:pPr>
        <w:tabs>
          <w:tab w:val="right" w:leader="dot" w:pos="9639"/>
        </w:tabs>
        <w:ind w:left="567"/>
      </w:pPr>
      <w:r>
        <w:rPr>
          <w:color w:val="F79646" w:themeColor="accent6"/>
        </w:rPr>
        <w:t xml:space="preserve">Options appraisal </w:t>
      </w:r>
      <w:r w:rsidRPr="005C3872">
        <w:tab/>
      </w:r>
      <w:r w:rsidR="005C3872">
        <w:t>9</w:t>
      </w:r>
    </w:p>
    <w:p w:rsidR="00750332" w:rsidRPr="00750332" w:rsidRDefault="00750332" w:rsidP="00750332">
      <w:pPr>
        <w:tabs>
          <w:tab w:val="right" w:leader="dot" w:pos="9639"/>
        </w:tabs>
        <w:ind w:left="567"/>
      </w:pPr>
      <w:r>
        <w:rPr>
          <w:color w:val="F79646" w:themeColor="accent6"/>
        </w:rPr>
        <w:t xml:space="preserve">The Estate Vision </w:t>
      </w:r>
      <w:r w:rsidRPr="00750332">
        <w:tab/>
      </w:r>
      <w:r w:rsidR="005C3872">
        <w:t>10</w:t>
      </w:r>
    </w:p>
    <w:p w:rsidR="00D16EF7" w:rsidRPr="005C3872" w:rsidRDefault="001D4F59" w:rsidP="001D4F59">
      <w:pPr>
        <w:tabs>
          <w:tab w:val="right" w:leader="dot" w:pos="9639"/>
        </w:tabs>
      </w:pPr>
      <w:r>
        <w:rPr>
          <w:color w:val="7030A0"/>
          <w:sz w:val="28"/>
        </w:rPr>
        <w:t>3.0</w:t>
      </w:r>
      <w:r>
        <w:rPr>
          <w:color w:val="7030A0"/>
          <w:sz w:val="28"/>
        </w:rPr>
        <w:tab/>
      </w:r>
      <w:r w:rsidR="00D16EF7" w:rsidRPr="001D4F59">
        <w:rPr>
          <w:color w:val="7030A0"/>
          <w:sz w:val="28"/>
        </w:rPr>
        <w:t>How do we get there?</w:t>
      </w:r>
      <w:r w:rsidR="00750332">
        <w:rPr>
          <w:color w:val="7030A0"/>
          <w:sz w:val="28"/>
        </w:rPr>
        <w:t xml:space="preserve"> </w:t>
      </w:r>
      <w:r w:rsidR="00D16EF7" w:rsidRPr="005C3872">
        <w:tab/>
      </w:r>
      <w:r w:rsidR="005C3872">
        <w:t>10</w:t>
      </w:r>
    </w:p>
    <w:p w:rsidR="00750332" w:rsidRPr="005C3872" w:rsidRDefault="005C3872" w:rsidP="00750332">
      <w:pPr>
        <w:tabs>
          <w:tab w:val="right" w:leader="dot" w:pos="9639"/>
        </w:tabs>
        <w:ind w:left="567"/>
      </w:pPr>
      <w:r>
        <w:rPr>
          <w:color w:val="F79646" w:themeColor="accent6"/>
        </w:rPr>
        <w:t xml:space="preserve">Transition planning and principles </w:t>
      </w:r>
      <w:r w:rsidRPr="005C3872">
        <w:tab/>
      </w:r>
      <w:r>
        <w:t>10</w:t>
      </w:r>
    </w:p>
    <w:p w:rsidR="005C3872" w:rsidRPr="005C3872" w:rsidRDefault="005C3872" w:rsidP="00750332">
      <w:pPr>
        <w:tabs>
          <w:tab w:val="right" w:leader="dot" w:pos="9639"/>
        </w:tabs>
        <w:ind w:left="567"/>
      </w:pPr>
      <w:r>
        <w:rPr>
          <w:color w:val="F79646" w:themeColor="accent6"/>
        </w:rPr>
        <w:t xml:space="preserve">Next steps </w:t>
      </w:r>
      <w:r w:rsidRPr="005C3872">
        <w:tab/>
      </w:r>
      <w:r>
        <w:t>12</w:t>
      </w:r>
    </w:p>
    <w:p w:rsidR="005C3872" w:rsidRPr="005C3872" w:rsidRDefault="005C3872" w:rsidP="00750332">
      <w:pPr>
        <w:tabs>
          <w:tab w:val="right" w:leader="dot" w:pos="9639"/>
        </w:tabs>
        <w:ind w:left="567"/>
      </w:pPr>
      <w:r>
        <w:rPr>
          <w:color w:val="F79646" w:themeColor="accent6"/>
        </w:rPr>
        <w:t xml:space="preserve">Governance arrangements </w:t>
      </w:r>
      <w:r w:rsidRPr="005C3872">
        <w:tab/>
      </w:r>
      <w:r>
        <w:t>12</w:t>
      </w:r>
    </w:p>
    <w:p w:rsidR="005C3872" w:rsidRPr="005C3872" w:rsidRDefault="005C3872" w:rsidP="00750332">
      <w:pPr>
        <w:tabs>
          <w:tab w:val="right" w:leader="dot" w:pos="9639"/>
        </w:tabs>
        <w:ind w:left="567"/>
      </w:pPr>
      <w:r>
        <w:rPr>
          <w:color w:val="F79646" w:themeColor="accent6"/>
        </w:rPr>
        <w:t xml:space="preserve">Benefit and risk assessment of preferred option </w:t>
      </w:r>
      <w:r w:rsidRPr="005C3872">
        <w:tab/>
      </w:r>
      <w:r>
        <w:t>12</w:t>
      </w:r>
    </w:p>
    <w:p w:rsidR="00D16EF7" w:rsidRPr="005C3872" w:rsidRDefault="001D4F59" w:rsidP="001D4F59">
      <w:pPr>
        <w:tabs>
          <w:tab w:val="right" w:leader="dot" w:pos="9639"/>
        </w:tabs>
      </w:pPr>
      <w:r>
        <w:rPr>
          <w:color w:val="7030A0"/>
          <w:sz w:val="28"/>
        </w:rPr>
        <w:t>4.0</w:t>
      </w:r>
      <w:r>
        <w:rPr>
          <w:color w:val="7030A0"/>
          <w:sz w:val="28"/>
        </w:rPr>
        <w:tab/>
      </w:r>
      <w:r w:rsidR="00D16EF7" w:rsidRPr="001D4F59">
        <w:rPr>
          <w:color w:val="7030A0"/>
          <w:sz w:val="28"/>
        </w:rPr>
        <w:t>Financial projections</w:t>
      </w:r>
      <w:r w:rsidR="005C3872">
        <w:rPr>
          <w:color w:val="7030A0"/>
          <w:sz w:val="28"/>
        </w:rPr>
        <w:t xml:space="preserve"> </w:t>
      </w:r>
      <w:r w:rsidR="00D16EF7" w:rsidRPr="005C3872">
        <w:tab/>
      </w:r>
      <w:r w:rsidR="005C3872">
        <w:t>14</w:t>
      </w:r>
    </w:p>
    <w:p w:rsidR="00D16EF7" w:rsidRPr="00792302" w:rsidRDefault="001D4F59" w:rsidP="001D4F59">
      <w:pPr>
        <w:tabs>
          <w:tab w:val="right" w:leader="dot" w:pos="9639"/>
        </w:tabs>
      </w:pPr>
      <w:r>
        <w:rPr>
          <w:color w:val="7030A0"/>
          <w:sz w:val="28"/>
        </w:rPr>
        <w:t>5.0</w:t>
      </w:r>
      <w:r>
        <w:rPr>
          <w:color w:val="7030A0"/>
          <w:sz w:val="28"/>
        </w:rPr>
        <w:tab/>
      </w:r>
      <w:r w:rsidR="00D16EF7" w:rsidRPr="001D4F59">
        <w:rPr>
          <w:color w:val="7030A0"/>
          <w:sz w:val="28"/>
        </w:rPr>
        <w:t>Conclusion and next steps</w:t>
      </w:r>
      <w:r w:rsidR="00792302">
        <w:rPr>
          <w:color w:val="7030A0"/>
          <w:sz w:val="28"/>
        </w:rPr>
        <w:t xml:space="preserve"> </w:t>
      </w:r>
      <w:r w:rsidR="00D16EF7" w:rsidRPr="00792302">
        <w:tab/>
      </w:r>
      <w:r w:rsidR="00792302">
        <w:t>15</w:t>
      </w:r>
    </w:p>
    <w:p w:rsidR="001D4F59" w:rsidRPr="001D4F59" w:rsidRDefault="001D4F59" w:rsidP="001D4F59"/>
    <w:p w:rsidR="000E0B77" w:rsidRDefault="000E0B77" w:rsidP="000E0B77"/>
    <w:p w:rsidR="009D46CA" w:rsidRDefault="009D46CA">
      <w:pPr>
        <w:spacing w:after="0" w:line="240" w:lineRule="auto"/>
        <w:sectPr w:rsidR="009D46CA" w:rsidSect="009D46CA">
          <w:footerReference w:type="default" r:id="rId15"/>
          <w:headerReference w:type="first" r:id="rId16"/>
          <w:footerReference w:type="first" r:id="rId17"/>
          <w:pgSz w:w="11900" w:h="16840" w:code="9"/>
          <w:pgMar w:top="1134" w:right="1021" w:bottom="1021" w:left="1134" w:header="624" w:footer="624" w:gutter="0"/>
          <w:pgNumType w:start="1"/>
          <w:cols w:space="708"/>
          <w:titlePg/>
          <w:docGrid w:linePitch="360"/>
        </w:sectPr>
      </w:pPr>
    </w:p>
    <w:p w:rsidR="00792302" w:rsidRDefault="00792302" w:rsidP="00792302">
      <w:bookmarkStart w:id="2" w:name="_Toc400975566"/>
    </w:p>
    <w:p w:rsidR="009B3A1B" w:rsidRPr="009069AA" w:rsidRDefault="0010261F" w:rsidP="009B3A1B">
      <w:pPr>
        <w:pStyle w:val="Heading1"/>
      </w:pPr>
      <w:r>
        <w:t xml:space="preserve">HRA </w:t>
      </w:r>
      <w:r w:rsidR="009B3A1B">
        <w:t>Estates Strategy</w:t>
      </w:r>
      <w:bookmarkEnd w:id="2"/>
    </w:p>
    <w:p w:rsidR="009B3A1B" w:rsidRPr="00D16EF7" w:rsidRDefault="009B3A1B" w:rsidP="00D16EF7">
      <w:pPr>
        <w:pStyle w:val="Standfirst"/>
      </w:pPr>
      <w:r w:rsidRPr="00D16EF7">
        <w:t>Executive Summary</w:t>
      </w:r>
    </w:p>
    <w:p w:rsidR="009B3A1B" w:rsidRDefault="009B3A1B" w:rsidP="009B3A1B"/>
    <w:p w:rsidR="009C304F" w:rsidRDefault="009C304F" w:rsidP="00D44549">
      <w:pPr>
        <w:pStyle w:val="Heading3"/>
        <w:rPr>
          <w:rFonts w:eastAsia="MS Mincho"/>
          <w:b w:val="0"/>
          <w:bCs w:val="0"/>
          <w:color w:val="auto"/>
          <w:szCs w:val="24"/>
        </w:rPr>
      </w:pPr>
      <w:bookmarkStart w:id="3" w:name="_Toc400975567"/>
      <w:r w:rsidRPr="00D44549">
        <w:t>Introduction</w:t>
      </w:r>
      <w:bookmarkEnd w:id="3"/>
    </w:p>
    <w:p w:rsidR="00961A97" w:rsidRDefault="00961A97" w:rsidP="00D44549">
      <w:pPr>
        <w:rPr>
          <w:b/>
          <w:bCs/>
        </w:rPr>
      </w:pPr>
      <w:r w:rsidRPr="009D79C0">
        <w:t>The Health Research Authority (HRA) is a NHS organisation established on 1 December 2011 as a Special Health Authority by the Secretary of State, pending its establishment as a Non-Departmental Public Body (NDPB), expect</w:t>
      </w:r>
      <w:r w:rsidR="00D44549">
        <w:t>ed to take place in January 2015</w:t>
      </w:r>
      <w:r w:rsidRPr="009D79C0">
        <w:t>.</w:t>
      </w:r>
    </w:p>
    <w:p w:rsidR="009C304F" w:rsidRDefault="009C304F" w:rsidP="009C304F">
      <w:pPr>
        <w:pStyle w:val="NumberedParagraph"/>
        <w:numPr>
          <w:ilvl w:val="0"/>
          <w:numId w:val="0"/>
        </w:numPr>
        <w:spacing w:line="240" w:lineRule="auto"/>
      </w:pPr>
      <w:r>
        <w:t>The HRA, like all other organisations within the public sector</w:t>
      </w:r>
      <w:r w:rsidR="00D44549">
        <w:t>,</w:t>
      </w:r>
      <w:r>
        <w:t xml:space="preserve"> must continue to meet year-on-year efficiency targets set by the Department of Health (DH).  Impr</w:t>
      </w:r>
      <w:r w:rsidR="00D44549">
        <w:t>ovements in accommodation us</w:t>
      </w:r>
      <w:r>
        <w:t>age can generate significant savings.</w:t>
      </w:r>
    </w:p>
    <w:p w:rsidR="009C304F" w:rsidRPr="00AC43BE" w:rsidRDefault="009C304F" w:rsidP="00141B31">
      <w:r>
        <w:t xml:space="preserve">Business case funding was approved for the HRA Approval programme </w:t>
      </w:r>
      <w:r w:rsidR="00223E93">
        <w:t xml:space="preserve">in March 2014 </w:t>
      </w:r>
      <w:r>
        <w:t>and presents an immediate need to consider short</w:t>
      </w:r>
      <w:r w:rsidR="00D44549">
        <w:t>-</w:t>
      </w:r>
      <w:r>
        <w:t>, medium</w:t>
      </w:r>
      <w:r w:rsidR="00D44549">
        <w:t>- and long-</w:t>
      </w:r>
      <w:r>
        <w:t>term estates requirements.  The business case funding was granted on the basis of 1 desk to 1 person ratio and an assumption that additional space would be required as a result.  Any improvem</w:t>
      </w:r>
      <w:r w:rsidR="00D44549">
        <w:t>ents in the desk to staff ratio</w:t>
      </w:r>
      <w:r>
        <w:t xml:space="preserve"> will therefore generate immediate savings.</w:t>
      </w:r>
    </w:p>
    <w:p w:rsidR="009B3A1B" w:rsidRDefault="009C304F" w:rsidP="009C304F">
      <w:pPr>
        <w:spacing w:line="240" w:lineRule="auto"/>
      </w:pPr>
      <w:r w:rsidRPr="003C0F3D">
        <w:t xml:space="preserve">Carney Green undertook a detailed review on our behalf, focussing </w:t>
      </w:r>
      <w:r w:rsidR="00D44549">
        <w:t>on the current office footprint and</w:t>
      </w:r>
      <w:r w:rsidRPr="003C0F3D">
        <w:t xml:space="preserve"> space util</w:t>
      </w:r>
      <w:r w:rsidR="00D44549">
        <w:t xml:space="preserve">isation (following a survey).  </w:t>
      </w:r>
      <w:r w:rsidRPr="003C0F3D">
        <w:t>They also considered future staffing requirements as a result of HRA Approval.</w:t>
      </w:r>
    </w:p>
    <w:p w:rsidR="00D44549" w:rsidRDefault="00D44549" w:rsidP="009C304F">
      <w:pPr>
        <w:spacing w:line="240" w:lineRule="auto"/>
      </w:pPr>
    </w:p>
    <w:p w:rsidR="009C304F" w:rsidRDefault="009C304F" w:rsidP="009C304F">
      <w:pPr>
        <w:pStyle w:val="Heading3"/>
        <w:ind w:left="567" w:hanging="567"/>
        <w:rPr>
          <w:rFonts w:eastAsia="MS Mincho"/>
          <w:b w:val="0"/>
          <w:bCs w:val="0"/>
          <w:color w:val="auto"/>
          <w:szCs w:val="24"/>
        </w:rPr>
      </w:pPr>
      <w:bookmarkStart w:id="4" w:name="_Toc400975568"/>
      <w:r>
        <w:t>Current Estate profile</w:t>
      </w:r>
      <w:bookmarkEnd w:id="4"/>
    </w:p>
    <w:p w:rsidR="009C304F" w:rsidRDefault="000C1866" w:rsidP="009B3A1B">
      <w:pPr>
        <w:rPr>
          <w:rFonts w:cs="Arial"/>
          <w:color w:val="000000"/>
          <w:szCs w:val="22"/>
        </w:rPr>
      </w:pPr>
      <w:r>
        <w:t>At the time of the Carney Green review, t</w:t>
      </w:r>
      <w:r w:rsidR="009C304F">
        <w:t xml:space="preserve">he </w:t>
      </w:r>
      <w:r w:rsidR="009C304F" w:rsidRPr="005C69E2">
        <w:rPr>
          <w:rFonts w:cs="Arial"/>
          <w:color w:val="000000"/>
          <w:szCs w:val="22"/>
        </w:rPr>
        <w:t>HRA ha</w:t>
      </w:r>
      <w:r>
        <w:rPr>
          <w:rFonts w:cs="Arial"/>
          <w:color w:val="000000"/>
          <w:szCs w:val="22"/>
        </w:rPr>
        <w:t>d</w:t>
      </w:r>
      <w:r w:rsidR="009C304F" w:rsidRPr="005C69E2">
        <w:rPr>
          <w:rFonts w:cs="Arial"/>
          <w:color w:val="000000"/>
          <w:szCs w:val="22"/>
        </w:rPr>
        <w:t xml:space="preserve"> five offices (London, Bristol, Nottingham, Jarrow and Manchester) and approximately 130 staff</w:t>
      </w:r>
      <w:r>
        <w:rPr>
          <w:rFonts w:cs="Arial"/>
          <w:color w:val="000000"/>
          <w:szCs w:val="22"/>
        </w:rPr>
        <w:t>.</w:t>
      </w:r>
    </w:p>
    <w:p w:rsidR="000C1866" w:rsidRDefault="000C1866" w:rsidP="009B3A1B">
      <w:pPr>
        <w:rPr>
          <w:rFonts w:cs="Arial"/>
          <w:color w:val="000000"/>
          <w:szCs w:val="22"/>
        </w:rPr>
      </w:pPr>
      <w:r>
        <w:rPr>
          <w:rFonts w:cs="Arial"/>
          <w:color w:val="000000"/>
          <w:szCs w:val="22"/>
        </w:rPr>
        <w:t>The HRA still maintains five offices but as of September 2014 currently employs approximately 175 staff an increase of a third.</w:t>
      </w:r>
    </w:p>
    <w:p w:rsidR="00D44549" w:rsidRDefault="00D44549" w:rsidP="009B3A1B">
      <w:pPr>
        <w:rPr>
          <w:rFonts w:cs="Arial"/>
          <w:color w:val="000000"/>
          <w:szCs w:val="22"/>
        </w:rPr>
      </w:pPr>
    </w:p>
    <w:p w:rsidR="000C1866" w:rsidRDefault="000C1866" w:rsidP="000C1866">
      <w:pPr>
        <w:pStyle w:val="Heading3"/>
        <w:ind w:left="567" w:hanging="567"/>
        <w:rPr>
          <w:rFonts w:eastAsia="MS Mincho"/>
          <w:b w:val="0"/>
          <w:bCs w:val="0"/>
          <w:color w:val="auto"/>
          <w:szCs w:val="24"/>
        </w:rPr>
      </w:pPr>
      <w:bookmarkStart w:id="5" w:name="_Toc400975569"/>
      <w:r>
        <w:t>Future Estate profile</w:t>
      </w:r>
      <w:bookmarkEnd w:id="5"/>
    </w:p>
    <w:p w:rsidR="009C304F" w:rsidRDefault="00D44549" w:rsidP="009C304F">
      <w:r>
        <w:t xml:space="preserve">Carney </w:t>
      </w:r>
      <w:r w:rsidR="000C1866">
        <w:t>Green presented a long list of options which were short</w:t>
      </w:r>
      <w:r w:rsidR="009C304F">
        <w:t>listed as follows:</w:t>
      </w:r>
    </w:p>
    <w:p w:rsidR="009C304F" w:rsidRPr="004811BA" w:rsidRDefault="009C304F" w:rsidP="00D16EF7">
      <w:pPr>
        <w:pStyle w:val="ListParagraph"/>
      </w:pPr>
      <w:r w:rsidRPr="004811BA">
        <w:t>Option 1: Do nothing (i.e. existing desk-sharing ratio continues)</w:t>
      </w:r>
    </w:p>
    <w:p w:rsidR="009C304F" w:rsidRPr="004811BA" w:rsidRDefault="009C304F" w:rsidP="00D16EF7">
      <w:pPr>
        <w:pStyle w:val="ListParagraph"/>
      </w:pPr>
      <w:r w:rsidRPr="004811BA">
        <w:t>Option 2: Industry standard</w:t>
      </w:r>
      <w:r w:rsidR="000C1866" w:rsidRPr="004811BA">
        <w:t xml:space="preserve"> (8:10)</w:t>
      </w:r>
    </w:p>
    <w:p w:rsidR="009C304F" w:rsidRPr="004811BA" w:rsidRDefault="009C304F" w:rsidP="00D16EF7">
      <w:pPr>
        <w:pStyle w:val="ListParagraph"/>
      </w:pPr>
      <w:r w:rsidRPr="004811BA">
        <w:t>Option 3: Industry standard plus</w:t>
      </w:r>
      <w:r w:rsidR="000C1866" w:rsidRPr="004811BA">
        <w:t xml:space="preserve"> (7:10)</w:t>
      </w:r>
    </w:p>
    <w:p w:rsidR="00A61B6B" w:rsidRDefault="000C1866" w:rsidP="000C1866">
      <w:r>
        <w:t>EMT agreed option 2 as the preferred option in September 2014</w:t>
      </w:r>
      <w:r w:rsidR="00A22D9A">
        <w:t>.  Although there is no immediate plan to reduce the amount of office space</w:t>
      </w:r>
      <w:r w:rsidR="00223E93">
        <w:t>,</w:t>
      </w:r>
      <w:r>
        <w:t xml:space="preserve"> saving</w:t>
      </w:r>
      <w:r w:rsidR="00A22D9A">
        <w:t>s</w:t>
      </w:r>
      <w:r>
        <w:t xml:space="preserve"> of £340k, </w:t>
      </w:r>
      <w:r w:rsidR="009C304F">
        <w:t>represent</w:t>
      </w:r>
      <w:r>
        <w:t>ing</w:t>
      </w:r>
      <w:r w:rsidR="009C304F">
        <w:t xml:space="preserve"> a third of the current </w:t>
      </w:r>
      <w:r>
        <w:t xml:space="preserve">HRA </w:t>
      </w:r>
      <w:r w:rsidR="009C304F">
        <w:t>accommodation cost</w:t>
      </w:r>
      <w:r>
        <w:t>s</w:t>
      </w:r>
      <w:r w:rsidR="00A22D9A">
        <w:t xml:space="preserve"> would be realisable</w:t>
      </w:r>
      <w:r>
        <w:t xml:space="preserve">.  </w:t>
      </w:r>
      <w:r w:rsidR="00A22D9A">
        <w:t>The main reason being that t</w:t>
      </w:r>
      <w:r w:rsidR="00A22D9A" w:rsidRPr="00A22D9A">
        <w:t xml:space="preserve">he </w:t>
      </w:r>
      <w:r w:rsidR="00A22D9A">
        <w:t xml:space="preserve">HRA Approval </w:t>
      </w:r>
      <w:r w:rsidR="00A22D9A" w:rsidRPr="00A22D9A">
        <w:t xml:space="preserve">business </w:t>
      </w:r>
      <w:r w:rsidR="00A22D9A" w:rsidRPr="00A22D9A">
        <w:lastRenderedPageBreak/>
        <w:t xml:space="preserve">case funding was granted on the basis of 1 desk to 1 person ratio and </w:t>
      </w:r>
      <w:r w:rsidR="00A61B6B">
        <w:t xml:space="preserve">funding allocated based on </w:t>
      </w:r>
      <w:r w:rsidR="00A22D9A" w:rsidRPr="00A22D9A">
        <w:t>an assumption that additional space would be required as a result.</w:t>
      </w:r>
      <w:r w:rsidR="00A22D9A">
        <w:t xml:space="preserve">  </w:t>
      </w:r>
    </w:p>
    <w:p w:rsidR="009C304F" w:rsidRDefault="000C1866" w:rsidP="000C1866">
      <w:r>
        <w:t xml:space="preserve">The pursuit of this strategy is in line with the HRA </w:t>
      </w:r>
      <w:r w:rsidR="009C304F">
        <w:t>business plan objectives</w:t>
      </w:r>
      <w:r>
        <w:t xml:space="preserve"> and </w:t>
      </w:r>
      <w:proofErr w:type="gramStart"/>
      <w:r>
        <w:t>estates was</w:t>
      </w:r>
      <w:proofErr w:type="gramEnd"/>
      <w:r>
        <w:t xml:space="preserve"> highlighted as an area where efficiencies could be made.</w:t>
      </w:r>
    </w:p>
    <w:p w:rsidR="00792302" w:rsidRDefault="00792302" w:rsidP="000C1866"/>
    <w:p w:rsidR="000C1866" w:rsidRDefault="000C1866" w:rsidP="000C1866">
      <w:pPr>
        <w:pStyle w:val="Heading3"/>
        <w:ind w:left="567" w:hanging="567"/>
        <w:rPr>
          <w:rFonts w:eastAsia="MS Mincho"/>
          <w:b w:val="0"/>
          <w:bCs w:val="0"/>
          <w:color w:val="auto"/>
          <w:szCs w:val="24"/>
        </w:rPr>
      </w:pPr>
      <w:bookmarkStart w:id="6" w:name="_Toc400975570"/>
      <w:r>
        <w:t>Estates vision</w:t>
      </w:r>
      <w:bookmarkEnd w:id="6"/>
    </w:p>
    <w:p w:rsidR="000C1866" w:rsidRDefault="000C1866" w:rsidP="000C1866">
      <w:r>
        <w:t>EMT has agreed to prepare a medium</w:t>
      </w:r>
      <w:r w:rsidR="00D44549">
        <w:t>-</w:t>
      </w:r>
      <w:r>
        <w:t>term strategy as follows:</w:t>
      </w:r>
    </w:p>
    <w:p w:rsidR="000C1866" w:rsidRPr="00141B31" w:rsidRDefault="000C1866" w:rsidP="00D16EF7">
      <w:pPr>
        <w:pStyle w:val="ListParagraph"/>
      </w:pPr>
      <w:r w:rsidRPr="00141B31">
        <w:t>To maintain the current 5 geographic office locations in the medium term (3 years) whilst focus is maintained on delivering HRA approval and its implementation and acceptance.</w:t>
      </w:r>
    </w:p>
    <w:p w:rsidR="000C1866" w:rsidRPr="00141B31" w:rsidRDefault="000C1866" w:rsidP="00D16EF7">
      <w:pPr>
        <w:pStyle w:val="ListParagraph"/>
      </w:pPr>
      <w:r w:rsidRPr="00141B31">
        <w:t xml:space="preserve">HRA adopting the industry standard of 8 desks to 10 staff ratio. </w:t>
      </w:r>
    </w:p>
    <w:p w:rsidR="000C1866" w:rsidRPr="00141B31" w:rsidRDefault="000C1866" w:rsidP="00D16EF7">
      <w:pPr>
        <w:pStyle w:val="ListParagraph"/>
      </w:pPr>
      <w:r w:rsidRPr="00141B31">
        <w:t>To achieve this by March 2016 if not sooner.</w:t>
      </w:r>
    </w:p>
    <w:p w:rsidR="000C1866" w:rsidRDefault="000C1866" w:rsidP="000C1866"/>
    <w:p w:rsidR="000C1866" w:rsidRDefault="000C1866" w:rsidP="000C1866">
      <w:pPr>
        <w:pStyle w:val="Heading3"/>
        <w:ind w:left="567" w:hanging="567"/>
        <w:rPr>
          <w:rFonts w:eastAsia="MS Mincho"/>
          <w:b w:val="0"/>
          <w:bCs w:val="0"/>
          <w:color w:val="auto"/>
          <w:szCs w:val="24"/>
        </w:rPr>
      </w:pPr>
      <w:bookmarkStart w:id="7" w:name="_Toc400975571"/>
      <w:r>
        <w:t>Next steps</w:t>
      </w:r>
      <w:bookmarkEnd w:id="7"/>
    </w:p>
    <w:p w:rsidR="009C304F" w:rsidRDefault="009C304F" w:rsidP="000C1866">
      <w:pPr>
        <w:spacing w:line="240" w:lineRule="auto"/>
      </w:pPr>
      <w:r>
        <w:t xml:space="preserve">Next steps include the working up of a detailed implementation plan. </w:t>
      </w:r>
    </w:p>
    <w:p w:rsidR="009C304F" w:rsidRDefault="000C1866" w:rsidP="000C1866">
      <w:pPr>
        <w:spacing w:line="240" w:lineRule="auto"/>
      </w:pPr>
      <w:r>
        <w:t>D</w:t>
      </w:r>
      <w:r w:rsidR="009C304F">
        <w:t xml:space="preserve">ue to the pressure for desk space as a result of HRA Approval recruitment activity, an initial immediate phase is required in London.  </w:t>
      </w:r>
    </w:p>
    <w:p w:rsidR="009C304F" w:rsidRDefault="009C304F" w:rsidP="000C1866">
      <w:pPr>
        <w:spacing w:line="240" w:lineRule="auto"/>
      </w:pPr>
      <w:r>
        <w:t>A second phase will need to begin in Manchester</w:t>
      </w:r>
      <w:r w:rsidR="000C1866">
        <w:t xml:space="preserve"> to enable</w:t>
      </w:r>
      <w:r>
        <w:t xml:space="preserve"> prepar</w:t>
      </w:r>
      <w:r w:rsidR="000C1866">
        <w:t>ation</w:t>
      </w:r>
      <w:r>
        <w:t xml:space="preserve"> </w:t>
      </w:r>
      <w:r w:rsidR="000C1866">
        <w:t xml:space="preserve">of </w:t>
      </w:r>
      <w:r>
        <w:t>a lease exemption case to try and remain in the current office accommodation</w:t>
      </w:r>
      <w:r w:rsidR="000C1866">
        <w:t xml:space="preserve"> in Manchester. </w:t>
      </w:r>
    </w:p>
    <w:p w:rsidR="009C304F" w:rsidRDefault="009C304F" w:rsidP="000C1866">
      <w:r w:rsidRPr="009577EE">
        <w:t>Governance arrangements need to put in place</w:t>
      </w:r>
      <w:r w:rsidR="00270874">
        <w:t>,</w:t>
      </w:r>
      <w:r w:rsidRPr="009577EE">
        <w:t xml:space="preserve"> to ensure successful delivery </w:t>
      </w:r>
      <w:r>
        <w:t xml:space="preserve">and to oversee the design and implementation of the accommodation strategy. </w:t>
      </w:r>
    </w:p>
    <w:p w:rsidR="009C304F" w:rsidRDefault="009C304F" w:rsidP="009C304F"/>
    <w:p w:rsidR="009C304F" w:rsidRDefault="009C304F" w:rsidP="009C304F"/>
    <w:p w:rsidR="00270874" w:rsidRDefault="00270874">
      <w:pPr>
        <w:spacing w:after="0" w:line="240" w:lineRule="auto"/>
      </w:pPr>
      <w:r>
        <w:br w:type="page"/>
      </w:r>
    </w:p>
    <w:p w:rsidR="009D79C0" w:rsidRPr="009D46CA" w:rsidRDefault="009D79C0" w:rsidP="009D46CA">
      <w:pPr>
        <w:pStyle w:val="HeadingA"/>
        <w:numPr>
          <w:ilvl w:val="0"/>
          <w:numId w:val="44"/>
        </w:numPr>
        <w:ind w:left="0" w:firstLine="0"/>
      </w:pPr>
      <w:bookmarkStart w:id="8" w:name="_Toc400975572"/>
      <w:r w:rsidRPr="009D46CA">
        <w:lastRenderedPageBreak/>
        <w:t>Where are we now?</w:t>
      </w:r>
      <w:bookmarkEnd w:id="8"/>
    </w:p>
    <w:p w:rsidR="009D79C0" w:rsidRPr="008C7E06" w:rsidRDefault="00270874" w:rsidP="009D79C0">
      <w:pPr>
        <w:pStyle w:val="Standfirst"/>
      </w:pPr>
      <w:r>
        <w:t>Introduction to the o</w:t>
      </w:r>
      <w:r w:rsidR="009D79C0">
        <w:t xml:space="preserve">rganisation </w:t>
      </w:r>
    </w:p>
    <w:p w:rsidR="00270874" w:rsidRDefault="00270874" w:rsidP="00270874"/>
    <w:p w:rsidR="009D79C0" w:rsidRDefault="009D79C0" w:rsidP="00270874">
      <w:pPr>
        <w:pStyle w:val="NumberedParagraph"/>
      </w:pPr>
      <w:r w:rsidRPr="009D79C0">
        <w:t>The Health Research Authority (HRA) is a NHS organisation established on 1 December 2011 as a Special Health Authority by the Secretary of State, pending its establishment as a Non-Departmental Public Body (NDPB), expect</w:t>
      </w:r>
      <w:r w:rsidR="00270874">
        <w:t>ed to take place in January 2015</w:t>
      </w:r>
      <w:r w:rsidRPr="009D79C0">
        <w:t>.</w:t>
      </w:r>
    </w:p>
    <w:p w:rsidR="00270874" w:rsidRDefault="00270874" w:rsidP="00270874">
      <w:pPr>
        <w:pStyle w:val="NumberedParagraph"/>
      </w:pPr>
      <w:r w:rsidRPr="009D79C0">
        <w:t>The purpose of the HRA is to promote and protect the interests of patients and the public in health research in order to support both their confidence and participation in health research, and improvements in the nation’s health.  It ensures that research involving members of the public is ethically reviewed and approved, that they are provided with the information they need to help them decide whether they wish to take part, and that their opportunity to do so is maximised by simplifying the processes by which high quality research is assessed</w:t>
      </w:r>
      <w:r>
        <w:t>.</w:t>
      </w:r>
    </w:p>
    <w:p w:rsidR="00270874" w:rsidRPr="00270874" w:rsidRDefault="00270874" w:rsidP="00270874">
      <w:pPr>
        <w:pStyle w:val="NumberedParagraph"/>
      </w:pPr>
      <w:r w:rsidRPr="001054BF">
        <w:rPr>
          <w:szCs w:val="22"/>
        </w:rPr>
        <w:t>Our vision and ambition is to develop a Health Research Authority:</w:t>
      </w:r>
    </w:p>
    <w:p w:rsidR="00FB57A1" w:rsidRDefault="009D79C0" w:rsidP="00D16EF7">
      <w:pPr>
        <w:pStyle w:val="ListParagraph"/>
      </w:pPr>
      <w:r w:rsidRPr="009D79C0">
        <w:t>driven by our key purpose of protecting and promoting the interests of patients and the public in health research;</w:t>
      </w:r>
    </w:p>
    <w:p w:rsidR="00FB57A1" w:rsidRDefault="00CF022B" w:rsidP="00D16EF7">
      <w:pPr>
        <w:pStyle w:val="ListParagraph"/>
      </w:pPr>
      <w:r w:rsidRPr="00FB57A1">
        <w:t>u</w:t>
      </w:r>
      <w:r w:rsidR="009D79C0" w:rsidRPr="009D79C0">
        <w:t>nderpinned by our leadership in creating a streamlined and efficient framework for the approval and management of research; and</w:t>
      </w:r>
    </w:p>
    <w:p w:rsidR="009D79C0" w:rsidRPr="009D79C0" w:rsidRDefault="009D79C0" w:rsidP="00D16EF7">
      <w:pPr>
        <w:pStyle w:val="ListParagraph"/>
      </w:pPr>
      <w:proofErr w:type="gramStart"/>
      <w:r w:rsidRPr="009D79C0">
        <w:t>with</w:t>
      </w:r>
      <w:proofErr w:type="gramEnd"/>
      <w:r w:rsidRPr="009D79C0">
        <w:t xml:space="preserve"> success acknowledged by key stakeholders, as well as seen through improved approval times, increased n</w:t>
      </w:r>
      <w:r w:rsidR="00270874">
        <w:t>umbers of research participants</w:t>
      </w:r>
      <w:r w:rsidRPr="009D79C0">
        <w:t xml:space="preserve"> and greater confidence in health research.</w:t>
      </w:r>
    </w:p>
    <w:p w:rsidR="00270874" w:rsidRPr="00270874" w:rsidRDefault="00270874" w:rsidP="00270874">
      <w:pPr>
        <w:pStyle w:val="NumberedParagraph"/>
      </w:pPr>
      <w:r w:rsidRPr="00270874">
        <w:rPr>
          <w:bCs/>
        </w:rPr>
        <w:t>We will work with all the relevant partners to help create an environment where:</w:t>
      </w:r>
    </w:p>
    <w:p w:rsidR="00414240" w:rsidRPr="00141B31" w:rsidRDefault="00CF022B" w:rsidP="00D16EF7">
      <w:pPr>
        <w:pStyle w:val="ListParagraph"/>
        <w:rPr>
          <w:rFonts w:eastAsia="MS Mincho"/>
        </w:rPr>
      </w:pPr>
      <w:r w:rsidRPr="00141B31">
        <w:rPr>
          <w:rFonts w:eastAsia="MS Mincho"/>
        </w:rPr>
        <w:t>greater numbers of patients and the public can and do take part in health research, and continue to feel safe when they do;</w:t>
      </w:r>
    </w:p>
    <w:p w:rsidR="00414240" w:rsidRPr="00141B31" w:rsidRDefault="00CF022B" w:rsidP="00D16EF7">
      <w:pPr>
        <w:pStyle w:val="ListParagraph"/>
        <w:rPr>
          <w:rFonts w:eastAsia="MS Mincho"/>
        </w:rPr>
      </w:pPr>
      <w:r w:rsidRPr="00141B31">
        <w:rPr>
          <w:rFonts w:eastAsia="MS Mincho"/>
        </w:rPr>
        <w:t>applying to do research is simpler, and getting a decision is quicker and more predictable;</w:t>
      </w:r>
    </w:p>
    <w:p w:rsidR="00414240" w:rsidRPr="00141B31" w:rsidRDefault="00CF022B" w:rsidP="00D16EF7">
      <w:pPr>
        <w:pStyle w:val="ListParagraph"/>
        <w:rPr>
          <w:rFonts w:eastAsia="MS Mincho"/>
        </w:rPr>
      </w:pPr>
      <w:r w:rsidRPr="00141B31">
        <w:rPr>
          <w:rFonts w:eastAsia="MS Mincho"/>
        </w:rPr>
        <w:t>researchers find it easier to do high-quality, ethical research;</w:t>
      </w:r>
    </w:p>
    <w:p w:rsidR="00414240" w:rsidRPr="00141B31" w:rsidRDefault="00CF022B" w:rsidP="00D16EF7">
      <w:pPr>
        <w:pStyle w:val="ListParagraph"/>
        <w:rPr>
          <w:rFonts w:eastAsia="MS Mincho"/>
        </w:rPr>
      </w:pPr>
      <w:r w:rsidRPr="00141B31">
        <w:rPr>
          <w:rFonts w:eastAsia="MS Mincho"/>
        </w:rPr>
        <w:t>commissioners and providers in the NHS appreciate how health research benefits patients and staff;</w:t>
      </w:r>
      <w:r w:rsidR="00414240" w:rsidRPr="00141B31">
        <w:rPr>
          <w:rFonts w:eastAsia="MS Mincho"/>
        </w:rPr>
        <w:t xml:space="preserve"> </w:t>
      </w:r>
    </w:p>
    <w:p w:rsidR="00414240" w:rsidRPr="00141B31" w:rsidRDefault="00414240" w:rsidP="00D16EF7">
      <w:pPr>
        <w:pStyle w:val="ListParagraph"/>
        <w:rPr>
          <w:rFonts w:eastAsia="MS Mincho"/>
        </w:rPr>
      </w:pPr>
      <w:r w:rsidRPr="00141B31">
        <w:rPr>
          <w:rFonts w:eastAsia="MS Mincho"/>
        </w:rPr>
        <w:t>i</w:t>
      </w:r>
      <w:r w:rsidR="00CF022B" w:rsidRPr="00141B31">
        <w:rPr>
          <w:rFonts w:eastAsia="MS Mincho"/>
        </w:rPr>
        <w:t>ndustry sees the UK as a great place to do health research;</w:t>
      </w:r>
    </w:p>
    <w:p w:rsidR="00414240" w:rsidRPr="00141B31" w:rsidRDefault="00CF022B" w:rsidP="00D16EF7">
      <w:pPr>
        <w:pStyle w:val="ListParagraph"/>
        <w:rPr>
          <w:rFonts w:eastAsia="MS Mincho"/>
        </w:rPr>
      </w:pPr>
      <w:r w:rsidRPr="00141B31">
        <w:rPr>
          <w:rFonts w:eastAsia="MS Mincho"/>
        </w:rPr>
        <w:t>more money from charities and other research funders goes into carrying out research, and less into getting through unnecessary hoops before it starts; and</w:t>
      </w:r>
    </w:p>
    <w:p w:rsidR="00CF022B" w:rsidRPr="00141B31" w:rsidRDefault="00CF022B" w:rsidP="00D16EF7">
      <w:pPr>
        <w:pStyle w:val="ListParagraph"/>
        <w:rPr>
          <w:rFonts w:eastAsia="MS Mincho"/>
        </w:rPr>
      </w:pPr>
      <w:proofErr w:type="gramStart"/>
      <w:r w:rsidRPr="00141B31">
        <w:rPr>
          <w:rFonts w:eastAsia="MS Mincho"/>
        </w:rPr>
        <w:t>clinical</w:t>
      </w:r>
      <w:proofErr w:type="gramEnd"/>
      <w:r w:rsidRPr="00141B31">
        <w:rPr>
          <w:rFonts w:eastAsia="MS Mincho"/>
        </w:rPr>
        <w:t xml:space="preserve"> trials get registered and research results get published.</w:t>
      </w:r>
    </w:p>
    <w:p w:rsidR="000E5121" w:rsidRDefault="000E5121" w:rsidP="00D206BC"/>
    <w:p w:rsidR="00D206BC" w:rsidRDefault="00D206BC">
      <w:pPr>
        <w:tabs>
          <w:tab w:val="clear" w:pos="567"/>
          <w:tab w:val="clear" w:pos="992"/>
        </w:tabs>
        <w:spacing w:after="0" w:line="240" w:lineRule="auto"/>
      </w:pPr>
      <w:r>
        <w:br w:type="page"/>
      </w:r>
    </w:p>
    <w:p w:rsidR="00D206BC" w:rsidRDefault="00D206BC" w:rsidP="00D206BC"/>
    <w:p w:rsidR="00414240" w:rsidRPr="008C7E06" w:rsidRDefault="00414240" w:rsidP="00414240">
      <w:pPr>
        <w:pStyle w:val="Standfirst"/>
      </w:pPr>
      <w:r>
        <w:t xml:space="preserve">Drivers </w:t>
      </w:r>
      <w:r w:rsidR="00372ED1">
        <w:t xml:space="preserve">and context </w:t>
      </w:r>
      <w:r>
        <w:t xml:space="preserve">for change </w:t>
      </w:r>
    </w:p>
    <w:p w:rsidR="00D206BC" w:rsidRPr="00270874" w:rsidRDefault="00414240" w:rsidP="00D206BC">
      <w:pPr>
        <w:pStyle w:val="NumberedParagraph"/>
      </w:pPr>
      <w:r>
        <w:t xml:space="preserve">Key drivers </w:t>
      </w:r>
      <w:r w:rsidR="0024605C">
        <w:t xml:space="preserve">for the HRA </w:t>
      </w:r>
      <w:r>
        <w:t>included</w:t>
      </w:r>
      <w:r w:rsidR="00D206BC">
        <w:t>:</w:t>
      </w:r>
    </w:p>
    <w:p w:rsidR="0024605C" w:rsidRPr="00141B31" w:rsidRDefault="0024605C" w:rsidP="00D16EF7">
      <w:pPr>
        <w:pStyle w:val="ListParagraph"/>
      </w:pPr>
      <w:r w:rsidRPr="00141B31">
        <w:t xml:space="preserve">the need to </w:t>
      </w:r>
      <w:r w:rsidR="00A4660D" w:rsidRPr="00141B31">
        <w:t xml:space="preserve">continue to </w:t>
      </w:r>
      <w:r w:rsidRPr="00141B31">
        <w:t>meet year-on-year efficiency targets set by the Department of Health (DH)</w:t>
      </w:r>
      <w:r w:rsidR="00A4660D" w:rsidRPr="00141B31">
        <w:t xml:space="preserve"> </w:t>
      </w:r>
      <w:r w:rsidRPr="00141B31">
        <w:t>and the recognition that office accommodation and travel (including overnight</w:t>
      </w:r>
      <w:r w:rsidR="00EA5586" w:rsidRPr="00141B31">
        <w:t xml:space="preserve"> </w:t>
      </w:r>
      <w:r w:rsidRPr="00141B31">
        <w:t>accommodation) represented a total annual cost o</w:t>
      </w:r>
      <w:r w:rsidR="00D206BC" w:rsidRPr="00141B31">
        <w:t>f approximately £1.4m (FY2012/13);</w:t>
      </w:r>
    </w:p>
    <w:p w:rsidR="0024605C" w:rsidRPr="00141B31" w:rsidRDefault="0024605C" w:rsidP="00D16EF7">
      <w:pPr>
        <w:pStyle w:val="ListParagraph"/>
      </w:pPr>
      <w:r w:rsidRPr="00141B31">
        <w:t>the need to explore ways to reduce per head costs within office and travel expenditure</w:t>
      </w:r>
      <w:r w:rsidR="00D206BC" w:rsidRPr="00141B31">
        <w:t>;</w:t>
      </w:r>
      <w:r w:rsidR="00223E93">
        <w:t xml:space="preserve"> </w:t>
      </w:r>
      <w:r w:rsidRPr="00141B31">
        <w:t>whilst continuing to deliver HRA services t</w:t>
      </w:r>
      <w:r w:rsidR="00D206BC" w:rsidRPr="00141B31">
        <w:t>o the highest possible standard;</w:t>
      </w:r>
    </w:p>
    <w:p w:rsidR="0024605C" w:rsidRPr="00141B31" w:rsidRDefault="0024605C" w:rsidP="00D16EF7">
      <w:pPr>
        <w:pStyle w:val="ListParagraph"/>
      </w:pPr>
      <w:r w:rsidRPr="00141B31">
        <w:t>the supposition that the HRA was not currently using its space effectively</w:t>
      </w:r>
      <w:r w:rsidR="00D206BC" w:rsidRPr="00141B31">
        <w:t>,</w:t>
      </w:r>
      <w:r w:rsidR="00EA5586" w:rsidRPr="00141B31">
        <w:t xml:space="preserve"> together with </w:t>
      </w:r>
      <w:r w:rsidRPr="00141B31">
        <w:t>a willingness</w:t>
      </w:r>
      <w:r w:rsidR="00EA5586" w:rsidRPr="00141B31">
        <w:t xml:space="preserve"> </w:t>
      </w:r>
      <w:r w:rsidRPr="00141B31">
        <w:t>to consider different ‘ways of working’ models</w:t>
      </w:r>
      <w:r w:rsidR="00D206BC" w:rsidRPr="00141B31">
        <w:t>,</w:t>
      </w:r>
      <w:r w:rsidRPr="00141B31">
        <w:t xml:space="preserve"> and a commitment to think creatively</w:t>
      </w:r>
      <w:r w:rsidR="00EA5586" w:rsidRPr="00141B31">
        <w:t xml:space="preserve"> </w:t>
      </w:r>
      <w:r w:rsidRPr="00141B31">
        <w:t>about how space is used across the organisation.</w:t>
      </w:r>
      <w:r w:rsidR="00C22ED2" w:rsidRPr="00141B31">
        <w:t xml:space="preserve">  This was acknowledged in the approach to the HRA Approval business case, the estates costs for which were based on t</w:t>
      </w:r>
      <w:r w:rsidR="00D206BC" w:rsidRPr="00141B31">
        <w:t>he current staff to desks ratio;</w:t>
      </w:r>
    </w:p>
    <w:p w:rsidR="00AC43BE" w:rsidRPr="00141B31" w:rsidRDefault="00D206BC" w:rsidP="00D16EF7">
      <w:pPr>
        <w:pStyle w:val="ListParagraph"/>
      </w:pPr>
      <w:proofErr w:type="gramStart"/>
      <w:r w:rsidRPr="00141B31">
        <w:t>a</w:t>
      </w:r>
      <w:r w:rsidR="00AC43BE" w:rsidRPr="00141B31">
        <w:t>pproval</w:t>
      </w:r>
      <w:proofErr w:type="gramEnd"/>
      <w:r w:rsidR="00AC43BE" w:rsidRPr="00141B31">
        <w:t xml:space="preserve"> of HRA Approval business case and the immediate need to consider short</w:t>
      </w:r>
      <w:r w:rsidRPr="00141B31">
        <w:t>-</w:t>
      </w:r>
      <w:r w:rsidR="00AC43BE" w:rsidRPr="00141B31">
        <w:t>, medium</w:t>
      </w:r>
      <w:r w:rsidRPr="00141B31">
        <w:t>- and long-</w:t>
      </w:r>
      <w:r w:rsidR="00AC43BE" w:rsidRPr="00141B31">
        <w:t>term estates requirements.</w:t>
      </w:r>
      <w:r w:rsidR="00EB340F" w:rsidRPr="00141B31">
        <w:t xml:space="preserve">  The business case funding was granted on the basis of 1 desk to 1 person ratio and an assumption that additional space would be required as a result.</w:t>
      </w:r>
    </w:p>
    <w:p w:rsidR="00D206BC" w:rsidRPr="00270874" w:rsidRDefault="00AC43BE" w:rsidP="00D206BC">
      <w:pPr>
        <w:pStyle w:val="NumberedParagraph"/>
      </w:pPr>
      <w:r w:rsidRPr="00D206BC">
        <w:rPr>
          <w:szCs w:val="22"/>
        </w:rPr>
        <w:t>Government policy drivers</w:t>
      </w:r>
      <w:r w:rsidR="00372ED1" w:rsidRPr="00D206BC">
        <w:rPr>
          <w:szCs w:val="22"/>
        </w:rPr>
        <w:t>:</w:t>
      </w:r>
      <w:r w:rsidR="00D206BC" w:rsidRPr="00D206BC">
        <w:t xml:space="preserve"> </w:t>
      </w:r>
    </w:p>
    <w:p w:rsidR="00372ED1" w:rsidRPr="00141B31" w:rsidRDefault="0024605C" w:rsidP="00D16EF7">
      <w:pPr>
        <w:pStyle w:val="ListParagraph"/>
      </w:pPr>
      <w:r w:rsidRPr="00141B31">
        <w:t xml:space="preserve">Government Estates Strategy October 2014 </w:t>
      </w:r>
      <w:r w:rsidR="00372ED1" w:rsidRPr="00141B31">
        <w:t xml:space="preserve">which reports a shrinking estate with </w:t>
      </w:r>
      <w:r w:rsidR="00D206BC" w:rsidRPr="00141B31">
        <w:t xml:space="preserve">2 million square metres </w:t>
      </w:r>
      <w:proofErr w:type="gramStart"/>
      <w:r w:rsidR="00D206BC" w:rsidRPr="00141B31">
        <w:t>saved,</w:t>
      </w:r>
      <w:proofErr w:type="gramEnd"/>
      <w:r w:rsidR="00D206BC" w:rsidRPr="00141B31">
        <w:t xml:space="preserve"> </w:t>
      </w:r>
      <w:r w:rsidR="00372ED1" w:rsidRPr="00141B31">
        <w:t>£600 million recurrent savings per annum and £1.4 billi</w:t>
      </w:r>
      <w:r w:rsidR="007B130E" w:rsidRPr="00141B31">
        <w:t>on in receipts.  All since 2010 and a strategy to go much further.</w:t>
      </w:r>
    </w:p>
    <w:p w:rsidR="005C69E2" w:rsidRPr="00141B31" w:rsidRDefault="005C69E2" w:rsidP="00D16EF7">
      <w:pPr>
        <w:pStyle w:val="ListParagraph"/>
      </w:pPr>
      <w:r w:rsidRPr="00141B31">
        <w:t>Expectation that pr</w:t>
      </w:r>
      <w:r w:rsidR="00D206BC" w:rsidRPr="00141B31">
        <w:t>operties in London will reduce,</w:t>
      </w:r>
      <w:r w:rsidRPr="00141B31">
        <w:t xml:space="preserve"> that Skipton House lease will be renegotiated but that there will be pressure on space in London.</w:t>
      </w:r>
    </w:p>
    <w:p w:rsidR="00372ED1" w:rsidRPr="00141B31" w:rsidRDefault="00372ED1" w:rsidP="00D16EF7">
      <w:pPr>
        <w:pStyle w:val="ListParagraph"/>
      </w:pPr>
      <w:r w:rsidRPr="00141B31">
        <w:t xml:space="preserve">The amount of space Government uses per person is also decreasing.  In the year to March 2012, the average space per Full Time Equivalent (FTE) was 13 </w:t>
      </w:r>
      <w:proofErr w:type="spellStart"/>
      <w:r w:rsidRPr="00141B31">
        <w:t>sq</w:t>
      </w:r>
      <w:proofErr w:type="spellEnd"/>
      <w:r w:rsidRPr="00141B31">
        <w:t xml:space="preserve"> m. </w:t>
      </w:r>
      <w:r w:rsidR="00D206BC" w:rsidRPr="00141B31">
        <w:t xml:space="preserve"> </w:t>
      </w:r>
      <w:r w:rsidRPr="00141B31">
        <w:t xml:space="preserve">One year later, that figure was just 11.9 </w:t>
      </w:r>
      <w:proofErr w:type="spellStart"/>
      <w:r w:rsidRPr="00141B31">
        <w:t>sq</w:t>
      </w:r>
      <w:proofErr w:type="spellEnd"/>
      <w:r w:rsidRPr="00141B31">
        <w:t xml:space="preserve"> m with a target set of </w:t>
      </w:r>
      <w:r w:rsidR="00E071EF" w:rsidRPr="00141B31">
        <w:t xml:space="preserve">10 </w:t>
      </w:r>
      <w:proofErr w:type="spellStart"/>
      <w:r w:rsidR="00E071EF" w:rsidRPr="00141B31">
        <w:t>sq</w:t>
      </w:r>
      <w:proofErr w:type="spellEnd"/>
      <w:r w:rsidR="00E071EF" w:rsidRPr="00141B31">
        <w:t xml:space="preserve"> m per WTE by Dec</w:t>
      </w:r>
      <w:r w:rsidR="00D206BC" w:rsidRPr="00141B31">
        <w:t>ember</w:t>
      </w:r>
      <w:r w:rsidR="00E071EF" w:rsidRPr="00141B31">
        <w:t xml:space="preserve"> 2015 and 8 </w:t>
      </w:r>
      <w:proofErr w:type="spellStart"/>
      <w:r w:rsidR="00E071EF" w:rsidRPr="00141B31">
        <w:t>sq</w:t>
      </w:r>
      <w:proofErr w:type="spellEnd"/>
      <w:r w:rsidR="00D206BC" w:rsidRPr="00141B31">
        <w:t xml:space="preserve"> </w:t>
      </w:r>
      <w:r w:rsidR="00E071EF" w:rsidRPr="00141B31">
        <w:t>m by March 2018.</w:t>
      </w:r>
    </w:p>
    <w:p w:rsidR="00E071EF" w:rsidRPr="00372ED1" w:rsidRDefault="00E071EF" w:rsidP="00D206BC"/>
    <w:p w:rsidR="005C69E2" w:rsidRPr="008C7E06" w:rsidRDefault="005C69E2" w:rsidP="005C69E2">
      <w:pPr>
        <w:pStyle w:val="Standfirst"/>
      </w:pPr>
      <w:r>
        <w:t xml:space="preserve">Current </w:t>
      </w:r>
      <w:r w:rsidR="00A4660D">
        <w:t xml:space="preserve">and relevant </w:t>
      </w:r>
      <w:r w:rsidR="007B130E">
        <w:t xml:space="preserve">HRA </w:t>
      </w:r>
      <w:r w:rsidR="00A4660D">
        <w:t>e</w:t>
      </w:r>
      <w:r>
        <w:t>state profile</w:t>
      </w:r>
    </w:p>
    <w:p w:rsidR="00D206BC" w:rsidRPr="00270874" w:rsidRDefault="007B130E" w:rsidP="00D206BC">
      <w:pPr>
        <w:pStyle w:val="NumberedParagraph"/>
      </w:pPr>
      <w:r w:rsidRPr="00B80F18">
        <w:t>The HRA has</w:t>
      </w:r>
      <w:r w:rsidR="004B7466">
        <w:t xml:space="preserve"> a</w:t>
      </w:r>
      <w:r w:rsidRPr="00B80F18">
        <w:t xml:space="preserve"> </w:t>
      </w:r>
      <w:r>
        <w:t xml:space="preserve">significant history of consolidation and has </w:t>
      </w:r>
      <w:r w:rsidRPr="00B80F18">
        <w:t>been implementing a</w:t>
      </w:r>
      <w:r>
        <w:t>n estates</w:t>
      </w:r>
      <w:r w:rsidRPr="00B80F18">
        <w:t xml:space="preserve"> strategy for the last 10 years</w:t>
      </w:r>
      <w:r>
        <w:t xml:space="preserve">. </w:t>
      </w:r>
      <w:r w:rsidR="004B7466">
        <w:t xml:space="preserve"> </w:t>
      </w:r>
      <w:r>
        <w:t>O</w:t>
      </w:r>
      <w:r w:rsidRPr="00B80F18">
        <w:t xml:space="preserve">ur </w:t>
      </w:r>
      <w:proofErr w:type="gramStart"/>
      <w:r w:rsidRPr="00B80F18">
        <w:t>staff have</w:t>
      </w:r>
      <w:proofErr w:type="gramEnd"/>
      <w:r w:rsidRPr="00B80F18">
        <w:t xml:space="preserve"> been through considerable chang</w:t>
      </w:r>
      <w:r w:rsidR="004B7466">
        <w:t>e during that time.  In just 10 </w:t>
      </w:r>
      <w:r w:rsidRPr="00B80F18">
        <w:t>years we have moved from having over 1</w:t>
      </w:r>
      <w:r w:rsidR="004B7466">
        <w:t xml:space="preserve">00 office bases to 50 in 2009, </w:t>
      </w:r>
      <w:r w:rsidRPr="00B80F18">
        <w:t>12 in 2011 and 5 currently.</w:t>
      </w:r>
      <w:r>
        <w:t xml:space="preserve">  We have also moved from having over 175 RECs in 2004 to the current 69.</w:t>
      </w:r>
      <w:r w:rsidR="00D206BC" w:rsidRPr="00D206BC">
        <w:t xml:space="preserve"> </w:t>
      </w:r>
    </w:p>
    <w:p w:rsidR="004B7466" w:rsidRDefault="004B7466">
      <w:pPr>
        <w:tabs>
          <w:tab w:val="clear" w:pos="567"/>
          <w:tab w:val="clear" w:pos="992"/>
        </w:tabs>
        <w:spacing w:after="0" w:line="240" w:lineRule="auto"/>
        <w:rPr>
          <w:i/>
          <w:szCs w:val="22"/>
        </w:rPr>
      </w:pPr>
      <w:r>
        <w:rPr>
          <w:i/>
          <w:szCs w:val="22"/>
        </w:rPr>
        <w:br w:type="page"/>
      </w:r>
    </w:p>
    <w:p w:rsidR="007B130E" w:rsidRPr="005D25FA" w:rsidRDefault="007B130E" w:rsidP="007B130E">
      <w:pPr>
        <w:pStyle w:val="NumberedParagraph"/>
        <w:numPr>
          <w:ilvl w:val="0"/>
          <w:numId w:val="0"/>
        </w:numPr>
        <w:autoSpaceDE w:val="0"/>
        <w:autoSpaceDN w:val="0"/>
        <w:adjustRightInd w:val="0"/>
        <w:spacing w:after="0" w:line="240" w:lineRule="auto"/>
        <w:ind w:left="576"/>
        <w:rPr>
          <w:szCs w:val="22"/>
        </w:rPr>
      </w:pPr>
      <w:r w:rsidRPr="004B7466">
        <w:rPr>
          <w:i/>
          <w:szCs w:val="22"/>
        </w:rPr>
        <w:lastRenderedPageBreak/>
        <w:t>Table 1</w:t>
      </w:r>
      <w:r w:rsidRPr="00D206BC">
        <w:rPr>
          <w:szCs w:val="22"/>
        </w:rPr>
        <w:t xml:space="preserve">:  </w:t>
      </w:r>
      <w:r w:rsidRPr="005D25FA">
        <w:rPr>
          <w:szCs w:val="22"/>
        </w:rPr>
        <w:t>Reduction in staff locations in the last 10 years</w:t>
      </w:r>
    </w:p>
    <w:p w:rsidR="007B130E" w:rsidRPr="00B80F18" w:rsidRDefault="007B130E" w:rsidP="007B130E">
      <w:pPr>
        <w:pStyle w:val="NumberedParagraph"/>
        <w:numPr>
          <w:ilvl w:val="0"/>
          <w:numId w:val="0"/>
        </w:numPr>
        <w:autoSpaceDE w:val="0"/>
        <w:autoSpaceDN w:val="0"/>
        <w:adjustRightInd w:val="0"/>
        <w:spacing w:after="0" w:line="240" w:lineRule="auto"/>
        <w:ind w:left="576"/>
        <w:rPr>
          <w:szCs w:val="22"/>
        </w:rPr>
      </w:pPr>
    </w:p>
    <w:tbl>
      <w:tblPr>
        <w:tblW w:w="4420" w:type="dxa"/>
        <w:jc w:val="center"/>
        <w:tblInd w:w="103" w:type="dxa"/>
        <w:tblLook w:val="04A0" w:firstRow="1" w:lastRow="0" w:firstColumn="1" w:lastColumn="0" w:noHBand="0" w:noVBand="1"/>
      </w:tblPr>
      <w:tblGrid>
        <w:gridCol w:w="2380"/>
        <w:gridCol w:w="2040"/>
      </w:tblGrid>
      <w:tr w:rsidR="007B130E" w:rsidRPr="00826AEA" w:rsidTr="00EB340F">
        <w:trPr>
          <w:trHeight w:val="600"/>
          <w:jc w:val="center"/>
        </w:trPr>
        <w:tc>
          <w:tcPr>
            <w:tcW w:w="2380" w:type="dxa"/>
            <w:tcBorders>
              <w:top w:val="nil"/>
              <w:left w:val="single" w:sz="4" w:space="0" w:color="auto"/>
              <w:bottom w:val="single" w:sz="4" w:space="0" w:color="auto"/>
              <w:right w:val="nil"/>
            </w:tcBorders>
            <w:shd w:val="clear" w:color="000000" w:fill="56008C"/>
            <w:vAlign w:val="center"/>
            <w:hideMark/>
          </w:tcPr>
          <w:p w:rsidR="007B130E" w:rsidRPr="00826AEA" w:rsidRDefault="007B130E" w:rsidP="00EB340F">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Year</w:t>
            </w:r>
          </w:p>
        </w:tc>
        <w:tc>
          <w:tcPr>
            <w:tcW w:w="2040" w:type="dxa"/>
            <w:tcBorders>
              <w:top w:val="nil"/>
              <w:left w:val="nil"/>
              <w:bottom w:val="nil"/>
              <w:right w:val="nil"/>
            </w:tcBorders>
            <w:shd w:val="clear" w:color="000000" w:fill="56008C"/>
            <w:vAlign w:val="bottom"/>
            <w:hideMark/>
          </w:tcPr>
          <w:p w:rsidR="007B130E" w:rsidRPr="00826AEA" w:rsidRDefault="007B130E" w:rsidP="00EB340F">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No of HRA staff locations*</w:t>
            </w:r>
          </w:p>
        </w:tc>
      </w:tr>
      <w:tr w:rsidR="007B130E" w:rsidRPr="00826AEA" w:rsidTr="00EB340F">
        <w:trPr>
          <w:trHeight w:val="300"/>
          <w:jc w:val="center"/>
        </w:trPr>
        <w:tc>
          <w:tcPr>
            <w:tcW w:w="2380" w:type="dxa"/>
            <w:tcBorders>
              <w:top w:val="nil"/>
              <w:left w:val="single" w:sz="4" w:space="0" w:color="auto"/>
              <w:bottom w:val="nil"/>
              <w:right w:val="nil"/>
            </w:tcBorders>
            <w:shd w:val="clear" w:color="auto" w:fill="auto"/>
            <w:vAlign w:val="bottom"/>
            <w:hideMark/>
          </w:tcPr>
          <w:p w:rsidR="007B130E" w:rsidRPr="00826AEA" w:rsidRDefault="007B130E" w:rsidP="00EB340F">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2004</w:t>
            </w:r>
          </w:p>
        </w:tc>
        <w:tc>
          <w:tcPr>
            <w:tcW w:w="2040" w:type="dxa"/>
            <w:tcBorders>
              <w:top w:val="single" w:sz="4" w:space="0" w:color="auto"/>
              <w:left w:val="nil"/>
              <w:bottom w:val="nil"/>
              <w:right w:val="nil"/>
            </w:tcBorders>
            <w:shd w:val="clear" w:color="000000" w:fill="E28C05"/>
            <w:noWrap/>
            <w:vAlign w:val="bottom"/>
            <w:hideMark/>
          </w:tcPr>
          <w:p w:rsidR="007B130E" w:rsidRPr="00826AEA" w:rsidRDefault="007B130E" w:rsidP="00EB340F">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100+</w:t>
            </w:r>
          </w:p>
        </w:tc>
      </w:tr>
      <w:tr w:rsidR="007B130E" w:rsidRPr="00826AEA" w:rsidTr="00EB340F">
        <w:trPr>
          <w:trHeight w:val="300"/>
          <w:jc w:val="center"/>
        </w:trPr>
        <w:tc>
          <w:tcPr>
            <w:tcW w:w="2380" w:type="dxa"/>
            <w:tcBorders>
              <w:top w:val="single" w:sz="4" w:space="0" w:color="auto"/>
              <w:left w:val="single" w:sz="4" w:space="0" w:color="auto"/>
              <w:bottom w:val="nil"/>
              <w:right w:val="nil"/>
            </w:tcBorders>
            <w:shd w:val="clear" w:color="auto" w:fill="auto"/>
            <w:vAlign w:val="bottom"/>
            <w:hideMark/>
          </w:tcPr>
          <w:p w:rsidR="007B130E" w:rsidRPr="00826AEA" w:rsidRDefault="007B130E" w:rsidP="00EB340F">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2009</w:t>
            </w:r>
          </w:p>
        </w:tc>
        <w:tc>
          <w:tcPr>
            <w:tcW w:w="2040" w:type="dxa"/>
            <w:tcBorders>
              <w:top w:val="single" w:sz="4" w:space="0" w:color="auto"/>
              <w:left w:val="nil"/>
              <w:bottom w:val="nil"/>
              <w:right w:val="nil"/>
            </w:tcBorders>
            <w:shd w:val="clear" w:color="000000" w:fill="E28C05"/>
            <w:noWrap/>
            <w:vAlign w:val="bottom"/>
            <w:hideMark/>
          </w:tcPr>
          <w:p w:rsidR="007B130E" w:rsidRPr="00826AEA" w:rsidRDefault="007B130E" w:rsidP="00EB340F">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50</w:t>
            </w:r>
          </w:p>
        </w:tc>
      </w:tr>
      <w:tr w:rsidR="007B130E" w:rsidRPr="00826AEA" w:rsidTr="00EB340F">
        <w:trPr>
          <w:trHeight w:val="300"/>
          <w:jc w:val="center"/>
        </w:trPr>
        <w:tc>
          <w:tcPr>
            <w:tcW w:w="2380" w:type="dxa"/>
            <w:tcBorders>
              <w:top w:val="single" w:sz="4" w:space="0" w:color="auto"/>
              <w:left w:val="single" w:sz="4" w:space="0" w:color="auto"/>
              <w:bottom w:val="nil"/>
              <w:right w:val="nil"/>
            </w:tcBorders>
            <w:shd w:val="clear" w:color="auto" w:fill="auto"/>
            <w:vAlign w:val="bottom"/>
            <w:hideMark/>
          </w:tcPr>
          <w:p w:rsidR="007B130E" w:rsidRPr="00826AEA" w:rsidRDefault="007B130E" w:rsidP="00EB340F">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2011</w:t>
            </w:r>
          </w:p>
        </w:tc>
        <w:tc>
          <w:tcPr>
            <w:tcW w:w="2040" w:type="dxa"/>
            <w:tcBorders>
              <w:top w:val="single" w:sz="4" w:space="0" w:color="auto"/>
              <w:left w:val="nil"/>
              <w:bottom w:val="nil"/>
              <w:right w:val="nil"/>
            </w:tcBorders>
            <w:shd w:val="clear" w:color="000000" w:fill="E28C05"/>
            <w:noWrap/>
            <w:vAlign w:val="bottom"/>
            <w:hideMark/>
          </w:tcPr>
          <w:p w:rsidR="007B130E" w:rsidRPr="00826AEA" w:rsidRDefault="007B130E" w:rsidP="00EB340F">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12</w:t>
            </w:r>
          </w:p>
        </w:tc>
      </w:tr>
      <w:tr w:rsidR="007B130E" w:rsidRPr="00826AEA" w:rsidTr="00EB340F">
        <w:trPr>
          <w:trHeight w:val="300"/>
          <w:jc w:val="center"/>
        </w:trPr>
        <w:tc>
          <w:tcPr>
            <w:tcW w:w="2380" w:type="dxa"/>
            <w:tcBorders>
              <w:top w:val="single" w:sz="4" w:space="0" w:color="auto"/>
              <w:left w:val="single" w:sz="4" w:space="0" w:color="auto"/>
              <w:bottom w:val="single" w:sz="4" w:space="0" w:color="auto"/>
              <w:right w:val="nil"/>
            </w:tcBorders>
            <w:shd w:val="clear" w:color="auto" w:fill="auto"/>
            <w:vAlign w:val="bottom"/>
            <w:hideMark/>
          </w:tcPr>
          <w:p w:rsidR="007B130E" w:rsidRPr="00826AEA" w:rsidRDefault="007B130E" w:rsidP="00EB340F">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2014</w:t>
            </w:r>
          </w:p>
        </w:tc>
        <w:tc>
          <w:tcPr>
            <w:tcW w:w="2040" w:type="dxa"/>
            <w:tcBorders>
              <w:top w:val="single" w:sz="4" w:space="0" w:color="auto"/>
              <w:left w:val="nil"/>
              <w:bottom w:val="single" w:sz="4" w:space="0" w:color="auto"/>
              <w:right w:val="nil"/>
            </w:tcBorders>
            <w:shd w:val="clear" w:color="000000" w:fill="E28C05"/>
            <w:noWrap/>
            <w:vAlign w:val="bottom"/>
            <w:hideMark/>
          </w:tcPr>
          <w:p w:rsidR="007B130E" w:rsidRPr="00826AEA" w:rsidRDefault="007B130E" w:rsidP="00EB340F">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5</w:t>
            </w:r>
          </w:p>
        </w:tc>
      </w:tr>
      <w:tr w:rsidR="007B130E" w:rsidRPr="00826AEA" w:rsidTr="00EB340F">
        <w:trPr>
          <w:trHeight w:val="300"/>
          <w:jc w:val="center"/>
        </w:trPr>
        <w:tc>
          <w:tcPr>
            <w:tcW w:w="4420" w:type="dxa"/>
            <w:gridSpan w:val="2"/>
            <w:tcBorders>
              <w:top w:val="nil"/>
              <w:left w:val="nil"/>
              <w:bottom w:val="nil"/>
              <w:right w:val="nil"/>
            </w:tcBorders>
            <w:shd w:val="clear" w:color="auto" w:fill="auto"/>
            <w:noWrap/>
            <w:vAlign w:val="bottom"/>
            <w:hideMark/>
          </w:tcPr>
          <w:p w:rsidR="007B130E" w:rsidRPr="00826AEA" w:rsidRDefault="004B7466" w:rsidP="004B7466">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 xml:space="preserve">* COREC in 2004, </w:t>
            </w:r>
            <w:r w:rsidR="007B130E" w:rsidRPr="00826AEA">
              <w:rPr>
                <w:rFonts w:eastAsia="Times New Roman" w:cs="Arial"/>
                <w:color w:val="000000"/>
                <w:sz w:val="20"/>
                <w:szCs w:val="20"/>
                <w:lang w:eastAsia="en-GB"/>
              </w:rPr>
              <w:t>NRES from 2005</w:t>
            </w:r>
          </w:p>
          <w:p w:rsidR="007B130E" w:rsidRPr="00826AEA" w:rsidRDefault="007B130E" w:rsidP="00EB340F">
            <w:pPr>
              <w:spacing w:after="0" w:line="240" w:lineRule="auto"/>
              <w:rPr>
                <w:rFonts w:eastAsia="Times New Roman" w:cs="Arial"/>
                <w:color w:val="000000"/>
                <w:sz w:val="20"/>
                <w:szCs w:val="20"/>
                <w:lang w:eastAsia="en-GB"/>
              </w:rPr>
            </w:pPr>
          </w:p>
        </w:tc>
      </w:tr>
    </w:tbl>
    <w:p w:rsidR="00D206BC" w:rsidRPr="00270874" w:rsidRDefault="005C69E2" w:rsidP="00826AEA">
      <w:pPr>
        <w:pStyle w:val="NumberedParagraph"/>
        <w:spacing w:before="240"/>
      </w:pPr>
      <w:r w:rsidRPr="00D206BC">
        <w:rPr>
          <w:rFonts w:cs="Arial"/>
          <w:color w:val="000000"/>
          <w:szCs w:val="22"/>
        </w:rPr>
        <w:t xml:space="preserve">The HRA appointed Carney Green LLP to </w:t>
      </w:r>
      <w:r w:rsidR="007B130E" w:rsidRPr="00D206BC">
        <w:rPr>
          <w:rFonts w:cs="Arial"/>
          <w:color w:val="000000"/>
          <w:szCs w:val="22"/>
        </w:rPr>
        <w:t xml:space="preserve">assist in the continuation and formalisation of that strategy and to </w:t>
      </w:r>
      <w:r w:rsidRPr="00D206BC">
        <w:rPr>
          <w:rFonts w:cs="Arial"/>
          <w:color w:val="000000"/>
          <w:szCs w:val="22"/>
        </w:rPr>
        <w:t>undertake a “ways of working” real estate review and option appraisal in February 2014.</w:t>
      </w:r>
      <w:r w:rsidR="00D206BC" w:rsidRPr="00D206BC">
        <w:t xml:space="preserve"> </w:t>
      </w:r>
    </w:p>
    <w:p w:rsidR="00D206BC" w:rsidRDefault="005C69E2" w:rsidP="00D206BC">
      <w:pPr>
        <w:pStyle w:val="NumberedParagraph"/>
      </w:pPr>
      <w:r w:rsidRPr="00D206BC">
        <w:rPr>
          <w:rFonts w:cs="Arial"/>
          <w:color w:val="000000"/>
          <w:szCs w:val="22"/>
        </w:rPr>
        <w:t xml:space="preserve">At that time, the HRA had five offices (London, Bristol, Nottingham, Jarrow and Manchester) and approximately 130 staff. </w:t>
      </w:r>
      <w:r w:rsidR="00C22ED2" w:rsidRPr="00D206BC">
        <w:rPr>
          <w:rFonts w:cs="Arial"/>
          <w:color w:val="000000"/>
          <w:szCs w:val="22"/>
        </w:rPr>
        <w:t xml:space="preserve">  </w:t>
      </w:r>
      <w:r w:rsidR="00E479E3" w:rsidRPr="00D206BC">
        <w:rPr>
          <w:rFonts w:cs="Arial"/>
          <w:color w:val="000000"/>
          <w:szCs w:val="22"/>
        </w:rPr>
        <w:t>The following set of tables set out the data as at February 2014 which can act as a benchmark against which success in delivering the strategy can be measured.</w:t>
      </w:r>
      <w:r w:rsidR="00D206BC" w:rsidRPr="00D206BC">
        <w:t xml:space="preserve"> </w:t>
      </w:r>
    </w:p>
    <w:p w:rsidR="004B7466" w:rsidRPr="004B7466" w:rsidRDefault="004B7466" w:rsidP="00826AEA">
      <w:pPr>
        <w:spacing w:before="240"/>
        <w:ind w:left="567"/>
      </w:pPr>
      <w:r>
        <w:rPr>
          <w:i/>
        </w:rPr>
        <w:t>Table 2</w:t>
      </w:r>
      <w:r>
        <w:t>: Office locations and staff head</w:t>
      </w:r>
      <w:r w:rsidR="00223E93">
        <w:t>count</w:t>
      </w:r>
    </w:p>
    <w:tbl>
      <w:tblPr>
        <w:tblW w:w="8460" w:type="dxa"/>
        <w:jc w:val="center"/>
        <w:tblInd w:w="103" w:type="dxa"/>
        <w:tblLook w:val="04A0" w:firstRow="1" w:lastRow="0" w:firstColumn="1" w:lastColumn="0" w:noHBand="0" w:noVBand="1"/>
      </w:tblPr>
      <w:tblGrid>
        <w:gridCol w:w="1734"/>
        <w:gridCol w:w="950"/>
        <w:gridCol w:w="1102"/>
        <w:gridCol w:w="872"/>
        <w:gridCol w:w="1395"/>
        <w:gridCol w:w="1327"/>
        <w:gridCol w:w="1080"/>
      </w:tblGrid>
      <w:tr w:rsidR="00A4660D" w:rsidRPr="00826AEA" w:rsidTr="00826AEA">
        <w:trPr>
          <w:trHeight w:val="300"/>
          <w:jc w:val="center"/>
        </w:trPr>
        <w:tc>
          <w:tcPr>
            <w:tcW w:w="1832" w:type="dxa"/>
            <w:tcBorders>
              <w:top w:val="nil"/>
              <w:left w:val="single" w:sz="4" w:space="0" w:color="auto"/>
              <w:bottom w:val="single" w:sz="4" w:space="0" w:color="auto"/>
              <w:right w:val="nil"/>
            </w:tcBorders>
            <w:shd w:val="clear" w:color="000000" w:fill="56008C"/>
            <w:vAlign w:val="center"/>
            <w:hideMark/>
          </w:tcPr>
          <w:p w:rsidR="00A4660D" w:rsidRPr="00826AEA" w:rsidRDefault="00A4660D" w:rsidP="00A4660D">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 </w:t>
            </w:r>
          </w:p>
        </w:tc>
        <w:tc>
          <w:tcPr>
            <w:tcW w:w="900" w:type="dxa"/>
            <w:tcBorders>
              <w:top w:val="nil"/>
              <w:left w:val="nil"/>
              <w:bottom w:val="nil"/>
              <w:right w:val="nil"/>
            </w:tcBorders>
            <w:shd w:val="clear" w:color="000000" w:fill="56008C"/>
            <w:noWrap/>
            <w:vAlign w:val="center"/>
            <w:hideMark/>
          </w:tcPr>
          <w:p w:rsidR="00A4660D" w:rsidRPr="00826AEA" w:rsidRDefault="00A4660D"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London</w:t>
            </w:r>
          </w:p>
        </w:tc>
        <w:tc>
          <w:tcPr>
            <w:tcW w:w="1102" w:type="dxa"/>
            <w:tcBorders>
              <w:top w:val="nil"/>
              <w:left w:val="nil"/>
              <w:bottom w:val="nil"/>
              <w:right w:val="nil"/>
            </w:tcBorders>
            <w:shd w:val="clear" w:color="000000" w:fill="56008C"/>
            <w:vAlign w:val="center"/>
            <w:hideMark/>
          </w:tcPr>
          <w:p w:rsidR="00A4660D" w:rsidRPr="00826AEA" w:rsidRDefault="00A4660D"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Bristol</w:t>
            </w:r>
          </w:p>
        </w:tc>
        <w:tc>
          <w:tcPr>
            <w:tcW w:w="837" w:type="dxa"/>
            <w:tcBorders>
              <w:top w:val="nil"/>
              <w:left w:val="nil"/>
              <w:bottom w:val="nil"/>
              <w:right w:val="nil"/>
            </w:tcBorders>
            <w:shd w:val="clear" w:color="000000" w:fill="56008C"/>
            <w:noWrap/>
            <w:vAlign w:val="center"/>
            <w:hideMark/>
          </w:tcPr>
          <w:p w:rsidR="00A4660D" w:rsidRPr="00826AEA" w:rsidRDefault="00A4660D"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Jarrow</w:t>
            </w:r>
          </w:p>
        </w:tc>
        <w:tc>
          <w:tcPr>
            <w:tcW w:w="1395" w:type="dxa"/>
            <w:tcBorders>
              <w:top w:val="nil"/>
              <w:left w:val="nil"/>
              <w:bottom w:val="nil"/>
              <w:right w:val="nil"/>
            </w:tcBorders>
            <w:shd w:val="clear" w:color="000000" w:fill="56008C"/>
            <w:vAlign w:val="center"/>
            <w:hideMark/>
          </w:tcPr>
          <w:p w:rsidR="00A4660D" w:rsidRPr="00826AEA" w:rsidRDefault="00A4660D"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Manchester</w:t>
            </w:r>
          </w:p>
        </w:tc>
        <w:tc>
          <w:tcPr>
            <w:tcW w:w="1314" w:type="dxa"/>
            <w:tcBorders>
              <w:top w:val="nil"/>
              <w:left w:val="nil"/>
              <w:bottom w:val="nil"/>
              <w:right w:val="nil"/>
            </w:tcBorders>
            <w:shd w:val="clear" w:color="000000" w:fill="56008C"/>
            <w:noWrap/>
            <w:vAlign w:val="center"/>
            <w:hideMark/>
          </w:tcPr>
          <w:p w:rsidR="00A4660D" w:rsidRPr="00826AEA" w:rsidRDefault="00A4660D"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Nottingham</w:t>
            </w:r>
          </w:p>
        </w:tc>
        <w:tc>
          <w:tcPr>
            <w:tcW w:w="1080" w:type="dxa"/>
            <w:tcBorders>
              <w:top w:val="nil"/>
              <w:left w:val="nil"/>
              <w:bottom w:val="nil"/>
              <w:right w:val="single" w:sz="4" w:space="0" w:color="auto"/>
            </w:tcBorders>
            <w:shd w:val="clear" w:color="000000" w:fill="56008C"/>
            <w:vAlign w:val="center"/>
            <w:hideMark/>
          </w:tcPr>
          <w:p w:rsidR="00A4660D" w:rsidRPr="00826AEA" w:rsidRDefault="00A4660D"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Total</w:t>
            </w:r>
          </w:p>
        </w:tc>
      </w:tr>
      <w:tr w:rsidR="00A4660D" w:rsidRPr="00826AEA" w:rsidTr="00826AEA">
        <w:trPr>
          <w:trHeight w:val="300"/>
          <w:jc w:val="center"/>
        </w:trPr>
        <w:tc>
          <w:tcPr>
            <w:tcW w:w="1832" w:type="dxa"/>
            <w:tcBorders>
              <w:top w:val="nil"/>
              <w:left w:val="single" w:sz="4" w:space="0" w:color="auto"/>
              <w:bottom w:val="nil"/>
              <w:right w:val="nil"/>
            </w:tcBorders>
            <w:shd w:val="clear" w:color="auto" w:fill="auto"/>
            <w:vAlign w:val="center"/>
            <w:hideMark/>
          </w:tcPr>
          <w:p w:rsidR="00A4660D" w:rsidRPr="00826AEA" w:rsidRDefault="00A4660D" w:rsidP="00826AEA">
            <w:pPr>
              <w:spacing w:after="0" w:line="240" w:lineRule="auto"/>
              <w:rPr>
                <w:rFonts w:eastAsia="Times New Roman" w:cs="Arial"/>
                <w:color w:val="000000"/>
                <w:sz w:val="20"/>
                <w:szCs w:val="20"/>
                <w:lang w:eastAsia="en-GB"/>
              </w:rPr>
            </w:pPr>
            <w:r w:rsidRPr="00826AEA">
              <w:rPr>
                <w:rFonts w:eastAsia="Times New Roman" w:cs="Arial"/>
                <w:color w:val="000000"/>
                <w:sz w:val="20"/>
                <w:szCs w:val="20"/>
                <w:lang w:eastAsia="en-GB"/>
              </w:rPr>
              <w:t>Operations Staff</w:t>
            </w:r>
          </w:p>
        </w:tc>
        <w:tc>
          <w:tcPr>
            <w:tcW w:w="900" w:type="dxa"/>
            <w:tcBorders>
              <w:top w:val="single" w:sz="4" w:space="0" w:color="auto"/>
              <w:left w:val="nil"/>
              <w:bottom w:val="nil"/>
              <w:right w:val="nil"/>
            </w:tcBorders>
            <w:shd w:val="clear" w:color="000000" w:fill="E28C05"/>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12</w:t>
            </w:r>
          </w:p>
        </w:tc>
        <w:tc>
          <w:tcPr>
            <w:tcW w:w="1102" w:type="dxa"/>
            <w:tcBorders>
              <w:top w:val="single" w:sz="4" w:space="0" w:color="auto"/>
              <w:left w:val="nil"/>
              <w:bottom w:val="nil"/>
              <w:right w:val="nil"/>
            </w:tcBorders>
            <w:shd w:val="clear" w:color="auto" w:fill="auto"/>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28</w:t>
            </w:r>
          </w:p>
        </w:tc>
        <w:tc>
          <w:tcPr>
            <w:tcW w:w="837" w:type="dxa"/>
            <w:tcBorders>
              <w:top w:val="single" w:sz="4" w:space="0" w:color="auto"/>
              <w:left w:val="nil"/>
              <w:bottom w:val="nil"/>
              <w:right w:val="nil"/>
            </w:tcBorders>
            <w:shd w:val="clear" w:color="000000" w:fill="E28C05"/>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14</w:t>
            </w:r>
          </w:p>
        </w:tc>
        <w:tc>
          <w:tcPr>
            <w:tcW w:w="1395" w:type="dxa"/>
            <w:tcBorders>
              <w:top w:val="single" w:sz="4" w:space="0" w:color="auto"/>
              <w:left w:val="nil"/>
              <w:bottom w:val="nil"/>
              <w:right w:val="nil"/>
            </w:tcBorders>
            <w:shd w:val="clear" w:color="auto" w:fill="auto"/>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23</w:t>
            </w:r>
          </w:p>
        </w:tc>
        <w:tc>
          <w:tcPr>
            <w:tcW w:w="1314" w:type="dxa"/>
            <w:tcBorders>
              <w:top w:val="single" w:sz="4" w:space="0" w:color="auto"/>
              <w:left w:val="nil"/>
              <w:bottom w:val="nil"/>
              <w:right w:val="nil"/>
            </w:tcBorders>
            <w:shd w:val="clear" w:color="000000" w:fill="E28C05"/>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19</w:t>
            </w:r>
          </w:p>
        </w:tc>
        <w:tc>
          <w:tcPr>
            <w:tcW w:w="1080" w:type="dxa"/>
            <w:tcBorders>
              <w:top w:val="single" w:sz="4" w:space="0" w:color="auto"/>
              <w:left w:val="nil"/>
              <w:bottom w:val="nil"/>
              <w:right w:val="single" w:sz="4" w:space="0" w:color="auto"/>
            </w:tcBorders>
            <w:shd w:val="clear" w:color="auto" w:fill="auto"/>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96</w:t>
            </w:r>
          </w:p>
        </w:tc>
      </w:tr>
      <w:tr w:rsidR="00A4660D" w:rsidRPr="00826AEA" w:rsidTr="00826AEA">
        <w:trPr>
          <w:trHeight w:val="300"/>
          <w:jc w:val="center"/>
        </w:trPr>
        <w:tc>
          <w:tcPr>
            <w:tcW w:w="1832" w:type="dxa"/>
            <w:tcBorders>
              <w:top w:val="single" w:sz="4" w:space="0" w:color="auto"/>
              <w:left w:val="single" w:sz="4" w:space="0" w:color="auto"/>
              <w:bottom w:val="nil"/>
              <w:right w:val="nil"/>
            </w:tcBorders>
            <w:shd w:val="clear" w:color="auto" w:fill="auto"/>
            <w:vAlign w:val="center"/>
            <w:hideMark/>
          </w:tcPr>
          <w:p w:rsidR="00A4660D" w:rsidRPr="00826AEA" w:rsidRDefault="00A4660D" w:rsidP="00826AEA">
            <w:pPr>
              <w:spacing w:after="0" w:line="240" w:lineRule="auto"/>
              <w:rPr>
                <w:rFonts w:eastAsia="Times New Roman" w:cs="Arial"/>
                <w:color w:val="000000"/>
                <w:sz w:val="20"/>
                <w:szCs w:val="20"/>
                <w:lang w:eastAsia="en-GB"/>
              </w:rPr>
            </w:pPr>
            <w:r w:rsidRPr="00826AEA">
              <w:rPr>
                <w:rFonts w:eastAsia="Times New Roman" w:cs="Arial"/>
                <w:color w:val="000000"/>
                <w:sz w:val="20"/>
                <w:szCs w:val="20"/>
                <w:lang w:eastAsia="en-GB"/>
              </w:rPr>
              <w:t>Non-operations staff</w:t>
            </w:r>
          </w:p>
        </w:tc>
        <w:tc>
          <w:tcPr>
            <w:tcW w:w="900" w:type="dxa"/>
            <w:tcBorders>
              <w:top w:val="single" w:sz="4" w:space="0" w:color="auto"/>
              <w:left w:val="nil"/>
              <w:bottom w:val="nil"/>
              <w:right w:val="nil"/>
            </w:tcBorders>
            <w:shd w:val="clear" w:color="000000" w:fill="E28C05"/>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26</w:t>
            </w:r>
          </w:p>
        </w:tc>
        <w:tc>
          <w:tcPr>
            <w:tcW w:w="1102" w:type="dxa"/>
            <w:tcBorders>
              <w:top w:val="single" w:sz="4" w:space="0" w:color="auto"/>
              <w:left w:val="nil"/>
              <w:bottom w:val="nil"/>
              <w:right w:val="nil"/>
            </w:tcBorders>
            <w:shd w:val="clear" w:color="auto" w:fill="auto"/>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0</w:t>
            </w:r>
          </w:p>
        </w:tc>
        <w:tc>
          <w:tcPr>
            <w:tcW w:w="837" w:type="dxa"/>
            <w:tcBorders>
              <w:top w:val="single" w:sz="4" w:space="0" w:color="auto"/>
              <w:left w:val="nil"/>
              <w:bottom w:val="nil"/>
              <w:right w:val="nil"/>
            </w:tcBorders>
            <w:shd w:val="clear" w:color="000000" w:fill="E28C05"/>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1</w:t>
            </w:r>
          </w:p>
        </w:tc>
        <w:tc>
          <w:tcPr>
            <w:tcW w:w="1395" w:type="dxa"/>
            <w:tcBorders>
              <w:top w:val="single" w:sz="4" w:space="0" w:color="auto"/>
              <w:left w:val="nil"/>
              <w:bottom w:val="nil"/>
              <w:right w:val="nil"/>
            </w:tcBorders>
            <w:shd w:val="clear" w:color="auto" w:fill="auto"/>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5</w:t>
            </w:r>
          </w:p>
        </w:tc>
        <w:tc>
          <w:tcPr>
            <w:tcW w:w="1314" w:type="dxa"/>
            <w:tcBorders>
              <w:top w:val="single" w:sz="4" w:space="0" w:color="auto"/>
              <w:left w:val="nil"/>
              <w:bottom w:val="nil"/>
              <w:right w:val="nil"/>
            </w:tcBorders>
            <w:shd w:val="clear" w:color="000000" w:fill="E28C05"/>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2</w:t>
            </w:r>
          </w:p>
        </w:tc>
        <w:tc>
          <w:tcPr>
            <w:tcW w:w="1080" w:type="dxa"/>
            <w:tcBorders>
              <w:top w:val="single" w:sz="4" w:space="0" w:color="auto"/>
              <w:left w:val="nil"/>
              <w:bottom w:val="nil"/>
              <w:right w:val="single" w:sz="4" w:space="0" w:color="auto"/>
            </w:tcBorders>
            <w:shd w:val="clear" w:color="auto" w:fill="auto"/>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34</w:t>
            </w:r>
          </w:p>
        </w:tc>
      </w:tr>
      <w:tr w:rsidR="00A4660D" w:rsidRPr="00826AEA" w:rsidTr="00826AEA">
        <w:trPr>
          <w:trHeight w:val="300"/>
          <w:jc w:val="center"/>
        </w:trPr>
        <w:tc>
          <w:tcPr>
            <w:tcW w:w="1832" w:type="dxa"/>
            <w:tcBorders>
              <w:top w:val="single" w:sz="4" w:space="0" w:color="auto"/>
              <w:left w:val="single" w:sz="4" w:space="0" w:color="auto"/>
              <w:bottom w:val="single" w:sz="4" w:space="0" w:color="auto"/>
              <w:right w:val="nil"/>
            </w:tcBorders>
            <w:shd w:val="clear" w:color="auto" w:fill="auto"/>
            <w:vAlign w:val="center"/>
            <w:hideMark/>
          </w:tcPr>
          <w:p w:rsidR="00A4660D" w:rsidRPr="00826AEA" w:rsidRDefault="00A4660D" w:rsidP="00826AEA">
            <w:pPr>
              <w:spacing w:after="0" w:line="240" w:lineRule="auto"/>
              <w:rPr>
                <w:rFonts w:eastAsia="Times New Roman" w:cs="Arial"/>
                <w:b/>
                <w:bCs/>
                <w:color w:val="000000"/>
                <w:sz w:val="20"/>
                <w:szCs w:val="20"/>
                <w:lang w:eastAsia="en-GB"/>
              </w:rPr>
            </w:pPr>
            <w:r w:rsidRPr="00826AEA">
              <w:rPr>
                <w:rFonts w:eastAsia="Times New Roman" w:cs="Arial"/>
                <w:b/>
                <w:bCs/>
                <w:color w:val="000000"/>
                <w:sz w:val="20"/>
                <w:szCs w:val="20"/>
                <w:lang w:eastAsia="en-GB"/>
              </w:rPr>
              <w:t>Total staff</w:t>
            </w:r>
          </w:p>
        </w:tc>
        <w:tc>
          <w:tcPr>
            <w:tcW w:w="900" w:type="dxa"/>
            <w:tcBorders>
              <w:top w:val="single" w:sz="4" w:space="0" w:color="auto"/>
              <w:left w:val="nil"/>
              <w:bottom w:val="single" w:sz="4" w:space="0" w:color="auto"/>
              <w:right w:val="nil"/>
            </w:tcBorders>
            <w:shd w:val="clear" w:color="000000" w:fill="E28C05"/>
            <w:noWrap/>
            <w:vAlign w:val="center"/>
            <w:hideMark/>
          </w:tcPr>
          <w:p w:rsidR="00A4660D" w:rsidRPr="00826AEA" w:rsidRDefault="00A4660D" w:rsidP="00826AEA">
            <w:pPr>
              <w:spacing w:after="0" w:line="240" w:lineRule="auto"/>
              <w:jc w:val="center"/>
              <w:rPr>
                <w:rFonts w:eastAsia="Times New Roman" w:cs="Arial"/>
                <w:b/>
                <w:bCs/>
                <w:color w:val="000000"/>
                <w:sz w:val="20"/>
                <w:szCs w:val="20"/>
                <w:lang w:eastAsia="en-GB"/>
              </w:rPr>
            </w:pPr>
            <w:r w:rsidRPr="00826AEA">
              <w:rPr>
                <w:rFonts w:eastAsia="Times New Roman" w:cs="Arial"/>
                <w:b/>
                <w:bCs/>
                <w:color w:val="000000"/>
                <w:sz w:val="20"/>
                <w:szCs w:val="20"/>
                <w:lang w:eastAsia="en-GB"/>
              </w:rPr>
              <w:t>38</w:t>
            </w:r>
          </w:p>
        </w:tc>
        <w:tc>
          <w:tcPr>
            <w:tcW w:w="1102" w:type="dxa"/>
            <w:tcBorders>
              <w:top w:val="single" w:sz="4" w:space="0" w:color="auto"/>
              <w:left w:val="nil"/>
              <w:bottom w:val="single" w:sz="4" w:space="0" w:color="auto"/>
              <w:right w:val="nil"/>
            </w:tcBorders>
            <w:shd w:val="clear" w:color="000000" w:fill="E28C05"/>
            <w:noWrap/>
            <w:vAlign w:val="center"/>
            <w:hideMark/>
          </w:tcPr>
          <w:p w:rsidR="00A4660D" w:rsidRPr="00826AEA" w:rsidRDefault="00A4660D" w:rsidP="00826AEA">
            <w:pPr>
              <w:spacing w:after="0" w:line="240" w:lineRule="auto"/>
              <w:jc w:val="center"/>
              <w:rPr>
                <w:rFonts w:eastAsia="Times New Roman" w:cs="Arial"/>
                <w:b/>
                <w:bCs/>
                <w:color w:val="000000"/>
                <w:sz w:val="20"/>
                <w:szCs w:val="20"/>
                <w:lang w:eastAsia="en-GB"/>
              </w:rPr>
            </w:pPr>
            <w:r w:rsidRPr="00826AEA">
              <w:rPr>
                <w:rFonts w:eastAsia="Times New Roman" w:cs="Arial"/>
                <w:b/>
                <w:bCs/>
                <w:color w:val="000000"/>
                <w:sz w:val="20"/>
                <w:szCs w:val="20"/>
                <w:lang w:eastAsia="en-GB"/>
              </w:rPr>
              <w:t>28</w:t>
            </w:r>
          </w:p>
        </w:tc>
        <w:tc>
          <w:tcPr>
            <w:tcW w:w="837" w:type="dxa"/>
            <w:tcBorders>
              <w:top w:val="single" w:sz="4" w:space="0" w:color="auto"/>
              <w:left w:val="nil"/>
              <w:bottom w:val="single" w:sz="4" w:space="0" w:color="auto"/>
              <w:right w:val="nil"/>
            </w:tcBorders>
            <w:shd w:val="clear" w:color="000000" w:fill="E28C05"/>
            <w:noWrap/>
            <w:vAlign w:val="center"/>
            <w:hideMark/>
          </w:tcPr>
          <w:p w:rsidR="00A4660D" w:rsidRPr="00826AEA" w:rsidRDefault="00A4660D" w:rsidP="00826AEA">
            <w:pPr>
              <w:spacing w:after="0" w:line="240" w:lineRule="auto"/>
              <w:jc w:val="center"/>
              <w:rPr>
                <w:rFonts w:eastAsia="Times New Roman" w:cs="Arial"/>
                <w:b/>
                <w:bCs/>
                <w:color w:val="000000"/>
                <w:sz w:val="20"/>
                <w:szCs w:val="20"/>
                <w:lang w:eastAsia="en-GB"/>
              </w:rPr>
            </w:pPr>
            <w:r w:rsidRPr="00826AEA">
              <w:rPr>
                <w:rFonts w:eastAsia="Times New Roman" w:cs="Arial"/>
                <w:b/>
                <w:bCs/>
                <w:color w:val="000000"/>
                <w:sz w:val="20"/>
                <w:szCs w:val="20"/>
                <w:lang w:eastAsia="en-GB"/>
              </w:rPr>
              <w:t>15</w:t>
            </w:r>
          </w:p>
        </w:tc>
        <w:tc>
          <w:tcPr>
            <w:tcW w:w="1395" w:type="dxa"/>
            <w:tcBorders>
              <w:top w:val="single" w:sz="4" w:space="0" w:color="auto"/>
              <w:left w:val="nil"/>
              <w:bottom w:val="single" w:sz="4" w:space="0" w:color="auto"/>
              <w:right w:val="nil"/>
            </w:tcBorders>
            <w:shd w:val="clear" w:color="000000" w:fill="E28C05"/>
            <w:noWrap/>
            <w:vAlign w:val="center"/>
            <w:hideMark/>
          </w:tcPr>
          <w:p w:rsidR="00A4660D" w:rsidRPr="00826AEA" w:rsidRDefault="00A4660D" w:rsidP="00826AEA">
            <w:pPr>
              <w:spacing w:after="0" w:line="240" w:lineRule="auto"/>
              <w:jc w:val="center"/>
              <w:rPr>
                <w:rFonts w:eastAsia="Times New Roman" w:cs="Arial"/>
                <w:b/>
                <w:bCs/>
                <w:color w:val="000000"/>
                <w:sz w:val="20"/>
                <w:szCs w:val="20"/>
                <w:lang w:eastAsia="en-GB"/>
              </w:rPr>
            </w:pPr>
            <w:r w:rsidRPr="00826AEA">
              <w:rPr>
                <w:rFonts w:eastAsia="Times New Roman" w:cs="Arial"/>
                <w:b/>
                <w:bCs/>
                <w:color w:val="000000"/>
                <w:sz w:val="20"/>
                <w:szCs w:val="20"/>
                <w:lang w:eastAsia="en-GB"/>
              </w:rPr>
              <w:t>28</w:t>
            </w:r>
          </w:p>
        </w:tc>
        <w:tc>
          <w:tcPr>
            <w:tcW w:w="1314" w:type="dxa"/>
            <w:tcBorders>
              <w:top w:val="single" w:sz="4" w:space="0" w:color="auto"/>
              <w:left w:val="nil"/>
              <w:bottom w:val="single" w:sz="4" w:space="0" w:color="auto"/>
              <w:right w:val="nil"/>
            </w:tcBorders>
            <w:shd w:val="clear" w:color="000000" w:fill="E28C05"/>
            <w:noWrap/>
            <w:vAlign w:val="center"/>
            <w:hideMark/>
          </w:tcPr>
          <w:p w:rsidR="00A4660D" w:rsidRPr="00826AEA" w:rsidRDefault="00A4660D" w:rsidP="00826AEA">
            <w:pPr>
              <w:spacing w:after="0" w:line="240" w:lineRule="auto"/>
              <w:jc w:val="center"/>
              <w:rPr>
                <w:rFonts w:eastAsia="Times New Roman" w:cs="Arial"/>
                <w:b/>
                <w:bCs/>
                <w:color w:val="000000"/>
                <w:sz w:val="20"/>
                <w:szCs w:val="20"/>
                <w:lang w:eastAsia="en-GB"/>
              </w:rPr>
            </w:pPr>
            <w:r w:rsidRPr="00826AEA">
              <w:rPr>
                <w:rFonts w:eastAsia="Times New Roman" w:cs="Arial"/>
                <w:b/>
                <w:bCs/>
                <w:color w:val="000000"/>
                <w:sz w:val="20"/>
                <w:szCs w:val="20"/>
                <w:lang w:eastAsia="en-GB"/>
              </w:rPr>
              <w:t>21</w:t>
            </w:r>
          </w:p>
        </w:tc>
        <w:tc>
          <w:tcPr>
            <w:tcW w:w="1080" w:type="dxa"/>
            <w:tcBorders>
              <w:top w:val="single" w:sz="4" w:space="0" w:color="auto"/>
              <w:left w:val="nil"/>
              <w:bottom w:val="single" w:sz="4" w:space="0" w:color="auto"/>
              <w:right w:val="nil"/>
            </w:tcBorders>
            <w:shd w:val="clear" w:color="000000" w:fill="E28C05"/>
            <w:noWrap/>
            <w:vAlign w:val="center"/>
            <w:hideMark/>
          </w:tcPr>
          <w:p w:rsidR="00A4660D" w:rsidRPr="00826AEA" w:rsidRDefault="00A4660D" w:rsidP="00826AEA">
            <w:pPr>
              <w:spacing w:after="0" w:line="240" w:lineRule="auto"/>
              <w:jc w:val="center"/>
              <w:rPr>
                <w:rFonts w:eastAsia="Times New Roman" w:cs="Arial"/>
                <w:b/>
                <w:bCs/>
                <w:color w:val="000000"/>
                <w:sz w:val="20"/>
                <w:szCs w:val="20"/>
                <w:lang w:eastAsia="en-GB"/>
              </w:rPr>
            </w:pPr>
            <w:r w:rsidRPr="00826AEA">
              <w:rPr>
                <w:rFonts w:eastAsia="Times New Roman" w:cs="Arial"/>
                <w:b/>
                <w:bCs/>
                <w:color w:val="000000"/>
                <w:sz w:val="20"/>
                <w:szCs w:val="20"/>
                <w:lang w:eastAsia="en-GB"/>
              </w:rPr>
              <w:t>130</w:t>
            </w:r>
          </w:p>
        </w:tc>
      </w:tr>
    </w:tbl>
    <w:p w:rsidR="00A4660D" w:rsidRPr="005D25FA" w:rsidRDefault="005D25FA" w:rsidP="00826AEA">
      <w:pPr>
        <w:spacing w:before="240"/>
        <w:ind w:left="567"/>
      </w:pPr>
      <w:r>
        <w:rPr>
          <w:i/>
        </w:rPr>
        <w:t>Table 3</w:t>
      </w:r>
      <w:r>
        <w:t>: Current office footprint (m2)</w:t>
      </w:r>
    </w:p>
    <w:tbl>
      <w:tblPr>
        <w:tblW w:w="8460" w:type="dxa"/>
        <w:jc w:val="center"/>
        <w:tblInd w:w="103" w:type="dxa"/>
        <w:tblLook w:val="04A0" w:firstRow="1" w:lastRow="0" w:firstColumn="1" w:lastColumn="0" w:noHBand="0" w:noVBand="1"/>
      </w:tblPr>
      <w:tblGrid>
        <w:gridCol w:w="1633"/>
        <w:gridCol w:w="950"/>
        <w:gridCol w:w="1061"/>
        <w:gridCol w:w="950"/>
        <w:gridCol w:w="1422"/>
        <w:gridCol w:w="1405"/>
        <w:gridCol w:w="1039"/>
      </w:tblGrid>
      <w:tr w:rsidR="00A4660D" w:rsidRPr="00826AEA" w:rsidTr="00826AEA">
        <w:trPr>
          <w:trHeight w:val="300"/>
          <w:jc w:val="center"/>
        </w:trPr>
        <w:tc>
          <w:tcPr>
            <w:tcW w:w="1694" w:type="dxa"/>
            <w:tcBorders>
              <w:top w:val="nil"/>
              <w:left w:val="single" w:sz="4" w:space="0" w:color="auto"/>
              <w:bottom w:val="single" w:sz="4" w:space="0" w:color="auto"/>
              <w:right w:val="nil"/>
            </w:tcBorders>
            <w:shd w:val="clear" w:color="000000" w:fill="56008C"/>
            <w:vAlign w:val="center"/>
            <w:hideMark/>
          </w:tcPr>
          <w:p w:rsidR="00A4660D" w:rsidRPr="00826AEA" w:rsidRDefault="00A4660D" w:rsidP="00A4660D">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 </w:t>
            </w:r>
          </w:p>
        </w:tc>
        <w:tc>
          <w:tcPr>
            <w:tcW w:w="950" w:type="dxa"/>
            <w:tcBorders>
              <w:top w:val="nil"/>
              <w:left w:val="nil"/>
              <w:bottom w:val="nil"/>
              <w:right w:val="nil"/>
            </w:tcBorders>
            <w:shd w:val="clear" w:color="000000" w:fill="56008C"/>
            <w:noWrap/>
            <w:vAlign w:val="center"/>
            <w:hideMark/>
          </w:tcPr>
          <w:p w:rsidR="00A4660D" w:rsidRPr="00826AEA" w:rsidRDefault="00A4660D"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London</w:t>
            </w:r>
          </w:p>
        </w:tc>
        <w:tc>
          <w:tcPr>
            <w:tcW w:w="1061" w:type="dxa"/>
            <w:tcBorders>
              <w:top w:val="nil"/>
              <w:left w:val="nil"/>
              <w:bottom w:val="nil"/>
              <w:right w:val="nil"/>
            </w:tcBorders>
            <w:shd w:val="clear" w:color="000000" w:fill="56008C"/>
            <w:vAlign w:val="center"/>
            <w:hideMark/>
          </w:tcPr>
          <w:p w:rsidR="00A4660D" w:rsidRPr="00826AEA" w:rsidRDefault="00A4660D"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Bristol</w:t>
            </w:r>
          </w:p>
        </w:tc>
        <w:tc>
          <w:tcPr>
            <w:tcW w:w="950" w:type="dxa"/>
            <w:tcBorders>
              <w:top w:val="nil"/>
              <w:left w:val="nil"/>
              <w:bottom w:val="nil"/>
              <w:right w:val="nil"/>
            </w:tcBorders>
            <w:shd w:val="clear" w:color="000000" w:fill="56008C"/>
            <w:noWrap/>
            <w:vAlign w:val="center"/>
            <w:hideMark/>
          </w:tcPr>
          <w:p w:rsidR="00A4660D" w:rsidRPr="00826AEA" w:rsidRDefault="00A4660D"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Jarrow*</w:t>
            </w:r>
          </w:p>
        </w:tc>
        <w:tc>
          <w:tcPr>
            <w:tcW w:w="1422" w:type="dxa"/>
            <w:tcBorders>
              <w:top w:val="nil"/>
              <w:left w:val="nil"/>
              <w:bottom w:val="nil"/>
              <w:right w:val="nil"/>
            </w:tcBorders>
            <w:shd w:val="clear" w:color="000000" w:fill="56008C"/>
            <w:vAlign w:val="center"/>
            <w:hideMark/>
          </w:tcPr>
          <w:p w:rsidR="00A4660D" w:rsidRPr="00826AEA" w:rsidRDefault="00A4660D"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Manchester</w:t>
            </w:r>
          </w:p>
        </w:tc>
        <w:tc>
          <w:tcPr>
            <w:tcW w:w="1344" w:type="dxa"/>
            <w:tcBorders>
              <w:top w:val="nil"/>
              <w:left w:val="nil"/>
              <w:bottom w:val="nil"/>
              <w:right w:val="nil"/>
            </w:tcBorders>
            <w:shd w:val="clear" w:color="000000" w:fill="56008C"/>
            <w:noWrap/>
            <w:vAlign w:val="center"/>
            <w:hideMark/>
          </w:tcPr>
          <w:p w:rsidR="00A4660D" w:rsidRPr="00826AEA" w:rsidRDefault="00A4660D"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Nottingham*</w:t>
            </w:r>
          </w:p>
        </w:tc>
        <w:tc>
          <w:tcPr>
            <w:tcW w:w="1039" w:type="dxa"/>
            <w:tcBorders>
              <w:top w:val="nil"/>
              <w:left w:val="nil"/>
              <w:bottom w:val="nil"/>
              <w:right w:val="single" w:sz="4" w:space="0" w:color="auto"/>
            </w:tcBorders>
            <w:shd w:val="clear" w:color="000000" w:fill="56008C"/>
            <w:vAlign w:val="center"/>
            <w:hideMark/>
          </w:tcPr>
          <w:p w:rsidR="00A4660D" w:rsidRPr="00826AEA" w:rsidRDefault="00A4660D"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Total</w:t>
            </w:r>
          </w:p>
        </w:tc>
      </w:tr>
      <w:tr w:rsidR="00A4660D" w:rsidRPr="00826AEA" w:rsidTr="00826AEA">
        <w:trPr>
          <w:trHeight w:val="600"/>
          <w:jc w:val="center"/>
        </w:trPr>
        <w:tc>
          <w:tcPr>
            <w:tcW w:w="1694" w:type="dxa"/>
            <w:tcBorders>
              <w:top w:val="nil"/>
              <w:left w:val="single" w:sz="4" w:space="0" w:color="auto"/>
              <w:bottom w:val="nil"/>
              <w:right w:val="nil"/>
            </w:tcBorders>
            <w:shd w:val="clear" w:color="auto" w:fill="auto"/>
            <w:vAlign w:val="center"/>
            <w:hideMark/>
          </w:tcPr>
          <w:p w:rsidR="00A4660D" w:rsidRPr="00826AEA" w:rsidRDefault="00A4660D" w:rsidP="00826AEA">
            <w:pPr>
              <w:spacing w:after="0" w:line="240" w:lineRule="auto"/>
              <w:rPr>
                <w:rFonts w:eastAsia="Times New Roman" w:cs="Arial"/>
                <w:color w:val="000000"/>
                <w:sz w:val="20"/>
                <w:szCs w:val="20"/>
                <w:lang w:eastAsia="en-GB"/>
              </w:rPr>
            </w:pPr>
            <w:r w:rsidRPr="00826AEA">
              <w:rPr>
                <w:rFonts w:eastAsia="Times New Roman" w:cs="Arial"/>
                <w:color w:val="000000"/>
                <w:sz w:val="20"/>
                <w:szCs w:val="20"/>
                <w:lang w:eastAsia="en-GB"/>
              </w:rPr>
              <w:t>Gross Internal Area (GIA)</w:t>
            </w:r>
          </w:p>
        </w:tc>
        <w:tc>
          <w:tcPr>
            <w:tcW w:w="950" w:type="dxa"/>
            <w:tcBorders>
              <w:top w:val="single" w:sz="4" w:space="0" w:color="auto"/>
              <w:left w:val="nil"/>
              <w:bottom w:val="nil"/>
              <w:right w:val="nil"/>
            </w:tcBorders>
            <w:shd w:val="clear" w:color="000000" w:fill="E28C05"/>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476</w:t>
            </w:r>
          </w:p>
        </w:tc>
        <w:tc>
          <w:tcPr>
            <w:tcW w:w="1061" w:type="dxa"/>
            <w:tcBorders>
              <w:top w:val="single" w:sz="4" w:space="0" w:color="auto"/>
              <w:left w:val="nil"/>
              <w:bottom w:val="nil"/>
              <w:right w:val="nil"/>
            </w:tcBorders>
            <w:shd w:val="clear" w:color="auto" w:fill="auto"/>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287</w:t>
            </w:r>
          </w:p>
        </w:tc>
        <w:tc>
          <w:tcPr>
            <w:tcW w:w="950" w:type="dxa"/>
            <w:tcBorders>
              <w:top w:val="single" w:sz="4" w:space="0" w:color="auto"/>
              <w:left w:val="nil"/>
              <w:bottom w:val="nil"/>
              <w:right w:val="nil"/>
            </w:tcBorders>
            <w:shd w:val="clear" w:color="000000" w:fill="E28C05"/>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173</w:t>
            </w:r>
          </w:p>
        </w:tc>
        <w:tc>
          <w:tcPr>
            <w:tcW w:w="1422" w:type="dxa"/>
            <w:tcBorders>
              <w:top w:val="single" w:sz="4" w:space="0" w:color="auto"/>
              <w:left w:val="nil"/>
              <w:bottom w:val="nil"/>
              <w:right w:val="nil"/>
            </w:tcBorders>
            <w:shd w:val="clear" w:color="auto" w:fill="auto"/>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522</w:t>
            </w:r>
          </w:p>
        </w:tc>
        <w:tc>
          <w:tcPr>
            <w:tcW w:w="1344" w:type="dxa"/>
            <w:tcBorders>
              <w:top w:val="single" w:sz="4" w:space="0" w:color="auto"/>
              <w:left w:val="nil"/>
              <w:bottom w:val="nil"/>
              <w:right w:val="nil"/>
            </w:tcBorders>
            <w:shd w:val="clear" w:color="000000" w:fill="E28C05"/>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325</w:t>
            </w:r>
          </w:p>
        </w:tc>
        <w:tc>
          <w:tcPr>
            <w:tcW w:w="1039" w:type="dxa"/>
            <w:tcBorders>
              <w:top w:val="single" w:sz="4" w:space="0" w:color="auto"/>
              <w:left w:val="nil"/>
              <w:bottom w:val="nil"/>
              <w:right w:val="single" w:sz="4" w:space="0" w:color="auto"/>
            </w:tcBorders>
            <w:shd w:val="clear" w:color="auto" w:fill="auto"/>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1783</w:t>
            </w:r>
          </w:p>
        </w:tc>
      </w:tr>
      <w:tr w:rsidR="00A4660D" w:rsidRPr="00826AEA" w:rsidTr="00826AEA">
        <w:trPr>
          <w:trHeight w:val="600"/>
          <w:jc w:val="center"/>
        </w:trPr>
        <w:tc>
          <w:tcPr>
            <w:tcW w:w="1694" w:type="dxa"/>
            <w:tcBorders>
              <w:top w:val="single" w:sz="4" w:space="0" w:color="auto"/>
              <w:left w:val="single" w:sz="4" w:space="0" w:color="auto"/>
              <w:bottom w:val="single" w:sz="4" w:space="0" w:color="auto"/>
              <w:right w:val="nil"/>
            </w:tcBorders>
            <w:shd w:val="clear" w:color="auto" w:fill="auto"/>
            <w:vAlign w:val="center"/>
            <w:hideMark/>
          </w:tcPr>
          <w:p w:rsidR="00A4660D" w:rsidRPr="00826AEA" w:rsidRDefault="00A4660D" w:rsidP="00826AEA">
            <w:pPr>
              <w:spacing w:after="0" w:line="240" w:lineRule="auto"/>
              <w:rPr>
                <w:rFonts w:eastAsia="Times New Roman" w:cs="Arial"/>
                <w:color w:val="000000"/>
                <w:sz w:val="20"/>
                <w:szCs w:val="20"/>
                <w:lang w:eastAsia="en-GB"/>
              </w:rPr>
            </w:pPr>
            <w:r w:rsidRPr="00826AEA">
              <w:rPr>
                <w:rFonts w:eastAsia="Times New Roman" w:cs="Arial"/>
                <w:color w:val="000000"/>
                <w:sz w:val="20"/>
                <w:szCs w:val="20"/>
                <w:lang w:eastAsia="en-GB"/>
              </w:rPr>
              <w:t>Net Internal Area (NIA)</w:t>
            </w:r>
          </w:p>
        </w:tc>
        <w:tc>
          <w:tcPr>
            <w:tcW w:w="950" w:type="dxa"/>
            <w:tcBorders>
              <w:top w:val="single" w:sz="4" w:space="0" w:color="auto"/>
              <w:left w:val="nil"/>
              <w:bottom w:val="single" w:sz="4" w:space="0" w:color="auto"/>
              <w:right w:val="nil"/>
            </w:tcBorders>
            <w:shd w:val="clear" w:color="000000" w:fill="E28C05"/>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405</w:t>
            </w:r>
          </w:p>
        </w:tc>
        <w:tc>
          <w:tcPr>
            <w:tcW w:w="1061" w:type="dxa"/>
            <w:tcBorders>
              <w:top w:val="single" w:sz="4" w:space="0" w:color="auto"/>
              <w:left w:val="nil"/>
              <w:bottom w:val="single" w:sz="4" w:space="0" w:color="auto"/>
              <w:right w:val="nil"/>
            </w:tcBorders>
            <w:shd w:val="clear" w:color="auto" w:fill="auto"/>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244</w:t>
            </w:r>
          </w:p>
        </w:tc>
        <w:tc>
          <w:tcPr>
            <w:tcW w:w="950" w:type="dxa"/>
            <w:tcBorders>
              <w:top w:val="single" w:sz="4" w:space="0" w:color="auto"/>
              <w:left w:val="nil"/>
              <w:bottom w:val="single" w:sz="4" w:space="0" w:color="auto"/>
              <w:right w:val="nil"/>
            </w:tcBorders>
            <w:shd w:val="clear" w:color="000000" w:fill="E28C05"/>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147</w:t>
            </w:r>
          </w:p>
        </w:tc>
        <w:tc>
          <w:tcPr>
            <w:tcW w:w="1422" w:type="dxa"/>
            <w:tcBorders>
              <w:top w:val="single" w:sz="4" w:space="0" w:color="auto"/>
              <w:left w:val="nil"/>
              <w:bottom w:val="single" w:sz="4" w:space="0" w:color="auto"/>
              <w:right w:val="nil"/>
            </w:tcBorders>
            <w:shd w:val="clear" w:color="auto" w:fill="auto"/>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444</w:t>
            </w:r>
          </w:p>
        </w:tc>
        <w:tc>
          <w:tcPr>
            <w:tcW w:w="1344" w:type="dxa"/>
            <w:tcBorders>
              <w:top w:val="single" w:sz="4" w:space="0" w:color="auto"/>
              <w:left w:val="nil"/>
              <w:bottom w:val="single" w:sz="4" w:space="0" w:color="auto"/>
              <w:right w:val="nil"/>
            </w:tcBorders>
            <w:shd w:val="clear" w:color="000000" w:fill="E28C05"/>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276</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1515</w:t>
            </w:r>
          </w:p>
        </w:tc>
      </w:tr>
      <w:tr w:rsidR="00A4660D" w:rsidRPr="00826AEA" w:rsidTr="00826AEA">
        <w:trPr>
          <w:trHeight w:val="300"/>
          <w:jc w:val="center"/>
        </w:trPr>
        <w:tc>
          <w:tcPr>
            <w:tcW w:w="7421" w:type="dxa"/>
            <w:gridSpan w:val="6"/>
            <w:tcBorders>
              <w:top w:val="nil"/>
              <w:left w:val="nil"/>
              <w:bottom w:val="nil"/>
              <w:right w:val="nil"/>
            </w:tcBorders>
            <w:shd w:val="clear" w:color="auto" w:fill="auto"/>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 includes additional space in Jarrow and Nottingham (Standard Court)</w:t>
            </w:r>
          </w:p>
        </w:tc>
        <w:tc>
          <w:tcPr>
            <w:tcW w:w="1039" w:type="dxa"/>
            <w:tcBorders>
              <w:top w:val="nil"/>
              <w:left w:val="nil"/>
              <w:bottom w:val="nil"/>
              <w:right w:val="nil"/>
            </w:tcBorders>
            <w:shd w:val="clear" w:color="auto" w:fill="auto"/>
            <w:noWrap/>
            <w:vAlign w:val="center"/>
            <w:hideMark/>
          </w:tcPr>
          <w:p w:rsidR="00A4660D" w:rsidRPr="00826AEA" w:rsidRDefault="00A4660D" w:rsidP="00826AEA">
            <w:pPr>
              <w:spacing w:after="0" w:line="240" w:lineRule="auto"/>
              <w:jc w:val="center"/>
              <w:rPr>
                <w:rFonts w:eastAsia="Times New Roman" w:cs="Arial"/>
                <w:color w:val="000000"/>
                <w:sz w:val="20"/>
                <w:szCs w:val="20"/>
                <w:lang w:eastAsia="en-GB"/>
              </w:rPr>
            </w:pPr>
          </w:p>
        </w:tc>
      </w:tr>
    </w:tbl>
    <w:p w:rsidR="00A4660D" w:rsidRPr="00826AEA" w:rsidRDefault="00826AEA" w:rsidP="00826AEA">
      <w:pPr>
        <w:spacing w:before="240"/>
        <w:ind w:left="567"/>
      </w:pPr>
      <w:r>
        <w:rPr>
          <w:i/>
        </w:rPr>
        <w:t xml:space="preserve">Table 4: </w:t>
      </w:r>
      <w:r w:rsidRPr="00826AEA">
        <w:t>Workstations, desk-sharing ratios and space per head</w:t>
      </w:r>
    </w:p>
    <w:tbl>
      <w:tblPr>
        <w:tblW w:w="8682" w:type="dxa"/>
        <w:jc w:val="center"/>
        <w:tblInd w:w="288" w:type="dxa"/>
        <w:tblLook w:val="04A0" w:firstRow="1" w:lastRow="0" w:firstColumn="1" w:lastColumn="0" w:noHBand="0" w:noVBand="1"/>
      </w:tblPr>
      <w:tblGrid>
        <w:gridCol w:w="1666"/>
        <w:gridCol w:w="1142"/>
        <w:gridCol w:w="1252"/>
        <w:gridCol w:w="950"/>
        <w:gridCol w:w="1328"/>
        <w:gridCol w:w="1424"/>
        <w:gridCol w:w="920"/>
      </w:tblGrid>
      <w:tr w:rsidR="00E479E3" w:rsidRPr="00826AEA" w:rsidTr="00826AEA">
        <w:trPr>
          <w:trHeight w:val="300"/>
          <w:jc w:val="center"/>
        </w:trPr>
        <w:tc>
          <w:tcPr>
            <w:tcW w:w="1666" w:type="dxa"/>
            <w:tcBorders>
              <w:top w:val="nil"/>
              <w:left w:val="single" w:sz="4" w:space="0" w:color="auto"/>
              <w:bottom w:val="single" w:sz="4" w:space="0" w:color="auto"/>
              <w:right w:val="nil"/>
            </w:tcBorders>
            <w:shd w:val="clear" w:color="000000" w:fill="56008C"/>
            <w:vAlign w:val="center"/>
            <w:hideMark/>
          </w:tcPr>
          <w:p w:rsidR="007B130E" w:rsidRPr="00826AEA" w:rsidRDefault="007B130E" w:rsidP="00826AEA">
            <w:pPr>
              <w:spacing w:after="0" w:line="240" w:lineRule="auto"/>
              <w:rPr>
                <w:rFonts w:eastAsia="Times New Roman" w:cs="Arial"/>
                <w:b/>
                <w:bCs/>
                <w:color w:val="E28C05"/>
                <w:sz w:val="20"/>
                <w:szCs w:val="20"/>
                <w:lang w:eastAsia="en-GB"/>
              </w:rPr>
            </w:pPr>
            <w:r w:rsidRPr="00826AEA">
              <w:rPr>
                <w:rFonts w:eastAsia="Times New Roman" w:cs="Arial"/>
                <w:b/>
                <w:bCs/>
                <w:color w:val="E28C05"/>
                <w:sz w:val="20"/>
                <w:szCs w:val="20"/>
                <w:lang w:eastAsia="en-GB"/>
              </w:rPr>
              <w:t> </w:t>
            </w:r>
          </w:p>
        </w:tc>
        <w:tc>
          <w:tcPr>
            <w:tcW w:w="1142" w:type="dxa"/>
            <w:tcBorders>
              <w:top w:val="nil"/>
              <w:left w:val="nil"/>
              <w:bottom w:val="nil"/>
              <w:right w:val="nil"/>
            </w:tcBorders>
            <w:shd w:val="clear" w:color="000000" w:fill="56008C"/>
            <w:noWrap/>
            <w:vAlign w:val="center"/>
            <w:hideMark/>
          </w:tcPr>
          <w:p w:rsidR="007B130E" w:rsidRPr="00826AEA" w:rsidRDefault="007B130E"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London</w:t>
            </w:r>
          </w:p>
        </w:tc>
        <w:tc>
          <w:tcPr>
            <w:tcW w:w="1252" w:type="dxa"/>
            <w:tcBorders>
              <w:top w:val="nil"/>
              <w:left w:val="nil"/>
              <w:bottom w:val="nil"/>
              <w:right w:val="nil"/>
            </w:tcBorders>
            <w:shd w:val="clear" w:color="000000" w:fill="56008C"/>
            <w:vAlign w:val="center"/>
            <w:hideMark/>
          </w:tcPr>
          <w:p w:rsidR="007B130E" w:rsidRPr="00826AEA" w:rsidRDefault="007B130E"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Bristol</w:t>
            </w:r>
          </w:p>
        </w:tc>
        <w:tc>
          <w:tcPr>
            <w:tcW w:w="950" w:type="dxa"/>
            <w:tcBorders>
              <w:top w:val="nil"/>
              <w:left w:val="nil"/>
              <w:bottom w:val="nil"/>
              <w:right w:val="nil"/>
            </w:tcBorders>
            <w:shd w:val="clear" w:color="000000" w:fill="56008C"/>
            <w:noWrap/>
            <w:vAlign w:val="center"/>
            <w:hideMark/>
          </w:tcPr>
          <w:p w:rsidR="007B130E" w:rsidRPr="00826AEA" w:rsidRDefault="007B130E"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Jarrow*</w:t>
            </w:r>
          </w:p>
        </w:tc>
        <w:tc>
          <w:tcPr>
            <w:tcW w:w="1328" w:type="dxa"/>
            <w:tcBorders>
              <w:top w:val="nil"/>
              <w:left w:val="nil"/>
              <w:bottom w:val="nil"/>
              <w:right w:val="nil"/>
            </w:tcBorders>
            <w:shd w:val="clear" w:color="000000" w:fill="56008C"/>
            <w:vAlign w:val="center"/>
            <w:hideMark/>
          </w:tcPr>
          <w:p w:rsidR="007B130E" w:rsidRPr="00826AEA" w:rsidRDefault="007B130E"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Manchester</w:t>
            </w:r>
          </w:p>
        </w:tc>
        <w:tc>
          <w:tcPr>
            <w:tcW w:w="1424" w:type="dxa"/>
            <w:tcBorders>
              <w:top w:val="nil"/>
              <w:left w:val="nil"/>
              <w:bottom w:val="nil"/>
              <w:right w:val="nil"/>
            </w:tcBorders>
            <w:shd w:val="clear" w:color="000000" w:fill="56008C"/>
            <w:noWrap/>
            <w:vAlign w:val="center"/>
            <w:hideMark/>
          </w:tcPr>
          <w:p w:rsidR="007B130E" w:rsidRPr="00826AEA" w:rsidRDefault="007B130E"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Nottingham*</w:t>
            </w:r>
          </w:p>
        </w:tc>
        <w:tc>
          <w:tcPr>
            <w:tcW w:w="920" w:type="dxa"/>
            <w:tcBorders>
              <w:top w:val="nil"/>
              <w:left w:val="nil"/>
              <w:bottom w:val="nil"/>
              <w:right w:val="single" w:sz="4" w:space="0" w:color="auto"/>
            </w:tcBorders>
            <w:shd w:val="clear" w:color="000000" w:fill="56008C"/>
            <w:vAlign w:val="center"/>
            <w:hideMark/>
          </w:tcPr>
          <w:p w:rsidR="007B130E" w:rsidRPr="00826AEA" w:rsidRDefault="007B130E"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Total</w:t>
            </w:r>
          </w:p>
        </w:tc>
      </w:tr>
      <w:tr w:rsidR="007B130E" w:rsidRPr="00826AEA" w:rsidTr="00826AEA">
        <w:trPr>
          <w:trHeight w:val="600"/>
          <w:jc w:val="center"/>
        </w:trPr>
        <w:tc>
          <w:tcPr>
            <w:tcW w:w="1666" w:type="dxa"/>
            <w:tcBorders>
              <w:top w:val="nil"/>
              <w:left w:val="single" w:sz="4" w:space="0" w:color="auto"/>
              <w:bottom w:val="nil"/>
              <w:right w:val="nil"/>
            </w:tcBorders>
            <w:shd w:val="clear" w:color="auto" w:fill="auto"/>
            <w:vAlign w:val="center"/>
            <w:hideMark/>
          </w:tcPr>
          <w:p w:rsidR="007B130E" w:rsidRPr="00826AEA" w:rsidRDefault="007B130E" w:rsidP="00826AEA">
            <w:pPr>
              <w:spacing w:after="0" w:line="240" w:lineRule="auto"/>
              <w:rPr>
                <w:rFonts w:eastAsia="Times New Roman" w:cs="Arial"/>
                <w:color w:val="000000"/>
                <w:sz w:val="20"/>
                <w:szCs w:val="20"/>
                <w:lang w:eastAsia="en-GB"/>
              </w:rPr>
            </w:pPr>
            <w:r w:rsidRPr="00826AEA">
              <w:rPr>
                <w:rFonts w:eastAsia="Times New Roman" w:cs="Arial"/>
                <w:color w:val="000000"/>
                <w:sz w:val="20"/>
                <w:szCs w:val="20"/>
                <w:lang w:eastAsia="en-GB"/>
              </w:rPr>
              <w:t>Number of work stations</w:t>
            </w:r>
          </w:p>
        </w:tc>
        <w:tc>
          <w:tcPr>
            <w:tcW w:w="1142" w:type="dxa"/>
            <w:tcBorders>
              <w:top w:val="single" w:sz="4" w:space="0" w:color="auto"/>
              <w:left w:val="nil"/>
              <w:bottom w:val="nil"/>
              <w:right w:val="nil"/>
            </w:tcBorders>
            <w:shd w:val="clear" w:color="000000" w:fill="E28C05"/>
            <w:noWrap/>
            <w:vAlign w:val="center"/>
            <w:hideMark/>
          </w:tcPr>
          <w:p w:rsidR="007B130E" w:rsidRPr="00826AEA" w:rsidRDefault="007B130E"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48</w:t>
            </w:r>
          </w:p>
        </w:tc>
        <w:tc>
          <w:tcPr>
            <w:tcW w:w="1252" w:type="dxa"/>
            <w:tcBorders>
              <w:top w:val="single" w:sz="4" w:space="0" w:color="auto"/>
              <w:left w:val="nil"/>
              <w:bottom w:val="nil"/>
              <w:right w:val="nil"/>
            </w:tcBorders>
            <w:shd w:val="clear" w:color="auto" w:fill="auto"/>
            <w:noWrap/>
            <w:vAlign w:val="center"/>
            <w:hideMark/>
          </w:tcPr>
          <w:p w:rsidR="007B130E" w:rsidRPr="00826AEA" w:rsidRDefault="007B130E"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24</w:t>
            </w:r>
          </w:p>
        </w:tc>
        <w:tc>
          <w:tcPr>
            <w:tcW w:w="950" w:type="dxa"/>
            <w:tcBorders>
              <w:top w:val="single" w:sz="4" w:space="0" w:color="auto"/>
              <w:left w:val="nil"/>
              <w:bottom w:val="nil"/>
              <w:right w:val="nil"/>
            </w:tcBorders>
            <w:shd w:val="clear" w:color="000000" w:fill="E28C05"/>
            <w:noWrap/>
            <w:vAlign w:val="center"/>
            <w:hideMark/>
          </w:tcPr>
          <w:p w:rsidR="007B130E" w:rsidRPr="00826AEA" w:rsidRDefault="007B130E"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14</w:t>
            </w:r>
          </w:p>
        </w:tc>
        <w:tc>
          <w:tcPr>
            <w:tcW w:w="1328" w:type="dxa"/>
            <w:tcBorders>
              <w:top w:val="single" w:sz="4" w:space="0" w:color="auto"/>
              <w:left w:val="nil"/>
              <w:bottom w:val="nil"/>
              <w:right w:val="nil"/>
            </w:tcBorders>
            <w:shd w:val="clear" w:color="auto" w:fill="auto"/>
            <w:noWrap/>
            <w:vAlign w:val="center"/>
            <w:hideMark/>
          </w:tcPr>
          <w:p w:rsidR="007B130E" w:rsidRPr="00826AEA" w:rsidRDefault="007B130E"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32</w:t>
            </w:r>
          </w:p>
        </w:tc>
        <w:tc>
          <w:tcPr>
            <w:tcW w:w="1424" w:type="dxa"/>
            <w:tcBorders>
              <w:top w:val="single" w:sz="4" w:space="0" w:color="auto"/>
              <w:left w:val="nil"/>
              <w:bottom w:val="nil"/>
              <w:right w:val="nil"/>
            </w:tcBorders>
            <w:shd w:val="clear" w:color="000000" w:fill="E28C05"/>
            <w:noWrap/>
            <w:vAlign w:val="center"/>
            <w:hideMark/>
          </w:tcPr>
          <w:p w:rsidR="007B130E" w:rsidRPr="00826AEA" w:rsidRDefault="007B130E"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18</w:t>
            </w:r>
          </w:p>
        </w:tc>
        <w:tc>
          <w:tcPr>
            <w:tcW w:w="920" w:type="dxa"/>
            <w:tcBorders>
              <w:top w:val="single" w:sz="4" w:space="0" w:color="auto"/>
              <w:left w:val="nil"/>
              <w:bottom w:val="nil"/>
              <w:right w:val="single" w:sz="4" w:space="0" w:color="auto"/>
            </w:tcBorders>
            <w:shd w:val="clear" w:color="auto" w:fill="auto"/>
            <w:noWrap/>
            <w:vAlign w:val="center"/>
            <w:hideMark/>
          </w:tcPr>
          <w:p w:rsidR="007B130E" w:rsidRPr="00826AEA" w:rsidRDefault="007B130E"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136</w:t>
            </w:r>
          </w:p>
        </w:tc>
      </w:tr>
      <w:tr w:rsidR="007B130E" w:rsidRPr="00826AEA" w:rsidTr="00826AEA">
        <w:trPr>
          <w:trHeight w:val="300"/>
          <w:jc w:val="center"/>
        </w:trPr>
        <w:tc>
          <w:tcPr>
            <w:tcW w:w="1666" w:type="dxa"/>
            <w:tcBorders>
              <w:top w:val="single" w:sz="4" w:space="0" w:color="auto"/>
              <w:left w:val="single" w:sz="4" w:space="0" w:color="auto"/>
              <w:bottom w:val="single" w:sz="4" w:space="0" w:color="auto"/>
              <w:right w:val="nil"/>
            </w:tcBorders>
            <w:shd w:val="clear" w:color="auto" w:fill="auto"/>
            <w:vAlign w:val="center"/>
            <w:hideMark/>
          </w:tcPr>
          <w:p w:rsidR="007B130E" w:rsidRPr="00826AEA" w:rsidRDefault="007B130E" w:rsidP="00826AEA">
            <w:pPr>
              <w:spacing w:after="0" w:line="240" w:lineRule="auto"/>
              <w:rPr>
                <w:rFonts w:eastAsia="Times New Roman" w:cs="Arial"/>
                <w:color w:val="000000"/>
                <w:sz w:val="20"/>
                <w:szCs w:val="20"/>
                <w:lang w:eastAsia="en-GB"/>
              </w:rPr>
            </w:pPr>
            <w:r w:rsidRPr="00826AEA">
              <w:rPr>
                <w:rFonts w:eastAsia="Times New Roman" w:cs="Arial"/>
                <w:color w:val="000000"/>
                <w:sz w:val="20"/>
                <w:szCs w:val="20"/>
                <w:lang w:eastAsia="en-GB"/>
              </w:rPr>
              <w:t>Desk sharing ratio</w:t>
            </w:r>
          </w:p>
        </w:tc>
        <w:tc>
          <w:tcPr>
            <w:tcW w:w="1142" w:type="dxa"/>
            <w:tcBorders>
              <w:top w:val="single" w:sz="4" w:space="0" w:color="auto"/>
              <w:left w:val="nil"/>
              <w:bottom w:val="single" w:sz="4" w:space="0" w:color="auto"/>
              <w:right w:val="nil"/>
            </w:tcBorders>
            <w:shd w:val="clear" w:color="000000" w:fill="E28C05"/>
            <w:noWrap/>
            <w:vAlign w:val="center"/>
            <w:hideMark/>
          </w:tcPr>
          <w:p w:rsidR="007B130E" w:rsidRPr="00826AEA" w:rsidRDefault="007B130E"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1.26</w:t>
            </w:r>
          </w:p>
        </w:tc>
        <w:tc>
          <w:tcPr>
            <w:tcW w:w="1252" w:type="dxa"/>
            <w:tcBorders>
              <w:top w:val="single" w:sz="4" w:space="0" w:color="auto"/>
              <w:left w:val="nil"/>
              <w:bottom w:val="single" w:sz="4" w:space="0" w:color="auto"/>
              <w:right w:val="nil"/>
            </w:tcBorders>
            <w:shd w:val="clear" w:color="auto" w:fill="auto"/>
            <w:noWrap/>
            <w:vAlign w:val="center"/>
            <w:hideMark/>
          </w:tcPr>
          <w:p w:rsidR="007B130E" w:rsidRPr="00826AEA" w:rsidRDefault="007B130E"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0.86</w:t>
            </w:r>
          </w:p>
        </w:tc>
        <w:tc>
          <w:tcPr>
            <w:tcW w:w="950" w:type="dxa"/>
            <w:tcBorders>
              <w:top w:val="single" w:sz="4" w:space="0" w:color="auto"/>
              <w:left w:val="nil"/>
              <w:bottom w:val="single" w:sz="4" w:space="0" w:color="auto"/>
              <w:right w:val="nil"/>
            </w:tcBorders>
            <w:shd w:val="clear" w:color="000000" w:fill="E28C05"/>
            <w:noWrap/>
            <w:vAlign w:val="center"/>
            <w:hideMark/>
          </w:tcPr>
          <w:p w:rsidR="007B130E" w:rsidRPr="00826AEA" w:rsidRDefault="007B130E"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0.93</w:t>
            </w:r>
          </w:p>
        </w:tc>
        <w:tc>
          <w:tcPr>
            <w:tcW w:w="1328" w:type="dxa"/>
            <w:tcBorders>
              <w:top w:val="single" w:sz="4" w:space="0" w:color="auto"/>
              <w:left w:val="nil"/>
              <w:bottom w:val="single" w:sz="4" w:space="0" w:color="auto"/>
              <w:right w:val="nil"/>
            </w:tcBorders>
            <w:shd w:val="clear" w:color="auto" w:fill="auto"/>
            <w:noWrap/>
            <w:vAlign w:val="center"/>
            <w:hideMark/>
          </w:tcPr>
          <w:p w:rsidR="007B130E" w:rsidRPr="00826AEA" w:rsidRDefault="007B130E"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1.14</w:t>
            </w:r>
          </w:p>
        </w:tc>
        <w:tc>
          <w:tcPr>
            <w:tcW w:w="1424" w:type="dxa"/>
            <w:tcBorders>
              <w:top w:val="single" w:sz="4" w:space="0" w:color="auto"/>
              <w:left w:val="nil"/>
              <w:bottom w:val="single" w:sz="4" w:space="0" w:color="auto"/>
              <w:right w:val="nil"/>
            </w:tcBorders>
            <w:shd w:val="clear" w:color="000000" w:fill="E28C05"/>
            <w:noWrap/>
            <w:vAlign w:val="center"/>
            <w:hideMark/>
          </w:tcPr>
          <w:p w:rsidR="007B130E" w:rsidRPr="00826AEA" w:rsidRDefault="007B130E"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0.86</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7B130E" w:rsidRPr="00826AEA" w:rsidRDefault="007B130E"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1.05</w:t>
            </w:r>
          </w:p>
        </w:tc>
      </w:tr>
      <w:tr w:rsidR="007B130E" w:rsidRPr="00826AEA" w:rsidTr="00826AEA">
        <w:trPr>
          <w:trHeight w:val="600"/>
          <w:jc w:val="center"/>
        </w:trPr>
        <w:tc>
          <w:tcPr>
            <w:tcW w:w="1666" w:type="dxa"/>
            <w:tcBorders>
              <w:top w:val="nil"/>
              <w:left w:val="single" w:sz="4" w:space="0" w:color="auto"/>
              <w:bottom w:val="single" w:sz="4" w:space="0" w:color="auto"/>
              <w:right w:val="nil"/>
            </w:tcBorders>
            <w:shd w:val="clear" w:color="auto" w:fill="auto"/>
            <w:vAlign w:val="center"/>
            <w:hideMark/>
          </w:tcPr>
          <w:p w:rsidR="007B130E" w:rsidRPr="00826AEA" w:rsidRDefault="007B130E" w:rsidP="00826AEA">
            <w:pPr>
              <w:spacing w:after="0" w:line="240" w:lineRule="auto"/>
              <w:rPr>
                <w:rFonts w:eastAsia="Times New Roman" w:cs="Arial"/>
                <w:color w:val="000000"/>
                <w:sz w:val="20"/>
                <w:szCs w:val="20"/>
                <w:lang w:eastAsia="en-GB"/>
              </w:rPr>
            </w:pPr>
            <w:r w:rsidRPr="00826AEA">
              <w:rPr>
                <w:rFonts w:eastAsia="Times New Roman" w:cs="Arial"/>
                <w:color w:val="000000"/>
                <w:sz w:val="20"/>
                <w:szCs w:val="20"/>
                <w:lang w:eastAsia="en-GB"/>
              </w:rPr>
              <w:t>Space (M2) per person *NIA)</w:t>
            </w:r>
          </w:p>
        </w:tc>
        <w:tc>
          <w:tcPr>
            <w:tcW w:w="1142" w:type="dxa"/>
            <w:tcBorders>
              <w:top w:val="nil"/>
              <w:left w:val="nil"/>
              <w:bottom w:val="single" w:sz="4" w:space="0" w:color="auto"/>
              <w:right w:val="nil"/>
            </w:tcBorders>
            <w:shd w:val="clear" w:color="000000" w:fill="E28C05"/>
            <w:noWrap/>
            <w:vAlign w:val="center"/>
            <w:hideMark/>
          </w:tcPr>
          <w:p w:rsidR="007B130E" w:rsidRPr="00826AEA" w:rsidRDefault="007B130E"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10.65</w:t>
            </w:r>
          </w:p>
        </w:tc>
        <w:tc>
          <w:tcPr>
            <w:tcW w:w="1252" w:type="dxa"/>
            <w:tcBorders>
              <w:top w:val="nil"/>
              <w:left w:val="nil"/>
              <w:bottom w:val="single" w:sz="4" w:space="0" w:color="auto"/>
              <w:right w:val="nil"/>
            </w:tcBorders>
            <w:shd w:val="clear" w:color="auto" w:fill="auto"/>
            <w:noWrap/>
            <w:vAlign w:val="center"/>
            <w:hideMark/>
          </w:tcPr>
          <w:p w:rsidR="007B130E" w:rsidRPr="00826AEA" w:rsidRDefault="007B130E"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8.71</w:t>
            </w:r>
          </w:p>
        </w:tc>
        <w:tc>
          <w:tcPr>
            <w:tcW w:w="950" w:type="dxa"/>
            <w:tcBorders>
              <w:top w:val="nil"/>
              <w:left w:val="nil"/>
              <w:bottom w:val="single" w:sz="4" w:space="0" w:color="auto"/>
              <w:right w:val="nil"/>
            </w:tcBorders>
            <w:shd w:val="clear" w:color="000000" w:fill="E28C05"/>
            <w:noWrap/>
            <w:vAlign w:val="center"/>
            <w:hideMark/>
          </w:tcPr>
          <w:p w:rsidR="007B130E" w:rsidRPr="00826AEA" w:rsidRDefault="007B130E"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9.80</w:t>
            </w:r>
          </w:p>
        </w:tc>
        <w:tc>
          <w:tcPr>
            <w:tcW w:w="1328" w:type="dxa"/>
            <w:tcBorders>
              <w:top w:val="nil"/>
              <w:left w:val="nil"/>
              <w:bottom w:val="single" w:sz="4" w:space="0" w:color="auto"/>
              <w:right w:val="nil"/>
            </w:tcBorders>
            <w:shd w:val="clear" w:color="auto" w:fill="auto"/>
            <w:noWrap/>
            <w:vAlign w:val="center"/>
            <w:hideMark/>
          </w:tcPr>
          <w:p w:rsidR="007B130E" w:rsidRPr="00826AEA" w:rsidRDefault="007B130E"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15.85</w:t>
            </w:r>
          </w:p>
        </w:tc>
        <w:tc>
          <w:tcPr>
            <w:tcW w:w="1424" w:type="dxa"/>
            <w:tcBorders>
              <w:top w:val="nil"/>
              <w:left w:val="nil"/>
              <w:bottom w:val="single" w:sz="4" w:space="0" w:color="auto"/>
              <w:right w:val="nil"/>
            </w:tcBorders>
            <w:shd w:val="clear" w:color="000000" w:fill="E28C05"/>
            <w:noWrap/>
            <w:vAlign w:val="center"/>
            <w:hideMark/>
          </w:tcPr>
          <w:p w:rsidR="007B130E" w:rsidRPr="00826AEA" w:rsidRDefault="007B130E"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13.14</w:t>
            </w:r>
          </w:p>
        </w:tc>
        <w:tc>
          <w:tcPr>
            <w:tcW w:w="920" w:type="dxa"/>
            <w:tcBorders>
              <w:top w:val="nil"/>
              <w:left w:val="nil"/>
              <w:bottom w:val="single" w:sz="4" w:space="0" w:color="auto"/>
              <w:right w:val="single" w:sz="4" w:space="0" w:color="auto"/>
            </w:tcBorders>
            <w:shd w:val="clear" w:color="auto" w:fill="auto"/>
            <w:noWrap/>
            <w:vAlign w:val="center"/>
            <w:hideMark/>
          </w:tcPr>
          <w:p w:rsidR="007B130E" w:rsidRPr="00826AEA" w:rsidRDefault="007B130E"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11.66</w:t>
            </w:r>
          </w:p>
        </w:tc>
      </w:tr>
    </w:tbl>
    <w:p w:rsidR="007B130E" w:rsidRDefault="007B130E" w:rsidP="00826AEA"/>
    <w:p w:rsidR="00D206BC" w:rsidRPr="00270874" w:rsidRDefault="002152D9" w:rsidP="00D206BC">
      <w:pPr>
        <w:pStyle w:val="NumberedParagraph"/>
      </w:pPr>
      <w:r w:rsidRPr="00D206BC">
        <w:rPr>
          <w:rFonts w:cs="Arial"/>
          <w:color w:val="000000"/>
          <w:szCs w:val="22"/>
        </w:rPr>
        <w:t>The following immediate issues</w:t>
      </w:r>
      <w:r w:rsidR="00826AEA">
        <w:rPr>
          <w:rFonts w:cs="Arial"/>
          <w:color w:val="000000"/>
          <w:szCs w:val="22"/>
        </w:rPr>
        <w:t>,</w:t>
      </w:r>
      <w:r w:rsidRPr="00D206BC">
        <w:rPr>
          <w:rFonts w:cs="Arial"/>
          <w:color w:val="000000"/>
          <w:szCs w:val="22"/>
        </w:rPr>
        <w:t xml:space="preserve"> including some legacy issues</w:t>
      </w:r>
      <w:r w:rsidR="00826AEA">
        <w:rPr>
          <w:rFonts w:cs="Arial"/>
          <w:color w:val="000000"/>
          <w:szCs w:val="22"/>
        </w:rPr>
        <w:t>,</w:t>
      </w:r>
      <w:r w:rsidRPr="00D206BC">
        <w:rPr>
          <w:rFonts w:cs="Arial"/>
          <w:color w:val="000000"/>
          <w:szCs w:val="22"/>
        </w:rPr>
        <w:t xml:space="preserve"> need to be highlighted as well since these will impact on the strategy and implementation.</w:t>
      </w:r>
      <w:r w:rsidR="00D206BC" w:rsidRPr="00D206BC">
        <w:t xml:space="preserve"> </w:t>
      </w:r>
    </w:p>
    <w:p w:rsidR="002152D9" w:rsidRPr="00141B31" w:rsidRDefault="002152D9" w:rsidP="00D16EF7">
      <w:pPr>
        <w:pStyle w:val="ListParagraph"/>
      </w:pPr>
      <w:r w:rsidRPr="00141B31">
        <w:t xml:space="preserve">We have an ambitious programme of work </w:t>
      </w:r>
      <w:r w:rsidR="00EB6B1B" w:rsidRPr="00141B31">
        <w:t xml:space="preserve">in the medium term </w:t>
      </w:r>
      <w:r w:rsidRPr="00141B31">
        <w:t>with HRA Approval</w:t>
      </w:r>
      <w:r w:rsidR="00EB6B1B" w:rsidRPr="00141B31">
        <w:t xml:space="preserve"> which must remain our key focus</w:t>
      </w:r>
      <w:r w:rsidR="00E479E3" w:rsidRPr="00141B31">
        <w:t xml:space="preserve"> and priority.</w:t>
      </w:r>
    </w:p>
    <w:p w:rsidR="00EB6B1B" w:rsidRPr="00141B31" w:rsidRDefault="00EB6B1B" w:rsidP="00D16EF7">
      <w:pPr>
        <w:pStyle w:val="ListParagraph"/>
      </w:pPr>
      <w:r w:rsidRPr="00141B31">
        <w:lastRenderedPageBreak/>
        <w:t>We need to maintain moment</w:t>
      </w:r>
      <w:r w:rsidR="00826AEA" w:rsidRPr="00141B31">
        <w:t>um during the transition to Non-</w:t>
      </w:r>
      <w:r w:rsidRPr="00141B31">
        <w:t>Departmental Public Body (NDPB) status and whilst we progress the new Research Governance Framework</w:t>
      </w:r>
      <w:r w:rsidR="00E479E3" w:rsidRPr="00141B31">
        <w:t>.</w:t>
      </w:r>
    </w:p>
    <w:p w:rsidR="002152D9" w:rsidRPr="00141B31" w:rsidRDefault="002152D9" w:rsidP="00D16EF7">
      <w:pPr>
        <w:pStyle w:val="ListParagraph"/>
      </w:pPr>
      <w:r w:rsidRPr="00141B31">
        <w:t xml:space="preserve">We </w:t>
      </w:r>
      <w:r w:rsidR="00EB6B1B" w:rsidRPr="00141B31">
        <w:t xml:space="preserve">continue to </w:t>
      </w:r>
      <w:r w:rsidRPr="00141B31">
        <w:t>have ambitious and stretched targets for business as usual areas of work</w:t>
      </w:r>
      <w:r w:rsidR="00EB6B1B" w:rsidRPr="00141B31">
        <w:t xml:space="preserve"> as we commit to working to achieve 95% of applications to a full committee in 40 calendar days.</w:t>
      </w:r>
    </w:p>
    <w:p w:rsidR="002152D9" w:rsidRPr="00141B31" w:rsidRDefault="00265192" w:rsidP="00D16EF7">
      <w:pPr>
        <w:pStyle w:val="ListParagraph"/>
      </w:pPr>
      <w:r w:rsidRPr="00141B31">
        <w:t xml:space="preserve">The majority of the HRA staff </w:t>
      </w:r>
      <w:proofErr w:type="gramStart"/>
      <w:r w:rsidRPr="00141B31">
        <w:t>are</w:t>
      </w:r>
      <w:proofErr w:type="gramEnd"/>
      <w:r w:rsidRPr="00141B31">
        <w:t xml:space="preserve"> </w:t>
      </w:r>
      <w:r w:rsidR="00E479E3" w:rsidRPr="00141B31">
        <w:t xml:space="preserve">NRES </w:t>
      </w:r>
      <w:r w:rsidRPr="00141B31">
        <w:t>operations staff.  There has been some previous history of poor performance when attempts at introducing more flexible working were made.</w:t>
      </w:r>
      <w:r w:rsidR="00E479E3" w:rsidRPr="00141B31">
        <w:t xml:space="preserve">  We must learn from this.</w:t>
      </w:r>
      <w:r w:rsidRPr="00141B31">
        <w:t xml:space="preserve">  </w:t>
      </w:r>
    </w:p>
    <w:p w:rsidR="00265192" w:rsidRPr="00141B31" w:rsidRDefault="00265192" w:rsidP="00D16EF7">
      <w:pPr>
        <w:pStyle w:val="ListParagraph"/>
      </w:pPr>
      <w:r w:rsidRPr="00141B31">
        <w:t>HRA has introduced innovations into our working practices over the last few years which should assist in the strategy we propose</w:t>
      </w:r>
      <w:r w:rsidR="00E479E3" w:rsidRPr="00141B31">
        <w:t xml:space="preserve"> and place us in a position of strengt</w:t>
      </w:r>
      <w:r w:rsidR="00826AEA" w:rsidRPr="00141B31">
        <w:t>h compared to previous attempts:</w:t>
      </w:r>
    </w:p>
    <w:p w:rsidR="00265192" w:rsidRDefault="000E0B77" w:rsidP="00733141">
      <w:pPr>
        <w:pStyle w:val="NumberedParagraph"/>
        <w:numPr>
          <w:ilvl w:val="1"/>
          <w:numId w:val="8"/>
        </w:numPr>
        <w:ind w:left="1797" w:hanging="357"/>
        <w:contextualSpacing/>
        <w:rPr>
          <w:rFonts w:cs="Arial"/>
          <w:color w:val="000000"/>
          <w:szCs w:val="22"/>
        </w:rPr>
      </w:pPr>
      <w:r>
        <w:rPr>
          <w:rFonts w:cs="Arial"/>
          <w:color w:val="000000"/>
          <w:szCs w:val="22"/>
        </w:rPr>
        <w:t>v</w:t>
      </w:r>
      <w:r w:rsidR="00265192">
        <w:rPr>
          <w:rFonts w:cs="Arial"/>
          <w:color w:val="000000"/>
          <w:szCs w:val="22"/>
        </w:rPr>
        <w:t>ideo conferencing in all offices from April 2014</w:t>
      </w:r>
      <w:r w:rsidR="00792302">
        <w:rPr>
          <w:rFonts w:cs="Arial"/>
          <w:color w:val="000000"/>
          <w:szCs w:val="22"/>
        </w:rPr>
        <w:t>;</w:t>
      </w:r>
    </w:p>
    <w:p w:rsidR="00265192" w:rsidRDefault="000E0B77" w:rsidP="00733141">
      <w:pPr>
        <w:pStyle w:val="NumberedParagraph"/>
        <w:numPr>
          <w:ilvl w:val="1"/>
          <w:numId w:val="8"/>
        </w:numPr>
        <w:ind w:left="1797" w:hanging="357"/>
        <w:contextualSpacing/>
        <w:rPr>
          <w:rFonts w:cs="Arial"/>
          <w:color w:val="000000"/>
          <w:szCs w:val="22"/>
        </w:rPr>
      </w:pPr>
      <w:r>
        <w:rPr>
          <w:rFonts w:cs="Arial"/>
          <w:color w:val="000000"/>
          <w:szCs w:val="22"/>
        </w:rPr>
        <w:t>t</w:t>
      </w:r>
      <w:r w:rsidR="00265192">
        <w:rPr>
          <w:rFonts w:cs="Arial"/>
          <w:color w:val="000000"/>
          <w:szCs w:val="22"/>
        </w:rPr>
        <w:t>ransfer to the HARP database</w:t>
      </w:r>
      <w:r w:rsidR="00792302">
        <w:rPr>
          <w:rFonts w:cs="Arial"/>
          <w:color w:val="000000"/>
          <w:szCs w:val="22"/>
        </w:rPr>
        <w:t>;</w:t>
      </w:r>
    </w:p>
    <w:p w:rsidR="00265192" w:rsidRDefault="000E0B77" w:rsidP="00733141">
      <w:pPr>
        <w:pStyle w:val="NumberedParagraph"/>
        <w:numPr>
          <w:ilvl w:val="1"/>
          <w:numId w:val="8"/>
        </w:numPr>
        <w:ind w:left="1797" w:hanging="357"/>
        <w:contextualSpacing/>
        <w:rPr>
          <w:rFonts w:cs="Arial"/>
          <w:color w:val="000000"/>
          <w:szCs w:val="22"/>
        </w:rPr>
      </w:pPr>
      <w:r>
        <w:rPr>
          <w:rFonts w:cs="Arial"/>
          <w:color w:val="000000"/>
          <w:szCs w:val="22"/>
        </w:rPr>
        <w:t>c</w:t>
      </w:r>
      <w:r w:rsidR="00265192">
        <w:rPr>
          <w:rFonts w:cs="Arial"/>
          <w:color w:val="000000"/>
          <w:szCs w:val="22"/>
        </w:rPr>
        <w:t xml:space="preserve">ommittee papers pilot using </w:t>
      </w:r>
      <w:r w:rsidR="00826AEA">
        <w:rPr>
          <w:rFonts w:cs="Arial"/>
          <w:color w:val="000000"/>
          <w:szCs w:val="22"/>
        </w:rPr>
        <w:t>tablet-</w:t>
      </w:r>
      <w:r w:rsidR="00265192">
        <w:rPr>
          <w:rFonts w:cs="Arial"/>
          <w:color w:val="000000"/>
          <w:szCs w:val="22"/>
        </w:rPr>
        <w:t>type technology</w:t>
      </w:r>
      <w:r w:rsidR="00792302">
        <w:rPr>
          <w:rFonts w:cs="Arial"/>
          <w:color w:val="000000"/>
          <w:szCs w:val="22"/>
        </w:rPr>
        <w:t>;</w:t>
      </w:r>
    </w:p>
    <w:p w:rsidR="00265192" w:rsidRDefault="00826AEA" w:rsidP="00733141">
      <w:pPr>
        <w:pStyle w:val="NumberedParagraph"/>
        <w:numPr>
          <w:ilvl w:val="1"/>
          <w:numId w:val="8"/>
        </w:numPr>
        <w:ind w:left="1797" w:hanging="357"/>
        <w:rPr>
          <w:rFonts w:cs="Arial"/>
          <w:color w:val="000000"/>
          <w:szCs w:val="22"/>
        </w:rPr>
      </w:pPr>
      <w:r>
        <w:rPr>
          <w:rFonts w:cs="Arial"/>
          <w:color w:val="000000"/>
          <w:szCs w:val="22"/>
        </w:rPr>
        <w:t>Bristol office moving to paper</w:t>
      </w:r>
      <w:r w:rsidR="00265192">
        <w:rPr>
          <w:rFonts w:cs="Arial"/>
          <w:color w:val="000000"/>
          <w:szCs w:val="22"/>
        </w:rPr>
        <w:t>less environment</w:t>
      </w:r>
      <w:r>
        <w:rPr>
          <w:rFonts w:cs="Arial"/>
          <w:color w:val="000000"/>
          <w:szCs w:val="22"/>
        </w:rPr>
        <w:t>.</w:t>
      </w:r>
    </w:p>
    <w:p w:rsidR="00C22ED2" w:rsidRDefault="00C22ED2" w:rsidP="00C22ED2">
      <w:pPr>
        <w:pStyle w:val="NumberedParagraph"/>
        <w:rPr>
          <w:rFonts w:cs="Arial"/>
          <w:color w:val="000000"/>
          <w:szCs w:val="22"/>
        </w:rPr>
      </w:pPr>
      <w:r w:rsidRPr="00C22ED2">
        <w:rPr>
          <w:rFonts w:cs="Arial"/>
          <w:color w:val="000000"/>
          <w:szCs w:val="22"/>
        </w:rPr>
        <w:t>In March 2014, the DH approved the organisation’s £4</w:t>
      </w:r>
      <w:r w:rsidR="00826AEA">
        <w:rPr>
          <w:rFonts w:cs="Arial"/>
          <w:color w:val="000000"/>
          <w:szCs w:val="22"/>
        </w:rPr>
        <w:t xml:space="preserve"> </w:t>
      </w:r>
      <w:r w:rsidRPr="00C22ED2">
        <w:rPr>
          <w:rFonts w:cs="Arial"/>
          <w:color w:val="000000"/>
          <w:szCs w:val="22"/>
        </w:rPr>
        <w:t>m</w:t>
      </w:r>
      <w:r w:rsidR="00826AEA">
        <w:rPr>
          <w:rFonts w:cs="Arial"/>
          <w:color w:val="000000"/>
          <w:szCs w:val="22"/>
        </w:rPr>
        <w:t>illion</w:t>
      </w:r>
      <w:r w:rsidRPr="00C22ED2">
        <w:rPr>
          <w:rFonts w:cs="Arial"/>
          <w:color w:val="000000"/>
          <w:szCs w:val="22"/>
        </w:rPr>
        <w:t xml:space="preserve"> business case for the implementation of HRA Approval.</w:t>
      </w:r>
      <w:r w:rsidRPr="00C22ED2">
        <w:rPr>
          <w:rFonts w:cs="Arial"/>
          <w:i/>
          <w:iCs/>
          <w:color w:val="000000"/>
          <w:szCs w:val="22"/>
        </w:rPr>
        <w:t xml:space="preserve"> </w:t>
      </w:r>
      <w:r w:rsidR="00826AEA">
        <w:rPr>
          <w:rFonts w:cs="Arial"/>
          <w:i/>
          <w:iCs/>
          <w:color w:val="000000"/>
          <w:szCs w:val="22"/>
        </w:rPr>
        <w:t xml:space="preserve"> </w:t>
      </w:r>
      <w:r w:rsidR="00E479E3">
        <w:rPr>
          <w:rFonts w:cs="Arial"/>
          <w:iCs/>
          <w:color w:val="000000"/>
          <w:szCs w:val="22"/>
        </w:rPr>
        <w:t>Headcount will increase as a r</w:t>
      </w:r>
      <w:r w:rsidR="00826AEA">
        <w:rPr>
          <w:rFonts w:cs="Arial"/>
          <w:iCs/>
          <w:color w:val="000000"/>
          <w:szCs w:val="22"/>
        </w:rPr>
        <w:t>esult by almost 80 posts, a two-</w:t>
      </w:r>
      <w:r w:rsidR="00E479E3">
        <w:rPr>
          <w:rFonts w:cs="Arial"/>
          <w:iCs/>
          <w:color w:val="000000"/>
          <w:szCs w:val="22"/>
        </w:rPr>
        <w:t>thirds increase on current headcount.</w:t>
      </w:r>
      <w:r w:rsidR="00826AEA">
        <w:rPr>
          <w:rFonts w:cs="Arial"/>
          <w:iCs/>
          <w:color w:val="000000"/>
          <w:szCs w:val="22"/>
        </w:rPr>
        <w:t xml:space="preserve"> </w:t>
      </w:r>
      <w:r w:rsidR="00E479E3">
        <w:rPr>
          <w:rFonts w:cs="Arial"/>
          <w:iCs/>
          <w:color w:val="000000"/>
          <w:szCs w:val="22"/>
        </w:rPr>
        <w:t xml:space="preserve"> </w:t>
      </w:r>
      <w:r w:rsidR="00265192">
        <w:rPr>
          <w:rFonts w:cs="Arial"/>
          <w:color w:val="000000"/>
          <w:szCs w:val="22"/>
        </w:rPr>
        <w:t xml:space="preserve">Expected additional staffing </w:t>
      </w:r>
      <w:r w:rsidR="008C1363">
        <w:rPr>
          <w:rFonts w:cs="Arial"/>
          <w:color w:val="000000"/>
          <w:szCs w:val="22"/>
        </w:rPr>
        <w:t xml:space="preserve">for year 1 </w:t>
      </w:r>
      <w:r w:rsidR="00826AEA">
        <w:rPr>
          <w:rFonts w:cs="Arial"/>
          <w:color w:val="000000"/>
          <w:szCs w:val="22"/>
        </w:rPr>
        <w:t>is</w:t>
      </w:r>
      <w:r w:rsidR="00265192">
        <w:rPr>
          <w:rFonts w:cs="Arial"/>
          <w:color w:val="000000"/>
          <w:szCs w:val="22"/>
        </w:rPr>
        <w:t xml:space="preserve"> shown below which gives us a baseline from which to change.  </w:t>
      </w:r>
    </w:p>
    <w:p w:rsidR="00826AEA" w:rsidRPr="00826AEA" w:rsidRDefault="00826AEA" w:rsidP="00826AEA">
      <w:pPr>
        <w:ind w:left="567"/>
      </w:pPr>
      <w:r>
        <w:rPr>
          <w:i/>
        </w:rPr>
        <w:t>Table 5:</w:t>
      </w:r>
      <w:r>
        <w:t xml:space="preserve"> Additional headcount</w:t>
      </w:r>
    </w:p>
    <w:tbl>
      <w:tblPr>
        <w:tblW w:w="8692" w:type="dxa"/>
        <w:jc w:val="center"/>
        <w:tblInd w:w="136" w:type="dxa"/>
        <w:tblLook w:val="04A0" w:firstRow="1" w:lastRow="0" w:firstColumn="1" w:lastColumn="0" w:noHBand="0" w:noVBand="1"/>
      </w:tblPr>
      <w:tblGrid>
        <w:gridCol w:w="1966"/>
        <w:gridCol w:w="950"/>
        <w:gridCol w:w="1102"/>
        <w:gridCol w:w="872"/>
        <w:gridCol w:w="1395"/>
        <w:gridCol w:w="1327"/>
        <w:gridCol w:w="1080"/>
      </w:tblGrid>
      <w:tr w:rsidR="008C1363" w:rsidRPr="00826AEA" w:rsidTr="00826AEA">
        <w:trPr>
          <w:trHeight w:val="300"/>
          <w:jc w:val="center"/>
        </w:trPr>
        <w:tc>
          <w:tcPr>
            <w:tcW w:w="1966" w:type="dxa"/>
            <w:tcBorders>
              <w:top w:val="nil"/>
              <w:left w:val="single" w:sz="4" w:space="0" w:color="auto"/>
              <w:bottom w:val="single" w:sz="4" w:space="0" w:color="auto"/>
              <w:right w:val="nil"/>
            </w:tcBorders>
            <w:shd w:val="clear" w:color="000000" w:fill="56008C"/>
            <w:vAlign w:val="center"/>
            <w:hideMark/>
          </w:tcPr>
          <w:p w:rsidR="008C1363" w:rsidRPr="00826AEA" w:rsidRDefault="008C1363" w:rsidP="008C1363">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 </w:t>
            </w:r>
          </w:p>
        </w:tc>
        <w:tc>
          <w:tcPr>
            <w:tcW w:w="950" w:type="dxa"/>
            <w:tcBorders>
              <w:top w:val="nil"/>
              <w:left w:val="nil"/>
              <w:bottom w:val="nil"/>
              <w:right w:val="nil"/>
            </w:tcBorders>
            <w:shd w:val="clear" w:color="000000" w:fill="56008C"/>
            <w:noWrap/>
            <w:vAlign w:val="center"/>
            <w:hideMark/>
          </w:tcPr>
          <w:p w:rsidR="008C1363" w:rsidRPr="00826AEA" w:rsidRDefault="008C1363"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London</w:t>
            </w:r>
          </w:p>
        </w:tc>
        <w:tc>
          <w:tcPr>
            <w:tcW w:w="1102" w:type="dxa"/>
            <w:tcBorders>
              <w:top w:val="nil"/>
              <w:left w:val="nil"/>
              <w:bottom w:val="nil"/>
              <w:right w:val="nil"/>
            </w:tcBorders>
            <w:shd w:val="clear" w:color="000000" w:fill="56008C"/>
            <w:vAlign w:val="center"/>
            <w:hideMark/>
          </w:tcPr>
          <w:p w:rsidR="008C1363" w:rsidRPr="00826AEA" w:rsidRDefault="008C1363"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Bristol</w:t>
            </w:r>
          </w:p>
        </w:tc>
        <w:tc>
          <w:tcPr>
            <w:tcW w:w="872" w:type="dxa"/>
            <w:tcBorders>
              <w:top w:val="nil"/>
              <w:left w:val="nil"/>
              <w:bottom w:val="nil"/>
              <w:right w:val="nil"/>
            </w:tcBorders>
            <w:shd w:val="clear" w:color="000000" w:fill="56008C"/>
            <w:noWrap/>
            <w:vAlign w:val="center"/>
            <w:hideMark/>
          </w:tcPr>
          <w:p w:rsidR="008C1363" w:rsidRPr="00826AEA" w:rsidRDefault="008C1363"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Jarrow</w:t>
            </w:r>
          </w:p>
        </w:tc>
        <w:tc>
          <w:tcPr>
            <w:tcW w:w="1395" w:type="dxa"/>
            <w:tcBorders>
              <w:top w:val="nil"/>
              <w:left w:val="nil"/>
              <w:bottom w:val="nil"/>
              <w:right w:val="nil"/>
            </w:tcBorders>
            <w:shd w:val="clear" w:color="000000" w:fill="56008C"/>
            <w:vAlign w:val="center"/>
            <w:hideMark/>
          </w:tcPr>
          <w:p w:rsidR="008C1363" w:rsidRPr="00826AEA" w:rsidRDefault="008C1363"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Manchester</w:t>
            </w:r>
          </w:p>
        </w:tc>
        <w:tc>
          <w:tcPr>
            <w:tcW w:w="1327" w:type="dxa"/>
            <w:tcBorders>
              <w:top w:val="nil"/>
              <w:left w:val="nil"/>
              <w:bottom w:val="nil"/>
              <w:right w:val="nil"/>
            </w:tcBorders>
            <w:shd w:val="clear" w:color="000000" w:fill="56008C"/>
            <w:noWrap/>
            <w:vAlign w:val="center"/>
            <w:hideMark/>
          </w:tcPr>
          <w:p w:rsidR="008C1363" w:rsidRPr="00826AEA" w:rsidRDefault="008C1363"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Nottingham</w:t>
            </w:r>
          </w:p>
        </w:tc>
        <w:tc>
          <w:tcPr>
            <w:tcW w:w="1080" w:type="dxa"/>
            <w:tcBorders>
              <w:top w:val="nil"/>
              <w:left w:val="nil"/>
              <w:bottom w:val="nil"/>
              <w:right w:val="single" w:sz="4" w:space="0" w:color="auto"/>
            </w:tcBorders>
            <w:shd w:val="clear" w:color="000000" w:fill="56008C"/>
            <w:vAlign w:val="center"/>
            <w:hideMark/>
          </w:tcPr>
          <w:p w:rsidR="008C1363" w:rsidRPr="00826AEA" w:rsidRDefault="008C1363" w:rsidP="00826AEA">
            <w:pPr>
              <w:spacing w:after="0" w:line="240" w:lineRule="auto"/>
              <w:jc w:val="center"/>
              <w:rPr>
                <w:rFonts w:eastAsia="Times New Roman" w:cs="Arial"/>
                <w:b/>
                <w:bCs/>
                <w:color w:val="E28C05"/>
                <w:sz w:val="20"/>
                <w:szCs w:val="20"/>
                <w:lang w:eastAsia="en-GB"/>
              </w:rPr>
            </w:pPr>
            <w:r w:rsidRPr="00826AEA">
              <w:rPr>
                <w:rFonts w:eastAsia="Times New Roman" w:cs="Arial"/>
                <w:b/>
                <w:bCs/>
                <w:color w:val="E28C05"/>
                <w:sz w:val="20"/>
                <w:szCs w:val="20"/>
                <w:lang w:eastAsia="en-GB"/>
              </w:rPr>
              <w:t>Total</w:t>
            </w:r>
          </w:p>
        </w:tc>
      </w:tr>
      <w:tr w:rsidR="008C1363" w:rsidRPr="00826AEA" w:rsidTr="00826AEA">
        <w:trPr>
          <w:trHeight w:val="300"/>
          <w:jc w:val="center"/>
        </w:trPr>
        <w:tc>
          <w:tcPr>
            <w:tcW w:w="1966" w:type="dxa"/>
            <w:tcBorders>
              <w:top w:val="nil"/>
              <w:left w:val="single" w:sz="4" w:space="0" w:color="auto"/>
              <w:bottom w:val="nil"/>
              <w:right w:val="nil"/>
            </w:tcBorders>
            <w:shd w:val="clear" w:color="auto" w:fill="auto"/>
            <w:vAlign w:val="bottom"/>
            <w:hideMark/>
          </w:tcPr>
          <w:p w:rsidR="008C1363" w:rsidRPr="00826AEA" w:rsidRDefault="008C1363" w:rsidP="008C1363">
            <w:pPr>
              <w:spacing w:after="0" w:line="240" w:lineRule="auto"/>
              <w:rPr>
                <w:rFonts w:eastAsia="Times New Roman" w:cs="Arial"/>
                <w:color w:val="000000"/>
                <w:sz w:val="20"/>
                <w:szCs w:val="20"/>
                <w:lang w:eastAsia="en-GB"/>
              </w:rPr>
            </w:pPr>
            <w:r w:rsidRPr="00826AEA">
              <w:rPr>
                <w:rFonts w:eastAsia="Times New Roman" w:cs="Arial"/>
                <w:color w:val="000000"/>
                <w:sz w:val="20"/>
                <w:szCs w:val="20"/>
                <w:lang w:eastAsia="en-GB"/>
              </w:rPr>
              <w:t>Operations Staff</w:t>
            </w:r>
          </w:p>
        </w:tc>
        <w:tc>
          <w:tcPr>
            <w:tcW w:w="950" w:type="dxa"/>
            <w:tcBorders>
              <w:top w:val="single" w:sz="4" w:space="0" w:color="auto"/>
              <w:left w:val="nil"/>
              <w:bottom w:val="nil"/>
              <w:right w:val="nil"/>
            </w:tcBorders>
            <w:shd w:val="clear" w:color="000000" w:fill="E28C05"/>
            <w:noWrap/>
            <w:vAlign w:val="center"/>
            <w:hideMark/>
          </w:tcPr>
          <w:p w:rsidR="008C1363" w:rsidRPr="00826AEA" w:rsidRDefault="008C1363"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5</w:t>
            </w:r>
          </w:p>
        </w:tc>
        <w:tc>
          <w:tcPr>
            <w:tcW w:w="1102" w:type="dxa"/>
            <w:tcBorders>
              <w:top w:val="single" w:sz="4" w:space="0" w:color="auto"/>
              <w:left w:val="nil"/>
              <w:bottom w:val="nil"/>
              <w:right w:val="nil"/>
            </w:tcBorders>
            <w:shd w:val="clear" w:color="auto" w:fill="auto"/>
            <w:noWrap/>
            <w:vAlign w:val="center"/>
            <w:hideMark/>
          </w:tcPr>
          <w:p w:rsidR="008C1363" w:rsidRPr="00826AEA" w:rsidRDefault="008C1363"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15</w:t>
            </w:r>
          </w:p>
        </w:tc>
        <w:tc>
          <w:tcPr>
            <w:tcW w:w="872" w:type="dxa"/>
            <w:tcBorders>
              <w:top w:val="single" w:sz="4" w:space="0" w:color="auto"/>
              <w:left w:val="nil"/>
              <w:bottom w:val="nil"/>
              <w:right w:val="nil"/>
            </w:tcBorders>
            <w:shd w:val="clear" w:color="000000" w:fill="E28C05"/>
            <w:noWrap/>
            <w:vAlign w:val="center"/>
            <w:hideMark/>
          </w:tcPr>
          <w:p w:rsidR="008C1363" w:rsidRPr="00826AEA" w:rsidRDefault="008C1363"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8</w:t>
            </w:r>
          </w:p>
        </w:tc>
        <w:tc>
          <w:tcPr>
            <w:tcW w:w="1395" w:type="dxa"/>
            <w:tcBorders>
              <w:top w:val="single" w:sz="4" w:space="0" w:color="auto"/>
              <w:left w:val="nil"/>
              <w:bottom w:val="nil"/>
              <w:right w:val="nil"/>
            </w:tcBorders>
            <w:shd w:val="clear" w:color="auto" w:fill="auto"/>
            <w:noWrap/>
            <w:vAlign w:val="center"/>
            <w:hideMark/>
          </w:tcPr>
          <w:p w:rsidR="008C1363" w:rsidRPr="00826AEA" w:rsidRDefault="008C1363"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12</w:t>
            </w:r>
          </w:p>
        </w:tc>
        <w:tc>
          <w:tcPr>
            <w:tcW w:w="1327" w:type="dxa"/>
            <w:tcBorders>
              <w:top w:val="single" w:sz="4" w:space="0" w:color="auto"/>
              <w:left w:val="nil"/>
              <w:bottom w:val="nil"/>
              <w:right w:val="nil"/>
            </w:tcBorders>
            <w:shd w:val="clear" w:color="000000" w:fill="E28C05"/>
            <w:noWrap/>
            <w:vAlign w:val="center"/>
            <w:hideMark/>
          </w:tcPr>
          <w:p w:rsidR="008C1363" w:rsidRPr="00826AEA" w:rsidRDefault="008C1363"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10</w:t>
            </w:r>
          </w:p>
        </w:tc>
        <w:tc>
          <w:tcPr>
            <w:tcW w:w="1080" w:type="dxa"/>
            <w:tcBorders>
              <w:top w:val="single" w:sz="4" w:space="0" w:color="auto"/>
              <w:left w:val="nil"/>
              <w:bottom w:val="nil"/>
              <w:right w:val="single" w:sz="4" w:space="0" w:color="auto"/>
            </w:tcBorders>
            <w:shd w:val="clear" w:color="auto" w:fill="auto"/>
            <w:noWrap/>
            <w:vAlign w:val="center"/>
            <w:hideMark/>
          </w:tcPr>
          <w:p w:rsidR="008C1363" w:rsidRPr="00826AEA" w:rsidRDefault="008C1363"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50</w:t>
            </w:r>
          </w:p>
        </w:tc>
      </w:tr>
      <w:tr w:rsidR="008C1363" w:rsidRPr="00826AEA" w:rsidTr="00826AEA">
        <w:trPr>
          <w:trHeight w:val="300"/>
          <w:jc w:val="center"/>
        </w:trPr>
        <w:tc>
          <w:tcPr>
            <w:tcW w:w="1966" w:type="dxa"/>
            <w:tcBorders>
              <w:top w:val="single" w:sz="4" w:space="0" w:color="auto"/>
              <w:left w:val="single" w:sz="4" w:space="0" w:color="auto"/>
              <w:bottom w:val="nil"/>
              <w:right w:val="nil"/>
            </w:tcBorders>
            <w:shd w:val="clear" w:color="auto" w:fill="auto"/>
            <w:vAlign w:val="bottom"/>
            <w:hideMark/>
          </w:tcPr>
          <w:p w:rsidR="008C1363" w:rsidRPr="00826AEA" w:rsidRDefault="008C1363" w:rsidP="008C1363">
            <w:pPr>
              <w:spacing w:after="0" w:line="240" w:lineRule="auto"/>
              <w:rPr>
                <w:rFonts w:eastAsia="Times New Roman" w:cs="Arial"/>
                <w:color w:val="000000"/>
                <w:sz w:val="20"/>
                <w:szCs w:val="20"/>
                <w:lang w:eastAsia="en-GB"/>
              </w:rPr>
            </w:pPr>
            <w:r w:rsidRPr="00826AEA">
              <w:rPr>
                <w:rFonts w:eastAsia="Times New Roman" w:cs="Arial"/>
                <w:color w:val="000000"/>
                <w:sz w:val="20"/>
                <w:szCs w:val="20"/>
                <w:lang w:eastAsia="en-GB"/>
              </w:rPr>
              <w:t>Non-operations staff</w:t>
            </w:r>
          </w:p>
        </w:tc>
        <w:tc>
          <w:tcPr>
            <w:tcW w:w="950" w:type="dxa"/>
            <w:tcBorders>
              <w:top w:val="single" w:sz="4" w:space="0" w:color="auto"/>
              <w:left w:val="nil"/>
              <w:bottom w:val="nil"/>
              <w:right w:val="nil"/>
            </w:tcBorders>
            <w:shd w:val="clear" w:color="000000" w:fill="E28C05"/>
            <w:noWrap/>
            <w:vAlign w:val="center"/>
            <w:hideMark/>
          </w:tcPr>
          <w:p w:rsidR="008C1363" w:rsidRPr="00826AEA" w:rsidRDefault="008C1363"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22</w:t>
            </w:r>
          </w:p>
        </w:tc>
        <w:tc>
          <w:tcPr>
            <w:tcW w:w="1102" w:type="dxa"/>
            <w:tcBorders>
              <w:top w:val="single" w:sz="4" w:space="0" w:color="auto"/>
              <w:left w:val="nil"/>
              <w:bottom w:val="nil"/>
              <w:right w:val="nil"/>
            </w:tcBorders>
            <w:shd w:val="clear" w:color="auto" w:fill="auto"/>
            <w:noWrap/>
            <w:vAlign w:val="center"/>
            <w:hideMark/>
          </w:tcPr>
          <w:p w:rsidR="008C1363" w:rsidRPr="00826AEA" w:rsidRDefault="008C1363"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0</w:t>
            </w:r>
          </w:p>
        </w:tc>
        <w:tc>
          <w:tcPr>
            <w:tcW w:w="872" w:type="dxa"/>
            <w:tcBorders>
              <w:top w:val="single" w:sz="4" w:space="0" w:color="auto"/>
              <w:left w:val="nil"/>
              <w:bottom w:val="nil"/>
              <w:right w:val="nil"/>
            </w:tcBorders>
            <w:shd w:val="clear" w:color="000000" w:fill="E28C05"/>
            <w:noWrap/>
            <w:vAlign w:val="center"/>
            <w:hideMark/>
          </w:tcPr>
          <w:p w:rsidR="008C1363" w:rsidRPr="00826AEA" w:rsidRDefault="008C1363"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0</w:t>
            </w:r>
          </w:p>
        </w:tc>
        <w:tc>
          <w:tcPr>
            <w:tcW w:w="1395" w:type="dxa"/>
            <w:tcBorders>
              <w:top w:val="single" w:sz="4" w:space="0" w:color="auto"/>
              <w:left w:val="nil"/>
              <w:bottom w:val="nil"/>
              <w:right w:val="nil"/>
            </w:tcBorders>
            <w:shd w:val="clear" w:color="auto" w:fill="auto"/>
            <w:noWrap/>
            <w:vAlign w:val="center"/>
            <w:hideMark/>
          </w:tcPr>
          <w:p w:rsidR="008C1363" w:rsidRPr="00826AEA" w:rsidRDefault="008C1363"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4</w:t>
            </w:r>
          </w:p>
        </w:tc>
        <w:tc>
          <w:tcPr>
            <w:tcW w:w="1327" w:type="dxa"/>
            <w:tcBorders>
              <w:top w:val="single" w:sz="4" w:space="0" w:color="auto"/>
              <w:left w:val="nil"/>
              <w:bottom w:val="nil"/>
              <w:right w:val="nil"/>
            </w:tcBorders>
            <w:shd w:val="clear" w:color="000000" w:fill="E28C05"/>
            <w:noWrap/>
            <w:vAlign w:val="center"/>
            <w:hideMark/>
          </w:tcPr>
          <w:p w:rsidR="008C1363" w:rsidRPr="00826AEA" w:rsidRDefault="008C1363"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2</w:t>
            </w:r>
          </w:p>
        </w:tc>
        <w:tc>
          <w:tcPr>
            <w:tcW w:w="1080" w:type="dxa"/>
            <w:tcBorders>
              <w:top w:val="single" w:sz="4" w:space="0" w:color="auto"/>
              <w:left w:val="nil"/>
              <w:bottom w:val="nil"/>
              <w:right w:val="single" w:sz="4" w:space="0" w:color="auto"/>
            </w:tcBorders>
            <w:shd w:val="clear" w:color="auto" w:fill="auto"/>
            <w:noWrap/>
            <w:vAlign w:val="center"/>
            <w:hideMark/>
          </w:tcPr>
          <w:p w:rsidR="008C1363" w:rsidRPr="00826AEA" w:rsidRDefault="008C1363"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28</w:t>
            </w:r>
          </w:p>
        </w:tc>
      </w:tr>
      <w:tr w:rsidR="008C1363" w:rsidRPr="00826AEA" w:rsidTr="00826AEA">
        <w:trPr>
          <w:trHeight w:val="300"/>
          <w:jc w:val="center"/>
        </w:trPr>
        <w:tc>
          <w:tcPr>
            <w:tcW w:w="1966" w:type="dxa"/>
            <w:tcBorders>
              <w:top w:val="single" w:sz="4" w:space="0" w:color="auto"/>
              <w:left w:val="single" w:sz="4" w:space="0" w:color="auto"/>
              <w:bottom w:val="single" w:sz="4" w:space="0" w:color="auto"/>
              <w:right w:val="nil"/>
            </w:tcBorders>
            <w:shd w:val="clear" w:color="auto" w:fill="auto"/>
            <w:vAlign w:val="bottom"/>
            <w:hideMark/>
          </w:tcPr>
          <w:p w:rsidR="008C1363" w:rsidRPr="00826AEA" w:rsidRDefault="008C1363" w:rsidP="008C1363">
            <w:pPr>
              <w:spacing w:after="0" w:line="240" w:lineRule="auto"/>
              <w:rPr>
                <w:rFonts w:eastAsia="Times New Roman" w:cs="Arial"/>
                <w:b/>
                <w:bCs/>
                <w:color w:val="000000"/>
                <w:sz w:val="20"/>
                <w:szCs w:val="20"/>
                <w:lang w:eastAsia="en-GB"/>
              </w:rPr>
            </w:pPr>
            <w:r w:rsidRPr="00826AEA">
              <w:rPr>
                <w:rFonts w:eastAsia="Times New Roman" w:cs="Arial"/>
                <w:b/>
                <w:bCs/>
                <w:color w:val="000000"/>
                <w:sz w:val="20"/>
                <w:szCs w:val="20"/>
                <w:lang w:eastAsia="en-GB"/>
              </w:rPr>
              <w:t>Total staff</w:t>
            </w:r>
          </w:p>
        </w:tc>
        <w:tc>
          <w:tcPr>
            <w:tcW w:w="950" w:type="dxa"/>
            <w:tcBorders>
              <w:top w:val="single" w:sz="4" w:space="0" w:color="auto"/>
              <w:left w:val="nil"/>
              <w:bottom w:val="single" w:sz="4" w:space="0" w:color="auto"/>
              <w:right w:val="nil"/>
            </w:tcBorders>
            <w:shd w:val="clear" w:color="000000" w:fill="E28C05"/>
            <w:noWrap/>
            <w:vAlign w:val="center"/>
            <w:hideMark/>
          </w:tcPr>
          <w:p w:rsidR="008C1363" w:rsidRPr="00826AEA" w:rsidRDefault="008C1363" w:rsidP="00826AEA">
            <w:pPr>
              <w:spacing w:after="0" w:line="240" w:lineRule="auto"/>
              <w:jc w:val="center"/>
              <w:rPr>
                <w:rFonts w:eastAsia="Times New Roman" w:cs="Arial"/>
                <w:b/>
                <w:bCs/>
                <w:color w:val="000000"/>
                <w:sz w:val="20"/>
                <w:szCs w:val="20"/>
                <w:lang w:eastAsia="en-GB"/>
              </w:rPr>
            </w:pPr>
            <w:r w:rsidRPr="00826AEA">
              <w:rPr>
                <w:rFonts w:eastAsia="Times New Roman" w:cs="Arial"/>
                <w:b/>
                <w:bCs/>
                <w:color w:val="000000"/>
                <w:sz w:val="20"/>
                <w:szCs w:val="20"/>
                <w:lang w:eastAsia="en-GB"/>
              </w:rPr>
              <w:t>27</w:t>
            </w:r>
          </w:p>
        </w:tc>
        <w:tc>
          <w:tcPr>
            <w:tcW w:w="1102" w:type="dxa"/>
            <w:tcBorders>
              <w:top w:val="single" w:sz="4" w:space="0" w:color="auto"/>
              <w:left w:val="nil"/>
              <w:bottom w:val="single" w:sz="4" w:space="0" w:color="auto"/>
              <w:right w:val="nil"/>
            </w:tcBorders>
            <w:shd w:val="clear" w:color="000000" w:fill="E28C05"/>
            <w:noWrap/>
            <w:vAlign w:val="center"/>
            <w:hideMark/>
          </w:tcPr>
          <w:p w:rsidR="008C1363" w:rsidRPr="00826AEA" w:rsidRDefault="008C1363" w:rsidP="00826AEA">
            <w:pPr>
              <w:spacing w:after="0" w:line="240" w:lineRule="auto"/>
              <w:jc w:val="center"/>
              <w:rPr>
                <w:rFonts w:eastAsia="Times New Roman" w:cs="Arial"/>
                <w:b/>
                <w:bCs/>
                <w:color w:val="000000"/>
                <w:sz w:val="20"/>
                <w:szCs w:val="20"/>
                <w:lang w:eastAsia="en-GB"/>
              </w:rPr>
            </w:pPr>
            <w:r w:rsidRPr="00826AEA">
              <w:rPr>
                <w:rFonts w:eastAsia="Times New Roman" w:cs="Arial"/>
                <w:b/>
                <w:bCs/>
                <w:color w:val="000000"/>
                <w:sz w:val="20"/>
                <w:szCs w:val="20"/>
                <w:lang w:eastAsia="en-GB"/>
              </w:rPr>
              <w:t>15</w:t>
            </w:r>
          </w:p>
        </w:tc>
        <w:tc>
          <w:tcPr>
            <w:tcW w:w="872" w:type="dxa"/>
            <w:tcBorders>
              <w:top w:val="single" w:sz="4" w:space="0" w:color="auto"/>
              <w:left w:val="nil"/>
              <w:bottom w:val="single" w:sz="4" w:space="0" w:color="auto"/>
              <w:right w:val="nil"/>
            </w:tcBorders>
            <w:shd w:val="clear" w:color="000000" w:fill="E28C05"/>
            <w:noWrap/>
            <w:vAlign w:val="center"/>
            <w:hideMark/>
          </w:tcPr>
          <w:p w:rsidR="008C1363" w:rsidRPr="00826AEA" w:rsidRDefault="008C1363" w:rsidP="00826AEA">
            <w:pPr>
              <w:spacing w:after="0" w:line="240" w:lineRule="auto"/>
              <w:jc w:val="center"/>
              <w:rPr>
                <w:rFonts w:eastAsia="Times New Roman" w:cs="Arial"/>
                <w:b/>
                <w:bCs/>
                <w:color w:val="000000"/>
                <w:sz w:val="20"/>
                <w:szCs w:val="20"/>
                <w:lang w:eastAsia="en-GB"/>
              </w:rPr>
            </w:pPr>
            <w:r w:rsidRPr="00826AEA">
              <w:rPr>
                <w:rFonts w:eastAsia="Times New Roman" w:cs="Arial"/>
                <w:b/>
                <w:bCs/>
                <w:color w:val="000000"/>
                <w:sz w:val="20"/>
                <w:szCs w:val="20"/>
                <w:lang w:eastAsia="en-GB"/>
              </w:rPr>
              <w:t>8</w:t>
            </w:r>
          </w:p>
        </w:tc>
        <w:tc>
          <w:tcPr>
            <w:tcW w:w="1395" w:type="dxa"/>
            <w:tcBorders>
              <w:top w:val="single" w:sz="4" w:space="0" w:color="auto"/>
              <w:left w:val="nil"/>
              <w:bottom w:val="single" w:sz="4" w:space="0" w:color="auto"/>
              <w:right w:val="nil"/>
            </w:tcBorders>
            <w:shd w:val="clear" w:color="000000" w:fill="E28C05"/>
            <w:noWrap/>
            <w:vAlign w:val="center"/>
            <w:hideMark/>
          </w:tcPr>
          <w:p w:rsidR="008C1363" w:rsidRPr="00826AEA" w:rsidRDefault="008C1363" w:rsidP="00826AEA">
            <w:pPr>
              <w:spacing w:after="0" w:line="240" w:lineRule="auto"/>
              <w:jc w:val="center"/>
              <w:rPr>
                <w:rFonts w:eastAsia="Times New Roman" w:cs="Arial"/>
                <w:b/>
                <w:bCs/>
                <w:color w:val="000000"/>
                <w:sz w:val="20"/>
                <w:szCs w:val="20"/>
                <w:lang w:eastAsia="en-GB"/>
              </w:rPr>
            </w:pPr>
            <w:r w:rsidRPr="00826AEA">
              <w:rPr>
                <w:rFonts w:eastAsia="Times New Roman" w:cs="Arial"/>
                <w:b/>
                <w:bCs/>
                <w:color w:val="000000"/>
                <w:sz w:val="20"/>
                <w:szCs w:val="20"/>
                <w:lang w:eastAsia="en-GB"/>
              </w:rPr>
              <w:t>16</w:t>
            </w:r>
          </w:p>
        </w:tc>
        <w:tc>
          <w:tcPr>
            <w:tcW w:w="1327" w:type="dxa"/>
            <w:tcBorders>
              <w:top w:val="single" w:sz="4" w:space="0" w:color="auto"/>
              <w:left w:val="nil"/>
              <w:bottom w:val="single" w:sz="4" w:space="0" w:color="auto"/>
              <w:right w:val="nil"/>
            </w:tcBorders>
            <w:shd w:val="clear" w:color="000000" w:fill="E28C05"/>
            <w:noWrap/>
            <w:vAlign w:val="center"/>
            <w:hideMark/>
          </w:tcPr>
          <w:p w:rsidR="008C1363" w:rsidRPr="00826AEA" w:rsidRDefault="008C1363" w:rsidP="00826AEA">
            <w:pPr>
              <w:spacing w:after="0" w:line="240" w:lineRule="auto"/>
              <w:jc w:val="center"/>
              <w:rPr>
                <w:rFonts w:eastAsia="Times New Roman" w:cs="Arial"/>
                <w:b/>
                <w:bCs/>
                <w:color w:val="000000"/>
                <w:sz w:val="20"/>
                <w:szCs w:val="20"/>
                <w:lang w:eastAsia="en-GB"/>
              </w:rPr>
            </w:pPr>
            <w:r w:rsidRPr="00826AEA">
              <w:rPr>
                <w:rFonts w:eastAsia="Times New Roman" w:cs="Arial"/>
                <w:b/>
                <w:bCs/>
                <w:color w:val="000000"/>
                <w:sz w:val="20"/>
                <w:szCs w:val="20"/>
                <w:lang w:eastAsia="en-GB"/>
              </w:rPr>
              <w:t>12</w:t>
            </w:r>
          </w:p>
        </w:tc>
        <w:tc>
          <w:tcPr>
            <w:tcW w:w="1080" w:type="dxa"/>
            <w:tcBorders>
              <w:top w:val="single" w:sz="4" w:space="0" w:color="auto"/>
              <w:left w:val="nil"/>
              <w:bottom w:val="single" w:sz="4" w:space="0" w:color="auto"/>
              <w:right w:val="nil"/>
            </w:tcBorders>
            <w:shd w:val="clear" w:color="000000" w:fill="E28C05"/>
            <w:noWrap/>
            <w:vAlign w:val="center"/>
            <w:hideMark/>
          </w:tcPr>
          <w:p w:rsidR="008C1363" w:rsidRPr="00826AEA" w:rsidRDefault="008C1363" w:rsidP="00826AEA">
            <w:pPr>
              <w:spacing w:after="0" w:line="240" w:lineRule="auto"/>
              <w:jc w:val="center"/>
              <w:rPr>
                <w:rFonts w:eastAsia="Times New Roman" w:cs="Arial"/>
                <w:b/>
                <w:bCs/>
                <w:color w:val="000000"/>
                <w:sz w:val="20"/>
                <w:szCs w:val="20"/>
                <w:lang w:eastAsia="en-GB"/>
              </w:rPr>
            </w:pPr>
            <w:r w:rsidRPr="00826AEA">
              <w:rPr>
                <w:rFonts w:eastAsia="Times New Roman" w:cs="Arial"/>
                <w:b/>
                <w:bCs/>
                <w:color w:val="000000"/>
                <w:sz w:val="20"/>
                <w:szCs w:val="20"/>
                <w:lang w:eastAsia="en-GB"/>
              </w:rPr>
              <w:t>78</w:t>
            </w:r>
          </w:p>
        </w:tc>
      </w:tr>
      <w:tr w:rsidR="008C1363" w:rsidRPr="00826AEA" w:rsidTr="00826AEA">
        <w:trPr>
          <w:trHeight w:val="300"/>
          <w:jc w:val="center"/>
        </w:trPr>
        <w:tc>
          <w:tcPr>
            <w:tcW w:w="4018" w:type="dxa"/>
            <w:gridSpan w:val="3"/>
            <w:tcBorders>
              <w:top w:val="nil"/>
              <w:left w:val="nil"/>
              <w:bottom w:val="nil"/>
              <w:right w:val="nil"/>
            </w:tcBorders>
            <w:shd w:val="clear" w:color="auto" w:fill="auto"/>
            <w:noWrap/>
            <w:vAlign w:val="center"/>
            <w:hideMark/>
          </w:tcPr>
          <w:p w:rsidR="00826AEA" w:rsidRPr="00826AEA" w:rsidRDefault="008C1363" w:rsidP="00826AEA">
            <w:pPr>
              <w:spacing w:after="0" w:line="240" w:lineRule="auto"/>
              <w:jc w:val="center"/>
              <w:rPr>
                <w:rFonts w:eastAsia="Times New Roman" w:cs="Arial"/>
                <w:color w:val="000000"/>
                <w:sz w:val="20"/>
                <w:szCs w:val="20"/>
                <w:lang w:eastAsia="en-GB"/>
              </w:rPr>
            </w:pPr>
            <w:r w:rsidRPr="00826AEA">
              <w:rPr>
                <w:rFonts w:eastAsia="Times New Roman" w:cs="Arial"/>
                <w:color w:val="000000"/>
                <w:sz w:val="20"/>
                <w:szCs w:val="20"/>
                <w:lang w:eastAsia="en-GB"/>
              </w:rPr>
              <w:t>* Using existing allocation patterns</w:t>
            </w:r>
          </w:p>
        </w:tc>
        <w:tc>
          <w:tcPr>
            <w:tcW w:w="872" w:type="dxa"/>
            <w:tcBorders>
              <w:top w:val="nil"/>
              <w:left w:val="nil"/>
              <w:bottom w:val="nil"/>
              <w:right w:val="nil"/>
            </w:tcBorders>
            <w:shd w:val="clear" w:color="auto" w:fill="auto"/>
            <w:noWrap/>
            <w:vAlign w:val="center"/>
            <w:hideMark/>
          </w:tcPr>
          <w:p w:rsidR="008C1363" w:rsidRPr="00826AEA" w:rsidRDefault="008C1363" w:rsidP="00826AEA">
            <w:pPr>
              <w:spacing w:after="0" w:line="240" w:lineRule="auto"/>
              <w:jc w:val="center"/>
              <w:rPr>
                <w:rFonts w:eastAsia="Times New Roman" w:cs="Arial"/>
                <w:color w:val="000000"/>
                <w:sz w:val="20"/>
                <w:szCs w:val="20"/>
                <w:lang w:eastAsia="en-GB"/>
              </w:rPr>
            </w:pPr>
          </w:p>
        </w:tc>
        <w:tc>
          <w:tcPr>
            <w:tcW w:w="1395" w:type="dxa"/>
            <w:tcBorders>
              <w:top w:val="nil"/>
              <w:left w:val="nil"/>
              <w:bottom w:val="nil"/>
              <w:right w:val="nil"/>
            </w:tcBorders>
            <w:shd w:val="clear" w:color="auto" w:fill="auto"/>
            <w:noWrap/>
            <w:vAlign w:val="center"/>
            <w:hideMark/>
          </w:tcPr>
          <w:p w:rsidR="008C1363" w:rsidRPr="00826AEA" w:rsidRDefault="008C1363" w:rsidP="00826AEA">
            <w:pPr>
              <w:spacing w:after="0" w:line="240" w:lineRule="auto"/>
              <w:jc w:val="center"/>
              <w:rPr>
                <w:rFonts w:eastAsia="Times New Roman" w:cs="Arial"/>
                <w:color w:val="000000"/>
                <w:sz w:val="20"/>
                <w:szCs w:val="20"/>
                <w:lang w:eastAsia="en-GB"/>
              </w:rPr>
            </w:pPr>
          </w:p>
        </w:tc>
        <w:tc>
          <w:tcPr>
            <w:tcW w:w="1327" w:type="dxa"/>
            <w:tcBorders>
              <w:top w:val="nil"/>
              <w:left w:val="nil"/>
              <w:bottom w:val="nil"/>
              <w:right w:val="nil"/>
            </w:tcBorders>
            <w:shd w:val="clear" w:color="auto" w:fill="auto"/>
            <w:noWrap/>
            <w:vAlign w:val="center"/>
            <w:hideMark/>
          </w:tcPr>
          <w:p w:rsidR="008C1363" w:rsidRPr="00826AEA" w:rsidRDefault="008C1363" w:rsidP="00826AEA">
            <w:pPr>
              <w:spacing w:after="0" w:line="240" w:lineRule="auto"/>
              <w:jc w:val="center"/>
              <w:rPr>
                <w:rFonts w:eastAsia="Times New Roman" w:cs="Arial"/>
                <w:color w:val="000000"/>
                <w:sz w:val="20"/>
                <w:szCs w:val="20"/>
                <w:lang w:eastAsia="en-GB"/>
              </w:rPr>
            </w:pPr>
          </w:p>
        </w:tc>
        <w:tc>
          <w:tcPr>
            <w:tcW w:w="1080" w:type="dxa"/>
            <w:tcBorders>
              <w:top w:val="nil"/>
              <w:left w:val="nil"/>
              <w:bottom w:val="nil"/>
              <w:right w:val="nil"/>
            </w:tcBorders>
            <w:shd w:val="clear" w:color="auto" w:fill="auto"/>
            <w:noWrap/>
            <w:vAlign w:val="center"/>
            <w:hideMark/>
          </w:tcPr>
          <w:p w:rsidR="008C1363" w:rsidRPr="00826AEA" w:rsidRDefault="008C1363" w:rsidP="00826AEA">
            <w:pPr>
              <w:spacing w:after="0" w:line="240" w:lineRule="auto"/>
              <w:jc w:val="center"/>
              <w:rPr>
                <w:rFonts w:eastAsia="Times New Roman" w:cs="Arial"/>
                <w:color w:val="000000"/>
                <w:sz w:val="20"/>
                <w:szCs w:val="20"/>
                <w:lang w:eastAsia="en-GB"/>
              </w:rPr>
            </w:pPr>
          </w:p>
        </w:tc>
      </w:tr>
    </w:tbl>
    <w:p w:rsidR="00826AEA" w:rsidRDefault="00826AEA" w:rsidP="00C22ED2">
      <w:pPr>
        <w:pStyle w:val="NumberedParagraph"/>
        <w:numPr>
          <w:ilvl w:val="0"/>
          <w:numId w:val="0"/>
        </w:numPr>
      </w:pPr>
    </w:p>
    <w:p w:rsidR="00437C49" w:rsidRDefault="00437C49" w:rsidP="00437C49">
      <w:pPr>
        <w:pStyle w:val="NumberedParagraph"/>
        <w:rPr>
          <w:rFonts w:cs="Arial"/>
          <w:color w:val="000000"/>
          <w:szCs w:val="22"/>
        </w:rPr>
      </w:pPr>
      <w:r w:rsidRPr="001D2A1E">
        <w:t>The table below sets out the current lease expiry dates at each office</w:t>
      </w:r>
    </w:p>
    <w:p w:rsidR="00C22ED2" w:rsidRPr="00437C49" w:rsidRDefault="00DD6AFE" w:rsidP="00437C49">
      <w:pPr>
        <w:pStyle w:val="NumberedParagraph"/>
        <w:numPr>
          <w:ilvl w:val="0"/>
          <w:numId w:val="0"/>
        </w:numPr>
        <w:ind w:left="567"/>
      </w:pPr>
      <w:r>
        <w:rPr>
          <w:i/>
        </w:rPr>
        <w:t>Table 6</w:t>
      </w:r>
      <w:r w:rsidR="00437C49">
        <w:rPr>
          <w:i/>
        </w:rPr>
        <w:t xml:space="preserve">: </w:t>
      </w:r>
      <w:r w:rsidR="00437C49">
        <w:t>Lease expiry dates</w:t>
      </w:r>
    </w:p>
    <w:tbl>
      <w:tblPr>
        <w:tblW w:w="9858" w:type="dxa"/>
        <w:tblInd w:w="103" w:type="dxa"/>
        <w:tblLook w:val="04A0" w:firstRow="1" w:lastRow="0" w:firstColumn="1" w:lastColumn="0" w:noHBand="0" w:noVBand="1"/>
      </w:tblPr>
      <w:tblGrid>
        <w:gridCol w:w="1932"/>
        <w:gridCol w:w="1256"/>
        <w:gridCol w:w="1293"/>
        <w:gridCol w:w="1323"/>
        <w:gridCol w:w="1328"/>
        <w:gridCol w:w="1399"/>
        <w:gridCol w:w="1327"/>
      </w:tblGrid>
      <w:tr w:rsidR="00437C49" w:rsidRPr="00437C49" w:rsidTr="00437C49">
        <w:trPr>
          <w:trHeight w:val="919"/>
        </w:trPr>
        <w:tc>
          <w:tcPr>
            <w:tcW w:w="1933" w:type="dxa"/>
            <w:tcBorders>
              <w:top w:val="nil"/>
              <w:left w:val="single" w:sz="4" w:space="0" w:color="auto"/>
              <w:bottom w:val="single" w:sz="4" w:space="0" w:color="auto"/>
              <w:right w:val="nil"/>
            </w:tcBorders>
            <w:shd w:val="clear" w:color="000000" w:fill="56008C"/>
            <w:vAlign w:val="center"/>
            <w:hideMark/>
          </w:tcPr>
          <w:p w:rsidR="001D2A1E" w:rsidRPr="00437C49" w:rsidRDefault="001D2A1E" w:rsidP="001D2A1E">
            <w:pPr>
              <w:spacing w:after="0" w:line="240" w:lineRule="auto"/>
              <w:jc w:val="center"/>
              <w:rPr>
                <w:rFonts w:eastAsia="Times New Roman" w:cs="Arial"/>
                <w:b/>
                <w:bCs/>
                <w:color w:val="E28C05"/>
                <w:sz w:val="20"/>
                <w:szCs w:val="20"/>
                <w:lang w:eastAsia="en-GB"/>
              </w:rPr>
            </w:pPr>
            <w:r w:rsidRPr="00437C49">
              <w:rPr>
                <w:rFonts w:eastAsia="Times New Roman" w:cs="Arial"/>
                <w:b/>
                <w:bCs/>
                <w:color w:val="E28C05"/>
                <w:sz w:val="20"/>
                <w:szCs w:val="20"/>
                <w:lang w:eastAsia="en-GB"/>
              </w:rPr>
              <w:t> </w:t>
            </w:r>
          </w:p>
        </w:tc>
        <w:tc>
          <w:tcPr>
            <w:tcW w:w="1257" w:type="dxa"/>
            <w:tcBorders>
              <w:top w:val="nil"/>
              <w:left w:val="nil"/>
              <w:bottom w:val="nil"/>
              <w:right w:val="nil"/>
            </w:tcBorders>
            <w:shd w:val="clear" w:color="000000" w:fill="56008C"/>
            <w:noWrap/>
            <w:vAlign w:val="center"/>
            <w:hideMark/>
          </w:tcPr>
          <w:p w:rsidR="001D2A1E" w:rsidRPr="00437C49" w:rsidRDefault="001D2A1E" w:rsidP="00437C49">
            <w:pPr>
              <w:spacing w:after="0" w:line="240" w:lineRule="auto"/>
              <w:jc w:val="center"/>
              <w:rPr>
                <w:rFonts w:eastAsia="Times New Roman" w:cs="Arial"/>
                <w:b/>
                <w:bCs/>
                <w:color w:val="E28C05"/>
                <w:sz w:val="20"/>
                <w:szCs w:val="20"/>
                <w:lang w:eastAsia="en-GB"/>
              </w:rPr>
            </w:pPr>
            <w:r w:rsidRPr="00437C49">
              <w:rPr>
                <w:rFonts w:eastAsia="Times New Roman" w:cs="Arial"/>
                <w:b/>
                <w:bCs/>
                <w:color w:val="E28C05"/>
                <w:sz w:val="20"/>
                <w:szCs w:val="20"/>
                <w:lang w:eastAsia="en-GB"/>
              </w:rPr>
              <w:t>London</w:t>
            </w:r>
          </w:p>
        </w:tc>
        <w:tc>
          <w:tcPr>
            <w:tcW w:w="1293" w:type="dxa"/>
            <w:tcBorders>
              <w:top w:val="nil"/>
              <w:left w:val="nil"/>
              <w:bottom w:val="nil"/>
              <w:right w:val="nil"/>
            </w:tcBorders>
            <w:shd w:val="clear" w:color="000000" w:fill="56008C"/>
            <w:vAlign w:val="center"/>
            <w:hideMark/>
          </w:tcPr>
          <w:p w:rsidR="001D2A1E" w:rsidRPr="00437C49" w:rsidRDefault="001D2A1E" w:rsidP="00437C49">
            <w:pPr>
              <w:spacing w:after="0" w:line="240" w:lineRule="auto"/>
              <w:jc w:val="center"/>
              <w:rPr>
                <w:rFonts w:eastAsia="Times New Roman" w:cs="Arial"/>
                <w:b/>
                <w:bCs/>
                <w:color w:val="E28C05"/>
                <w:sz w:val="20"/>
                <w:szCs w:val="20"/>
                <w:lang w:eastAsia="en-GB"/>
              </w:rPr>
            </w:pPr>
            <w:r w:rsidRPr="00437C49">
              <w:rPr>
                <w:rFonts w:eastAsia="Times New Roman" w:cs="Arial"/>
                <w:b/>
                <w:bCs/>
                <w:color w:val="E28C05"/>
                <w:sz w:val="20"/>
                <w:szCs w:val="20"/>
                <w:lang w:eastAsia="en-GB"/>
              </w:rPr>
              <w:t>Bristol</w:t>
            </w:r>
          </w:p>
        </w:tc>
        <w:tc>
          <w:tcPr>
            <w:tcW w:w="1323" w:type="dxa"/>
            <w:tcBorders>
              <w:top w:val="nil"/>
              <w:left w:val="nil"/>
              <w:bottom w:val="nil"/>
              <w:right w:val="nil"/>
            </w:tcBorders>
            <w:shd w:val="clear" w:color="000000" w:fill="56008C"/>
            <w:noWrap/>
            <w:vAlign w:val="center"/>
            <w:hideMark/>
          </w:tcPr>
          <w:p w:rsidR="001D2A1E" w:rsidRPr="00437C49" w:rsidRDefault="001D2A1E" w:rsidP="00437C49">
            <w:pPr>
              <w:spacing w:after="0" w:line="240" w:lineRule="auto"/>
              <w:jc w:val="center"/>
              <w:rPr>
                <w:rFonts w:eastAsia="Times New Roman" w:cs="Arial"/>
                <w:b/>
                <w:bCs/>
                <w:color w:val="E28C05"/>
                <w:sz w:val="20"/>
                <w:szCs w:val="20"/>
                <w:lang w:eastAsia="en-GB"/>
              </w:rPr>
            </w:pPr>
            <w:r w:rsidRPr="00437C49">
              <w:rPr>
                <w:rFonts w:eastAsia="Times New Roman" w:cs="Arial"/>
                <w:b/>
                <w:bCs/>
                <w:color w:val="E28C05"/>
                <w:sz w:val="20"/>
                <w:szCs w:val="20"/>
                <w:lang w:eastAsia="en-GB"/>
              </w:rPr>
              <w:t>Jarrow</w:t>
            </w:r>
          </w:p>
        </w:tc>
        <w:tc>
          <w:tcPr>
            <w:tcW w:w="1328" w:type="dxa"/>
            <w:tcBorders>
              <w:top w:val="nil"/>
              <w:left w:val="nil"/>
              <w:bottom w:val="nil"/>
              <w:right w:val="nil"/>
            </w:tcBorders>
            <w:shd w:val="clear" w:color="000000" w:fill="56008C"/>
            <w:vAlign w:val="center"/>
            <w:hideMark/>
          </w:tcPr>
          <w:p w:rsidR="001D2A1E" w:rsidRPr="00437C49" w:rsidRDefault="001D2A1E" w:rsidP="00437C49">
            <w:pPr>
              <w:spacing w:after="0" w:line="240" w:lineRule="auto"/>
              <w:jc w:val="center"/>
              <w:rPr>
                <w:rFonts w:eastAsia="Times New Roman" w:cs="Arial"/>
                <w:b/>
                <w:bCs/>
                <w:color w:val="E28C05"/>
                <w:sz w:val="20"/>
                <w:szCs w:val="20"/>
                <w:lang w:eastAsia="en-GB"/>
              </w:rPr>
            </w:pPr>
            <w:r w:rsidRPr="00437C49">
              <w:rPr>
                <w:rFonts w:eastAsia="Times New Roman" w:cs="Arial"/>
                <w:b/>
                <w:bCs/>
                <w:color w:val="E28C05"/>
                <w:sz w:val="20"/>
                <w:szCs w:val="20"/>
                <w:lang w:eastAsia="en-GB"/>
              </w:rPr>
              <w:t>Manchester</w:t>
            </w:r>
          </w:p>
        </w:tc>
        <w:tc>
          <w:tcPr>
            <w:tcW w:w="1399" w:type="dxa"/>
            <w:tcBorders>
              <w:top w:val="nil"/>
              <w:left w:val="nil"/>
              <w:bottom w:val="nil"/>
              <w:right w:val="nil"/>
            </w:tcBorders>
            <w:shd w:val="clear" w:color="000000" w:fill="56008C"/>
            <w:vAlign w:val="center"/>
            <w:hideMark/>
          </w:tcPr>
          <w:p w:rsidR="001D2A1E" w:rsidRPr="00437C49" w:rsidRDefault="001D2A1E" w:rsidP="00437C49">
            <w:pPr>
              <w:spacing w:after="0" w:line="240" w:lineRule="auto"/>
              <w:jc w:val="center"/>
              <w:rPr>
                <w:rFonts w:eastAsia="Times New Roman" w:cs="Arial"/>
                <w:b/>
                <w:bCs/>
                <w:color w:val="E28C05"/>
                <w:sz w:val="20"/>
                <w:szCs w:val="20"/>
                <w:lang w:eastAsia="en-GB"/>
              </w:rPr>
            </w:pPr>
            <w:r w:rsidRPr="00437C49">
              <w:rPr>
                <w:rFonts w:eastAsia="Times New Roman" w:cs="Arial"/>
                <w:b/>
                <w:bCs/>
                <w:color w:val="E28C05"/>
                <w:sz w:val="20"/>
                <w:szCs w:val="20"/>
                <w:lang w:eastAsia="en-GB"/>
              </w:rPr>
              <w:t>Nottingham (The Old Chapel)</w:t>
            </w:r>
          </w:p>
        </w:tc>
        <w:tc>
          <w:tcPr>
            <w:tcW w:w="1325" w:type="dxa"/>
            <w:tcBorders>
              <w:top w:val="nil"/>
              <w:left w:val="nil"/>
              <w:bottom w:val="nil"/>
              <w:right w:val="single" w:sz="4" w:space="0" w:color="auto"/>
            </w:tcBorders>
            <w:shd w:val="clear" w:color="000000" w:fill="56008C"/>
            <w:vAlign w:val="center"/>
            <w:hideMark/>
          </w:tcPr>
          <w:p w:rsidR="001D2A1E" w:rsidRPr="00437C49" w:rsidRDefault="001D2A1E" w:rsidP="00437C49">
            <w:pPr>
              <w:spacing w:after="0" w:line="240" w:lineRule="auto"/>
              <w:jc w:val="center"/>
              <w:rPr>
                <w:rFonts w:eastAsia="Times New Roman" w:cs="Arial"/>
                <w:b/>
                <w:bCs/>
                <w:color w:val="E28C05"/>
                <w:sz w:val="20"/>
                <w:szCs w:val="20"/>
                <w:lang w:eastAsia="en-GB"/>
              </w:rPr>
            </w:pPr>
            <w:r w:rsidRPr="00437C49">
              <w:rPr>
                <w:rFonts w:eastAsia="Times New Roman" w:cs="Arial"/>
                <w:b/>
                <w:bCs/>
                <w:color w:val="E28C05"/>
                <w:sz w:val="20"/>
                <w:szCs w:val="20"/>
                <w:lang w:eastAsia="en-GB"/>
              </w:rPr>
              <w:t>Nottingham (Standard Court)*</w:t>
            </w:r>
          </w:p>
        </w:tc>
      </w:tr>
      <w:tr w:rsidR="00437C49" w:rsidRPr="00437C49" w:rsidTr="00437C49">
        <w:trPr>
          <w:trHeight w:val="300"/>
        </w:trPr>
        <w:tc>
          <w:tcPr>
            <w:tcW w:w="1933" w:type="dxa"/>
            <w:tcBorders>
              <w:top w:val="nil"/>
              <w:left w:val="single" w:sz="4" w:space="0" w:color="auto"/>
              <w:bottom w:val="nil"/>
              <w:right w:val="nil"/>
            </w:tcBorders>
            <w:shd w:val="clear" w:color="auto" w:fill="auto"/>
            <w:vAlign w:val="center"/>
            <w:hideMark/>
          </w:tcPr>
          <w:p w:rsidR="001D2A1E" w:rsidRPr="00437C49" w:rsidRDefault="001D2A1E" w:rsidP="00437C49">
            <w:pPr>
              <w:spacing w:after="0" w:line="240" w:lineRule="auto"/>
              <w:rPr>
                <w:rFonts w:eastAsia="Times New Roman" w:cs="Arial"/>
                <w:color w:val="000000"/>
                <w:sz w:val="20"/>
                <w:szCs w:val="20"/>
                <w:lang w:eastAsia="en-GB"/>
              </w:rPr>
            </w:pPr>
            <w:r w:rsidRPr="00437C49">
              <w:rPr>
                <w:rFonts w:eastAsia="Times New Roman" w:cs="Arial"/>
                <w:color w:val="000000"/>
                <w:sz w:val="20"/>
                <w:szCs w:val="20"/>
                <w:lang w:eastAsia="en-GB"/>
              </w:rPr>
              <w:t>Lease expiry date</w:t>
            </w:r>
          </w:p>
        </w:tc>
        <w:tc>
          <w:tcPr>
            <w:tcW w:w="1257" w:type="dxa"/>
            <w:tcBorders>
              <w:top w:val="single" w:sz="4" w:space="0" w:color="auto"/>
              <w:left w:val="nil"/>
              <w:bottom w:val="nil"/>
              <w:right w:val="nil"/>
            </w:tcBorders>
            <w:shd w:val="clear" w:color="000000" w:fill="E28C05"/>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01/12/2016</w:t>
            </w:r>
          </w:p>
        </w:tc>
        <w:tc>
          <w:tcPr>
            <w:tcW w:w="1293" w:type="dxa"/>
            <w:tcBorders>
              <w:top w:val="single" w:sz="4" w:space="0" w:color="auto"/>
              <w:left w:val="nil"/>
              <w:bottom w:val="nil"/>
              <w:right w:val="nil"/>
            </w:tcBorders>
            <w:shd w:val="clear" w:color="auto" w:fill="auto"/>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11/06/2016</w:t>
            </w:r>
          </w:p>
        </w:tc>
        <w:tc>
          <w:tcPr>
            <w:tcW w:w="1323" w:type="dxa"/>
            <w:tcBorders>
              <w:top w:val="single" w:sz="4" w:space="0" w:color="auto"/>
              <w:left w:val="nil"/>
              <w:bottom w:val="nil"/>
              <w:right w:val="nil"/>
            </w:tcBorders>
            <w:shd w:val="clear" w:color="000000" w:fill="E28C05"/>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07/10/2017</w:t>
            </w:r>
          </w:p>
        </w:tc>
        <w:tc>
          <w:tcPr>
            <w:tcW w:w="1328" w:type="dxa"/>
            <w:tcBorders>
              <w:top w:val="single" w:sz="4" w:space="0" w:color="auto"/>
              <w:left w:val="nil"/>
              <w:bottom w:val="nil"/>
              <w:right w:val="nil"/>
            </w:tcBorders>
            <w:shd w:val="clear" w:color="auto" w:fill="auto"/>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13/06/2015</w:t>
            </w:r>
          </w:p>
        </w:tc>
        <w:tc>
          <w:tcPr>
            <w:tcW w:w="1399" w:type="dxa"/>
            <w:tcBorders>
              <w:top w:val="single" w:sz="4" w:space="0" w:color="auto"/>
              <w:left w:val="nil"/>
              <w:bottom w:val="nil"/>
              <w:right w:val="nil"/>
            </w:tcBorders>
            <w:shd w:val="clear" w:color="000000" w:fill="E28C05"/>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24/06/2016</w:t>
            </w:r>
          </w:p>
        </w:tc>
        <w:tc>
          <w:tcPr>
            <w:tcW w:w="1325" w:type="dxa"/>
            <w:tcBorders>
              <w:top w:val="single" w:sz="4" w:space="0" w:color="auto"/>
              <w:left w:val="nil"/>
              <w:bottom w:val="nil"/>
              <w:right w:val="single" w:sz="4" w:space="0" w:color="auto"/>
            </w:tcBorders>
            <w:shd w:val="clear" w:color="auto" w:fill="auto"/>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03/11/2015</w:t>
            </w:r>
          </w:p>
        </w:tc>
      </w:tr>
      <w:tr w:rsidR="00437C49" w:rsidRPr="00437C49" w:rsidTr="00437C49">
        <w:trPr>
          <w:trHeight w:val="300"/>
        </w:trPr>
        <w:tc>
          <w:tcPr>
            <w:tcW w:w="1933" w:type="dxa"/>
            <w:tcBorders>
              <w:top w:val="single" w:sz="4" w:space="0" w:color="auto"/>
              <w:left w:val="single" w:sz="4" w:space="0" w:color="auto"/>
              <w:bottom w:val="single" w:sz="4" w:space="0" w:color="auto"/>
              <w:right w:val="nil"/>
            </w:tcBorders>
            <w:shd w:val="clear" w:color="auto" w:fill="auto"/>
            <w:vAlign w:val="center"/>
            <w:hideMark/>
          </w:tcPr>
          <w:p w:rsidR="001D2A1E" w:rsidRPr="00437C49" w:rsidRDefault="001D2A1E" w:rsidP="00437C49">
            <w:pPr>
              <w:spacing w:after="0" w:line="240" w:lineRule="auto"/>
              <w:rPr>
                <w:rFonts w:eastAsia="Times New Roman" w:cs="Arial"/>
                <w:color w:val="000000"/>
                <w:sz w:val="20"/>
                <w:szCs w:val="20"/>
                <w:lang w:eastAsia="en-GB"/>
              </w:rPr>
            </w:pPr>
            <w:r w:rsidRPr="00437C49">
              <w:rPr>
                <w:rFonts w:eastAsia="Times New Roman" w:cs="Arial"/>
                <w:color w:val="000000"/>
                <w:sz w:val="20"/>
                <w:szCs w:val="20"/>
                <w:lang w:eastAsia="en-GB"/>
              </w:rPr>
              <w:t>Review point</w:t>
            </w:r>
          </w:p>
        </w:tc>
        <w:tc>
          <w:tcPr>
            <w:tcW w:w="1257" w:type="dxa"/>
            <w:tcBorders>
              <w:top w:val="single" w:sz="4" w:space="0" w:color="auto"/>
              <w:left w:val="nil"/>
              <w:bottom w:val="single" w:sz="4" w:space="0" w:color="auto"/>
              <w:right w:val="nil"/>
            </w:tcBorders>
            <w:shd w:val="clear" w:color="000000" w:fill="E28C05"/>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01/10/2015</w:t>
            </w:r>
          </w:p>
        </w:tc>
        <w:tc>
          <w:tcPr>
            <w:tcW w:w="1293" w:type="dxa"/>
            <w:tcBorders>
              <w:top w:val="single" w:sz="4" w:space="0" w:color="auto"/>
              <w:left w:val="nil"/>
              <w:bottom w:val="single" w:sz="4" w:space="0" w:color="auto"/>
              <w:right w:val="nil"/>
            </w:tcBorders>
            <w:shd w:val="clear" w:color="auto" w:fill="auto"/>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01/11/2015</w:t>
            </w:r>
          </w:p>
        </w:tc>
        <w:tc>
          <w:tcPr>
            <w:tcW w:w="1323" w:type="dxa"/>
            <w:tcBorders>
              <w:top w:val="single" w:sz="4" w:space="0" w:color="auto"/>
              <w:left w:val="nil"/>
              <w:bottom w:val="single" w:sz="4" w:space="0" w:color="auto"/>
              <w:right w:val="nil"/>
            </w:tcBorders>
            <w:shd w:val="clear" w:color="000000" w:fill="E28C05"/>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01/04/2017</w:t>
            </w:r>
          </w:p>
        </w:tc>
        <w:tc>
          <w:tcPr>
            <w:tcW w:w="1328" w:type="dxa"/>
            <w:tcBorders>
              <w:top w:val="single" w:sz="4" w:space="0" w:color="auto"/>
              <w:left w:val="nil"/>
              <w:bottom w:val="single" w:sz="4" w:space="0" w:color="auto"/>
              <w:right w:val="nil"/>
            </w:tcBorders>
            <w:shd w:val="clear" w:color="auto" w:fill="auto"/>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13/12/2014</w:t>
            </w:r>
          </w:p>
        </w:tc>
        <w:tc>
          <w:tcPr>
            <w:tcW w:w="1399" w:type="dxa"/>
            <w:tcBorders>
              <w:top w:val="single" w:sz="4" w:space="0" w:color="auto"/>
              <w:left w:val="nil"/>
              <w:bottom w:val="single" w:sz="4" w:space="0" w:color="auto"/>
              <w:right w:val="nil"/>
            </w:tcBorders>
            <w:shd w:val="clear" w:color="000000" w:fill="E28C05"/>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01/09/2015</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01/05/2015</w:t>
            </w:r>
          </w:p>
        </w:tc>
      </w:tr>
      <w:tr w:rsidR="00437C49" w:rsidRPr="00437C49" w:rsidTr="00437C49">
        <w:trPr>
          <w:trHeight w:val="300"/>
        </w:trPr>
        <w:tc>
          <w:tcPr>
            <w:tcW w:w="1933" w:type="dxa"/>
            <w:tcBorders>
              <w:top w:val="nil"/>
              <w:left w:val="single" w:sz="4" w:space="0" w:color="auto"/>
              <w:bottom w:val="single" w:sz="4" w:space="0" w:color="auto"/>
              <w:right w:val="nil"/>
            </w:tcBorders>
            <w:shd w:val="clear" w:color="auto" w:fill="auto"/>
            <w:vAlign w:val="center"/>
            <w:hideMark/>
          </w:tcPr>
          <w:p w:rsidR="001D2A1E" w:rsidRPr="00437C49" w:rsidRDefault="001D2A1E" w:rsidP="00437C49">
            <w:pPr>
              <w:spacing w:after="0" w:line="240" w:lineRule="auto"/>
              <w:rPr>
                <w:rFonts w:eastAsia="Times New Roman" w:cs="Arial"/>
                <w:color w:val="000000"/>
                <w:sz w:val="20"/>
                <w:szCs w:val="20"/>
                <w:lang w:eastAsia="en-GB"/>
              </w:rPr>
            </w:pPr>
            <w:r w:rsidRPr="00437C49">
              <w:rPr>
                <w:rFonts w:eastAsia="Times New Roman" w:cs="Arial"/>
                <w:color w:val="000000"/>
                <w:sz w:val="20"/>
                <w:szCs w:val="20"/>
                <w:lang w:eastAsia="en-GB"/>
              </w:rPr>
              <w:t>Order of action</w:t>
            </w:r>
          </w:p>
        </w:tc>
        <w:tc>
          <w:tcPr>
            <w:tcW w:w="1257" w:type="dxa"/>
            <w:tcBorders>
              <w:top w:val="nil"/>
              <w:left w:val="nil"/>
              <w:bottom w:val="single" w:sz="4" w:space="0" w:color="auto"/>
              <w:right w:val="nil"/>
            </w:tcBorders>
            <w:shd w:val="clear" w:color="000000" w:fill="E28C05"/>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5</w:t>
            </w:r>
          </w:p>
        </w:tc>
        <w:tc>
          <w:tcPr>
            <w:tcW w:w="1293" w:type="dxa"/>
            <w:tcBorders>
              <w:top w:val="nil"/>
              <w:left w:val="nil"/>
              <w:bottom w:val="single" w:sz="4" w:space="0" w:color="auto"/>
              <w:right w:val="nil"/>
            </w:tcBorders>
            <w:shd w:val="clear" w:color="auto" w:fill="auto"/>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4</w:t>
            </w:r>
          </w:p>
        </w:tc>
        <w:tc>
          <w:tcPr>
            <w:tcW w:w="1323" w:type="dxa"/>
            <w:tcBorders>
              <w:top w:val="nil"/>
              <w:left w:val="nil"/>
              <w:bottom w:val="single" w:sz="4" w:space="0" w:color="auto"/>
              <w:right w:val="nil"/>
            </w:tcBorders>
            <w:shd w:val="clear" w:color="000000" w:fill="E28C05"/>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6</w:t>
            </w:r>
          </w:p>
        </w:tc>
        <w:tc>
          <w:tcPr>
            <w:tcW w:w="1328" w:type="dxa"/>
            <w:tcBorders>
              <w:top w:val="nil"/>
              <w:left w:val="nil"/>
              <w:bottom w:val="single" w:sz="4" w:space="0" w:color="auto"/>
              <w:right w:val="nil"/>
            </w:tcBorders>
            <w:shd w:val="clear" w:color="auto" w:fill="auto"/>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1</w:t>
            </w:r>
          </w:p>
        </w:tc>
        <w:tc>
          <w:tcPr>
            <w:tcW w:w="1399" w:type="dxa"/>
            <w:tcBorders>
              <w:top w:val="nil"/>
              <w:left w:val="nil"/>
              <w:bottom w:val="single" w:sz="4" w:space="0" w:color="auto"/>
              <w:right w:val="nil"/>
            </w:tcBorders>
            <w:shd w:val="clear" w:color="000000" w:fill="E28C05"/>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3</w:t>
            </w:r>
          </w:p>
        </w:tc>
        <w:tc>
          <w:tcPr>
            <w:tcW w:w="1325" w:type="dxa"/>
            <w:tcBorders>
              <w:top w:val="nil"/>
              <w:left w:val="nil"/>
              <w:bottom w:val="single" w:sz="4" w:space="0" w:color="auto"/>
              <w:right w:val="single" w:sz="4" w:space="0" w:color="auto"/>
            </w:tcBorders>
            <w:shd w:val="clear" w:color="auto" w:fill="auto"/>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2</w:t>
            </w:r>
          </w:p>
        </w:tc>
      </w:tr>
      <w:tr w:rsidR="00437C49" w:rsidRPr="00437C49" w:rsidTr="00437C49">
        <w:trPr>
          <w:trHeight w:val="300"/>
        </w:trPr>
        <w:tc>
          <w:tcPr>
            <w:tcW w:w="1933" w:type="dxa"/>
            <w:tcBorders>
              <w:top w:val="nil"/>
              <w:left w:val="nil"/>
              <w:bottom w:val="nil"/>
              <w:right w:val="nil"/>
            </w:tcBorders>
            <w:shd w:val="clear" w:color="auto" w:fill="auto"/>
            <w:noWrap/>
            <w:vAlign w:val="bottom"/>
            <w:hideMark/>
          </w:tcPr>
          <w:p w:rsidR="001D2A1E" w:rsidRPr="00437C49" w:rsidRDefault="001D2A1E" w:rsidP="001D2A1E">
            <w:pPr>
              <w:spacing w:after="0" w:line="240" w:lineRule="auto"/>
              <w:rPr>
                <w:rFonts w:eastAsia="Times New Roman" w:cs="Arial"/>
                <w:color w:val="000000"/>
                <w:sz w:val="20"/>
                <w:szCs w:val="20"/>
                <w:lang w:eastAsia="en-GB"/>
              </w:rPr>
            </w:pPr>
            <w:r w:rsidRPr="00437C49">
              <w:rPr>
                <w:rFonts w:eastAsia="Times New Roman" w:cs="Arial"/>
                <w:color w:val="000000"/>
                <w:sz w:val="20"/>
                <w:szCs w:val="20"/>
                <w:lang w:eastAsia="en-GB"/>
              </w:rPr>
              <w:t xml:space="preserve">* Office will close </w:t>
            </w:r>
          </w:p>
        </w:tc>
        <w:tc>
          <w:tcPr>
            <w:tcW w:w="1257" w:type="dxa"/>
            <w:tcBorders>
              <w:top w:val="nil"/>
              <w:left w:val="nil"/>
              <w:bottom w:val="nil"/>
              <w:right w:val="nil"/>
            </w:tcBorders>
            <w:shd w:val="clear" w:color="auto" w:fill="auto"/>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p>
        </w:tc>
        <w:tc>
          <w:tcPr>
            <w:tcW w:w="1293" w:type="dxa"/>
            <w:tcBorders>
              <w:top w:val="nil"/>
              <w:left w:val="nil"/>
              <w:bottom w:val="nil"/>
              <w:right w:val="nil"/>
            </w:tcBorders>
            <w:shd w:val="clear" w:color="auto" w:fill="auto"/>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p>
        </w:tc>
        <w:tc>
          <w:tcPr>
            <w:tcW w:w="1323" w:type="dxa"/>
            <w:tcBorders>
              <w:top w:val="nil"/>
              <w:left w:val="nil"/>
              <w:bottom w:val="nil"/>
              <w:right w:val="nil"/>
            </w:tcBorders>
            <w:shd w:val="clear" w:color="auto" w:fill="auto"/>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p>
        </w:tc>
        <w:tc>
          <w:tcPr>
            <w:tcW w:w="1328" w:type="dxa"/>
            <w:tcBorders>
              <w:top w:val="nil"/>
              <w:left w:val="nil"/>
              <w:bottom w:val="nil"/>
              <w:right w:val="nil"/>
            </w:tcBorders>
            <w:shd w:val="clear" w:color="auto" w:fill="auto"/>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p>
        </w:tc>
        <w:tc>
          <w:tcPr>
            <w:tcW w:w="1399" w:type="dxa"/>
            <w:tcBorders>
              <w:top w:val="nil"/>
              <w:left w:val="nil"/>
              <w:bottom w:val="nil"/>
              <w:right w:val="nil"/>
            </w:tcBorders>
            <w:shd w:val="clear" w:color="auto" w:fill="auto"/>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p>
        </w:tc>
        <w:tc>
          <w:tcPr>
            <w:tcW w:w="1325" w:type="dxa"/>
            <w:tcBorders>
              <w:top w:val="nil"/>
              <w:left w:val="nil"/>
              <w:bottom w:val="nil"/>
              <w:right w:val="nil"/>
            </w:tcBorders>
            <w:shd w:val="clear" w:color="auto" w:fill="auto"/>
            <w:noWrap/>
            <w:vAlign w:val="center"/>
            <w:hideMark/>
          </w:tcPr>
          <w:p w:rsidR="001D2A1E" w:rsidRPr="00437C49" w:rsidRDefault="001D2A1E" w:rsidP="00437C49">
            <w:pPr>
              <w:spacing w:after="0" w:line="240" w:lineRule="auto"/>
              <w:jc w:val="center"/>
              <w:rPr>
                <w:rFonts w:eastAsia="Times New Roman" w:cs="Arial"/>
                <w:color w:val="000000"/>
                <w:sz w:val="20"/>
                <w:szCs w:val="20"/>
                <w:lang w:eastAsia="en-GB"/>
              </w:rPr>
            </w:pPr>
          </w:p>
        </w:tc>
      </w:tr>
    </w:tbl>
    <w:p w:rsidR="001D2A1E" w:rsidRDefault="001D2A1E" w:rsidP="00437C49"/>
    <w:p w:rsidR="00792302" w:rsidRDefault="00792302">
      <w:pPr>
        <w:tabs>
          <w:tab w:val="clear" w:pos="567"/>
          <w:tab w:val="clear" w:pos="992"/>
        </w:tabs>
        <w:spacing w:after="0" w:line="240" w:lineRule="auto"/>
      </w:pPr>
      <w:bookmarkStart w:id="9" w:name="_Toc400975573"/>
      <w:r>
        <w:br w:type="page"/>
      </w:r>
    </w:p>
    <w:p w:rsidR="00792302" w:rsidRDefault="00792302" w:rsidP="00792302"/>
    <w:p w:rsidR="009D79C0" w:rsidRPr="0036670D" w:rsidRDefault="009D79C0" w:rsidP="0036670D">
      <w:pPr>
        <w:pStyle w:val="HeadingA"/>
      </w:pPr>
      <w:r w:rsidRPr="0036670D">
        <w:t xml:space="preserve">Where </w:t>
      </w:r>
      <w:r w:rsidR="00414240" w:rsidRPr="0036670D">
        <w:t>d</w:t>
      </w:r>
      <w:r w:rsidRPr="0036670D">
        <w:t>o we want to be?</w:t>
      </w:r>
      <w:bookmarkEnd w:id="9"/>
    </w:p>
    <w:p w:rsidR="00937456" w:rsidRPr="008C7E06" w:rsidRDefault="001D2A1E" w:rsidP="00937456">
      <w:pPr>
        <w:pStyle w:val="Standfirst"/>
      </w:pPr>
      <w:r>
        <w:t>Future service profile</w:t>
      </w:r>
    </w:p>
    <w:p w:rsidR="00A1263F" w:rsidRPr="00437C49" w:rsidRDefault="00437C49" w:rsidP="00437C49">
      <w:pPr>
        <w:pStyle w:val="NumberedParagraph"/>
        <w:numPr>
          <w:ilvl w:val="0"/>
          <w:numId w:val="0"/>
        </w:numPr>
        <w:ind w:left="567" w:hanging="567"/>
      </w:pPr>
      <w:r>
        <w:t>2.1</w:t>
      </w:r>
      <w:r>
        <w:tab/>
      </w:r>
      <w:r w:rsidR="00AC7887" w:rsidRPr="00437C49">
        <w:t>The HRA Approval implementation programme began in April 2014 following the funding decision confirmed by the Department of Health</w:t>
      </w:r>
      <w:r w:rsidR="00A1263F" w:rsidRPr="00437C49">
        <w:t xml:space="preserve"> and the </w:t>
      </w:r>
      <w:r w:rsidRPr="00437C49">
        <w:t>HRA is set to become a Non-</w:t>
      </w:r>
      <w:r w:rsidR="00AC7887" w:rsidRPr="00437C49">
        <w:t xml:space="preserve">Departmental Public Body in 2015.  </w:t>
      </w:r>
      <w:r w:rsidR="00A1263F" w:rsidRPr="00437C49">
        <w:t xml:space="preserve"> </w:t>
      </w:r>
    </w:p>
    <w:p w:rsidR="00AC7887" w:rsidRPr="00437C49" w:rsidRDefault="00437C49" w:rsidP="00437C49">
      <w:pPr>
        <w:ind w:left="567" w:hanging="567"/>
      </w:pPr>
      <w:r>
        <w:t>2.2</w:t>
      </w:r>
      <w:r>
        <w:tab/>
      </w:r>
      <w:r w:rsidR="00A1263F" w:rsidRPr="00437C49">
        <w:t>As a result of both initiatives</w:t>
      </w:r>
      <w:r w:rsidRPr="00437C49">
        <w:t>,</w:t>
      </w:r>
      <w:r w:rsidR="00A1263F" w:rsidRPr="00437C49">
        <w:t xml:space="preserve"> </w:t>
      </w:r>
      <w:r w:rsidR="00AC7887" w:rsidRPr="00437C49">
        <w:t xml:space="preserve">the HRA headcount </w:t>
      </w:r>
      <w:r w:rsidR="00A1263F" w:rsidRPr="00437C49">
        <w:t xml:space="preserve">will </w:t>
      </w:r>
      <w:r w:rsidR="00AC7887" w:rsidRPr="00437C49">
        <w:t xml:space="preserve">grow by around 75% in </w:t>
      </w:r>
      <w:r w:rsidR="00A1263F" w:rsidRPr="00437C49">
        <w:t xml:space="preserve">2014/15, plateau during 2015/16 and reduce slightly </w:t>
      </w:r>
      <w:r w:rsidR="00AC7887" w:rsidRPr="00437C49">
        <w:t xml:space="preserve">by the end of 2017. </w:t>
      </w:r>
    </w:p>
    <w:p w:rsidR="001D2A1E" w:rsidRDefault="00A1263F" w:rsidP="00437C49">
      <w:pPr>
        <w:ind w:left="567"/>
      </w:pPr>
      <w:r w:rsidRPr="00437C49">
        <w:rPr>
          <w:i/>
        </w:rPr>
        <w:t>Table</w:t>
      </w:r>
      <w:r w:rsidR="00437C49">
        <w:t xml:space="preserve"> </w:t>
      </w:r>
      <w:r w:rsidR="00DD6AFE">
        <w:t>7</w:t>
      </w:r>
      <w:r>
        <w:t>:  Additional staffing implications resulting from HRA Approval Programme</w:t>
      </w:r>
    </w:p>
    <w:tbl>
      <w:tblPr>
        <w:tblW w:w="9220" w:type="dxa"/>
        <w:tblInd w:w="218" w:type="dxa"/>
        <w:tblLook w:val="04A0" w:firstRow="1" w:lastRow="0" w:firstColumn="1" w:lastColumn="0" w:noHBand="0" w:noVBand="1"/>
      </w:tblPr>
      <w:tblGrid>
        <w:gridCol w:w="1907"/>
        <w:gridCol w:w="1252"/>
        <w:gridCol w:w="1135"/>
        <w:gridCol w:w="1295"/>
        <w:gridCol w:w="1180"/>
        <w:gridCol w:w="1287"/>
        <w:gridCol w:w="1164"/>
      </w:tblGrid>
      <w:tr w:rsidR="00AC7887" w:rsidRPr="00437C49" w:rsidTr="00437C49">
        <w:trPr>
          <w:trHeight w:val="300"/>
        </w:trPr>
        <w:tc>
          <w:tcPr>
            <w:tcW w:w="1907" w:type="dxa"/>
            <w:tcBorders>
              <w:top w:val="single" w:sz="4" w:space="0" w:color="auto"/>
              <w:left w:val="single" w:sz="4" w:space="0" w:color="auto"/>
              <w:bottom w:val="nil"/>
              <w:right w:val="nil"/>
            </w:tcBorders>
            <w:shd w:val="clear" w:color="000000" w:fill="56008C"/>
            <w:vAlign w:val="center"/>
            <w:hideMark/>
          </w:tcPr>
          <w:p w:rsidR="00AC7887" w:rsidRPr="00437C49" w:rsidRDefault="00AC7887" w:rsidP="00437C49">
            <w:pPr>
              <w:spacing w:after="0" w:line="240" w:lineRule="auto"/>
              <w:rPr>
                <w:rFonts w:eastAsia="Times New Roman" w:cs="Arial"/>
                <w:b/>
                <w:bCs/>
                <w:color w:val="E28C05"/>
                <w:sz w:val="20"/>
                <w:szCs w:val="20"/>
                <w:lang w:eastAsia="en-GB"/>
              </w:rPr>
            </w:pPr>
            <w:r w:rsidRPr="00437C49">
              <w:rPr>
                <w:rFonts w:eastAsia="Times New Roman" w:cs="Arial"/>
                <w:b/>
                <w:bCs/>
                <w:color w:val="E28C05"/>
                <w:sz w:val="20"/>
                <w:szCs w:val="20"/>
                <w:lang w:eastAsia="en-GB"/>
              </w:rPr>
              <w:t>Staff by location type</w:t>
            </w:r>
          </w:p>
        </w:tc>
        <w:tc>
          <w:tcPr>
            <w:tcW w:w="2387" w:type="dxa"/>
            <w:gridSpan w:val="2"/>
            <w:tcBorders>
              <w:top w:val="single" w:sz="4" w:space="0" w:color="auto"/>
              <w:left w:val="nil"/>
              <w:bottom w:val="nil"/>
              <w:right w:val="nil"/>
            </w:tcBorders>
            <w:shd w:val="clear" w:color="000000" w:fill="56008C"/>
            <w:noWrap/>
            <w:vAlign w:val="center"/>
            <w:hideMark/>
          </w:tcPr>
          <w:p w:rsidR="00AC7887" w:rsidRPr="00437C49" w:rsidRDefault="00AC7887" w:rsidP="00437C49">
            <w:pPr>
              <w:spacing w:after="0" w:line="240" w:lineRule="auto"/>
              <w:jc w:val="center"/>
              <w:rPr>
                <w:rFonts w:eastAsia="Times New Roman" w:cs="Arial"/>
                <w:b/>
                <w:bCs/>
                <w:color w:val="E28C05"/>
                <w:sz w:val="20"/>
                <w:szCs w:val="20"/>
                <w:lang w:eastAsia="en-GB"/>
              </w:rPr>
            </w:pPr>
            <w:r w:rsidRPr="00437C49">
              <w:rPr>
                <w:rFonts w:eastAsia="Times New Roman" w:cs="Arial"/>
                <w:b/>
                <w:bCs/>
                <w:color w:val="E28C05"/>
                <w:sz w:val="20"/>
                <w:szCs w:val="20"/>
                <w:lang w:eastAsia="en-GB"/>
              </w:rPr>
              <w:t>2014/15</w:t>
            </w:r>
          </w:p>
        </w:tc>
        <w:tc>
          <w:tcPr>
            <w:tcW w:w="2475" w:type="dxa"/>
            <w:gridSpan w:val="2"/>
            <w:tcBorders>
              <w:top w:val="single" w:sz="4" w:space="0" w:color="auto"/>
              <w:left w:val="nil"/>
              <w:bottom w:val="nil"/>
              <w:right w:val="nil"/>
            </w:tcBorders>
            <w:shd w:val="clear" w:color="000000" w:fill="56008C"/>
            <w:noWrap/>
            <w:vAlign w:val="center"/>
            <w:hideMark/>
          </w:tcPr>
          <w:p w:rsidR="00AC7887" w:rsidRPr="00437C49" w:rsidRDefault="00AC7887" w:rsidP="00437C49">
            <w:pPr>
              <w:spacing w:after="0" w:line="240" w:lineRule="auto"/>
              <w:jc w:val="center"/>
              <w:rPr>
                <w:rFonts w:eastAsia="Times New Roman" w:cs="Arial"/>
                <w:b/>
                <w:bCs/>
                <w:color w:val="E28C05"/>
                <w:sz w:val="20"/>
                <w:szCs w:val="20"/>
                <w:lang w:eastAsia="en-GB"/>
              </w:rPr>
            </w:pPr>
            <w:r w:rsidRPr="00437C49">
              <w:rPr>
                <w:rFonts w:eastAsia="Times New Roman" w:cs="Arial"/>
                <w:b/>
                <w:bCs/>
                <w:color w:val="E28C05"/>
                <w:sz w:val="20"/>
                <w:szCs w:val="20"/>
                <w:lang w:eastAsia="en-GB"/>
              </w:rPr>
              <w:t>2015/16</w:t>
            </w:r>
          </w:p>
        </w:tc>
        <w:tc>
          <w:tcPr>
            <w:tcW w:w="2451" w:type="dxa"/>
            <w:gridSpan w:val="2"/>
            <w:tcBorders>
              <w:top w:val="single" w:sz="4" w:space="0" w:color="auto"/>
              <w:left w:val="nil"/>
              <w:bottom w:val="nil"/>
              <w:right w:val="single" w:sz="4" w:space="0" w:color="000000"/>
            </w:tcBorders>
            <w:shd w:val="clear" w:color="000000" w:fill="56008C"/>
            <w:noWrap/>
            <w:vAlign w:val="center"/>
            <w:hideMark/>
          </w:tcPr>
          <w:p w:rsidR="00AC7887" w:rsidRPr="00437C49" w:rsidRDefault="00AC7887" w:rsidP="00437C49">
            <w:pPr>
              <w:spacing w:after="0" w:line="240" w:lineRule="auto"/>
              <w:jc w:val="center"/>
              <w:rPr>
                <w:rFonts w:eastAsia="Times New Roman" w:cs="Arial"/>
                <w:b/>
                <w:bCs/>
                <w:color w:val="E28C05"/>
                <w:sz w:val="20"/>
                <w:szCs w:val="20"/>
                <w:lang w:eastAsia="en-GB"/>
              </w:rPr>
            </w:pPr>
            <w:r w:rsidRPr="00437C49">
              <w:rPr>
                <w:rFonts w:eastAsia="Times New Roman" w:cs="Arial"/>
                <w:b/>
                <w:bCs/>
                <w:color w:val="E28C05"/>
                <w:sz w:val="20"/>
                <w:szCs w:val="20"/>
                <w:lang w:eastAsia="en-GB"/>
              </w:rPr>
              <w:t>2016/17</w:t>
            </w:r>
          </w:p>
        </w:tc>
      </w:tr>
      <w:tr w:rsidR="00AC7887" w:rsidRPr="00437C49" w:rsidTr="00437C49">
        <w:trPr>
          <w:trHeight w:val="300"/>
        </w:trPr>
        <w:tc>
          <w:tcPr>
            <w:tcW w:w="1907" w:type="dxa"/>
            <w:tcBorders>
              <w:top w:val="nil"/>
              <w:left w:val="single" w:sz="4" w:space="0" w:color="auto"/>
              <w:bottom w:val="single" w:sz="4" w:space="0" w:color="auto"/>
              <w:right w:val="nil"/>
            </w:tcBorders>
            <w:shd w:val="clear" w:color="000000" w:fill="56008C"/>
            <w:vAlign w:val="center"/>
            <w:hideMark/>
          </w:tcPr>
          <w:p w:rsidR="00AC7887" w:rsidRPr="00437C49" w:rsidRDefault="00AC7887" w:rsidP="00437C49">
            <w:pPr>
              <w:spacing w:after="0" w:line="240" w:lineRule="auto"/>
              <w:rPr>
                <w:rFonts w:eastAsia="Times New Roman" w:cs="Arial"/>
                <w:b/>
                <w:bCs/>
                <w:color w:val="E28C05"/>
                <w:sz w:val="20"/>
                <w:szCs w:val="20"/>
                <w:lang w:eastAsia="en-GB"/>
              </w:rPr>
            </w:pPr>
            <w:r w:rsidRPr="00437C49">
              <w:rPr>
                <w:rFonts w:eastAsia="Times New Roman" w:cs="Arial"/>
                <w:b/>
                <w:bCs/>
                <w:color w:val="E28C05"/>
                <w:sz w:val="20"/>
                <w:szCs w:val="20"/>
                <w:lang w:eastAsia="en-GB"/>
              </w:rPr>
              <w:t> </w:t>
            </w:r>
          </w:p>
        </w:tc>
        <w:tc>
          <w:tcPr>
            <w:tcW w:w="1252" w:type="dxa"/>
            <w:tcBorders>
              <w:top w:val="nil"/>
              <w:left w:val="nil"/>
              <w:bottom w:val="nil"/>
              <w:right w:val="nil"/>
            </w:tcBorders>
            <w:shd w:val="clear" w:color="000000" w:fill="56008C"/>
            <w:noWrap/>
            <w:vAlign w:val="center"/>
            <w:hideMark/>
          </w:tcPr>
          <w:p w:rsidR="00AC7887" w:rsidRPr="00437C49" w:rsidRDefault="00AC7887" w:rsidP="00437C49">
            <w:pPr>
              <w:spacing w:after="0" w:line="240" w:lineRule="auto"/>
              <w:jc w:val="center"/>
              <w:rPr>
                <w:rFonts w:eastAsia="Times New Roman" w:cs="Arial"/>
                <w:b/>
                <w:bCs/>
                <w:color w:val="E28C05"/>
                <w:sz w:val="20"/>
                <w:szCs w:val="20"/>
                <w:lang w:eastAsia="en-GB"/>
              </w:rPr>
            </w:pPr>
            <w:r w:rsidRPr="00437C49">
              <w:rPr>
                <w:rFonts w:eastAsia="Times New Roman" w:cs="Arial"/>
                <w:b/>
                <w:bCs/>
                <w:color w:val="E28C05"/>
                <w:sz w:val="20"/>
                <w:szCs w:val="20"/>
                <w:lang w:eastAsia="en-GB"/>
              </w:rPr>
              <w:t>Headcount</w:t>
            </w:r>
          </w:p>
        </w:tc>
        <w:tc>
          <w:tcPr>
            <w:tcW w:w="1135" w:type="dxa"/>
            <w:tcBorders>
              <w:top w:val="nil"/>
              <w:left w:val="nil"/>
              <w:bottom w:val="nil"/>
              <w:right w:val="nil"/>
            </w:tcBorders>
            <w:shd w:val="clear" w:color="000000" w:fill="56008C"/>
            <w:vAlign w:val="center"/>
            <w:hideMark/>
          </w:tcPr>
          <w:p w:rsidR="00AC7887" w:rsidRPr="00437C49" w:rsidRDefault="00AC7887" w:rsidP="00437C49">
            <w:pPr>
              <w:spacing w:after="0" w:line="240" w:lineRule="auto"/>
              <w:jc w:val="center"/>
              <w:rPr>
                <w:rFonts w:eastAsia="Times New Roman" w:cs="Arial"/>
                <w:b/>
                <w:bCs/>
                <w:color w:val="E28C05"/>
                <w:sz w:val="20"/>
                <w:szCs w:val="20"/>
                <w:lang w:eastAsia="en-GB"/>
              </w:rPr>
            </w:pPr>
            <w:r w:rsidRPr="00437C49">
              <w:rPr>
                <w:rFonts w:eastAsia="Times New Roman" w:cs="Arial"/>
                <w:b/>
                <w:bCs/>
                <w:color w:val="E28C05"/>
                <w:sz w:val="20"/>
                <w:szCs w:val="20"/>
                <w:lang w:eastAsia="en-GB"/>
              </w:rPr>
              <w:t>WTE</w:t>
            </w:r>
          </w:p>
        </w:tc>
        <w:tc>
          <w:tcPr>
            <w:tcW w:w="1295" w:type="dxa"/>
            <w:tcBorders>
              <w:top w:val="nil"/>
              <w:left w:val="nil"/>
              <w:bottom w:val="nil"/>
              <w:right w:val="nil"/>
            </w:tcBorders>
            <w:shd w:val="clear" w:color="000000" w:fill="56008C"/>
            <w:noWrap/>
            <w:vAlign w:val="center"/>
            <w:hideMark/>
          </w:tcPr>
          <w:p w:rsidR="00AC7887" w:rsidRPr="00437C49" w:rsidRDefault="00AC7887" w:rsidP="00437C49">
            <w:pPr>
              <w:spacing w:after="0" w:line="240" w:lineRule="auto"/>
              <w:jc w:val="center"/>
              <w:rPr>
                <w:rFonts w:eastAsia="Times New Roman" w:cs="Arial"/>
                <w:b/>
                <w:bCs/>
                <w:color w:val="E28C05"/>
                <w:sz w:val="20"/>
                <w:szCs w:val="20"/>
                <w:lang w:eastAsia="en-GB"/>
              </w:rPr>
            </w:pPr>
            <w:r w:rsidRPr="00437C49">
              <w:rPr>
                <w:rFonts w:eastAsia="Times New Roman" w:cs="Arial"/>
                <w:b/>
                <w:bCs/>
                <w:color w:val="E28C05"/>
                <w:sz w:val="20"/>
                <w:szCs w:val="20"/>
                <w:lang w:eastAsia="en-GB"/>
              </w:rPr>
              <w:t>Headcount</w:t>
            </w:r>
          </w:p>
        </w:tc>
        <w:tc>
          <w:tcPr>
            <w:tcW w:w="1180" w:type="dxa"/>
            <w:tcBorders>
              <w:top w:val="nil"/>
              <w:left w:val="nil"/>
              <w:bottom w:val="nil"/>
              <w:right w:val="nil"/>
            </w:tcBorders>
            <w:shd w:val="clear" w:color="000000" w:fill="56008C"/>
            <w:vAlign w:val="center"/>
            <w:hideMark/>
          </w:tcPr>
          <w:p w:rsidR="00AC7887" w:rsidRPr="00437C49" w:rsidRDefault="00AC7887" w:rsidP="00437C49">
            <w:pPr>
              <w:spacing w:after="0" w:line="240" w:lineRule="auto"/>
              <w:jc w:val="center"/>
              <w:rPr>
                <w:rFonts w:eastAsia="Times New Roman" w:cs="Arial"/>
                <w:b/>
                <w:bCs/>
                <w:color w:val="E28C05"/>
                <w:sz w:val="20"/>
                <w:szCs w:val="20"/>
                <w:lang w:eastAsia="en-GB"/>
              </w:rPr>
            </w:pPr>
            <w:r w:rsidRPr="00437C49">
              <w:rPr>
                <w:rFonts w:eastAsia="Times New Roman" w:cs="Arial"/>
                <w:b/>
                <w:bCs/>
                <w:color w:val="E28C05"/>
                <w:sz w:val="20"/>
                <w:szCs w:val="20"/>
                <w:lang w:eastAsia="en-GB"/>
              </w:rPr>
              <w:t>WTE</w:t>
            </w:r>
          </w:p>
        </w:tc>
        <w:tc>
          <w:tcPr>
            <w:tcW w:w="1287" w:type="dxa"/>
            <w:tcBorders>
              <w:top w:val="nil"/>
              <w:left w:val="nil"/>
              <w:bottom w:val="nil"/>
              <w:right w:val="nil"/>
            </w:tcBorders>
            <w:shd w:val="clear" w:color="000000" w:fill="56008C"/>
            <w:noWrap/>
            <w:vAlign w:val="center"/>
            <w:hideMark/>
          </w:tcPr>
          <w:p w:rsidR="00AC7887" w:rsidRPr="00437C49" w:rsidRDefault="00AC7887" w:rsidP="00437C49">
            <w:pPr>
              <w:spacing w:after="0" w:line="240" w:lineRule="auto"/>
              <w:jc w:val="center"/>
              <w:rPr>
                <w:rFonts w:eastAsia="Times New Roman" w:cs="Arial"/>
                <w:b/>
                <w:bCs/>
                <w:color w:val="E28C05"/>
                <w:sz w:val="20"/>
                <w:szCs w:val="20"/>
                <w:lang w:eastAsia="en-GB"/>
              </w:rPr>
            </w:pPr>
            <w:r w:rsidRPr="00437C49">
              <w:rPr>
                <w:rFonts w:eastAsia="Times New Roman" w:cs="Arial"/>
                <w:b/>
                <w:bCs/>
                <w:color w:val="E28C05"/>
                <w:sz w:val="20"/>
                <w:szCs w:val="20"/>
                <w:lang w:eastAsia="en-GB"/>
              </w:rPr>
              <w:t>Headcount</w:t>
            </w:r>
          </w:p>
        </w:tc>
        <w:tc>
          <w:tcPr>
            <w:tcW w:w="1164" w:type="dxa"/>
            <w:tcBorders>
              <w:top w:val="nil"/>
              <w:left w:val="nil"/>
              <w:bottom w:val="nil"/>
              <w:right w:val="single" w:sz="4" w:space="0" w:color="auto"/>
            </w:tcBorders>
            <w:shd w:val="clear" w:color="000000" w:fill="56008C"/>
            <w:vAlign w:val="center"/>
            <w:hideMark/>
          </w:tcPr>
          <w:p w:rsidR="00AC7887" w:rsidRPr="00437C49" w:rsidRDefault="00AC7887" w:rsidP="00437C49">
            <w:pPr>
              <w:spacing w:after="0" w:line="240" w:lineRule="auto"/>
              <w:jc w:val="center"/>
              <w:rPr>
                <w:rFonts w:eastAsia="Times New Roman" w:cs="Arial"/>
                <w:b/>
                <w:bCs/>
                <w:color w:val="E28C05"/>
                <w:sz w:val="20"/>
                <w:szCs w:val="20"/>
                <w:lang w:eastAsia="en-GB"/>
              </w:rPr>
            </w:pPr>
            <w:r w:rsidRPr="00437C49">
              <w:rPr>
                <w:rFonts w:eastAsia="Times New Roman" w:cs="Arial"/>
                <w:b/>
                <w:bCs/>
                <w:color w:val="E28C05"/>
                <w:sz w:val="20"/>
                <w:szCs w:val="20"/>
                <w:lang w:eastAsia="en-GB"/>
              </w:rPr>
              <w:t>WTE</w:t>
            </w:r>
          </w:p>
        </w:tc>
      </w:tr>
      <w:tr w:rsidR="00AC7887" w:rsidRPr="00437C49" w:rsidTr="00437C49">
        <w:trPr>
          <w:trHeight w:val="300"/>
        </w:trPr>
        <w:tc>
          <w:tcPr>
            <w:tcW w:w="1907" w:type="dxa"/>
            <w:tcBorders>
              <w:top w:val="nil"/>
              <w:left w:val="single" w:sz="4" w:space="0" w:color="auto"/>
              <w:bottom w:val="nil"/>
              <w:right w:val="nil"/>
            </w:tcBorders>
            <w:shd w:val="clear" w:color="auto" w:fill="auto"/>
            <w:noWrap/>
            <w:vAlign w:val="center"/>
            <w:hideMark/>
          </w:tcPr>
          <w:p w:rsidR="00AC7887" w:rsidRPr="00437C49" w:rsidRDefault="00AC7887" w:rsidP="00437C49">
            <w:pPr>
              <w:spacing w:after="0" w:line="240" w:lineRule="auto"/>
              <w:rPr>
                <w:rFonts w:eastAsia="Times New Roman" w:cs="Arial"/>
                <w:color w:val="000000"/>
                <w:sz w:val="20"/>
                <w:szCs w:val="20"/>
                <w:lang w:eastAsia="en-GB"/>
              </w:rPr>
            </w:pPr>
            <w:r w:rsidRPr="00437C49">
              <w:rPr>
                <w:rFonts w:eastAsia="Times New Roman" w:cs="Arial"/>
                <w:color w:val="000000"/>
                <w:sz w:val="20"/>
                <w:szCs w:val="20"/>
                <w:lang w:eastAsia="en-GB"/>
              </w:rPr>
              <w:t>London</w:t>
            </w:r>
          </w:p>
        </w:tc>
        <w:tc>
          <w:tcPr>
            <w:tcW w:w="1252" w:type="dxa"/>
            <w:tcBorders>
              <w:top w:val="nil"/>
              <w:left w:val="nil"/>
              <w:bottom w:val="nil"/>
              <w:right w:val="nil"/>
            </w:tcBorders>
            <w:shd w:val="clear" w:color="auto" w:fill="auto"/>
            <w:noWrap/>
            <w:vAlign w:val="center"/>
            <w:hideMark/>
          </w:tcPr>
          <w:p w:rsidR="00AC7887" w:rsidRPr="00437C49" w:rsidRDefault="00AC7887"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31</w:t>
            </w:r>
          </w:p>
        </w:tc>
        <w:tc>
          <w:tcPr>
            <w:tcW w:w="1135" w:type="dxa"/>
            <w:tcBorders>
              <w:top w:val="nil"/>
              <w:left w:val="nil"/>
              <w:bottom w:val="nil"/>
              <w:right w:val="nil"/>
            </w:tcBorders>
            <w:shd w:val="clear" w:color="auto" w:fill="auto"/>
            <w:noWrap/>
            <w:vAlign w:val="center"/>
            <w:hideMark/>
          </w:tcPr>
          <w:p w:rsidR="00AC7887" w:rsidRPr="00437C49" w:rsidRDefault="00AC7887"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25</w:t>
            </w:r>
          </w:p>
        </w:tc>
        <w:tc>
          <w:tcPr>
            <w:tcW w:w="1295" w:type="dxa"/>
            <w:tcBorders>
              <w:top w:val="nil"/>
              <w:left w:val="nil"/>
              <w:bottom w:val="nil"/>
              <w:right w:val="nil"/>
            </w:tcBorders>
            <w:shd w:val="clear" w:color="auto" w:fill="auto"/>
            <w:noWrap/>
            <w:vAlign w:val="center"/>
            <w:hideMark/>
          </w:tcPr>
          <w:p w:rsidR="00AC7887" w:rsidRPr="00437C49" w:rsidRDefault="00AC7887"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26</w:t>
            </w:r>
          </w:p>
        </w:tc>
        <w:tc>
          <w:tcPr>
            <w:tcW w:w="1180" w:type="dxa"/>
            <w:tcBorders>
              <w:top w:val="nil"/>
              <w:left w:val="nil"/>
              <w:bottom w:val="nil"/>
              <w:right w:val="nil"/>
            </w:tcBorders>
            <w:shd w:val="clear" w:color="auto" w:fill="auto"/>
            <w:noWrap/>
            <w:vAlign w:val="center"/>
            <w:hideMark/>
          </w:tcPr>
          <w:p w:rsidR="00AC7887" w:rsidRPr="00437C49" w:rsidRDefault="00AC7887"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23.1</w:t>
            </w:r>
          </w:p>
        </w:tc>
        <w:tc>
          <w:tcPr>
            <w:tcW w:w="1287" w:type="dxa"/>
            <w:tcBorders>
              <w:top w:val="nil"/>
              <w:left w:val="nil"/>
              <w:bottom w:val="nil"/>
              <w:right w:val="nil"/>
            </w:tcBorders>
            <w:shd w:val="clear" w:color="auto" w:fill="auto"/>
            <w:noWrap/>
            <w:vAlign w:val="center"/>
            <w:hideMark/>
          </w:tcPr>
          <w:p w:rsidR="00AC7887" w:rsidRPr="00437C49" w:rsidRDefault="00AC7887"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23</w:t>
            </w:r>
          </w:p>
        </w:tc>
        <w:tc>
          <w:tcPr>
            <w:tcW w:w="1164" w:type="dxa"/>
            <w:tcBorders>
              <w:top w:val="nil"/>
              <w:left w:val="nil"/>
              <w:bottom w:val="nil"/>
              <w:right w:val="single" w:sz="4" w:space="0" w:color="auto"/>
            </w:tcBorders>
            <w:shd w:val="clear" w:color="auto" w:fill="auto"/>
            <w:noWrap/>
            <w:vAlign w:val="center"/>
            <w:hideMark/>
          </w:tcPr>
          <w:p w:rsidR="00AC7887" w:rsidRPr="00437C49" w:rsidRDefault="00AC7887"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14.85</w:t>
            </w:r>
          </w:p>
        </w:tc>
      </w:tr>
      <w:tr w:rsidR="00AC7887" w:rsidRPr="00437C49" w:rsidTr="00437C49">
        <w:trPr>
          <w:trHeight w:val="300"/>
        </w:trPr>
        <w:tc>
          <w:tcPr>
            <w:tcW w:w="1907" w:type="dxa"/>
            <w:tcBorders>
              <w:top w:val="nil"/>
              <w:left w:val="single" w:sz="4" w:space="0" w:color="auto"/>
              <w:bottom w:val="nil"/>
              <w:right w:val="nil"/>
            </w:tcBorders>
            <w:shd w:val="clear" w:color="auto" w:fill="auto"/>
            <w:noWrap/>
            <w:vAlign w:val="center"/>
            <w:hideMark/>
          </w:tcPr>
          <w:p w:rsidR="00AC7887" w:rsidRPr="00437C49" w:rsidRDefault="00AC7887" w:rsidP="00437C49">
            <w:pPr>
              <w:spacing w:after="0" w:line="240" w:lineRule="auto"/>
              <w:rPr>
                <w:rFonts w:eastAsia="Times New Roman" w:cs="Arial"/>
                <w:color w:val="000000"/>
                <w:sz w:val="20"/>
                <w:szCs w:val="20"/>
                <w:lang w:eastAsia="en-GB"/>
              </w:rPr>
            </w:pPr>
            <w:r w:rsidRPr="00437C49">
              <w:rPr>
                <w:rFonts w:eastAsia="Times New Roman" w:cs="Arial"/>
                <w:color w:val="000000"/>
                <w:sz w:val="20"/>
                <w:szCs w:val="20"/>
                <w:lang w:eastAsia="en-GB"/>
              </w:rPr>
              <w:t>Outside London</w:t>
            </w:r>
          </w:p>
        </w:tc>
        <w:tc>
          <w:tcPr>
            <w:tcW w:w="1252" w:type="dxa"/>
            <w:tcBorders>
              <w:top w:val="nil"/>
              <w:left w:val="nil"/>
              <w:bottom w:val="nil"/>
              <w:right w:val="nil"/>
            </w:tcBorders>
            <w:shd w:val="clear" w:color="auto" w:fill="auto"/>
            <w:noWrap/>
            <w:vAlign w:val="center"/>
            <w:hideMark/>
          </w:tcPr>
          <w:p w:rsidR="00AC7887" w:rsidRPr="00437C49" w:rsidRDefault="00AC7887"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69</w:t>
            </w:r>
          </w:p>
        </w:tc>
        <w:tc>
          <w:tcPr>
            <w:tcW w:w="1135" w:type="dxa"/>
            <w:tcBorders>
              <w:top w:val="nil"/>
              <w:left w:val="nil"/>
              <w:bottom w:val="nil"/>
              <w:right w:val="nil"/>
            </w:tcBorders>
            <w:shd w:val="clear" w:color="auto" w:fill="auto"/>
            <w:noWrap/>
            <w:vAlign w:val="center"/>
            <w:hideMark/>
          </w:tcPr>
          <w:p w:rsidR="00AC7887" w:rsidRPr="00437C49" w:rsidRDefault="00AC7887"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54.85</w:t>
            </w:r>
          </w:p>
        </w:tc>
        <w:tc>
          <w:tcPr>
            <w:tcW w:w="1295" w:type="dxa"/>
            <w:tcBorders>
              <w:top w:val="nil"/>
              <w:left w:val="nil"/>
              <w:bottom w:val="nil"/>
              <w:right w:val="nil"/>
            </w:tcBorders>
            <w:shd w:val="clear" w:color="auto" w:fill="auto"/>
            <w:noWrap/>
            <w:vAlign w:val="center"/>
            <w:hideMark/>
          </w:tcPr>
          <w:p w:rsidR="00AC7887" w:rsidRPr="00437C49" w:rsidRDefault="00AC7887"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67</w:t>
            </w:r>
          </w:p>
        </w:tc>
        <w:tc>
          <w:tcPr>
            <w:tcW w:w="1180" w:type="dxa"/>
            <w:tcBorders>
              <w:top w:val="nil"/>
              <w:left w:val="nil"/>
              <w:bottom w:val="nil"/>
              <w:right w:val="nil"/>
            </w:tcBorders>
            <w:shd w:val="clear" w:color="auto" w:fill="auto"/>
            <w:noWrap/>
            <w:vAlign w:val="center"/>
            <w:hideMark/>
          </w:tcPr>
          <w:p w:rsidR="00AC7887" w:rsidRPr="00437C49" w:rsidRDefault="00AC7887"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66.1</w:t>
            </w:r>
          </w:p>
        </w:tc>
        <w:tc>
          <w:tcPr>
            <w:tcW w:w="1287" w:type="dxa"/>
            <w:tcBorders>
              <w:top w:val="nil"/>
              <w:left w:val="nil"/>
              <w:bottom w:val="nil"/>
              <w:right w:val="nil"/>
            </w:tcBorders>
            <w:shd w:val="clear" w:color="auto" w:fill="auto"/>
            <w:noWrap/>
            <w:vAlign w:val="center"/>
            <w:hideMark/>
          </w:tcPr>
          <w:p w:rsidR="00AC7887" w:rsidRPr="00437C49" w:rsidRDefault="00AC7887"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62</w:t>
            </w:r>
          </w:p>
        </w:tc>
        <w:tc>
          <w:tcPr>
            <w:tcW w:w="1164" w:type="dxa"/>
            <w:tcBorders>
              <w:top w:val="nil"/>
              <w:left w:val="nil"/>
              <w:bottom w:val="nil"/>
              <w:right w:val="single" w:sz="4" w:space="0" w:color="auto"/>
            </w:tcBorders>
            <w:shd w:val="clear" w:color="auto" w:fill="auto"/>
            <w:noWrap/>
            <w:vAlign w:val="center"/>
            <w:hideMark/>
          </w:tcPr>
          <w:p w:rsidR="00AC7887" w:rsidRPr="00437C49" w:rsidRDefault="00AC7887" w:rsidP="00437C49">
            <w:pPr>
              <w:spacing w:after="0" w:line="240" w:lineRule="auto"/>
              <w:jc w:val="center"/>
              <w:rPr>
                <w:rFonts w:eastAsia="Times New Roman" w:cs="Arial"/>
                <w:color w:val="000000"/>
                <w:sz w:val="20"/>
                <w:szCs w:val="20"/>
                <w:lang w:eastAsia="en-GB"/>
              </w:rPr>
            </w:pPr>
            <w:r w:rsidRPr="00437C49">
              <w:rPr>
                <w:rFonts w:eastAsia="Times New Roman" w:cs="Arial"/>
                <w:color w:val="000000"/>
                <w:sz w:val="20"/>
                <w:szCs w:val="20"/>
                <w:lang w:eastAsia="en-GB"/>
              </w:rPr>
              <w:t>55.1</w:t>
            </w:r>
          </w:p>
        </w:tc>
      </w:tr>
      <w:tr w:rsidR="00AC7887" w:rsidRPr="00437C49" w:rsidTr="00437C49">
        <w:trPr>
          <w:trHeight w:val="300"/>
        </w:trPr>
        <w:tc>
          <w:tcPr>
            <w:tcW w:w="1907" w:type="dxa"/>
            <w:tcBorders>
              <w:top w:val="nil"/>
              <w:left w:val="single" w:sz="4" w:space="0" w:color="auto"/>
              <w:bottom w:val="single" w:sz="4" w:space="0" w:color="auto"/>
              <w:right w:val="nil"/>
            </w:tcBorders>
            <w:shd w:val="clear" w:color="000000" w:fill="E28C05"/>
            <w:noWrap/>
            <w:vAlign w:val="bottom"/>
            <w:hideMark/>
          </w:tcPr>
          <w:p w:rsidR="00AC7887" w:rsidRPr="00437C49" w:rsidRDefault="00AC7887" w:rsidP="00AC7887">
            <w:pPr>
              <w:spacing w:after="0" w:line="240" w:lineRule="auto"/>
              <w:rPr>
                <w:rFonts w:eastAsia="Times New Roman" w:cs="Arial"/>
                <w:b/>
                <w:bCs/>
                <w:color w:val="000000"/>
                <w:sz w:val="20"/>
                <w:szCs w:val="20"/>
                <w:lang w:eastAsia="en-GB"/>
              </w:rPr>
            </w:pPr>
            <w:r w:rsidRPr="00437C49">
              <w:rPr>
                <w:rFonts w:eastAsia="Times New Roman" w:cs="Arial"/>
                <w:b/>
                <w:bCs/>
                <w:color w:val="000000"/>
                <w:sz w:val="20"/>
                <w:szCs w:val="20"/>
                <w:lang w:eastAsia="en-GB"/>
              </w:rPr>
              <w:t> </w:t>
            </w:r>
          </w:p>
        </w:tc>
        <w:tc>
          <w:tcPr>
            <w:tcW w:w="1252" w:type="dxa"/>
            <w:tcBorders>
              <w:top w:val="nil"/>
              <w:left w:val="nil"/>
              <w:bottom w:val="single" w:sz="4" w:space="0" w:color="auto"/>
              <w:right w:val="nil"/>
            </w:tcBorders>
            <w:shd w:val="clear" w:color="000000" w:fill="E28C05"/>
            <w:noWrap/>
            <w:vAlign w:val="center"/>
            <w:hideMark/>
          </w:tcPr>
          <w:p w:rsidR="00AC7887" w:rsidRPr="00437C49" w:rsidRDefault="00AC7887" w:rsidP="00437C49">
            <w:pPr>
              <w:spacing w:after="0" w:line="240" w:lineRule="auto"/>
              <w:jc w:val="center"/>
              <w:rPr>
                <w:rFonts w:eastAsia="Times New Roman" w:cs="Arial"/>
                <w:b/>
                <w:bCs/>
                <w:color w:val="000000"/>
                <w:sz w:val="20"/>
                <w:szCs w:val="20"/>
                <w:lang w:eastAsia="en-GB"/>
              </w:rPr>
            </w:pPr>
            <w:r w:rsidRPr="00437C49">
              <w:rPr>
                <w:rFonts w:eastAsia="Times New Roman" w:cs="Arial"/>
                <w:b/>
                <w:bCs/>
                <w:color w:val="000000"/>
                <w:sz w:val="20"/>
                <w:szCs w:val="20"/>
                <w:lang w:eastAsia="en-GB"/>
              </w:rPr>
              <w:t>100</w:t>
            </w:r>
          </w:p>
        </w:tc>
        <w:tc>
          <w:tcPr>
            <w:tcW w:w="1135" w:type="dxa"/>
            <w:tcBorders>
              <w:top w:val="nil"/>
              <w:left w:val="nil"/>
              <w:bottom w:val="single" w:sz="4" w:space="0" w:color="auto"/>
              <w:right w:val="nil"/>
            </w:tcBorders>
            <w:shd w:val="clear" w:color="000000" w:fill="E28C05"/>
            <w:noWrap/>
            <w:vAlign w:val="center"/>
            <w:hideMark/>
          </w:tcPr>
          <w:p w:rsidR="00AC7887" w:rsidRPr="00437C49" w:rsidRDefault="00AC7887" w:rsidP="00437C49">
            <w:pPr>
              <w:spacing w:after="0" w:line="240" w:lineRule="auto"/>
              <w:jc w:val="center"/>
              <w:rPr>
                <w:rFonts w:eastAsia="Times New Roman" w:cs="Arial"/>
                <w:b/>
                <w:bCs/>
                <w:color w:val="000000"/>
                <w:sz w:val="20"/>
                <w:szCs w:val="20"/>
                <w:lang w:eastAsia="en-GB"/>
              </w:rPr>
            </w:pPr>
            <w:r w:rsidRPr="00437C49">
              <w:rPr>
                <w:rFonts w:eastAsia="Times New Roman" w:cs="Arial"/>
                <w:b/>
                <w:bCs/>
                <w:color w:val="000000"/>
                <w:sz w:val="20"/>
                <w:szCs w:val="20"/>
                <w:lang w:eastAsia="en-GB"/>
              </w:rPr>
              <w:t>79.85</w:t>
            </w:r>
          </w:p>
        </w:tc>
        <w:tc>
          <w:tcPr>
            <w:tcW w:w="1295" w:type="dxa"/>
            <w:tcBorders>
              <w:top w:val="nil"/>
              <w:left w:val="nil"/>
              <w:bottom w:val="single" w:sz="4" w:space="0" w:color="auto"/>
              <w:right w:val="nil"/>
            </w:tcBorders>
            <w:shd w:val="clear" w:color="000000" w:fill="E28C05"/>
            <w:noWrap/>
            <w:vAlign w:val="center"/>
            <w:hideMark/>
          </w:tcPr>
          <w:p w:rsidR="00AC7887" w:rsidRPr="00437C49" w:rsidRDefault="00AC7887" w:rsidP="00437C49">
            <w:pPr>
              <w:spacing w:after="0" w:line="240" w:lineRule="auto"/>
              <w:jc w:val="center"/>
              <w:rPr>
                <w:rFonts w:eastAsia="Times New Roman" w:cs="Arial"/>
                <w:b/>
                <w:bCs/>
                <w:color w:val="000000"/>
                <w:sz w:val="20"/>
                <w:szCs w:val="20"/>
                <w:lang w:eastAsia="en-GB"/>
              </w:rPr>
            </w:pPr>
            <w:r w:rsidRPr="00437C49">
              <w:rPr>
                <w:rFonts w:eastAsia="Times New Roman" w:cs="Arial"/>
                <w:b/>
                <w:bCs/>
                <w:color w:val="000000"/>
                <w:sz w:val="20"/>
                <w:szCs w:val="20"/>
                <w:lang w:eastAsia="en-GB"/>
              </w:rPr>
              <w:t>93</w:t>
            </w:r>
          </w:p>
        </w:tc>
        <w:tc>
          <w:tcPr>
            <w:tcW w:w="1180" w:type="dxa"/>
            <w:tcBorders>
              <w:top w:val="nil"/>
              <w:left w:val="nil"/>
              <w:bottom w:val="single" w:sz="4" w:space="0" w:color="auto"/>
              <w:right w:val="nil"/>
            </w:tcBorders>
            <w:shd w:val="clear" w:color="000000" w:fill="E28C05"/>
            <w:noWrap/>
            <w:vAlign w:val="center"/>
            <w:hideMark/>
          </w:tcPr>
          <w:p w:rsidR="00AC7887" w:rsidRPr="00437C49" w:rsidRDefault="00AC7887" w:rsidP="00437C49">
            <w:pPr>
              <w:spacing w:after="0" w:line="240" w:lineRule="auto"/>
              <w:jc w:val="center"/>
              <w:rPr>
                <w:rFonts w:eastAsia="Times New Roman" w:cs="Arial"/>
                <w:b/>
                <w:bCs/>
                <w:color w:val="000000"/>
                <w:sz w:val="20"/>
                <w:szCs w:val="20"/>
                <w:lang w:eastAsia="en-GB"/>
              </w:rPr>
            </w:pPr>
            <w:r w:rsidRPr="00437C49">
              <w:rPr>
                <w:rFonts w:eastAsia="Times New Roman" w:cs="Arial"/>
                <w:b/>
                <w:bCs/>
                <w:color w:val="000000"/>
                <w:sz w:val="20"/>
                <w:szCs w:val="20"/>
                <w:lang w:eastAsia="en-GB"/>
              </w:rPr>
              <w:t>89.2</w:t>
            </w:r>
          </w:p>
        </w:tc>
        <w:tc>
          <w:tcPr>
            <w:tcW w:w="1287" w:type="dxa"/>
            <w:tcBorders>
              <w:top w:val="nil"/>
              <w:left w:val="nil"/>
              <w:bottom w:val="single" w:sz="4" w:space="0" w:color="auto"/>
              <w:right w:val="nil"/>
            </w:tcBorders>
            <w:shd w:val="clear" w:color="000000" w:fill="E28C05"/>
            <w:noWrap/>
            <w:vAlign w:val="center"/>
            <w:hideMark/>
          </w:tcPr>
          <w:p w:rsidR="00AC7887" w:rsidRPr="00437C49" w:rsidRDefault="00AC7887" w:rsidP="00437C49">
            <w:pPr>
              <w:spacing w:after="0" w:line="240" w:lineRule="auto"/>
              <w:jc w:val="center"/>
              <w:rPr>
                <w:rFonts w:eastAsia="Times New Roman" w:cs="Arial"/>
                <w:b/>
                <w:bCs/>
                <w:color w:val="000000"/>
                <w:sz w:val="20"/>
                <w:szCs w:val="20"/>
                <w:lang w:eastAsia="en-GB"/>
              </w:rPr>
            </w:pPr>
            <w:r w:rsidRPr="00437C49">
              <w:rPr>
                <w:rFonts w:eastAsia="Times New Roman" w:cs="Arial"/>
                <w:b/>
                <w:bCs/>
                <w:color w:val="000000"/>
                <w:sz w:val="20"/>
                <w:szCs w:val="20"/>
                <w:lang w:eastAsia="en-GB"/>
              </w:rPr>
              <w:t>85</w:t>
            </w:r>
          </w:p>
        </w:tc>
        <w:tc>
          <w:tcPr>
            <w:tcW w:w="1164" w:type="dxa"/>
            <w:tcBorders>
              <w:top w:val="nil"/>
              <w:left w:val="nil"/>
              <w:bottom w:val="single" w:sz="4" w:space="0" w:color="auto"/>
              <w:right w:val="single" w:sz="4" w:space="0" w:color="auto"/>
            </w:tcBorders>
            <w:shd w:val="clear" w:color="000000" w:fill="E28C05"/>
            <w:noWrap/>
            <w:vAlign w:val="center"/>
            <w:hideMark/>
          </w:tcPr>
          <w:p w:rsidR="00AC7887" w:rsidRPr="00437C49" w:rsidRDefault="00AC7887" w:rsidP="00437C49">
            <w:pPr>
              <w:spacing w:after="0" w:line="240" w:lineRule="auto"/>
              <w:jc w:val="center"/>
              <w:rPr>
                <w:rFonts w:eastAsia="Times New Roman" w:cs="Arial"/>
                <w:b/>
                <w:bCs/>
                <w:color w:val="000000"/>
                <w:sz w:val="20"/>
                <w:szCs w:val="20"/>
                <w:lang w:eastAsia="en-GB"/>
              </w:rPr>
            </w:pPr>
            <w:r w:rsidRPr="00437C49">
              <w:rPr>
                <w:rFonts w:eastAsia="Times New Roman" w:cs="Arial"/>
                <w:b/>
                <w:bCs/>
                <w:color w:val="000000"/>
                <w:sz w:val="20"/>
                <w:szCs w:val="20"/>
                <w:lang w:eastAsia="en-GB"/>
              </w:rPr>
              <w:t>69.95</w:t>
            </w:r>
          </w:p>
        </w:tc>
      </w:tr>
    </w:tbl>
    <w:p w:rsidR="001054BF" w:rsidRDefault="001054BF" w:rsidP="001D2A1E"/>
    <w:p w:rsidR="001D2A1E" w:rsidRDefault="00437C49" w:rsidP="00437C49">
      <w:pPr>
        <w:ind w:left="567" w:hanging="567"/>
      </w:pPr>
      <w:r>
        <w:t>2.3</w:t>
      </w:r>
      <w:r>
        <w:tab/>
      </w:r>
      <w:r w:rsidR="00A1263F">
        <w:t>Clearly the growth in headcount will have a longer term impact on the HRA Estate requirements and</w:t>
      </w:r>
      <w:r>
        <w:t xml:space="preserve"> the</w:t>
      </w:r>
      <w:r w:rsidR="00A1263F">
        <w:t xml:space="preserve"> HRA is committed to ensuring that any associated costs are managed within an overall strategy.</w:t>
      </w:r>
    </w:p>
    <w:p w:rsidR="001D2A1E" w:rsidRDefault="001D2A1E" w:rsidP="00437C49"/>
    <w:p w:rsidR="00A1263F" w:rsidRPr="008C7E06" w:rsidRDefault="00A1263F" w:rsidP="00A1263F">
      <w:pPr>
        <w:pStyle w:val="Standfirst"/>
      </w:pPr>
      <w:r>
        <w:t>Estate options</w:t>
      </w:r>
    </w:p>
    <w:p w:rsidR="00EB340F" w:rsidRDefault="003C0F3D" w:rsidP="00437C49">
      <w:pPr>
        <w:ind w:left="567" w:hanging="567"/>
      </w:pPr>
      <w:r>
        <w:t>2.4</w:t>
      </w:r>
      <w:r>
        <w:tab/>
      </w:r>
      <w:r w:rsidRPr="003C0F3D">
        <w:t xml:space="preserve">Carney Green undertook a detailed review on our behalf, focussing </w:t>
      </w:r>
      <w:r w:rsidR="00437C49">
        <w:t>on the current office footprint and</w:t>
      </w:r>
      <w:r w:rsidRPr="003C0F3D">
        <w:t xml:space="preserve"> space util</w:t>
      </w:r>
      <w:r w:rsidR="00437C49">
        <w:t>isation (following a survey</w:t>
      </w:r>
      <w:r w:rsidR="00A22D9A">
        <w:t xml:space="preserve"> which considered office use over 2 days</w:t>
      </w:r>
      <w:r w:rsidR="00437C49">
        <w:t xml:space="preserve">).  </w:t>
      </w:r>
      <w:r w:rsidRPr="003C0F3D">
        <w:t xml:space="preserve">They also considered future staffing requirements as a result of HRA Approval.  A detailed report </w:t>
      </w:r>
      <w:r w:rsidR="00EB340F" w:rsidRPr="00437C49">
        <w:rPr>
          <w:i/>
        </w:rPr>
        <w:t xml:space="preserve">Ways of Working – Real Estate Review </w:t>
      </w:r>
      <w:r w:rsidRPr="003C0F3D">
        <w:t xml:space="preserve">was presented to </w:t>
      </w:r>
      <w:r w:rsidR="00437C49">
        <w:t>EMT in September 2014.  The B</w:t>
      </w:r>
      <w:r w:rsidR="00EB340F">
        <w:t>oard approved the direction of travel in September 2014.</w:t>
      </w:r>
    </w:p>
    <w:p w:rsidR="003C0F3D" w:rsidRDefault="003C0F3D" w:rsidP="00437C49">
      <w:pPr>
        <w:ind w:left="567" w:hanging="567"/>
      </w:pPr>
      <w:r>
        <w:t>2.5</w:t>
      </w:r>
      <w:r>
        <w:tab/>
        <w:t xml:space="preserve">The long list of options </w:t>
      </w:r>
      <w:r w:rsidR="00EB340F">
        <w:t xml:space="preserve">initially </w:t>
      </w:r>
      <w:r>
        <w:t>considered was as follows</w:t>
      </w:r>
      <w:r w:rsidR="007826A0">
        <w:t xml:space="preserve">.  </w:t>
      </w:r>
      <w:r w:rsidR="0053043C">
        <w:t xml:space="preserve">The </w:t>
      </w:r>
      <w:r>
        <w:t>advantages and disadvantages</w:t>
      </w:r>
      <w:r w:rsidR="0053043C">
        <w:t xml:space="preserve"> of each option were considered and were presented in the </w:t>
      </w:r>
      <w:r w:rsidR="0053043C" w:rsidRPr="00437C49">
        <w:rPr>
          <w:i/>
        </w:rPr>
        <w:t>Ways of Working – Real Estate Review</w:t>
      </w:r>
      <w:r w:rsidR="0053043C">
        <w:t xml:space="preserve"> final report.</w:t>
      </w:r>
    </w:p>
    <w:p w:rsidR="003C0F3D" w:rsidRDefault="003C0F3D" w:rsidP="00437C49">
      <w:pPr>
        <w:ind w:left="567"/>
      </w:pPr>
      <w:r>
        <w:t>Option 1 – Do nothing</w:t>
      </w:r>
    </w:p>
    <w:p w:rsidR="003C0F3D" w:rsidRDefault="003C0F3D" w:rsidP="00437C49">
      <w:pPr>
        <w:ind w:left="567"/>
      </w:pPr>
      <w:r>
        <w:t>Option 2 – Retained footprint with partial flexible working</w:t>
      </w:r>
    </w:p>
    <w:p w:rsidR="003C0F3D" w:rsidRDefault="003C0F3D" w:rsidP="00437C49">
      <w:pPr>
        <w:ind w:left="567"/>
      </w:pPr>
      <w:r>
        <w:t>Option 3 – Reduced footprint with partial flexible working</w:t>
      </w:r>
    </w:p>
    <w:p w:rsidR="003C0F3D" w:rsidRDefault="00437C49" w:rsidP="00437C49">
      <w:pPr>
        <w:ind w:left="567"/>
      </w:pPr>
      <w:r>
        <w:t xml:space="preserve">Option 4 – </w:t>
      </w:r>
      <w:r w:rsidR="003C0F3D">
        <w:t>Central hub with London office retained or reduced</w:t>
      </w:r>
    </w:p>
    <w:p w:rsidR="003C0F3D" w:rsidRDefault="003C0F3D" w:rsidP="00437C49">
      <w:pPr>
        <w:ind w:left="567"/>
      </w:pPr>
      <w:r>
        <w:t xml:space="preserve">Option 5 </w:t>
      </w:r>
      <w:r w:rsidR="00437C49">
        <w:t>–</w:t>
      </w:r>
      <w:r>
        <w:t xml:space="preserve"> Central hub only</w:t>
      </w:r>
    </w:p>
    <w:p w:rsidR="00437C49" w:rsidRDefault="00437C49" w:rsidP="00437C49">
      <w:pPr>
        <w:ind w:left="567"/>
      </w:pPr>
    </w:p>
    <w:p w:rsidR="00C61CAE" w:rsidRDefault="0053043C" w:rsidP="00437C49">
      <w:r>
        <w:lastRenderedPageBreak/>
        <w:t xml:space="preserve">2.6 </w:t>
      </w:r>
      <w:r>
        <w:tab/>
        <w:t>EMT reviewed the options and concluded that the</w:t>
      </w:r>
      <w:r w:rsidR="00C61CAE">
        <w:t>re were some significant</w:t>
      </w:r>
      <w:r>
        <w:t xml:space="preserve"> risks </w:t>
      </w:r>
      <w:r w:rsidR="00C61CAE">
        <w:t>such as</w:t>
      </w:r>
      <w:r w:rsidR="00437C49">
        <w:t>:</w:t>
      </w:r>
    </w:p>
    <w:p w:rsidR="00C61CAE" w:rsidRPr="00141B31" w:rsidRDefault="00C61CAE" w:rsidP="00D16EF7">
      <w:pPr>
        <w:pStyle w:val="ListParagraph"/>
      </w:pPr>
      <w:r w:rsidRPr="00141B31">
        <w:t>ensuring momentum is maintained on deliverin</w:t>
      </w:r>
      <w:r w:rsidR="00437C49" w:rsidRPr="00141B31">
        <w:t>g benefits through HRA Approval;</w:t>
      </w:r>
    </w:p>
    <w:p w:rsidR="00EC14BC" w:rsidRPr="00141B31" w:rsidRDefault="00C61CAE" w:rsidP="00D16EF7">
      <w:pPr>
        <w:pStyle w:val="ListParagraph"/>
      </w:pPr>
      <w:r w:rsidRPr="00141B31">
        <w:t xml:space="preserve">ensuring momentum is maintained on </w:t>
      </w:r>
      <w:r w:rsidR="00EC14BC" w:rsidRPr="00141B31">
        <w:t xml:space="preserve">delivering a revised </w:t>
      </w:r>
      <w:r w:rsidR="00437C49" w:rsidRPr="00141B31">
        <w:t>Research Governance Framework;</w:t>
      </w:r>
    </w:p>
    <w:p w:rsidR="00EC14BC" w:rsidRPr="00141B31" w:rsidRDefault="00EC14BC" w:rsidP="00D16EF7">
      <w:pPr>
        <w:pStyle w:val="ListParagraph"/>
      </w:pPr>
      <w:r w:rsidRPr="00141B31">
        <w:t xml:space="preserve">maintaining </w:t>
      </w:r>
      <w:r w:rsidR="00437C49" w:rsidRPr="00141B31">
        <w:t>service performance;</w:t>
      </w:r>
    </w:p>
    <w:p w:rsidR="0053043C" w:rsidRPr="00141B31" w:rsidRDefault="0053043C" w:rsidP="00D16EF7">
      <w:pPr>
        <w:pStyle w:val="ListParagraph"/>
      </w:pPr>
      <w:r w:rsidRPr="00141B31">
        <w:t>disruption linked to significant cultural change at a time when the organisational focus needs to be on delivering the benefits of HRA Approval and co</w:t>
      </w:r>
      <w:r w:rsidR="00437C49" w:rsidRPr="00141B31">
        <w:t>ntinued stretched performance;</w:t>
      </w:r>
    </w:p>
    <w:p w:rsidR="00EC14BC" w:rsidRDefault="00EC14BC" w:rsidP="00D16EF7">
      <w:pPr>
        <w:pStyle w:val="ListParagraph"/>
      </w:pPr>
      <w:proofErr w:type="gramStart"/>
      <w:r>
        <w:t>change</w:t>
      </w:r>
      <w:proofErr w:type="gramEnd"/>
      <w:r>
        <w:t xml:space="preserve"> fatigue. </w:t>
      </w:r>
    </w:p>
    <w:p w:rsidR="0053043C" w:rsidRDefault="00437C49" w:rsidP="004811BA">
      <w:pPr>
        <w:spacing w:before="240"/>
        <w:ind w:left="567" w:hanging="567"/>
      </w:pPr>
      <w:r>
        <w:t xml:space="preserve">2.7 </w:t>
      </w:r>
      <w:r>
        <w:tab/>
        <w:t xml:space="preserve">The following short </w:t>
      </w:r>
      <w:r w:rsidR="0053043C">
        <w:t>list of options were then developed using the desk-sharing ratio as the key</w:t>
      </w:r>
      <w:r w:rsidR="00EC14BC">
        <w:t xml:space="preserve"> </w:t>
      </w:r>
      <w:r w:rsidR="0053043C">
        <w:t xml:space="preserve">differentiating variable. </w:t>
      </w:r>
      <w:r>
        <w:t xml:space="preserve"> </w:t>
      </w:r>
      <w:r w:rsidR="0053043C">
        <w:t>The industry standard relevant to the HRA is the Government Property Unit proposal of eight desks to ten people (8:10).  All lease exemption requests are considered in light of this industry standard.</w:t>
      </w:r>
    </w:p>
    <w:p w:rsidR="0053043C" w:rsidRDefault="0053043C" w:rsidP="00437C49">
      <w:pPr>
        <w:ind w:left="567"/>
      </w:pPr>
      <w:r>
        <w:t>The shortlisted options are as follows:</w:t>
      </w:r>
    </w:p>
    <w:p w:rsidR="0053043C" w:rsidRDefault="00733141" w:rsidP="00733141">
      <w:pPr>
        <w:ind w:left="567"/>
      </w:pPr>
      <w:r>
        <w:t>Option 1 – Do nothing (</w:t>
      </w:r>
      <w:proofErr w:type="spellStart"/>
      <w:r>
        <w:t>ie</w:t>
      </w:r>
      <w:proofErr w:type="spellEnd"/>
      <w:r w:rsidR="0053043C">
        <w:t xml:space="preserve"> existing desk-sharing ratio continues)</w:t>
      </w:r>
    </w:p>
    <w:p w:rsidR="0053043C" w:rsidRDefault="00733141" w:rsidP="00733141">
      <w:pPr>
        <w:ind w:left="567"/>
      </w:pPr>
      <w:r>
        <w:t>Option 2 –</w:t>
      </w:r>
      <w:r w:rsidR="0053043C">
        <w:t xml:space="preserve"> Industry standard</w:t>
      </w:r>
    </w:p>
    <w:p w:rsidR="0053043C" w:rsidRDefault="00733141" w:rsidP="00733141">
      <w:pPr>
        <w:ind w:left="567"/>
      </w:pPr>
      <w:r>
        <w:t>Option 3 –</w:t>
      </w:r>
      <w:r w:rsidR="0053043C">
        <w:t xml:space="preserve"> Industry standard plus</w:t>
      </w:r>
    </w:p>
    <w:p w:rsidR="001D2A1E" w:rsidRDefault="00733141" w:rsidP="00733141">
      <w:pPr>
        <w:ind w:left="567" w:hanging="567"/>
      </w:pPr>
      <w:r>
        <w:t>2.8</w:t>
      </w:r>
      <w:r>
        <w:tab/>
      </w:r>
      <w:r w:rsidRPr="00733141">
        <w:rPr>
          <w:b/>
        </w:rPr>
        <w:t>Option 1:</w:t>
      </w:r>
      <w:r>
        <w:t xml:space="preserve"> Do nothing (</w:t>
      </w:r>
      <w:proofErr w:type="spellStart"/>
      <w:r>
        <w:t>ie</w:t>
      </w:r>
      <w:proofErr w:type="spellEnd"/>
      <w:r w:rsidR="0053043C" w:rsidRPr="0053043C">
        <w:t xml:space="preserve"> existing desk-sharing ratio continues)</w:t>
      </w:r>
      <w:r>
        <w:t xml:space="preserve">  </w:t>
      </w:r>
      <w:r>
        <w:br/>
      </w:r>
      <w:r w:rsidR="0053043C">
        <w:t>This option involves the HRA expanding to accommodate the proposed 78 additional staff</w:t>
      </w:r>
      <w:r>
        <w:t xml:space="preserve"> </w:t>
      </w:r>
      <w:r w:rsidR="0053043C">
        <w:t>members on the basis of the organisation’s existing workstation to staff member ratio.</w:t>
      </w:r>
    </w:p>
    <w:tbl>
      <w:tblPr>
        <w:tblW w:w="8020" w:type="dxa"/>
        <w:tblInd w:w="720" w:type="dxa"/>
        <w:tblLook w:val="04A0" w:firstRow="1" w:lastRow="0" w:firstColumn="1" w:lastColumn="0" w:noHBand="0" w:noVBand="1"/>
      </w:tblPr>
      <w:tblGrid>
        <w:gridCol w:w="2180"/>
        <w:gridCol w:w="5840"/>
      </w:tblGrid>
      <w:tr w:rsidR="00EB340F" w:rsidRPr="00733141" w:rsidTr="00733141">
        <w:trPr>
          <w:trHeight w:val="600"/>
        </w:trPr>
        <w:tc>
          <w:tcPr>
            <w:tcW w:w="2180" w:type="dxa"/>
            <w:tcBorders>
              <w:top w:val="single" w:sz="4" w:space="0" w:color="auto"/>
              <w:left w:val="single" w:sz="4" w:space="0" w:color="auto"/>
              <w:bottom w:val="nil"/>
              <w:right w:val="nil"/>
            </w:tcBorders>
            <w:shd w:val="clear" w:color="000000" w:fill="56008C"/>
            <w:vAlign w:val="center"/>
            <w:hideMark/>
          </w:tcPr>
          <w:p w:rsidR="00EB340F" w:rsidRPr="00733141" w:rsidRDefault="00EB340F" w:rsidP="00EB340F">
            <w:pPr>
              <w:spacing w:after="0" w:line="240" w:lineRule="auto"/>
              <w:rPr>
                <w:rFonts w:eastAsia="Times New Roman" w:cs="Arial"/>
                <w:b/>
                <w:bCs/>
                <w:color w:val="E28C05"/>
                <w:sz w:val="20"/>
                <w:szCs w:val="20"/>
                <w:lang w:eastAsia="en-GB"/>
              </w:rPr>
            </w:pPr>
            <w:r w:rsidRPr="00733141">
              <w:rPr>
                <w:rFonts w:eastAsia="Times New Roman" w:cs="Arial"/>
                <w:b/>
                <w:bCs/>
                <w:color w:val="E28C05"/>
                <w:sz w:val="20"/>
                <w:szCs w:val="20"/>
                <w:lang w:eastAsia="en-GB"/>
              </w:rPr>
              <w:t xml:space="preserve">Option Definition </w:t>
            </w:r>
          </w:p>
        </w:tc>
        <w:tc>
          <w:tcPr>
            <w:tcW w:w="5840" w:type="dxa"/>
            <w:tcBorders>
              <w:top w:val="single" w:sz="4" w:space="0" w:color="auto"/>
              <w:left w:val="single" w:sz="4" w:space="0" w:color="auto"/>
              <w:bottom w:val="nil"/>
              <w:right w:val="nil"/>
            </w:tcBorders>
            <w:shd w:val="clear" w:color="000000" w:fill="56008C"/>
            <w:vAlign w:val="center"/>
            <w:hideMark/>
          </w:tcPr>
          <w:p w:rsidR="00EB340F" w:rsidRPr="00733141" w:rsidRDefault="00EB340F" w:rsidP="00EB340F">
            <w:pPr>
              <w:spacing w:after="0" w:line="240" w:lineRule="auto"/>
              <w:jc w:val="center"/>
              <w:rPr>
                <w:rFonts w:eastAsia="Times New Roman" w:cs="Arial"/>
                <w:b/>
                <w:bCs/>
                <w:color w:val="E28C05"/>
                <w:sz w:val="20"/>
                <w:szCs w:val="20"/>
                <w:lang w:eastAsia="en-GB"/>
              </w:rPr>
            </w:pPr>
            <w:r w:rsidRPr="00733141">
              <w:rPr>
                <w:rFonts w:eastAsia="Times New Roman" w:cs="Arial"/>
                <w:b/>
                <w:bCs/>
                <w:color w:val="E28C05"/>
                <w:sz w:val="20"/>
                <w:szCs w:val="20"/>
                <w:lang w:eastAsia="en-GB"/>
              </w:rPr>
              <w:t>Description</w:t>
            </w:r>
          </w:p>
        </w:tc>
      </w:tr>
      <w:tr w:rsidR="00EB340F" w:rsidRPr="00733141" w:rsidTr="00733141">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40F" w:rsidRPr="00733141" w:rsidRDefault="00EB340F" w:rsidP="00EB340F">
            <w:pPr>
              <w:spacing w:after="0" w:line="240" w:lineRule="auto"/>
              <w:rPr>
                <w:rFonts w:eastAsia="Times New Roman" w:cs="Arial"/>
                <w:color w:val="000000"/>
                <w:sz w:val="20"/>
                <w:szCs w:val="20"/>
                <w:lang w:eastAsia="en-GB"/>
              </w:rPr>
            </w:pPr>
            <w:r w:rsidRPr="00733141">
              <w:rPr>
                <w:rFonts w:eastAsia="Times New Roman" w:cs="Arial"/>
                <w:color w:val="000000"/>
                <w:sz w:val="20"/>
                <w:szCs w:val="20"/>
                <w:lang w:eastAsia="en-GB"/>
              </w:rPr>
              <w:t xml:space="preserve">Desk sharing ratio </w:t>
            </w:r>
          </w:p>
        </w:tc>
        <w:tc>
          <w:tcPr>
            <w:tcW w:w="5840" w:type="dxa"/>
            <w:tcBorders>
              <w:top w:val="single" w:sz="4" w:space="0" w:color="auto"/>
              <w:left w:val="nil"/>
              <w:bottom w:val="single" w:sz="4" w:space="0" w:color="auto"/>
              <w:right w:val="single" w:sz="4" w:space="0" w:color="auto"/>
            </w:tcBorders>
            <w:shd w:val="clear" w:color="auto" w:fill="auto"/>
            <w:noWrap/>
            <w:vAlign w:val="bottom"/>
            <w:hideMark/>
          </w:tcPr>
          <w:p w:rsidR="00EB340F" w:rsidRPr="00733141" w:rsidRDefault="00EB340F" w:rsidP="00EB340F">
            <w:pPr>
              <w:spacing w:after="0" w:line="240" w:lineRule="auto"/>
              <w:rPr>
                <w:rFonts w:eastAsia="Times New Roman" w:cs="Arial"/>
                <w:color w:val="000000"/>
                <w:sz w:val="20"/>
                <w:szCs w:val="20"/>
                <w:lang w:eastAsia="en-GB"/>
              </w:rPr>
            </w:pPr>
            <w:r w:rsidRPr="00733141">
              <w:rPr>
                <w:rFonts w:eastAsia="Times New Roman" w:cs="Arial"/>
                <w:color w:val="000000"/>
                <w:sz w:val="20"/>
                <w:szCs w:val="20"/>
                <w:lang w:eastAsia="en-GB"/>
              </w:rPr>
              <w:t>1.05</w:t>
            </w:r>
          </w:p>
        </w:tc>
      </w:tr>
      <w:tr w:rsidR="00EB340F" w:rsidRPr="00733141" w:rsidTr="00733141">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EB340F" w:rsidRPr="00733141" w:rsidRDefault="00EB340F" w:rsidP="00EB340F">
            <w:pPr>
              <w:spacing w:after="0" w:line="240" w:lineRule="auto"/>
              <w:rPr>
                <w:rFonts w:eastAsia="Times New Roman" w:cs="Arial"/>
                <w:color w:val="000000"/>
                <w:sz w:val="20"/>
                <w:szCs w:val="20"/>
                <w:lang w:eastAsia="en-GB"/>
              </w:rPr>
            </w:pPr>
            <w:r w:rsidRPr="00733141">
              <w:rPr>
                <w:rFonts w:eastAsia="Times New Roman" w:cs="Arial"/>
                <w:color w:val="000000"/>
                <w:sz w:val="20"/>
                <w:szCs w:val="20"/>
                <w:lang w:eastAsia="en-GB"/>
              </w:rPr>
              <w:t xml:space="preserve">Impact on office size </w:t>
            </w:r>
          </w:p>
        </w:tc>
        <w:tc>
          <w:tcPr>
            <w:tcW w:w="5840" w:type="dxa"/>
            <w:tcBorders>
              <w:top w:val="single" w:sz="4" w:space="0" w:color="auto"/>
              <w:left w:val="nil"/>
              <w:bottom w:val="single" w:sz="4" w:space="0" w:color="auto"/>
              <w:right w:val="single" w:sz="4" w:space="0" w:color="auto"/>
            </w:tcBorders>
            <w:shd w:val="clear" w:color="auto" w:fill="auto"/>
            <w:noWrap/>
            <w:vAlign w:val="bottom"/>
            <w:hideMark/>
          </w:tcPr>
          <w:p w:rsidR="00EB340F" w:rsidRPr="00733141" w:rsidRDefault="00EB340F" w:rsidP="00EB340F">
            <w:pPr>
              <w:spacing w:after="0" w:line="240" w:lineRule="auto"/>
              <w:rPr>
                <w:rFonts w:eastAsia="Times New Roman" w:cs="Arial"/>
                <w:color w:val="000000"/>
                <w:sz w:val="20"/>
                <w:szCs w:val="20"/>
                <w:lang w:eastAsia="en-GB"/>
              </w:rPr>
            </w:pPr>
            <w:r w:rsidRPr="00733141">
              <w:rPr>
                <w:rFonts w:eastAsia="Times New Roman" w:cs="Arial"/>
                <w:color w:val="000000"/>
                <w:sz w:val="20"/>
                <w:szCs w:val="20"/>
                <w:lang w:eastAsia="en-GB"/>
              </w:rPr>
              <w:t>Macro office footprint increase as more space is required</w:t>
            </w:r>
          </w:p>
        </w:tc>
      </w:tr>
    </w:tbl>
    <w:p w:rsidR="00EB340F" w:rsidRDefault="00EB340F" w:rsidP="004811BA">
      <w:pPr>
        <w:spacing w:after="0"/>
      </w:pPr>
    </w:p>
    <w:p w:rsidR="00EB340F" w:rsidRDefault="00EB340F" w:rsidP="00733141">
      <w:pPr>
        <w:ind w:left="567"/>
      </w:pPr>
      <w:r w:rsidRPr="00733141">
        <w:rPr>
          <w:b/>
        </w:rPr>
        <w:t>Option 2:</w:t>
      </w:r>
      <w:r w:rsidRPr="00EB340F">
        <w:t xml:space="preserve"> Industry standard</w:t>
      </w:r>
      <w:r w:rsidR="00733141">
        <w:br/>
      </w:r>
      <w:proofErr w:type="gramStart"/>
      <w:r w:rsidRPr="00EB340F">
        <w:t>This</w:t>
      </w:r>
      <w:proofErr w:type="gramEnd"/>
      <w:r w:rsidRPr="00EB340F">
        <w:t xml:space="preserve"> option involves HRA adopting the GPU good practice ratio of eight desks to ten people.</w:t>
      </w:r>
    </w:p>
    <w:tbl>
      <w:tblPr>
        <w:tblW w:w="8020" w:type="dxa"/>
        <w:tblInd w:w="720" w:type="dxa"/>
        <w:tblLook w:val="04A0" w:firstRow="1" w:lastRow="0" w:firstColumn="1" w:lastColumn="0" w:noHBand="0" w:noVBand="1"/>
      </w:tblPr>
      <w:tblGrid>
        <w:gridCol w:w="2180"/>
        <w:gridCol w:w="5840"/>
      </w:tblGrid>
      <w:tr w:rsidR="00EB340F" w:rsidRPr="00733141" w:rsidTr="00733141">
        <w:trPr>
          <w:trHeight w:val="300"/>
        </w:trPr>
        <w:tc>
          <w:tcPr>
            <w:tcW w:w="2180" w:type="dxa"/>
            <w:tcBorders>
              <w:top w:val="single" w:sz="4" w:space="0" w:color="auto"/>
              <w:left w:val="single" w:sz="4" w:space="0" w:color="auto"/>
              <w:bottom w:val="nil"/>
              <w:right w:val="nil"/>
            </w:tcBorders>
            <w:shd w:val="clear" w:color="000000" w:fill="56008C"/>
            <w:vAlign w:val="center"/>
            <w:hideMark/>
          </w:tcPr>
          <w:p w:rsidR="00EB340F" w:rsidRPr="00733141" w:rsidRDefault="00EB340F" w:rsidP="00EB340F">
            <w:pPr>
              <w:spacing w:after="0" w:line="240" w:lineRule="auto"/>
              <w:rPr>
                <w:rFonts w:eastAsia="Times New Roman" w:cs="Arial"/>
                <w:b/>
                <w:bCs/>
                <w:color w:val="E28C05"/>
                <w:sz w:val="20"/>
                <w:szCs w:val="20"/>
                <w:lang w:eastAsia="en-GB"/>
              </w:rPr>
            </w:pPr>
            <w:r w:rsidRPr="00733141">
              <w:rPr>
                <w:rFonts w:eastAsia="Times New Roman" w:cs="Arial"/>
                <w:b/>
                <w:bCs/>
                <w:color w:val="E28C05"/>
                <w:sz w:val="20"/>
                <w:szCs w:val="20"/>
                <w:lang w:eastAsia="en-GB"/>
              </w:rPr>
              <w:t xml:space="preserve">Option Definition </w:t>
            </w:r>
          </w:p>
        </w:tc>
        <w:tc>
          <w:tcPr>
            <w:tcW w:w="5840" w:type="dxa"/>
            <w:tcBorders>
              <w:top w:val="single" w:sz="4" w:space="0" w:color="auto"/>
              <w:left w:val="single" w:sz="4" w:space="0" w:color="auto"/>
              <w:bottom w:val="nil"/>
              <w:right w:val="nil"/>
            </w:tcBorders>
            <w:shd w:val="clear" w:color="000000" w:fill="56008C"/>
            <w:vAlign w:val="center"/>
            <w:hideMark/>
          </w:tcPr>
          <w:p w:rsidR="00EB340F" w:rsidRPr="00733141" w:rsidRDefault="00EB340F" w:rsidP="00EB340F">
            <w:pPr>
              <w:spacing w:after="0" w:line="240" w:lineRule="auto"/>
              <w:jc w:val="center"/>
              <w:rPr>
                <w:rFonts w:eastAsia="Times New Roman" w:cs="Arial"/>
                <w:b/>
                <w:bCs/>
                <w:color w:val="E28C05"/>
                <w:sz w:val="20"/>
                <w:szCs w:val="20"/>
                <w:lang w:eastAsia="en-GB"/>
              </w:rPr>
            </w:pPr>
            <w:r w:rsidRPr="00733141">
              <w:rPr>
                <w:rFonts w:eastAsia="Times New Roman" w:cs="Arial"/>
                <w:b/>
                <w:bCs/>
                <w:color w:val="E28C05"/>
                <w:sz w:val="20"/>
                <w:szCs w:val="20"/>
                <w:lang w:eastAsia="en-GB"/>
              </w:rPr>
              <w:t>Description</w:t>
            </w:r>
          </w:p>
        </w:tc>
      </w:tr>
      <w:tr w:rsidR="00EB340F" w:rsidRPr="00733141" w:rsidTr="00733141">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40F" w:rsidRPr="00733141" w:rsidRDefault="00EB340F" w:rsidP="00EB340F">
            <w:pPr>
              <w:spacing w:after="0" w:line="240" w:lineRule="auto"/>
              <w:rPr>
                <w:rFonts w:eastAsia="Times New Roman" w:cs="Arial"/>
                <w:color w:val="000000"/>
                <w:sz w:val="20"/>
                <w:szCs w:val="20"/>
                <w:lang w:eastAsia="en-GB"/>
              </w:rPr>
            </w:pPr>
            <w:r w:rsidRPr="00733141">
              <w:rPr>
                <w:rFonts w:eastAsia="Times New Roman" w:cs="Arial"/>
                <w:color w:val="000000"/>
                <w:sz w:val="20"/>
                <w:szCs w:val="20"/>
                <w:lang w:eastAsia="en-GB"/>
              </w:rPr>
              <w:t xml:space="preserve">Desk sharing ratio </w:t>
            </w:r>
          </w:p>
        </w:tc>
        <w:tc>
          <w:tcPr>
            <w:tcW w:w="5840" w:type="dxa"/>
            <w:tcBorders>
              <w:top w:val="single" w:sz="4" w:space="0" w:color="auto"/>
              <w:left w:val="nil"/>
              <w:bottom w:val="single" w:sz="4" w:space="0" w:color="auto"/>
              <w:right w:val="single" w:sz="4" w:space="0" w:color="auto"/>
            </w:tcBorders>
            <w:shd w:val="clear" w:color="auto" w:fill="auto"/>
            <w:noWrap/>
            <w:vAlign w:val="bottom"/>
            <w:hideMark/>
          </w:tcPr>
          <w:p w:rsidR="00EB340F" w:rsidRPr="00733141" w:rsidRDefault="00EB340F" w:rsidP="00EB340F">
            <w:pPr>
              <w:spacing w:after="0" w:line="240" w:lineRule="auto"/>
              <w:rPr>
                <w:rFonts w:eastAsia="Times New Roman" w:cs="Arial"/>
                <w:color w:val="000000"/>
                <w:sz w:val="20"/>
                <w:szCs w:val="20"/>
                <w:lang w:eastAsia="en-GB"/>
              </w:rPr>
            </w:pPr>
            <w:r w:rsidRPr="00733141">
              <w:rPr>
                <w:rFonts w:eastAsia="Times New Roman" w:cs="Arial"/>
                <w:color w:val="000000"/>
                <w:sz w:val="20"/>
                <w:szCs w:val="20"/>
                <w:lang w:eastAsia="en-GB"/>
              </w:rPr>
              <w:t>8:10 ratio adopted</w:t>
            </w:r>
          </w:p>
        </w:tc>
      </w:tr>
      <w:tr w:rsidR="00EB340F" w:rsidRPr="00733141" w:rsidTr="00733141">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EB340F" w:rsidRPr="00733141" w:rsidRDefault="00EB340F" w:rsidP="00EB340F">
            <w:pPr>
              <w:spacing w:after="0" w:line="240" w:lineRule="auto"/>
              <w:rPr>
                <w:rFonts w:eastAsia="Times New Roman" w:cs="Arial"/>
                <w:color w:val="000000"/>
                <w:sz w:val="20"/>
                <w:szCs w:val="20"/>
                <w:lang w:eastAsia="en-GB"/>
              </w:rPr>
            </w:pPr>
            <w:r w:rsidRPr="00733141">
              <w:rPr>
                <w:rFonts w:eastAsia="Times New Roman" w:cs="Arial"/>
                <w:color w:val="000000"/>
                <w:sz w:val="20"/>
                <w:szCs w:val="20"/>
                <w:lang w:eastAsia="en-GB"/>
              </w:rPr>
              <w:t xml:space="preserve">Impact on office size </w:t>
            </w:r>
          </w:p>
        </w:tc>
        <w:tc>
          <w:tcPr>
            <w:tcW w:w="5840" w:type="dxa"/>
            <w:tcBorders>
              <w:top w:val="single" w:sz="4" w:space="0" w:color="auto"/>
              <w:left w:val="nil"/>
              <w:bottom w:val="single" w:sz="4" w:space="0" w:color="auto"/>
              <w:right w:val="single" w:sz="4" w:space="0" w:color="auto"/>
            </w:tcBorders>
            <w:shd w:val="clear" w:color="auto" w:fill="auto"/>
            <w:noWrap/>
            <w:vAlign w:val="bottom"/>
            <w:hideMark/>
          </w:tcPr>
          <w:p w:rsidR="00EB340F" w:rsidRPr="00733141" w:rsidRDefault="00EB340F" w:rsidP="00EB340F">
            <w:pPr>
              <w:spacing w:after="0" w:line="240" w:lineRule="auto"/>
              <w:rPr>
                <w:rFonts w:eastAsia="Times New Roman" w:cs="Arial"/>
                <w:color w:val="000000"/>
                <w:sz w:val="20"/>
                <w:szCs w:val="20"/>
                <w:lang w:eastAsia="en-GB"/>
              </w:rPr>
            </w:pPr>
            <w:r w:rsidRPr="00733141">
              <w:rPr>
                <w:rFonts w:eastAsia="Times New Roman" w:cs="Arial"/>
                <w:color w:val="000000"/>
                <w:sz w:val="20"/>
                <w:szCs w:val="20"/>
                <w:lang w:eastAsia="en-GB"/>
              </w:rPr>
              <w:t>Macro office footprint decreases as more space is required</w:t>
            </w:r>
          </w:p>
        </w:tc>
      </w:tr>
    </w:tbl>
    <w:p w:rsidR="00EB340F" w:rsidRDefault="00EB340F" w:rsidP="004811BA">
      <w:pPr>
        <w:spacing w:after="0"/>
      </w:pPr>
    </w:p>
    <w:p w:rsidR="00EB340F" w:rsidRDefault="00EB340F" w:rsidP="00390B5F">
      <w:pPr>
        <w:ind w:left="567"/>
      </w:pPr>
      <w:r w:rsidRPr="00390B5F">
        <w:rPr>
          <w:b/>
        </w:rPr>
        <w:t>Option 3:</w:t>
      </w:r>
      <w:r>
        <w:t xml:space="preserve"> Industry standard plus</w:t>
      </w:r>
      <w:r w:rsidR="00390B5F">
        <w:br/>
      </w:r>
      <w:proofErr w:type="gramStart"/>
      <w:r>
        <w:t>This</w:t>
      </w:r>
      <w:proofErr w:type="gramEnd"/>
      <w:r>
        <w:t xml:space="preserve"> option involves HRA adopting a 7:10 desk-sharing ratio. </w:t>
      </w:r>
      <w:r w:rsidR="00390B5F">
        <w:t xml:space="preserve"> </w:t>
      </w:r>
      <w:r>
        <w:t>Carney Green’s utilisation study</w:t>
      </w:r>
      <w:r w:rsidR="00390B5F">
        <w:t xml:space="preserve"> </w:t>
      </w:r>
      <w:r>
        <w:t>indicated that on average 36 per cent of open plan workstations were not utilised currently,</w:t>
      </w:r>
      <w:r w:rsidR="00390B5F">
        <w:t xml:space="preserve"> </w:t>
      </w:r>
      <w:r>
        <w:t>therefore, suggesting seven desks to ten people desk sharing ratio is feasible for the HRA to</w:t>
      </w:r>
      <w:r w:rsidR="00390B5F">
        <w:t xml:space="preserve"> </w:t>
      </w:r>
      <w:r>
        <w:t>consider in the future.</w:t>
      </w:r>
    </w:p>
    <w:tbl>
      <w:tblPr>
        <w:tblW w:w="8020" w:type="dxa"/>
        <w:tblInd w:w="720" w:type="dxa"/>
        <w:tblLook w:val="04A0" w:firstRow="1" w:lastRow="0" w:firstColumn="1" w:lastColumn="0" w:noHBand="0" w:noVBand="1"/>
      </w:tblPr>
      <w:tblGrid>
        <w:gridCol w:w="2180"/>
        <w:gridCol w:w="5840"/>
      </w:tblGrid>
      <w:tr w:rsidR="00EB340F" w:rsidRPr="00390B5F" w:rsidTr="00390B5F">
        <w:trPr>
          <w:trHeight w:val="300"/>
        </w:trPr>
        <w:tc>
          <w:tcPr>
            <w:tcW w:w="2180" w:type="dxa"/>
            <w:tcBorders>
              <w:top w:val="single" w:sz="4" w:space="0" w:color="auto"/>
              <w:left w:val="single" w:sz="4" w:space="0" w:color="auto"/>
              <w:bottom w:val="nil"/>
              <w:right w:val="nil"/>
            </w:tcBorders>
            <w:shd w:val="clear" w:color="000000" w:fill="56008C"/>
            <w:vAlign w:val="center"/>
            <w:hideMark/>
          </w:tcPr>
          <w:p w:rsidR="00EB340F" w:rsidRPr="00390B5F" w:rsidRDefault="00EB340F" w:rsidP="00EB340F">
            <w:pPr>
              <w:spacing w:after="0" w:line="240" w:lineRule="auto"/>
              <w:rPr>
                <w:rFonts w:eastAsia="Times New Roman" w:cs="Arial"/>
                <w:b/>
                <w:bCs/>
                <w:color w:val="E28C05"/>
                <w:sz w:val="20"/>
                <w:szCs w:val="20"/>
                <w:lang w:eastAsia="en-GB"/>
              </w:rPr>
            </w:pPr>
            <w:r w:rsidRPr="00390B5F">
              <w:rPr>
                <w:rFonts w:eastAsia="Times New Roman" w:cs="Arial"/>
                <w:b/>
                <w:bCs/>
                <w:color w:val="E28C05"/>
                <w:sz w:val="20"/>
                <w:szCs w:val="20"/>
                <w:lang w:eastAsia="en-GB"/>
              </w:rPr>
              <w:t xml:space="preserve">Option Definition </w:t>
            </w:r>
          </w:p>
        </w:tc>
        <w:tc>
          <w:tcPr>
            <w:tcW w:w="5840" w:type="dxa"/>
            <w:tcBorders>
              <w:top w:val="single" w:sz="4" w:space="0" w:color="auto"/>
              <w:left w:val="single" w:sz="4" w:space="0" w:color="auto"/>
              <w:bottom w:val="nil"/>
              <w:right w:val="nil"/>
            </w:tcBorders>
            <w:shd w:val="clear" w:color="000000" w:fill="56008C"/>
            <w:vAlign w:val="center"/>
            <w:hideMark/>
          </w:tcPr>
          <w:p w:rsidR="00EB340F" w:rsidRPr="00390B5F" w:rsidRDefault="00EB340F" w:rsidP="00EB340F">
            <w:pPr>
              <w:spacing w:after="0" w:line="240" w:lineRule="auto"/>
              <w:jc w:val="center"/>
              <w:rPr>
                <w:rFonts w:eastAsia="Times New Roman" w:cs="Arial"/>
                <w:b/>
                <w:bCs/>
                <w:color w:val="E28C05"/>
                <w:sz w:val="20"/>
                <w:szCs w:val="20"/>
                <w:lang w:eastAsia="en-GB"/>
              </w:rPr>
            </w:pPr>
            <w:r w:rsidRPr="00390B5F">
              <w:rPr>
                <w:rFonts w:eastAsia="Times New Roman" w:cs="Arial"/>
                <w:b/>
                <w:bCs/>
                <w:color w:val="E28C05"/>
                <w:sz w:val="20"/>
                <w:szCs w:val="20"/>
                <w:lang w:eastAsia="en-GB"/>
              </w:rPr>
              <w:t>Description</w:t>
            </w:r>
          </w:p>
        </w:tc>
      </w:tr>
      <w:tr w:rsidR="00EB340F" w:rsidRPr="00390B5F" w:rsidTr="00390B5F">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40F" w:rsidRPr="00390B5F" w:rsidRDefault="00EB340F" w:rsidP="00EB340F">
            <w:pPr>
              <w:spacing w:after="0" w:line="240" w:lineRule="auto"/>
              <w:rPr>
                <w:rFonts w:eastAsia="Times New Roman" w:cs="Arial"/>
                <w:color w:val="000000"/>
                <w:sz w:val="20"/>
                <w:szCs w:val="20"/>
                <w:lang w:eastAsia="en-GB"/>
              </w:rPr>
            </w:pPr>
            <w:r w:rsidRPr="00390B5F">
              <w:rPr>
                <w:rFonts w:eastAsia="Times New Roman" w:cs="Arial"/>
                <w:color w:val="000000"/>
                <w:sz w:val="20"/>
                <w:szCs w:val="20"/>
                <w:lang w:eastAsia="en-GB"/>
              </w:rPr>
              <w:t xml:space="preserve">Desk sharing ratio </w:t>
            </w:r>
          </w:p>
        </w:tc>
        <w:tc>
          <w:tcPr>
            <w:tcW w:w="5840" w:type="dxa"/>
            <w:tcBorders>
              <w:top w:val="single" w:sz="4" w:space="0" w:color="auto"/>
              <w:left w:val="nil"/>
              <w:bottom w:val="single" w:sz="4" w:space="0" w:color="auto"/>
              <w:right w:val="single" w:sz="4" w:space="0" w:color="auto"/>
            </w:tcBorders>
            <w:shd w:val="clear" w:color="auto" w:fill="auto"/>
            <w:noWrap/>
            <w:vAlign w:val="bottom"/>
            <w:hideMark/>
          </w:tcPr>
          <w:p w:rsidR="00EB340F" w:rsidRPr="00390B5F" w:rsidRDefault="00EB340F" w:rsidP="00EB340F">
            <w:pPr>
              <w:spacing w:after="0" w:line="240" w:lineRule="auto"/>
              <w:rPr>
                <w:rFonts w:eastAsia="Times New Roman" w:cs="Arial"/>
                <w:color w:val="000000"/>
                <w:sz w:val="20"/>
                <w:szCs w:val="20"/>
                <w:lang w:eastAsia="en-GB"/>
              </w:rPr>
            </w:pPr>
            <w:r w:rsidRPr="00390B5F">
              <w:rPr>
                <w:rFonts w:eastAsia="Times New Roman" w:cs="Arial"/>
                <w:color w:val="000000"/>
                <w:sz w:val="20"/>
                <w:szCs w:val="20"/>
                <w:lang w:eastAsia="en-GB"/>
              </w:rPr>
              <w:t>7:10 ratio adopted</w:t>
            </w:r>
          </w:p>
        </w:tc>
      </w:tr>
      <w:tr w:rsidR="00EB340F" w:rsidRPr="00390B5F" w:rsidTr="00390B5F">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EB340F" w:rsidRPr="00390B5F" w:rsidRDefault="00EB340F" w:rsidP="00EB340F">
            <w:pPr>
              <w:spacing w:after="0" w:line="240" w:lineRule="auto"/>
              <w:rPr>
                <w:rFonts w:eastAsia="Times New Roman" w:cs="Arial"/>
                <w:color w:val="000000"/>
                <w:sz w:val="20"/>
                <w:szCs w:val="20"/>
                <w:lang w:eastAsia="en-GB"/>
              </w:rPr>
            </w:pPr>
            <w:r w:rsidRPr="00390B5F">
              <w:rPr>
                <w:rFonts w:eastAsia="Times New Roman" w:cs="Arial"/>
                <w:color w:val="000000"/>
                <w:sz w:val="20"/>
                <w:szCs w:val="20"/>
                <w:lang w:eastAsia="en-GB"/>
              </w:rPr>
              <w:t xml:space="preserve">Impact on office size </w:t>
            </w:r>
          </w:p>
        </w:tc>
        <w:tc>
          <w:tcPr>
            <w:tcW w:w="5840" w:type="dxa"/>
            <w:tcBorders>
              <w:top w:val="single" w:sz="4" w:space="0" w:color="auto"/>
              <w:left w:val="nil"/>
              <w:bottom w:val="single" w:sz="4" w:space="0" w:color="auto"/>
              <w:right w:val="single" w:sz="4" w:space="0" w:color="auto"/>
            </w:tcBorders>
            <w:shd w:val="clear" w:color="auto" w:fill="auto"/>
            <w:noWrap/>
            <w:vAlign w:val="bottom"/>
            <w:hideMark/>
          </w:tcPr>
          <w:p w:rsidR="00EB340F" w:rsidRPr="00390B5F" w:rsidRDefault="00EB340F" w:rsidP="00EB340F">
            <w:pPr>
              <w:spacing w:after="0" w:line="240" w:lineRule="auto"/>
              <w:rPr>
                <w:rFonts w:eastAsia="Times New Roman" w:cs="Arial"/>
                <w:color w:val="000000"/>
                <w:sz w:val="20"/>
                <w:szCs w:val="20"/>
                <w:lang w:eastAsia="en-GB"/>
              </w:rPr>
            </w:pPr>
            <w:r w:rsidRPr="00390B5F">
              <w:rPr>
                <w:rFonts w:eastAsia="Times New Roman" w:cs="Arial"/>
                <w:color w:val="000000"/>
                <w:sz w:val="20"/>
                <w:szCs w:val="20"/>
                <w:lang w:eastAsia="en-GB"/>
              </w:rPr>
              <w:t>Macro office footprint decreases as more space is required</w:t>
            </w:r>
          </w:p>
        </w:tc>
      </w:tr>
    </w:tbl>
    <w:p w:rsidR="004811BA" w:rsidRDefault="004811BA" w:rsidP="004811BA"/>
    <w:p w:rsidR="00EB340F" w:rsidRDefault="00EB340F" w:rsidP="00EB340F">
      <w:pPr>
        <w:pStyle w:val="Standfirst"/>
      </w:pPr>
      <w:r>
        <w:t>Options appraisal</w:t>
      </w:r>
    </w:p>
    <w:p w:rsidR="00EB340F" w:rsidRDefault="001054BF" w:rsidP="00390B5F">
      <w:pPr>
        <w:ind w:left="567" w:hanging="567"/>
      </w:pPr>
      <w:r>
        <w:t>2.9</w:t>
      </w:r>
      <w:r>
        <w:tab/>
      </w:r>
      <w:r w:rsidR="00EB340F">
        <w:t>This section considers the high level cost implications for each of the shortlisted options to</w:t>
      </w:r>
      <w:r w:rsidR="00390B5F">
        <w:t xml:space="preserve"> </w:t>
      </w:r>
      <w:r w:rsidR="00EB340F">
        <w:t xml:space="preserve">allow comparative analysis of the options. </w:t>
      </w:r>
      <w:r w:rsidR="00390B5F">
        <w:t xml:space="preserve"> </w:t>
      </w:r>
      <w:r w:rsidR="00EB340F">
        <w:t>For each option we set out the property and</w:t>
      </w:r>
      <w:r w:rsidR="00390B5F">
        <w:t xml:space="preserve"> </w:t>
      </w:r>
      <w:r w:rsidR="00EB340F">
        <w:t xml:space="preserve">travel/accommodation costs to enable comparison. </w:t>
      </w:r>
      <w:r w:rsidR="00390B5F">
        <w:t xml:space="preserve"> </w:t>
      </w:r>
      <w:r w:rsidR="00EB340F">
        <w:t>These include all aspects of property</w:t>
      </w:r>
      <w:r w:rsidR="00390B5F">
        <w:t xml:space="preserve"> </w:t>
      </w:r>
      <w:proofErr w:type="gramStart"/>
      <w:r w:rsidR="00EB340F">
        <w:t>costs</w:t>
      </w:r>
      <w:r w:rsidR="00390B5F">
        <w:t>,</w:t>
      </w:r>
      <w:r w:rsidR="00EB340F">
        <w:t xml:space="preserve"> including rent, facilitates</w:t>
      </w:r>
      <w:proofErr w:type="gramEnd"/>
      <w:r w:rsidR="00EB340F">
        <w:t xml:space="preserve"> management (FM), service charge (where applicable), rates,</w:t>
      </w:r>
      <w:r w:rsidR="00390B5F">
        <w:t xml:space="preserve"> </w:t>
      </w:r>
      <w:r w:rsidR="00EB340F">
        <w:t xml:space="preserve">utilities and building maintenance. </w:t>
      </w:r>
      <w:r w:rsidR="00390B5F">
        <w:t xml:space="preserve"> </w:t>
      </w:r>
      <w:r w:rsidR="00EB340F">
        <w:t>A contingency sum has also been included to cover travel</w:t>
      </w:r>
      <w:r w:rsidR="00390B5F">
        <w:t xml:space="preserve"> </w:t>
      </w:r>
      <w:r w:rsidR="00EB340F">
        <w:t>and accommodation costs.</w:t>
      </w:r>
    </w:p>
    <w:p w:rsidR="00EB340F" w:rsidRPr="00390B5F" w:rsidRDefault="001054BF" w:rsidP="00390B5F">
      <w:pPr>
        <w:ind w:left="567" w:hanging="567"/>
      </w:pPr>
      <w:r>
        <w:t>2.10</w:t>
      </w:r>
      <w:r>
        <w:tab/>
      </w:r>
      <w:r w:rsidR="00EA5586">
        <w:t xml:space="preserve">The table </w:t>
      </w:r>
      <w:proofErr w:type="gramStart"/>
      <w:r w:rsidR="00EB340F" w:rsidRPr="00EB340F">
        <w:t>below,</w:t>
      </w:r>
      <w:proofErr w:type="gramEnd"/>
      <w:r w:rsidR="00EB340F" w:rsidRPr="00EB340F">
        <w:t xml:space="preserve"> summarises the total costs for each of the three shortlisted options. </w:t>
      </w:r>
      <w:r w:rsidR="00390B5F">
        <w:t xml:space="preserve"> </w:t>
      </w:r>
      <w:r w:rsidR="00EB340F" w:rsidRPr="00C6639E">
        <w:rPr>
          <w:i/>
        </w:rPr>
        <w:t>It is</w:t>
      </w:r>
      <w:r w:rsidR="00390B5F">
        <w:rPr>
          <w:i/>
        </w:rPr>
        <w:t xml:space="preserve"> </w:t>
      </w:r>
      <w:r w:rsidR="00EB340F" w:rsidRPr="00390B5F">
        <w:rPr>
          <w:i/>
        </w:rPr>
        <w:t>important to note that the analysis assumes that changes to desk-sharing ratios begin at the</w:t>
      </w:r>
      <w:r w:rsidR="00390B5F" w:rsidRPr="00390B5F">
        <w:rPr>
          <w:i/>
        </w:rPr>
        <w:t xml:space="preserve"> </w:t>
      </w:r>
      <w:r w:rsidR="00EB340F" w:rsidRPr="00390B5F">
        <w:rPr>
          <w:i/>
        </w:rPr>
        <w:t>start of year two.</w:t>
      </w:r>
      <w:r w:rsidR="00EB340F" w:rsidRPr="00390B5F">
        <w:t xml:space="preserve"> </w:t>
      </w:r>
    </w:p>
    <w:tbl>
      <w:tblPr>
        <w:tblW w:w="7561" w:type="dxa"/>
        <w:jc w:val="center"/>
        <w:tblInd w:w="-378" w:type="dxa"/>
        <w:tblLook w:val="04A0" w:firstRow="1" w:lastRow="0" w:firstColumn="1" w:lastColumn="0" w:noHBand="0" w:noVBand="1"/>
      </w:tblPr>
      <w:tblGrid>
        <w:gridCol w:w="3721"/>
        <w:gridCol w:w="960"/>
        <w:gridCol w:w="960"/>
        <w:gridCol w:w="960"/>
        <w:gridCol w:w="960"/>
      </w:tblGrid>
      <w:tr w:rsidR="006076EC" w:rsidRPr="00390B5F" w:rsidTr="00390B5F">
        <w:trPr>
          <w:trHeight w:val="900"/>
          <w:jc w:val="center"/>
        </w:trPr>
        <w:tc>
          <w:tcPr>
            <w:tcW w:w="3721" w:type="dxa"/>
            <w:tcBorders>
              <w:top w:val="single" w:sz="4" w:space="0" w:color="auto"/>
              <w:left w:val="single" w:sz="4" w:space="0" w:color="auto"/>
              <w:bottom w:val="nil"/>
              <w:right w:val="nil"/>
            </w:tcBorders>
            <w:shd w:val="clear" w:color="000000" w:fill="56008C"/>
            <w:vAlign w:val="center"/>
            <w:hideMark/>
          </w:tcPr>
          <w:p w:rsidR="006076EC" w:rsidRPr="00390B5F" w:rsidRDefault="006076EC" w:rsidP="00390B5F">
            <w:pPr>
              <w:spacing w:after="0" w:line="240" w:lineRule="auto"/>
              <w:rPr>
                <w:rFonts w:eastAsia="Times New Roman" w:cs="Arial"/>
                <w:b/>
                <w:bCs/>
                <w:color w:val="E28C05"/>
                <w:sz w:val="20"/>
                <w:szCs w:val="20"/>
                <w:lang w:eastAsia="en-GB"/>
              </w:rPr>
            </w:pPr>
            <w:r w:rsidRPr="00390B5F">
              <w:rPr>
                <w:rFonts w:eastAsia="Times New Roman" w:cs="Arial"/>
                <w:b/>
                <w:bCs/>
                <w:color w:val="E28C05"/>
                <w:sz w:val="20"/>
                <w:szCs w:val="20"/>
                <w:lang w:eastAsia="en-GB"/>
              </w:rPr>
              <w:t>Option 1: Do Nothing (i.e. existing desk-sharing ratio continues)</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r w:rsidRPr="00390B5F">
              <w:rPr>
                <w:rFonts w:eastAsia="Times New Roman" w:cs="Arial"/>
                <w:b/>
                <w:bCs/>
                <w:color w:val="E28C05"/>
                <w:sz w:val="20"/>
                <w:szCs w:val="20"/>
                <w:lang w:eastAsia="en-GB"/>
              </w:rPr>
              <w:t>Year 1</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r w:rsidRPr="00390B5F">
              <w:rPr>
                <w:rFonts w:eastAsia="Times New Roman" w:cs="Arial"/>
                <w:b/>
                <w:bCs/>
                <w:color w:val="E28C05"/>
                <w:sz w:val="20"/>
                <w:szCs w:val="20"/>
                <w:lang w:eastAsia="en-GB"/>
              </w:rPr>
              <w:t>Year 2</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r w:rsidRPr="00390B5F">
              <w:rPr>
                <w:rFonts w:eastAsia="Times New Roman" w:cs="Arial"/>
                <w:b/>
                <w:bCs/>
                <w:color w:val="E28C05"/>
                <w:sz w:val="20"/>
                <w:szCs w:val="20"/>
                <w:lang w:eastAsia="en-GB"/>
              </w:rPr>
              <w:t>Year 3</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r w:rsidRPr="00390B5F">
              <w:rPr>
                <w:rFonts w:eastAsia="Times New Roman" w:cs="Arial"/>
                <w:b/>
                <w:bCs/>
                <w:color w:val="E28C05"/>
                <w:sz w:val="20"/>
                <w:szCs w:val="20"/>
                <w:lang w:eastAsia="en-GB"/>
              </w:rPr>
              <w:t>Total</w:t>
            </w:r>
          </w:p>
        </w:tc>
      </w:tr>
      <w:tr w:rsidR="006076EC" w:rsidRPr="00390B5F" w:rsidTr="00390B5F">
        <w:trPr>
          <w:trHeight w:val="300"/>
          <w:jc w:val="center"/>
        </w:trPr>
        <w:tc>
          <w:tcPr>
            <w:tcW w:w="3721" w:type="dxa"/>
            <w:tcBorders>
              <w:top w:val="single" w:sz="4" w:space="0" w:color="auto"/>
              <w:left w:val="single" w:sz="4" w:space="0" w:color="auto"/>
              <w:bottom w:val="single" w:sz="4" w:space="0" w:color="auto"/>
              <w:right w:val="single" w:sz="4" w:space="0" w:color="auto"/>
            </w:tcBorders>
            <w:shd w:val="clear" w:color="000000" w:fill="56008C"/>
            <w:vAlign w:val="center"/>
            <w:hideMark/>
          </w:tcPr>
          <w:p w:rsidR="006076EC" w:rsidRPr="00390B5F" w:rsidRDefault="006076EC" w:rsidP="00390B5F">
            <w:pPr>
              <w:spacing w:after="0" w:line="240" w:lineRule="auto"/>
              <w:rPr>
                <w:rFonts w:eastAsia="Times New Roman" w:cs="Arial"/>
                <w:b/>
                <w:bCs/>
                <w:color w:val="E28C05"/>
                <w:sz w:val="20"/>
                <w:szCs w:val="20"/>
                <w:lang w:eastAsia="en-GB"/>
              </w:rPr>
            </w:pPr>
            <w:r w:rsidRPr="00390B5F">
              <w:rPr>
                <w:rFonts w:eastAsia="Times New Roman" w:cs="Arial"/>
                <w:b/>
                <w:bCs/>
                <w:color w:val="E28C05"/>
                <w:sz w:val="20"/>
                <w:szCs w:val="20"/>
                <w:lang w:eastAsia="en-GB"/>
              </w:rPr>
              <w:t> </w:t>
            </w:r>
          </w:p>
        </w:tc>
        <w:tc>
          <w:tcPr>
            <w:tcW w:w="960" w:type="dxa"/>
            <w:tcBorders>
              <w:top w:val="single" w:sz="4" w:space="0" w:color="auto"/>
              <w:left w:val="nil"/>
              <w:bottom w:val="single" w:sz="4" w:space="0" w:color="auto"/>
              <w:right w:val="single" w:sz="4" w:space="0" w:color="auto"/>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r w:rsidRPr="00390B5F">
              <w:rPr>
                <w:rFonts w:eastAsia="Times New Roman" w:cs="Arial"/>
                <w:b/>
                <w:bCs/>
                <w:color w:val="E28C05"/>
                <w:sz w:val="20"/>
                <w:szCs w:val="20"/>
                <w:lang w:eastAsia="en-GB"/>
              </w:rPr>
              <w:t>(£k)</w:t>
            </w:r>
          </w:p>
        </w:tc>
        <w:tc>
          <w:tcPr>
            <w:tcW w:w="960" w:type="dxa"/>
            <w:tcBorders>
              <w:top w:val="single" w:sz="4" w:space="0" w:color="auto"/>
              <w:left w:val="nil"/>
              <w:bottom w:val="single" w:sz="4" w:space="0" w:color="auto"/>
              <w:right w:val="single" w:sz="4" w:space="0" w:color="auto"/>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r w:rsidRPr="00390B5F">
              <w:rPr>
                <w:rFonts w:eastAsia="Times New Roman" w:cs="Arial"/>
                <w:b/>
                <w:bCs/>
                <w:color w:val="E28C05"/>
                <w:sz w:val="20"/>
                <w:szCs w:val="20"/>
                <w:lang w:eastAsia="en-GB"/>
              </w:rPr>
              <w:t>(£k)</w:t>
            </w:r>
          </w:p>
        </w:tc>
        <w:tc>
          <w:tcPr>
            <w:tcW w:w="960" w:type="dxa"/>
            <w:tcBorders>
              <w:top w:val="single" w:sz="4" w:space="0" w:color="auto"/>
              <w:left w:val="nil"/>
              <w:bottom w:val="single" w:sz="4" w:space="0" w:color="auto"/>
              <w:right w:val="single" w:sz="4" w:space="0" w:color="auto"/>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r w:rsidRPr="00390B5F">
              <w:rPr>
                <w:rFonts w:eastAsia="Times New Roman" w:cs="Arial"/>
                <w:b/>
                <w:bCs/>
                <w:color w:val="E28C05"/>
                <w:sz w:val="20"/>
                <w:szCs w:val="20"/>
                <w:lang w:eastAsia="en-GB"/>
              </w:rPr>
              <w:t>(£k)</w:t>
            </w:r>
          </w:p>
        </w:tc>
        <w:tc>
          <w:tcPr>
            <w:tcW w:w="960" w:type="dxa"/>
            <w:tcBorders>
              <w:top w:val="single" w:sz="4" w:space="0" w:color="auto"/>
              <w:left w:val="nil"/>
              <w:bottom w:val="single" w:sz="4" w:space="0" w:color="auto"/>
              <w:right w:val="single" w:sz="4" w:space="0" w:color="auto"/>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r w:rsidRPr="00390B5F">
              <w:rPr>
                <w:rFonts w:eastAsia="Times New Roman" w:cs="Arial"/>
                <w:b/>
                <w:bCs/>
                <w:color w:val="E28C05"/>
                <w:sz w:val="20"/>
                <w:szCs w:val="20"/>
                <w:lang w:eastAsia="en-GB"/>
              </w:rPr>
              <w:t>(£k)</w:t>
            </w:r>
          </w:p>
        </w:tc>
      </w:tr>
      <w:tr w:rsidR="006076EC" w:rsidRPr="00390B5F" w:rsidTr="00390B5F">
        <w:trPr>
          <w:trHeight w:val="300"/>
          <w:jc w:val="center"/>
        </w:trPr>
        <w:tc>
          <w:tcPr>
            <w:tcW w:w="3721" w:type="dxa"/>
            <w:tcBorders>
              <w:top w:val="nil"/>
              <w:left w:val="single" w:sz="4" w:space="0" w:color="auto"/>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rPr>
                <w:rFonts w:eastAsia="Times New Roman" w:cs="Arial"/>
                <w:color w:val="000000"/>
                <w:sz w:val="20"/>
                <w:szCs w:val="20"/>
                <w:lang w:eastAsia="en-GB"/>
              </w:rPr>
            </w:pPr>
            <w:r w:rsidRPr="00390B5F">
              <w:rPr>
                <w:rFonts w:eastAsia="Times New Roman" w:cs="Arial"/>
                <w:color w:val="000000"/>
                <w:sz w:val="20"/>
                <w:szCs w:val="20"/>
                <w:lang w:eastAsia="en-GB"/>
              </w:rPr>
              <w:t xml:space="preserve">Property costs </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986</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986</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986</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2,958</w:t>
            </w:r>
          </w:p>
        </w:tc>
      </w:tr>
      <w:tr w:rsidR="006076EC" w:rsidRPr="00390B5F" w:rsidTr="00390B5F">
        <w:trPr>
          <w:trHeight w:val="300"/>
          <w:jc w:val="center"/>
        </w:trPr>
        <w:tc>
          <w:tcPr>
            <w:tcW w:w="3721" w:type="dxa"/>
            <w:tcBorders>
              <w:top w:val="nil"/>
              <w:left w:val="single" w:sz="4" w:space="0" w:color="auto"/>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rPr>
                <w:rFonts w:eastAsia="Times New Roman" w:cs="Arial"/>
                <w:color w:val="000000"/>
                <w:sz w:val="20"/>
                <w:szCs w:val="20"/>
                <w:lang w:eastAsia="en-GB"/>
              </w:rPr>
            </w:pPr>
            <w:r w:rsidRPr="00390B5F">
              <w:rPr>
                <w:rFonts w:eastAsia="Times New Roman" w:cs="Arial"/>
                <w:color w:val="000000"/>
                <w:sz w:val="20"/>
                <w:szCs w:val="20"/>
                <w:lang w:eastAsia="en-GB"/>
              </w:rPr>
              <w:t xml:space="preserve">Travel and accommodation costs </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49</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49</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49</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147</w:t>
            </w:r>
          </w:p>
        </w:tc>
      </w:tr>
      <w:tr w:rsidR="006076EC" w:rsidRPr="00390B5F" w:rsidTr="00390B5F">
        <w:trPr>
          <w:trHeight w:val="300"/>
          <w:jc w:val="center"/>
        </w:trPr>
        <w:tc>
          <w:tcPr>
            <w:tcW w:w="3721" w:type="dxa"/>
            <w:tcBorders>
              <w:top w:val="nil"/>
              <w:left w:val="single" w:sz="4" w:space="0" w:color="auto"/>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rPr>
                <w:rFonts w:eastAsia="Times New Roman" w:cs="Arial"/>
                <w:b/>
                <w:bCs/>
                <w:color w:val="000000"/>
                <w:sz w:val="20"/>
                <w:szCs w:val="20"/>
                <w:lang w:eastAsia="en-GB"/>
              </w:rPr>
            </w:pPr>
            <w:r w:rsidRPr="00390B5F">
              <w:rPr>
                <w:rFonts w:eastAsia="Times New Roman" w:cs="Arial"/>
                <w:b/>
                <w:bCs/>
                <w:color w:val="000000"/>
                <w:sz w:val="20"/>
                <w:szCs w:val="20"/>
                <w:lang w:eastAsia="en-GB"/>
              </w:rPr>
              <w:t xml:space="preserve">Total </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b/>
                <w:bCs/>
                <w:color w:val="000000"/>
                <w:sz w:val="20"/>
                <w:szCs w:val="20"/>
                <w:lang w:eastAsia="en-GB"/>
              </w:rPr>
            </w:pPr>
            <w:r w:rsidRPr="00390B5F">
              <w:rPr>
                <w:rFonts w:eastAsia="Times New Roman" w:cs="Arial"/>
                <w:b/>
                <w:bCs/>
                <w:color w:val="000000"/>
                <w:sz w:val="20"/>
                <w:szCs w:val="20"/>
                <w:lang w:eastAsia="en-GB"/>
              </w:rPr>
              <w:t>1,035</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b/>
                <w:bCs/>
                <w:color w:val="000000"/>
                <w:sz w:val="20"/>
                <w:szCs w:val="20"/>
                <w:lang w:eastAsia="en-GB"/>
              </w:rPr>
            </w:pPr>
            <w:r w:rsidRPr="00390B5F">
              <w:rPr>
                <w:rFonts w:eastAsia="Times New Roman" w:cs="Arial"/>
                <w:b/>
                <w:bCs/>
                <w:color w:val="000000"/>
                <w:sz w:val="20"/>
                <w:szCs w:val="20"/>
                <w:lang w:eastAsia="en-GB"/>
              </w:rPr>
              <w:t>1,035</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b/>
                <w:bCs/>
                <w:color w:val="000000"/>
                <w:sz w:val="20"/>
                <w:szCs w:val="20"/>
                <w:lang w:eastAsia="en-GB"/>
              </w:rPr>
            </w:pPr>
            <w:r w:rsidRPr="00390B5F">
              <w:rPr>
                <w:rFonts w:eastAsia="Times New Roman" w:cs="Arial"/>
                <w:b/>
                <w:bCs/>
                <w:color w:val="000000"/>
                <w:sz w:val="20"/>
                <w:szCs w:val="20"/>
                <w:lang w:eastAsia="en-GB"/>
              </w:rPr>
              <w:t>1,035</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b/>
                <w:bCs/>
                <w:color w:val="000000"/>
                <w:sz w:val="20"/>
                <w:szCs w:val="20"/>
                <w:lang w:eastAsia="en-GB"/>
              </w:rPr>
            </w:pPr>
            <w:r w:rsidRPr="00390B5F">
              <w:rPr>
                <w:rFonts w:eastAsia="Times New Roman" w:cs="Arial"/>
                <w:b/>
                <w:bCs/>
                <w:color w:val="000000"/>
                <w:sz w:val="20"/>
                <w:szCs w:val="20"/>
                <w:lang w:eastAsia="en-GB"/>
              </w:rPr>
              <w:t>3,105</w:t>
            </w:r>
          </w:p>
        </w:tc>
      </w:tr>
      <w:tr w:rsidR="006076EC" w:rsidRPr="00390B5F" w:rsidTr="00390B5F">
        <w:trPr>
          <w:trHeight w:val="300"/>
          <w:jc w:val="center"/>
        </w:trPr>
        <w:tc>
          <w:tcPr>
            <w:tcW w:w="3721" w:type="dxa"/>
            <w:tcBorders>
              <w:top w:val="nil"/>
              <w:left w:val="single" w:sz="4" w:space="0" w:color="auto"/>
              <w:bottom w:val="single" w:sz="4" w:space="0" w:color="auto"/>
              <w:right w:val="single" w:sz="4" w:space="0" w:color="auto"/>
            </w:tcBorders>
            <w:shd w:val="clear" w:color="000000" w:fill="56008C"/>
            <w:vAlign w:val="center"/>
            <w:hideMark/>
          </w:tcPr>
          <w:p w:rsidR="006076EC" w:rsidRPr="00390B5F" w:rsidRDefault="006076EC" w:rsidP="00390B5F">
            <w:pPr>
              <w:spacing w:after="0" w:line="240" w:lineRule="auto"/>
              <w:rPr>
                <w:rFonts w:eastAsia="Times New Roman" w:cs="Arial"/>
                <w:b/>
                <w:bCs/>
                <w:color w:val="E28C05"/>
                <w:sz w:val="20"/>
                <w:szCs w:val="20"/>
                <w:lang w:eastAsia="en-GB"/>
              </w:rPr>
            </w:pPr>
            <w:r w:rsidRPr="00390B5F">
              <w:rPr>
                <w:rFonts w:eastAsia="Times New Roman" w:cs="Arial"/>
                <w:b/>
                <w:bCs/>
                <w:color w:val="E28C05"/>
                <w:sz w:val="20"/>
                <w:szCs w:val="20"/>
                <w:lang w:eastAsia="en-GB"/>
              </w:rPr>
              <w:t>Option 2: Industry Standard</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p>
        </w:tc>
      </w:tr>
      <w:tr w:rsidR="006076EC" w:rsidRPr="00390B5F" w:rsidTr="00390B5F">
        <w:trPr>
          <w:trHeight w:val="300"/>
          <w:jc w:val="center"/>
        </w:trPr>
        <w:tc>
          <w:tcPr>
            <w:tcW w:w="3721" w:type="dxa"/>
            <w:tcBorders>
              <w:top w:val="nil"/>
              <w:left w:val="single" w:sz="4" w:space="0" w:color="auto"/>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rPr>
                <w:rFonts w:eastAsia="Times New Roman" w:cs="Arial"/>
                <w:color w:val="000000"/>
                <w:sz w:val="20"/>
                <w:szCs w:val="20"/>
                <w:lang w:eastAsia="en-GB"/>
              </w:rPr>
            </w:pPr>
            <w:r w:rsidRPr="00390B5F">
              <w:rPr>
                <w:rFonts w:eastAsia="Times New Roman" w:cs="Arial"/>
                <w:color w:val="000000"/>
                <w:sz w:val="20"/>
                <w:szCs w:val="20"/>
                <w:lang w:eastAsia="en-GB"/>
              </w:rPr>
              <w:t xml:space="preserve">Property costs </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986</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659</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660</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2305</w:t>
            </w:r>
          </w:p>
        </w:tc>
      </w:tr>
      <w:tr w:rsidR="006076EC" w:rsidRPr="00390B5F" w:rsidTr="00390B5F">
        <w:trPr>
          <w:trHeight w:val="300"/>
          <w:jc w:val="center"/>
        </w:trPr>
        <w:tc>
          <w:tcPr>
            <w:tcW w:w="3721" w:type="dxa"/>
            <w:tcBorders>
              <w:top w:val="nil"/>
              <w:left w:val="single" w:sz="4" w:space="0" w:color="auto"/>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rPr>
                <w:rFonts w:eastAsia="Times New Roman" w:cs="Arial"/>
                <w:color w:val="000000"/>
                <w:sz w:val="20"/>
                <w:szCs w:val="20"/>
                <w:lang w:eastAsia="en-GB"/>
              </w:rPr>
            </w:pPr>
            <w:r w:rsidRPr="00390B5F">
              <w:rPr>
                <w:rFonts w:eastAsia="Times New Roman" w:cs="Arial"/>
                <w:color w:val="000000"/>
                <w:sz w:val="20"/>
                <w:szCs w:val="20"/>
                <w:lang w:eastAsia="en-GB"/>
              </w:rPr>
              <w:t xml:space="preserve">Travel and accommodation costs* </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49</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33</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33</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115</w:t>
            </w:r>
          </w:p>
        </w:tc>
      </w:tr>
      <w:tr w:rsidR="006076EC" w:rsidRPr="00390B5F" w:rsidTr="00390B5F">
        <w:trPr>
          <w:trHeight w:val="300"/>
          <w:jc w:val="center"/>
        </w:trPr>
        <w:tc>
          <w:tcPr>
            <w:tcW w:w="3721" w:type="dxa"/>
            <w:tcBorders>
              <w:top w:val="nil"/>
              <w:left w:val="single" w:sz="4" w:space="0" w:color="auto"/>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rPr>
                <w:rFonts w:eastAsia="Times New Roman" w:cs="Arial"/>
                <w:b/>
                <w:bCs/>
                <w:color w:val="000000"/>
                <w:sz w:val="20"/>
                <w:szCs w:val="20"/>
                <w:lang w:eastAsia="en-GB"/>
              </w:rPr>
            </w:pPr>
            <w:r w:rsidRPr="00390B5F">
              <w:rPr>
                <w:rFonts w:eastAsia="Times New Roman" w:cs="Arial"/>
                <w:b/>
                <w:bCs/>
                <w:color w:val="000000"/>
                <w:sz w:val="20"/>
                <w:szCs w:val="20"/>
                <w:lang w:eastAsia="en-GB"/>
              </w:rPr>
              <w:t xml:space="preserve">Total </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b/>
                <w:bCs/>
                <w:color w:val="000000"/>
                <w:sz w:val="20"/>
                <w:szCs w:val="20"/>
                <w:lang w:eastAsia="en-GB"/>
              </w:rPr>
            </w:pPr>
            <w:r w:rsidRPr="00390B5F">
              <w:rPr>
                <w:rFonts w:eastAsia="Times New Roman" w:cs="Arial"/>
                <w:b/>
                <w:bCs/>
                <w:color w:val="000000"/>
                <w:sz w:val="20"/>
                <w:szCs w:val="20"/>
                <w:lang w:eastAsia="en-GB"/>
              </w:rPr>
              <w:t>1,035</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b/>
                <w:bCs/>
                <w:color w:val="000000"/>
                <w:sz w:val="20"/>
                <w:szCs w:val="20"/>
                <w:lang w:eastAsia="en-GB"/>
              </w:rPr>
            </w:pPr>
            <w:r w:rsidRPr="00390B5F">
              <w:rPr>
                <w:rFonts w:eastAsia="Times New Roman" w:cs="Arial"/>
                <w:b/>
                <w:bCs/>
                <w:color w:val="000000"/>
                <w:sz w:val="20"/>
                <w:szCs w:val="20"/>
                <w:lang w:eastAsia="en-GB"/>
              </w:rPr>
              <w:t>692</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b/>
                <w:bCs/>
                <w:color w:val="000000"/>
                <w:sz w:val="20"/>
                <w:szCs w:val="20"/>
                <w:lang w:eastAsia="en-GB"/>
              </w:rPr>
            </w:pPr>
            <w:r w:rsidRPr="00390B5F">
              <w:rPr>
                <w:rFonts w:eastAsia="Times New Roman" w:cs="Arial"/>
                <w:b/>
                <w:bCs/>
                <w:color w:val="000000"/>
                <w:sz w:val="20"/>
                <w:szCs w:val="20"/>
                <w:lang w:eastAsia="en-GB"/>
              </w:rPr>
              <w:t>693</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b/>
                <w:bCs/>
                <w:color w:val="000000"/>
                <w:sz w:val="20"/>
                <w:szCs w:val="20"/>
                <w:lang w:eastAsia="en-GB"/>
              </w:rPr>
            </w:pPr>
            <w:r w:rsidRPr="00390B5F">
              <w:rPr>
                <w:rFonts w:eastAsia="Times New Roman" w:cs="Arial"/>
                <w:b/>
                <w:bCs/>
                <w:color w:val="000000"/>
                <w:sz w:val="20"/>
                <w:szCs w:val="20"/>
                <w:lang w:eastAsia="en-GB"/>
              </w:rPr>
              <w:t>2,420</w:t>
            </w:r>
          </w:p>
        </w:tc>
      </w:tr>
      <w:tr w:rsidR="006076EC" w:rsidRPr="00390B5F" w:rsidTr="00390B5F">
        <w:trPr>
          <w:trHeight w:val="300"/>
          <w:jc w:val="center"/>
        </w:trPr>
        <w:tc>
          <w:tcPr>
            <w:tcW w:w="3721" w:type="dxa"/>
            <w:tcBorders>
              <w:top w:val="nil"/>
              <w:left w:val="single" w:sz="4" w:space="0" w:color="auto"/>
              <w:bottom w:val="single" w:sz="4" w:space="0" w:color="auto"/>
              <w:right w:val="single" w:sz="4" w:space="0" w:color="auto"/>
            </w:tcBorders>
            <w:shd w:val="clear" w:color="000000" w:fill="56008C"/>
            <w:vAlign w:val="center"/>
            <w:hideMark/>
          </w:tcPr>
          <w:p w:rsidR="006076EC" w:rsidRPr="00390B5F" w:rsidRDefault="006076EC" w:rsidP="00390B5F">
            <w:pPr>
              <w:spacing w:after="0" w:line="240" w:lineRule="auto"/>
              <w:rPr>
                <w:rFonts w:eastAsia="Times New Roman" w:cs="Arial"/>
                <w:b/>
                <w:bCs/>
                <w:color w:val="E28C05"/>
                <w:sz w:val="20"/>
                <w:szCs w:val="20"/>
                <w:lang w:eastAsia="en-GB"/>
              </w:rPr>
            </w:pPr>
            <w:r w:rsidRPr="00390B5F">
              <w:rPr>
                <w:rFonts w:eastAsia="Times New Roman" w:cs="Arial"/>
                <w:b/>
                <w:bCs/>
                <w:color w:val="E28C05"/>
                <w:sz w:val="20"/>
                <w:szCs w:val="20"/>
                <w:lang w:eastAsia="en-GB"/>
              </w:rPr>
              <w:t>Savings (£) versus Option 1</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r w:rsidRPr="00390B5F">
              <w:rPr>
                <w:rFonts w:eastAsia="Times New Roman" w:cs="Arial"/>
                <w:b/>
                <w:bCs/>
                <w:color w:val="E28C05"/>
                <w:sz w:val="20"/>
                <w:szCs w:val="20"/>
                <w:lang w:eastAsia="en-GB"/>
              </w:rPr>
              <w:t>0</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r w:rsidRPr="00390B5F">
              <w:rPr>
                <w:rFonts w:eastAsia="Times New Roman" w:cs="Arial"/>
                <w:b/>
                <w:bCs/>
                <w:color w:val="E28C05"/>
                <w:sz w:val="20"/>
                <w:szCs w:val="20"/>
                <w:lang w:eastAsia="en-GB"/>
              </w:rPr>
              <w:t>-343</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r w:rsidRPr="00390B5F">
              <w:rPr>
                <w:rFonts w:eastAsia="Times New Roman" w:cs="Arial"/>
                <w:b/>
                <w:bCs/>
                <w:color w:val="E28C05"/>
                <w:sz w:val="20"/>
                <w:szCs w:val="20"/>
                <w:lang w:eastAsia="en-GB"/>
              </w:rPr>
              <w:t>-342</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p>
        </w:tc>
      </w:tr>
      <w:tr w:rsidR="006076EC" w:rsidRPr="00390B5F" w:rsidTr="00390B5F">
        <w:trPr>
          <w:trHeight w:val="300"/>
          <w:jc w:val="center"/>
        </w:trPr>
        <w:tc>
          <w:tcPr>
            <w:tcW w:w="3721" w:type="dxa"/>
            <w:tcBorders>
              <w:top w:val="nil"/>
              <w:left w:val="single" w:sz="4" w:space="0" w:color="auto"/>
              <w:bottom w:val="single" w:sz="4" w:space="0" w:color="auto"/>
              <w:right w:val="single" w:sz="4" w:space="0" w:color="auto"/>
            </w:tcBorders>
            <w:shd w:val="clear" w:color="000000" w:fill="56008C"/>
            <w:vAlign w:val="center"/>
            <w:hideMark/>
          </w:tcPr>
          <w:p w:rsidR="006076EC" w:rsidRPr="00390B5F" w:rsidRDefault="006076EC" w:rsidP="00390B5F">
            <w:pPr>
              <w:spacing w:after="0" w:line="240" w:lineRule="auto"/>
              <w:rPr>
                <w:rFonts w:eastAsia="Times New Roman" w:cs="Arial"/>
                <w:b/>
                <w:bCs/>
                <w:color w:val="E28C05"/>
                <w:sz w:val="20"/>
                <w:szCs w:val="20"/>
                <w:lang w:eastAsia="en-GB"/>
              </w:rPr>
            </w:pPr>
            <w:r w:rsidRPr="00390B5F">
              <w:rPr>
                <w:rFonts w:eastAsia="Times New Roman" w:cs="Arial"/>
                <w:b/>
                <w:bCs/>
                <w:color w:val="E28C05"/>
                <w:sz w:val="20"/>
                <w:szCs w:val="20"/>
                <w:lang w:eastAsia="en-GB"/>
              </w:rPr>
              <w:t>% saving</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p>
        </w:tc>
        <w:tc>
          <w:tcPr>
            <w:tcW w:w="960" w:type="dxa"/>
            <w:tcBorders>
              <w:top w:val="single" w:sz="4" w:space="0" w:color="auto"/>
              <w:left w:val="single" w:sz="4" w:space="0" w:color="auto"/>
              <w:bottom w:val="nil"/>
              <w:right w:val="nil"/>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r w:rsidRPr="00390B5F">
              <w:rPr>
                <w:rFonts w:eastAsia="Times New Roman" w:cs="Arial"/>
                <w:b/>
                <w:bCs/>
                <w:color w:val="E28C05"/>
                <w:sz w:val="20"/>
                <w:szCs w:val="20"/>
                <w:lang w:eastAsia="en-GB"/>
              </w:rPr>
              <w:t>-33%</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r w:rsidRPr="00390B5F">
              <w:rPr>
                <w:rFonts w:eastAsia="Times New Roman" w:cs="Arial"/>
                <w:b/>
                <w:bCs/>
                <w:color w:val="E28C05"/>
                <w:sz w:val="20"/>
                <w:szCs w:val="20"/>
                <w:lang w:eastAsia="en-GB"/>
              </w:rPr>
              <w:t>-33%</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p>
        </w:tc>
      </w:tr>
      <w:tr w:rsidR="006076EC" w:rsidRPr="00390B5F" w:rsidTr="00390B5F">
        <w:trPr>
          <w:trHeight w:val="300"/>
          <w:jc w:val="center"/>
        </w:trPr>
        <w:tc>
          <w:tcPr>
            <w:tcW w:w="3721" w:type="dxa"/>
            <w:tcBorders>
              <w:top w:val="nil"/>
              <w:left w:val="single" w:sz="4" w:space="0" w:color="auto"/>
              <w:bottom w:val="single" w:sz="4" w:space="0" w:color="auto"/>
              <w:right w:val="single" w:sz="4" w:space="0" w:color="auto"/>
            </w:tcBorders>
            <w:shd w:val="clear" w:color="auto" w:fill="auto"/>
            <w:vAlign w:val="center"/>
            <w:hideMark/>
          </w:tcPr>
          <w:p w:rsidR="006076EC" w:rsidRPr="00390B5F" w:rsidRDefault="006076EC" w:rsidP="00390B5F">
            <w:pPr>
              <w:spacing w:after="0" w:line="240" w:lineRule="auto"/>
              <w:rPr>
                <w:rFonts w:eastAsia="Times New Roman" w:cs="Arial"/>
                <w:b/>
                <w:bCs/>
                <w:color w:val="FF0000"/>
                <w:sz w:val="20"/>
                <w:szCs w:val="20"/>
                <w:lang w:eastAsia="en-GB"/>
              </w:rPr>
            </w:pPr>
            <w:r w:rsidRPr="00390B5F">
              <w:rPr>
                <w:rFonts w:eastAsia="Times New Roman" w:cs="Arial"/>
                <w:b/>
                <w:bCs/>
                <w:color w:val="FF0000"/>
                <w:sz w:val="20"/>
                <w:szCs w:val="2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076EC" w:rsidRPr="00390B5F" w:rsidRDefault="006076EC" w:rsidP="00390B5F">
            <w:pPr>
              <w:spacing w:after="0" w:line="240" w:lineRule="auto"/>
              <w:jc w:val="center"/>
              <w:rPr>
                <w:rFonts w:eastAsia="Times New Roman" w:cs="Arial"/>
                <w:b/>
                <w:bCs/>
                <w:color w:val="FF0000"/>
                <w:sz w:val="20"/>
                <w:szCs w:val="20"/>
                <w:lang w:eastAsia="en-GB"/>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076EC" w:rsidRPr="00390B5F" w:rsidRDefault="006076EC" w:rsidP="00390B5F">
            <w:pPr>
              <w:spacing w:after="0" w:line="240" w:lineRule="auto"/>
              <w:jc w:val="center"/>
              <w:rPr>
                <w:rFonts w:eastAsia="Times New Roman" w:cs="Arial"/>
                <w:b/>
                <w:bCs/>
                <w:color w:val="FF0000"/>
                <w:sz w:val="20"/>
                <w:szCs w:val="20"/>
                <w:lang w:eastAsia="en-GB"/>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076EC" w:rsidRPr="00390B5F" w:rsidRDefault="006076EC" w:rsidP="00390B5F">
            <w:pPr>
              <w:spacing w:after="0" w:line="240" w:lineRule="auto"/>
              <w:jc w:val="center"/>
              <w:rPr>
                <w:rFonts w:eastAsia="Times New Roman" w:cs="Arial"/>
                <w:b/>
                <w:bCs/>
                <w:color w:val="FF0000"/>
                <w:sz w:val="20"/>
                <w:szCs w:val="20"/>
                <w:lang w:eastAsia="en-GB"/>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076EC" w:rsidRPr="00390B5F" w:rsidRDefault="006076EC" w:rsidP="00390B5F">
            <w:pPr>
              <w:spacing w:after="0" w:line="240" w:lineRule="auto"/>
              <w:jc w:val="center"/>
              <w:rPr>
                <w:rFonts w:eastAsia="Times New Roman" w:cs="Arial"/>
                <w:b/>
                <w:bCs/>
                <w:color w:val="FF0000"/>
                <w:sz w:val="20"/>
                <w:szCs w:val="20"/>
                <w:lang w:eastAsia="en-GB"/>
              </w:rPr>
            </w:pPr>
          </w:p>
        </w:tc>
      </w:tr>
      <w:tr w:rsidR="006076EC" w:rsidRPr="00390B5F" w:rsidTr="00390B5F">
        <w:trPr>
          <w:trHeight w:val="300"/>
          <w:jc w:val="center"/>
        </w:trPr>
        <w:tc>
          <w:tcPr>
            <w:tcW w:w="3721" w:type="dxa"/>
            <w:tcBorders>
              <w:top w:val="nil"/>
              <w:left w:val="single" w:sz="4" w:space="0" w:color="auto"/>
              <w:bottom w:val="single" w:sz="4" w:space="0" w:color="auto"/>
              <w:right w:val="single" w:sz="4" w:space="0" w:color="auto"/>
            </w:tcBorders>
            <w:shd w:val="clear" w:color="000000" w:fill="56008C"/>
            <w:vAlign w:val="center"/>
            <w:hideMark/>
          </w:tcPr>
          <w:p w:rsidR="006076EC" w:rsidRPr="00390B5F" w:rsidRDefault="006076EC" w:rsidP="00390B5F">
            <w:pPr>
              <w:spacing w:after="0" w:line="240" w:lineRule="auto"/>
              <w:rPr>
                <w:rFonts w:eastAsia="Times New Roman" w:cs="Arial"/>
                <w:b/>
                <w:bCs/>
                <w:color w:val="E28C05"/>
                <w:sz w:val="20"/>
                <w:szCs w:val="20"/>
                <w:lang w:eastAsia="en-GB"/>
              </w:rPr>
            </w:pPr>
            <w:r w:rsidRPr="00390B5F">
              <w:rPr>
                <w:rFonts w:eastAsia="Times New Roman" w:cs="Arial"/>
                <w:b/>
                <w:bCs/>
                <w:color w:val="E28C05"/>
                <w:sz w:val="20"/>
                <w:szCs w:val="20"/>
                <w:lang w:eastAsia="en-GB"/>
              </w:rPr>
              <w:t>Option 3: Industry Standard Plus</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p>
        </w:tc>
      </w:tr>
      <w:tr w:rsidR="006076EC" w:rsidRPr="00390B5F" w:rsidTr="00390B5F">
        <w:trPr>
          <w:trHeight w:val="300"/>
          <w:jc w:val="center"/>
        </w:trPr>
        <w:tc>
          <w:tcPr>
            <w:tcW w:w="3721" w:type="dxa"/>
            <w:tcBorders>
              <w:top w:val="nil"/>
              <w:left w:val="single" w:sz="4" w:space="0" w:color="auto"/>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rPr>
                <w:rFonts w:eastAsia="Times New Roman" w:cs="Arial"/>
                <w:color w:val="000000"/>
                <w:sz w:val="20"/>
                <w:szCs w:val="20"/>
                <w:lang w:eastAsia="en-GB"/>
              </w:rPr>
            </w:pPr>
            <w:r w:rsidRPr="00390B5F">
              <w:rPr>
                <w:rFonts w:eastAsia="Times New Roman" w:cs="Arial"/>
                <w:color w:val="000000"/>
                <w:sz w:val="20"/>
                <w:szCs w:val="20"/>
                <w:lang w:eastAsia="en-GB"/>
              </w:rPr>
              <w:t xml:space="preserve">Property costs </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986</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627</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627</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2240</w:t>
            </w:r>
          </w:p>
        </w:tc>
      </w:tr>
      <w:tr w:rsidR="006076EC" w:rsidRPr="00390B5F" w:rsidTr="00390B5F">
        <w:trPr>
          <w:trHeight w:val="300"/>
          <w:jc w:val="center"/>
        </w:trPr>
        <w:tc>
          <w:tcPr>
            <w:tcW w:w="3721" w:type="dxa"/>
            <w:tcBorders>
              <w:top w:val="nil"/>
              <w:left w:val="single" w:sz="4" w:space="0" w:color="auto"/>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rPr>
                <w:rFonts w:eastAsia="Times New Roman" w:cs="Arial"/>
                <w:color w:val="000000"/>
                <w:sz w:val="20"/>
                <w:szCs w:val="20"/>
                <w:lang w:eastAsia="en-GB"/>
              </w:rPr>
            </w:pPr>
            <w:r w:rsidRPr="00390B5F">
              <w:rPr>
                <w:rFonts w:eastAsia="Times New Roman" w:cs="Arial"/>
                <w:color w:val="000000"/>
                <w:sz w:val="20"/>
                <w:szCs w:val="20"/>
                <w:lang w:eastAsia="en-GB"/>
              </w:rPr>
              <w:t xml:space="preserve">Travel and accommodation costs </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49</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31</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32</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112</w:t>
            </w:r>
          </w:p>
        </w:tc>
      </w:tr>
      <w:tr w:rsidR="006076EC" w:rsidRPr="00390B5F" w:rsidTr="00390B5F">
        <w:trPr>
          <w:trHeight w:val="300"/>
          <w:jc w:val="center"/>
        </w:trPr>
        <w:tc>
          <w:tcPr>
            <w:tcW w:w="3721" w:type="dxa"/>
            <w:tcBorders>
              <w:top w:val="nil"/>
              <w:left w:val="single" w:sz="4" w:space="0" w:color="auto"/>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rPr>
                <w:rFonts w:eastAsia="Times New Roman" w:cs="Arial"/>
                <w:b/>
                <w:bCs/>
                <w:color w:val="000000"/>
                <w:sz w:val="20"/>
                <w:szCs w:val="20"/>
                <w:lang w:eastAsia="en-GB"/>
              </w:rPr>
            </w:pPr>
            <w:r w:rsidRPr="00390B5F">
              <w:rPr>
                <w:rFonts w:eastAsia="Times New Roman" w:cs="Arial"/>
                <w:b/>
                <w:bCs/>
                <w:color w:val="000000"/>
                <w:sz w:val="20"/>
                <w:szCs w:val="20"/>
                <w:lang w:eastAsia="en-GB"/>
              </w:rPr>
              <w:t xml:space="preserve">Total </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b/>
                <w:bCs/>
                <w:color w:val="000000"/>
                <w:sz w:val="20"/>
                <w:szCs w:val="20"/>
                <w:lang w:eastAsia="en-GB"/>
              </w:rPr>
            </w:pPr>
            <w:r w:rsidRPr="00390B5F">
              <w:rPr>
                <w:rFonts w:eastAsia="Times New Roman" w:cs="Arial"/>
                <w:b/>
                <w:bCs/>
                <w:color w:val="000000"/>
                <w:sz w:val="20"/>
                <w:szCs w:val="20"/>
                <w:lang w:eastAsia="en-GB"/>
              </w:rPr>
              <w:t>1,035</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b/>
                <w:bCs/>
                <w:color w:val="000000"/>
                <w:sz w:val="20"/>
                <w:szCs w:val="20"/>
                <w:lang w:eastAsia="en-GB"/>
              </w:rPr>
            </w:pPr>
            <w:r w:rsidRPr="00390B5F">
              <w:rPr>
                <w:rFonts w:eastAsia="Times New Roman" w:cs="Arial"/>
                <w:b/>
                <w:bCs/>
                <w:color w:val="000000"/>
                <w:sz w:val="20"/>
                <w:szCs w:val="20"/>
                <w:lang w:eastAsia="en-GB"/>
              </w:rPr>
              <w:t>658</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b/>
                <w:bCs/>
                <w:color w:val="000000"/>
                <w:sz w:val="20"/>
                <w:szCs w:val="20"/>
                <w:lang w:eastAsia="en-GB"/>
              </w:rPr>
            </w:pPr>
            <w:r w:rsidRPr="00390B5F">
              <w:rPr>
                <w:rFonts w:eastAsia="Times New Roman" w:cs="Arial"/>
                <w:b/>
                <w:bCs/>
                <w:color w:val="000000"/>
                <w:sz w:val="20"/>
                <w:szCs w:val="20"/>
                <w:lang w:eastAsia="en-GB"/>
              </w:rPr>
              <w:t>659</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390B5F" w:rsidRDefault="006076EC" w:rsidP="00390B5F">
            <w:pPr>
              <w:spacing w:after="0" w:line="240" w:lineRule="auto"/>
              <w:jc w:val="center"/>
              <w:rPr>
                <w:rFonts w:eastAsia="Times New Roman" w:cs="Arial"/>
                <w:b/>
                <w:bCs/>
                <w:color w:val="000000"/>
                <w:sz w:val="20"/>
                <w:szCs w:val="20"/>
                <w:lang w:eastAsia="en-GB"/>
              </w:rPr>
            </w:pPr>
            <w:r w:rsidRPr="00390B5F">
              <w:rPr>
                <w:rFonts w:eastAsia="Times New Roman" w:cs="Arial"/>
                <w:b/>
                <w:bCs/>
                <w:color w:val="000000"/>
                <w:sz w:val="20"/>
                <w:szCs w:val="20"/>
                <w:lang w:eastAsia="en-GB"/>
              </w:rPr>
              <w:t>2,352</w:t>
            </w:r>
          </w:p>
        </w:tc>
      </w:tr>
      <w:tr w:rsidR="006076EC" w:rsidRPr="00390B5F" w:rsidTr="00390B5F">
        <w:trPr>
          <w:trHeight w:val="300"/>
          <w:jc w:val="center"/>
        </w:trPr>
        <w:tc>
          <w:tcPr>
            <w:tcW w:w="3721" w:type="dxa"/>
            <w:tcBorders>
              <w:top w:val="nil"/>
              <w:left w:val="single" w:sz="4" w:space="0" w:color="auto"/>
              <w:bottom w:val="single" w:sz="4" w:space="0" w:color="auto"/>
              <w:right w:val="single" w:sz="4" w:space="0" w:color="auto"/>
            </w:tcBorders>
            <w:shd w:val="clear" w:color="000000" w:fill="56008C"/>
            <w:vAlign w:val="center"/>
            <w:hideMark/>
          </w:tcPr>
          <w:p w:rsidR="006076EC" w:rsidRPr="00390B5F" w:rsidRDefault="006076EC" w:rsidP="00390B5F">
            <w:pPr>
              <w:spacing w:after="0" w:line="240" w:lineRule="auto"/>
              <w:rPr>
                <w:rFonts w:eastAsia="Times New Roman" w:cs="Arial"/>
                <w:b/>
                <w:bCs/>
                <w:color w:val="E28C05"/>
                <w:sz w:val="20"/>
                <w:szCs w:val="20"/>
                <w:lang w:eastAsia="en-GB"/>
              </w:rPr>
            </w:pPr>
            <w:r w:rsidRPr="00390B5F">
              <w:rPr>
                <w:rFonts w:eastAsia="Times New Roman" w:cs="Arial"/>
                <w:b/>
                <w:bCs/>
                <w:color w:val="E28C05"/>
                <w:sz w:val="20"/>
                <w:szCs w:val="20"/>
                <w:lang w:eastAsia="en-GB"/>
              </w:rPr>
              <w:t>Savings (£) versus Option 1</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r w:rsidRPr="00390B5F">
              <w:rPr>
                <w:rFonts w:eastAsia="Times New Roman" w:cs="Arial"/>
                <w:b/>
                <w:bCs/>
                <w:color w:val="E28C05"/>
                <w:sz w:val="20"/>
                <w:szCs w:val="20"/>
                <w:lang w:eastAsia="en-GB"/>
              </w:rPr>
              <w:t>0</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r w:rsidRPr="00390B5F">
              <w:rPr>
                <w:rFonts w:eastAsia="Times New Roman" w:cs="Arial"/>
                <w:b/>
                <w:bCs/>
                <w:color w:val="E28C05"/>
                <w:sz w:val="20"/>
                <w:szCs w:val="20"/>
                <w:lang w:eastAsia="en-GB"/>
              </w:rPr>
              <w:t>-377</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r w:rsidRPr="00390B5F">
              <w:rPr>
                <w:rFonts w:eastAsia="Times New Roman" w:cs="Arial"/>
                <w:b/>
                <w:bCs/>
                <w:color w:val="E28C05"/>
                <w:sz w:val="20"/>
                <w:szCs w:val="20"/>
                <w:lang w:eastAsia="en-GB"/>
              </w:rPr>
              <w:t>-376</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p>
        </w:tc>
      </w:tr>
      <w:tr w:rsidR="006076EC" w:rsidRPr="00390B5F" w:rsidTr="00390B5F">
        <w:trPr>
          <w:trHeight w:val="300"/>
          <w:jc w:val="center"/>
        </w:trPr>
        <w:tc>
          <w:tcPr>
            <w:tcW w:w="3721" w:type="dxa"/>
            <w:tcBorders>
              <w:top w:val="nil"/>
              <w:left w:val="single" w:sz="4" w:space="0" w:color="auto"/>
              <w:bottom w:val="single" w:sz="4" w:space="0" w:color="auto"/>
              <w:right w:val="single" w:sz="4" w:space="0" w:color="auto"/>
            </w:tcBorders>
            <w:shd w:val="clear" w:color="000000" w:fill="56008C"/>
            <w:vAlign w:val="center"/>
            <w:hideMark/>
          </w:tcPr>
          <w:p w:rsidR="006076EC" w:rsidRPr="00390B5F" w:rsidRDefault="006076EC" w:rsidP="00390B5F">
            <w:pPr>
              <w:spacing w:after="0" w:line="240" w:lineRule="auto"/>
              <w:rPr>
                <w:rFonts w:eastAsia="Times New Roman" w:cs="Arial"/>
                <w:b/>
                <w:bCs/>
                <w:color w:val="E28C05"/>
                <w:sz w:val="20"/>
                <w:szCs w:val="20"/>
                <w:lang w:eastAsia="en-GB"/>
              </w:rPr>
            </w:pPr>
            <w:r w:rsidRPr="00390B5F">
              <w:rPr>
                <w:rFonts w:eastAsia="Times New Roman" w:cs="Arial"/>
                <w:b/>
                <w:bCs/>
                <w:color w:val="E28C05"/>
                <w:sz w:val="20"/>
                <w:szCs w:val="20"/>
                <w:lang w:eastAsia="en-GB"/>
              </w:rPr>
              <w:t>% saving</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p>
        </w:tc>
        <w:tc>
          <w:tcPr>
            <w:tcW w:w="960" w:type="dxa"/>
            <w:tcBorders>
              <w:top w:val="single" w:sz="4" w:space="0" w:color="auto"/>
              <w:left w:val="single" w:sz="4" w:space="0" w:color="auto"/>
              <w:bottom w:val="nil"/>
              <w:right w:val="nil"/>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r w:rsidRPr="00390B5F">
              <w:rPr>
                <w:rFonts w:eastAsia="Times New Roman" w:cs="Arial"/>
                <w:b/>
                <w:bCs/>
                <w:color w:val="E28C05"/>
                <w:sz w:val="20"/>
                <w:szCs w:val="20"/>
                <w:lang w:eastAsia="en-GB"/>
              </w:rPr>
              <w:t>-36%</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r w:rsidRPr="00390B5F">
              <w:rPr>
                <w:rFonts w:eastAsia="Times New Roman" w:cs="Arial"/>
                <w:b/>
                <w:bCs/>
                <w:color w:val="E28C05"/>
                <w:sz w:val="20"/>
                <w:szCs w:val="20"/>
                <w:lang w:eastAsia="en-GB"/>
              </w:rPr>
              <w:t>-36%</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390B5F" w:rsidRDefault="006076EC" w:rsidP="00390B5F">
            <w:pPr>
              <w:spacing w:after="0" w:line="240" w:lineRule="auto"/>
              <w:jc w:val="center"/>
              <w:rPr>
                <w:rFonts w:eastAsia="Times New Roman" w:cs="Arial"/>
                <w:b/>
                <w:bCs/>
                <w:color w:val="E28C05"/>
                <w:sz w:val="20"/>
                <w:szCs w:val="20"/>
                <w:lang w:eastAsia="en-GB"/>
              </w:rPr>
            </w:pPr>
          </w:p>
        </w:tc>
      </w:tr>
      <w:tr w:rsidR="006076EC" w:rsidRPr="00390B5F" w:rsidTr="00390B5F">
        <w:trPr>
          <w:trHeight w:val="300"/>
          <w:jc w:val="center"/>
        </w:trPr>
        <w:tc>
          <w:tcPr>
            <w:tcW w:w="6601" w:type="dxa"/>
            <w:gridSpan w:val="4"/>
            <w:tcBorders>
              <w:top w:val="nil"/>
              <w:left w:val="nil"/>
              <w:bottom w:val="nil"/>
              <w:right w:val="nil"/>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r w:rsidRPr="00390B5F">
              <w:rPr>
                <w:rFonts w:eastAsia="Times New Roman" w:cs="Arial"/>
                <w:color w:val="000000"/>
                <w:sz w:val="20"/>
                <w:szCs w:val="20"/>
                <w:lang w:eastAsia="en-GB"/>
              </w:rPr>
              <w:t>* travel and accommodation costs represent a 5% contingency</w:t>
            </w:r>
          </w:p>
        </w:tc>
        <w:tc>
          <w:tcPr>
            <w:tcW w:w="960" w:type="dxa"/>
            <w:tcBorders>
              <w:top w:val="nil"/>
              <w:left w:val="nil"/>
              <w:bottom w:val="nil"/>
              <w:right w:val="nil"/>
            </w:tcBorders>
            <w:shd w:val="clear" w:color="auto" w:fill="auto"/>
            <w:noWrap/>
            <w:vAlign w:val="center"/>
            <w:hideMark/>
          </w:tcPr>
          <w:p w:rsidR="006076EC" w:rsidRPr="00390B5F" w:rsidRDefault="006076EC" w:rsidP="00390B5F">
            <w:pPr>
              <w:spacing w:after="0" w:line="240" w:lineRule="auto"/>
              <w:jc w:val="center"/>
              <w:rPr>
                <w:rFonts w:eastAsia="Times New Roman" w:cs="Arial"/>
                <w:color w:val="000000"/>
                <w:sz w:val="20"/>
                <w:szCs w:val="20"/>
                <w:lang w:eastAsia="en-GB"/>
              </w:rPr>
            </w:pPr>
          </w:p>
        </w:tc>
      </w:tr>
    </w:tbl>
    <w:p w:rsidR="00C6639E" w:rsidRPr="00390B5F" w:rsidRDefault="00C6639E" w:rsidP="00390B5F"/>
    <w:p w:rsidR="00A211BD" w:rsidRPr="00390B5F" w:rsidRDefault="001054BF" w:rsidP="00390B5F">
      <w:pPr>
        <w:ind w:left="567" w:hanging="567"/>
      </w:pPr>
      <w:r w:rsidRPr="00390B5F">
        <w:t>2.11</w:t>
      </w:r>
      <w:r w:rsidRPr="00390B5F">
        <w:tab/>
      </w:r>
      <w:r w:rsidR="00A211BD" w:rsidRPr="00390B5F">
        <w:t>Both option 2 (Industry standard) and option 3 (Industry standard plus)</w:t>
      </w:r>
      <w:r w:rsidR="00390B5F">
        <w:t xml:space="preserve"> deliver significant savings </w:t>
      </w:r>
      <w:r w:rsidR="00A211BD" w:rsidRPr="00390B5F">
        <w:t xml:space="preserve">for </w:t>
      </w:r>
      <w:r w:rsidR="00390B5F">
        <w:t xml:space="preserve">the </w:t>
      </w:r>
      <w:r w:rsidR="00A211BD" w:rsidRPr="00390B5F">
        <w:t xml:space="preserve">HRA on </w:t>
      </w:r>
      <w:r w:rsidR="00390B5F">
        <w:t xml:space="preserve">an </w:t>
      </w:r>
      <w:r w:rsidR="00A211BD" w:rsidRPr="00390B5F">
        <w:t>annual basis.  (£343k and £376k</w:t>
      </w:r>
      <w:r w:rsidR="00390B5F">
        <w:t>,</w:t>
      </w:r>
      <w:r w:rsidR="00A211BD" w:rsidRPr="00390B5F">
        <w:t xml:space="preserve"> respectively)</w:t>
      </w:r>
    </w:p>
    <w:p w:rsidR="00A211BD" w:rsidRPr="00390B5F" w:rsidRDefault="001054BF" w:rsidP="00390B5F">
      <w:r w:rsidRPr="00390B5F">
        <w:t>2.12</w:t>
      </w:r>
      <w:r w:rsidRPr="00390B5F">
        <w:tab/>
      </w:r>
      <w:r w:rsidR="00390B5F">
        <w:t xml:space="preserve">The following assumptions </w:t>
      </w:r>
      <w:r w:rsidR="00390B5F" w:rsidRPr="00390B5F">
        <w:t xml:space="preserve">and limitations </w:t>
      </w:r>
      <w:r w:rsidR="00390B5F">
        <w:t>were made during the cost analysis:</w:t>
      </w:r>
    </w:p>
    <w:p w:rsidR="00A211BD" w:rsidRPr="00141B31" w:rsidRDefault="00390B5F" w:rsidP="00D16EF7">
      <w:pPr>
        <w:pStyle w:val="ListParagraph"/>
      </w:pPr>
      <w:r w:rsidRPr="00141B31">
        <w:t>t</w:t>
      </w:r>
      <w:r w:rsidR="00A211BD" w:rsidRPr="00141B31">
        <w:t>he analysis assumes that changes to desk-sharing ratios begin at the start of year 2 – therefore any savings ar</w:t>
      </w:r>
      <w:r w:rsidRPr="00141B31">
        <w:t>e delivered from year 2 onwards;</w:t>
      </w:r>
    </w:p>
    <w:p w:rsidR="00A211BD" w:rsidRPr="00141B31" w:rsidRDefault="00A211BD" w:rsidP="00D16EF7">
      <w:pPr>
        <w:pStyle w:val="ListParagraph"/>
      </w:pPr>
      <w:r w:rsidRPr="00141B31">
        <w:t xml:space="preserve">IT costs have not been considered within this high level cost review at this stage. </w:t>
      </w:r>
      <w:r w:rsidR="00390B5F" w:rsidRPr="00141B31">
        <w:t xml:space="preserve"> </w:t>
      </w:r>
      <w:r w:rsidRPr="00141B31">
        <w:t>The HRA forecasts for 2014/15 assume that an immediate and separate IT review be conducted to establish the office-by office IT implications of reducing</w:t>
      </w:r>
      <w:r w:rsidR="00390B5F" w:rsidRPr="00141B31">
        <w:t xml:space="preserve"> the HRA’s desk-sharing ratio;</w:t>
      </w:r>
    </w:p>
    <w:p w:rsidR="00A211BD" w:rsidRPr="00141B31" w:rsidRDefault="00390B5F" w:rsidP="00D16EF7">
      <w:pPr>
        <w:pStyle w:val="ListParagraph"/>
      </w:pPr>
      <w:r w:rsidRPr="00141B31">
        <w:lastRenderedPageBreak/>
        <w:t>t</w:t>
      </w:r>
      <w:r w:rsidR="00A211BD" w:rsidRPr="00141B31">
        <w:t>he cost figures presented have n</w:t>
      </w:r>
      <w:r w:rsidRPr="00141B31">
        <w:t>ot been inflated nor discounted;</w:t>
      </w:r>
    </w:p>
    <w:p w:rsidR="00A211BD" w:rsidRPr="00141B31" w:rsidRDefault="00390B5F" w:rsidP="00D16EF7">
      <w:pPr>
        <w:pStyle w:val="ListParagraph"/>
      </w:pPr>
      <w:proofErr w:type="gramStart"/>
      <w:r w:rsidRPr="00141B31">
        <w:t>t</w:t>
      </w:r>
      <w:r w:rsidR="00A211BD" w:rsidRPr="00141B31">
        <w:t>his</w:t>
      </w:r>
      <w:proofErr w:type="gramEnd"/>
      <w:r w:rsidR="00A211BD" w:rsidRPr="00141B31">
        <w:t xml:space="preserve"> cost review takes</w:t>
      </w:r>
      <w:r w:rsidRPr="00141B31">
        <w:t xml:space="preserve"> no account of lease changes (</w:t>
      </w:r>
      <w:proofErr w:type="spellStart"/>
      <w:r w:rsidRPr="00141B31">
        <w:t>ie</w:t>
      </w:r>
      <w:proofErr w:type="spellEnd"/>
      <w:r w:rsidR="00A211BD" w:rsidRPr="00141B31">
        <w:t xml:space="preserve"> it assumes continuation of existing rental property deals over the three years under review).</w:t>
      </w:r>
    </w:p>
    <w:p w:rsidR="00A211BD" w:rsidRPr="00A211BD" w:rsidRDefault="00A211BD" w:rsidP="00390B5F"/>
    <w:p w:rsidR="008C1363" w:rsidRDefault="00EB340F" w:rsidP="00EB340F">
      <w:pPr>
        <w:pStyle w:val="Standfirst"/>
      </w:pPr>
      <w:r>
        <w:t>The Estates Vision</w:t>
      </w:r>
    </w:p>
    <w:p w:rsidR="008C1363" w:rsidRDefault="008C1363" w:rsidP="00DD6AFE">
      <w:pPr>
        <w:ind w:left="567" w:hanging="567"/>
      </w:pPr>
      <w:r>
        <w:t>2.</w:t>
      </w:r>
      <w:r w:rsidR="001054BF">
        <w:t>13</w:t>
      </w:r>
      <w:r>
        <w:tab/>
        <w:t>Following detailed discussion and a long list of options</w:t>
      </w:r>
      <w:r w:rsidR="00DD6AFE">
        <w:t>,</w:t>
      </w:r>
      <w:r>
        <w:t xml:space="preserve"> the EMT has agre</w:t>
      </w:r>
      <w:r w:rsidR="00CD7F4C">
        <w:t xml:space="preserve">ed to prepare a </w:t>
      </w:r>
      <w:r w:rsidR="00DD6AFE">
        <w:t>medium-</w:t>
      </w:r>
      <w:r w:rsidR="00CB5F30">
        <w:t xml:space="preserve">term </w:t>
      </w:r>
      <w:r w:rsidR="00CD7F4C">
        <w:t>strategy as follows:</w:t>
      </w:r>
    </w:p>
    <w:p w:rsidR="00CB5F30" w:rsidRPr="00141B31" w:rsidRDefault="00CB5F30" w:rsidP="00D16EF7">
      <w:pPr>
        <w:pStyle w:val="ListParagraph"/>
      </w:pPr>
      <w:r w:rsidRPr="00141B31">
        <w:t>To maintain the current 5 geographic office locations in the medium</w:t>
      </w:r>
      <w:r w:rsidR="00DD6AFE" w:rsidRPr="00141B31">
        <w:t>-</w:t>
      </w:r>
      <w:r w:rsidRPr="00141B31">
        <w:t>term (3 years) whilst focus is maintained on delivering HRA approval and its implementation and acceptance.</w:t>
      </w:r>
    </w:p>
    <w:p w:rsidR="00CD7F4C" w:rsidRPr="00141B31" w:rsidRDefault="008C1363" w:rsidP="00D16EF7">
      <w:pPr>
        <w:pStyle w:val="ListParagraph"/>
      </w:pPr>
      <w:r w:rsidRPr="00141B31">
        <w:t>HRA adopting the industry standard of 8 desks to 10 staff ratio.</w:t>
      </w:r>
      <w:r w:rsidR="003E7407" w:rsidRPr="00141B31">
        <w:t xml:space="preserve"> </w:t>
      </w:r>
    </w:p>
    <w:p w:rsidR="008C1363" w:rsidRPr="00141B31" w:rsidRDefault="008B02D4" w:rsidP="00D16EF7">
      <w:pPr>
        <w:pStyle w:val="ListParagraph"/>
      </w:pPr>
      <w:r w:rsidRPr="00141B31">
        <w:t>To achieve this by March 2016</w:t>
      </w:r>
      <w:r w:rsidR="00DD6AFE" w:rsidRPr="00141B31">
        <w:t>,</w:t>
      </w:r>
      <w:r w:rsidR="000D199C" w:rsidRPr="00141B31">
        <w:t xml:space="preserve"> if not sooner</w:t>
      </w:r>
      <w:r w:rsidR="003E7407" w:rsidRPr="00141B31">
        <w:t>.</w:t>
      </w:r>
    </w:p>
    <w:p w:rsidR="008C27E4" w:rsidRPr="00141B31" w:rsidRDefault="008C27E4" w:rsidP="00D16EF7">
      <w:pPr>
        <w:pStyle w:val="ListParagraph"/>
      </w:pPr>
      <w:r w:rsidRPr="00141B31">
        <w:t>To therefore work towards maintaining a base in Manchester, preferably at the current location and to begin work on a lease exemption case immediately.</w:t>
      </w:r>
    </w:p>
    <w:p w:rsidR="008B02D4" w:rsidRPr="00141B31" w:rsidRDefault="008B02D4" w:rsidP="00D16EF7">
      <w:pPr>
        <w:pStyle w:val="ListParagraph"/>
      </w:pPr>
      <w:r w:rsidRPr="00141B31">
        <w:t>To continue to review the strategy and use a</w:t>
      </w:r>
      <w:r w:rsidR="003E7407" w:rsidRPr="00141B31">
        <w:t xml:space="preserve">n initial </w:t>
      </w:r>
      <w:r w:rsidRPr="00141B31">
        <w:t xml:space="preserve">review point of </w:t>
      </w:r>
      <w:r w:rsidR="008C27E4" w:rsidRPr="00141B31">
        <w:t>May 2015</w:t>
      </w:r>
      <w:r w:rsidR="00DD6AFE" w:rsidRPr="00141B31">
        <w:t xml:space="preserve"> </w:t>
      </w:r>
      <w:r w:rsidRPr="00141B31">
        <w:t xml:space="preserve">to </w:t>
      </w:r>
      <w:r w:rsidR="008C27E4" w:rsidRPr="00141B31">
        <w:t>consider progress made</w:t>
      </w:r>
      <w:r w:rsidR="003E7407" w:rsidRPr="00141B31">
        <w:t xml:space="preserve"> </w:t>
      </w:r>
      <w:r w:rsidR="00242306" w:rsidRPr="00141B31">
        <w:t>and the requirement for</w:t>
      </w:r>
      <w:r w:rsidR="003E7407" w:rsidRPr="00141B31">
        <w:t xml:space="preserve"> additional space in Nottingham as the temporary space currently in use will end in November 2015.</w:t>
      </w:r>
    </w:p>
    <w:p w:rsidR="003E7407" w:rsidRPr="00141B31" w:rsidRDefault="004B7112" w:rsidP="00D16EF7">
      <w:pPr>
        <w:pStyle w:val="ListParagraph"/>
      </w:pPr>
      <w:r w:rsidRPr="00141B31">
        <w:t>To consider the appetite for further consolidation and adoption of the industry standard plus model of 7 desks to 10 staff ratio based on learning and experiences by December 2015; ahead of key decisions on space requirements in 2016 in Bristol, Nottingham and London which at that time may result in smaller footprint requirements in those locations.</w:t>
      </w:r>
    </w:p>
    <w:p w:rsidR="008C27E4" w:rsidRDefault="008C27E4" w:rsidP="00DD6AFE"/>
    <w:p w:rsidR="00E13B55" w:rsidRPr="0036670D" w:rsidRDefault="009B3A1B" w:rsidP="0036670D">
      <w:pPr>
        <w:pStyle w:val="HeadingA"/>
      </w:pPr>
      <w:bookmarkStart w:id="10" w:name="_Toc400975574"/>
      <w:r w:rsidRPr="0036670D">
        <w:t>How do we get there?</w:t>
      </w:r>
      <w:bookmarkEnd w:id="10"/>
    </w:p>
    <w:p w:rsidR="004B7112" w:rsidRDefault="004B7112" w:rsidP="00DD6AFE">
      <w:pPr>
        <w:pStyle w:val="Standfirst"/>
      </w:pPr>
      <w:r>
        <w:t>Transition planning</w:t>
      </w:r>
      <w:r w:rsidR="00B162C8">
        <w:t xml:space="preserve"> and principles</w:t>
      </w:r>
    </w:p>
    <w:p w:rsidR="00DD6AFE" w:rsidRPr="00DD6AFE" w:rsidRDefault="00DD6AFE" w:rsidP="00DD6AFE">
      <w:pPr>
        <w:rPr>
          <w:i/>
        </w:rPr>
      </w:pPr>
      <w:r w:rsidRPr="00DD6AFE">
        <w:rPr>
          <w:i/>
        </w:rPr>
        <w:t xml:space="preserve">Successfully changing to eight desks for every ten individuals will require significant changes to how HRA operates and how space is utilised. </w:t>
      </w:r>
    </w:p>
    <w:p w:rsidR="00DD6AFE" w:rsidRDefault="00DD6AFE" w:rsidP="00DD6AFE">
      <w:r>
        <w:t>3.1</w:t>
      </w:r>
      <w:r>
        <w:tab/>
        <w:t>This change will involve a number of elements:</w:t>
      </w:r>
    </w:p>
    <w:p w:rsidR="00C61CAE" w:rsidRPr="00141B31" w:rsidRDefault="00DD6AFE" w:rsidP="00D16EF7">
      <w:pPr>
        <w:pStyle w:val="ListParagraph"/>
      </w:pPr>
      <w:r w:rsidRPr="00141B31">
        <w:t>c</w:t>
      </w:r>
      <w:r w:rsidR="00C61CAE" w:rsidRPr="00141B31">
        <w:t>ultural change which will require leaders</w:t>
      </w:r>
      <w:r w:rsidRPr="00141B31">
        <w:t>hip throughout the organisation;</w:t>
      </w:r>
    </w:p>
    <w:p w:rsidR="009577EE" w:rsidRPr="00141B31" w:rsidRDefault="00DD6AFE" w:rsidP="00D16EF7">
      <w:pPr>
        <w:pStyle w:val="ListParagraph"/>
      </w:pPr>
      <w:r w:rsidRPr="00141B31">
        <w:t>a</w:t>
      </w:r>
      <w:r w:rsidR="009577EE" w:rsidRPr="00141B31">
        <w:t xml:space="preserve"> range of flexible practices supported by </w:t>
      </w:r>
      <w:r w:rsidRPr="00141B31">
        <w:t>updated organisational policies;</w:t>
      </w:r>
    </w:p>
    <w:p w:rsidR="009577EE" w:rsidRPr="00141B31" w:rsidRDefault="00DD6AFE" w:rsidP="00D16EF7">
      <w:pPr>
        <w:pStyle w:val="ListParagraph"/>
      </w:pPr>
      <w:r w:rsidRPr="00141B31">
        <w:t>c</w:t>
      </w:r>
      <w:r w:rsidR="009577EE" w:rsidRPr="00141B31">
        <w:t>hanges to the way work is car</w:t>
      </w:r>
      <w:r w:rsidRPr="00141B31">
        <w:t>ried out and services delivered;</w:t>
      </w:r>
    </w:p>
    <w:p w:rsidR="009577EE" w:rsidRPr="00141B31" w:rsidRDefault="00DD6AFE" w:rsidP="00D16EF7">
      <w:pPr>
        <w:pStyle w:val="ListParagraph"/>
      </w:pPr>
      <w:proofErr w:type="gramStart"/>
      <w:r w:rsidRPr="00141B31">
        <w:t>c</w:t>
      </w:r>
      <w:r w:rsidR="009577EE" w:rsidRPr="00141B31">
        <w:t>hanges</w:t>
      </w:r>
      <w:proofErr w:type="gramEnd"/>
      <w:r w:rsidR="009577EE" w:rsidRPr="00141B31">
        <w:t xml:space="preserve"> to the environment in which work is carried out.</w:t>
      </w:r>
    </w:p>
    <w:p w:rsidR="001054BF" w:rsidRDefault="001054BF" w:rsidP="00DD6AFE"/>
    <w:p w:rsidR="00792302" w:rsidRDefault="00792302">
      <w:pPr>
        <w:tabs>
          <w:tab w:val="clear" w:pos="567"/>
          <w:tab w:val="clear" w:pos="992"/>
        </w:tabs>
        <w:spacing w:after="0" w:line="240" w:lineRule="auto"/>
      </w:pPr>
      <w:r>
        <w:br w:type="page"/>
      </w:r>
    </w:p>
    <w:p w:rsidR="00792302" w:rsidRPr="00A36B0E" w:rsidRDefault="00792302" w:rsidP="00DD6AFE"/>
    <w:p w:rsidR="00E242DF" w:rsidRPr="00DD6AFE" w:rsidRDefault="003B5A25" w:rsidP="004811BA">
      <w:pPr>
        <w:rPr>
          <w:i/>
        </w:rPr>
      </w:pPr>
      <w:r w:rsidRPr="00DD6AFE">
        <w:rPr>
          <w:i/>
        </w:rPr>
        <w:t xml:space="preserve">Some </w:t>
      </w:r>
      <w:r w:rsidR="009577EE" w:rsidRPr="00DD6AFE">
        <w:rPr>
          <w:i/>
        </w:rPr>
        <w:t xml:space="preserve">initial </w:t>
      </w:r>
      <w:r w:rsidRPr="00DD6AFE">
        <w:rPr>
          <w:i/>
        </w:rPr>
        <w:t xml:space="preserve">key principles </w:t>
      </w:r>
      <w:r w:rsidR="000D0D4C" w:rsidRPr="00DD6AFE">
        <w:rPr>
          <w:i/>
        </w:rPr>
        <w:t xml:space="preserve">are proposed </w:t>
      </w:r>
      <w:r w:rsidRPr="00DD6AFE">
        <w:rPr>
          <w:i/>
        </w:rPr>
        <w:t>as follows</w:t>
      </w:r>
      <w:r w:rsidR="00DD6AFE">
        <w:rPr>
          <w:i/>
        </w:rPr>
        <w:t>,</w:t>
      </w:r>
      <w:r w:rsidRPr="00DD6AFE">
        <w:rPr>
          <w:i/>
        </w:rPr>
        <w:t xml:space="preserve"> </w:t>
      </w:r>
      <w:r w:rsidR="000D0D4C" w:rsidRPr="00DD6AFE">
        <w:rPr>
          <w:i/>
        </w:rPr>
        <w:t>together with their link to the values which drive the HRA</w:t>
      </w:r>
      <w:r w:rsidR="00DD6AFE">
        <w:rPr>
          <w:i/>
        </w:rPr>
        <w:t>:</w:t>
      </w:r>
    </w:p>
    <w:tbl>
      <w:tblPr>
        <w:tblW w:w="9360" w:type="dxa"/>
        <w:jc w:val="center"/>
        <w:tblInd w:w="103" w:type="dxa"/>
        <w:tblLook w:val="04A0" w:firstRow="1" w:lastRow="0" w:firstColumn="1" w:lastColumn="0" w:noHBand="0" w:noVBand="1"/>
      </w:tblPr>
      <w:tblGrid>
        <w:gridCol w:w="5420"/>
        <w:gridCol w:w="3940"/>
      </w:tblGrid>
      <w:tr w:rsidR="00594241" w:rsidRPr="00141B31" w:rsidTr="00DD6AFE">
        <w:trPr>
          <w:trHeight w:val="375"/>
          <w:jc w:val="center"/>
        </w:trPr>
        <w:tc>
          <w:tcPr>
            <w:tcW w:w="5420" w:type="dxa"/>
            <w:tcBorders>
              <w:top w:val="single" w:sz="4" w:space="0" w:color="auto"/>
              <w:left w:val="single" w:sz="4" w:space="0" w:color="auto"/>
              <w:bottom w:val="single" w:sz="4" w:space="0" w:color="auto"/>
              <w:right w:val="single" w:sz="4" w:space="0" w:color="auto"/>
            </w:tcBorders>
            <w:shd w:val="clear" w:color="000000" w:fill="56008C"/>
            <w:vAlign w:val="center"/>
            <w:hideMark/>
          </w:tcPr>
          <w:p w:rsidR="00594241" w:rsidRPr="00141B31" w:rsidRDefault="00594241" w:rsidP="00DD6AFE">
            <w:pPr>
              <w:spacing w:before="40" w:after="40" w:line="240" w:lineRule="auto"/>
              <w:jc w:val="center"/>
              <w:rPr>
                <w:rFonts w:eastAsia="Times New Roman" w:cs="Arial"/>
                <w:b/>
                <w:bCs/>
                <w:color w:val="E28C05"/>
                <w:szCs w:val="22"/>
                <w:lang w:eastAsia="en-GB"/>
              </w:rPr>
            </w:pPr>
            <w:r w:rsidRPr="00141B31">
              <w:rPr>
                <w:rFonts w:eastAsia="Times New Roman" w:cs="Arial"/>
                <w:b/>
                <w:bCs/>
                <w:color w:val="E28C05"/>
                <w:szCs w:val="22"/>
                <w:lang w:eastAsia="en-GB"/>
              </w:rPr>
              <w:t>Principle underpinning estates strategy</w:t>
            </w:r>
          </w:p>
        </w:tc>
        <w:tc>
          <w:tcPr>
            <w:tcW w:w="3940" w:type="dxa"/>
            <w:tcBorders>
              <w:top w:val="single" w:sz="4" w:space="0" w:color="auto"/>
              <w:left w:val="nil"/>
              <w:bottom w:val="single" w:sz="4" w:space="0" w:color="auto"/>
              <w:right w:val="single" w:sz="4" w:space="0" w:color="auto"/>
            </w:tcBorders>
            <w:shd w:val="clear" w:color="000000" w:fill="56008C"/>
            <w:vAlign w:val="center"/>
            <w:hideMark/>
          </w:tcPr>
          <w:p w:rsidR="00594241" w:rsidRPr="00141B31" w:rsidRDefault="00594241" w:rsidP="00DD6AFE">
            <w:pPr>
              <w:spacing w:before="40" w:after="40" w:line="240" w:lineRule="auto"/>
              <w:jc w:val="center"/>
              <w:rPr>
                <w:rFonts w:eastAsia="Times New Roman" w:cs="Arial"/>
                <w:b/>
                <w:bCs/>
                <w:color w:val="E28C05"/>
                <w:szCs w:val="22"/>
                <w:lang w:eastAsia="en-GB"/>
              </w:rPr>
            </w:pPr>
            <w:r w:rsidRPr="00141B31">
              <w:rPr>
                <w:rFonts w:eastAsia="Times New Roman" w:cs="Arial"/>
                <w:b/>
                <w:bCs/>
                <w:color w:val="E28C05"/>
                <w:szCs w:val="22"/>
                <w:lang w:eastAsia="en-GB"/>
              </w:rPr>
              <w:t>HRA linked value</w:t>
            </w:r>
          </w:p>
        </w:tc>
      </w:tr>
      <w:tr w:rsidR="00594241" w:rsidRPr="00141B31" w:rsidTr="00594241">
        <w:trPr>
          <w:trHeight w:val="300"/>
          <w:jc w:val="center"/>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594241" w:rsidRPr="00141B31" w:rsidRDefault="00594241" w:rsidP="00D16EF7">
            <w:pPr>
              <w:pStyle w:val="ListParagraph"/>
              <w:rPr>
                <w:lang w:eastAsia="en-GB"/>
              </w:rPr>
            </w:pPr>
            <w:r w:rsidRPr="00141B31">
              <w:rPr>
                <w:lang w:eastAsia="en-GB"/>
              </w:rPr>
              <w:t>Staff engagement and communication throughout</w:t>
            </w:r>
          </w:p>
        </w:tc>
        <w:tc>
          <w:tcPr>
            <w:tcW w:w="3940" w:type="dxa"/>
            <w:tcBorders>
              <w:top w:val="nil"/>
              <w:left w:val="nil"/>
              <w:bottom w:val="single" w:sz="4" w:space="0" w:color="auto"/>
              <w:right w:val="single" w:sz="4" w:space="0" w:color="auto"/>
            </w:tcBorders>
            <w:shd w:val="clear" w:color="auto" w:fill="auto"/>
            <w:noWrap/>
            <w:vAlign w:val="center"/>
            <w:hideMark/>
          </w:tcPr>
          <w:p w:rsidR="00594241" w:rsidRPr="00141B31" w:rsidRDefault="00DD6AFE" w:rsidP="00DD6AFE">
            <w:pPr>
              <w:spacing w:before="40" w:after="40" w:line="240" w:lineRule="auto"/>
              <w:rPr>
                <w:rFonts w:eastAsia="Times New Roman" w:cs="Arial"/>
                <w:color w:val="000000"/>
                <w:szCs w:val="22"/>
                <w:lang w:eastAsia="en-GB"/>
              </w:rPr>
            </w:pPr>
            <w:r w:rsidRPr="00141B31">
              <w:rPr>
                <w:rFonts w:eastAsia="Times New Roman" w:cs="Arial"/>
                <w:color w:val="000000"/>
                <w:szCs w:val="22"/>
                <w:lang w:eastAsia="en-GB"/>
              </w:rPr>
              <w:t>Transparency, c</w:t>
            </w:r>
            <w:r w:rsidR="00594241" w:rsidRPr="00141B31">
              <w:rPr>
                <w:rFonts w:eastAsia="Times New Roman" w:cs="Arial"/>
                <w:color w:val="000000"/>
                <w:szCs w:val="22"/>
                <w:lang w:eastAsia="en-GB"/>
              </w:rPr>
              <w:t>ollaborative</w:t>
            </w:r>
          </w:p>
        </w:tc>
      </w:tr>
      <w:tr w:rsidR="00594241" w:rsidRPr="00141B31" w:rsidTr="00594241">
        <w:trPr>
          <w:trHeight w:val="1140"/>
          <w:jc w:val="center"/>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594241" w:rsidRPr="00141B31" w:rsidRDefault="00DD6AFE" w:rsidP="00D16EF7">
            <w:pPr>
              <w:pStyle w:val="ListParagraph"/>
              <w:rPr>
                <w:lang w:eastAsia="en-GB"/>
              </w:rPr>
            </w:pPr>
            <w:r w:rsidRPr="00141B31">
              <w:rPr>
                <w:lang w:eastAsia="en-GB"/>
              </w:rPr>
              <w:t>G</w:t>
            </w:r>
            <w:r w:rsidR="00594241" w:rsidRPr="00141B31">
              <w:rPr>
                <w:lang w:eastAsia="en-GB"/>
              </w:rPr>
              <w:t>ood IT for all with the immediate consideration of laptops for flexible workers,  improved bandwidth i</w:t>
            </w:r>
            <w:r w:rsidR="00141B31" w:rsidRPr="00141B31">
              <w:rPr>
                <w:lang w:eastAsia="en-GB"/>
              </w:rPr>
              <w:t>n all HRA offices, roll out of L</w:t>
            </w:r>
            <w:r w:rsidR="00594241" w:rsidRPr="00141B31">
              <w:rPr>
                <w:lang w:eastAsia="en-GB"/>
              </w:rPr>
              <w:t>ync training and laptop enabled video conferencing</w:t>
            </w:r>
          </w:p>
        </w:tc>
        <w:tc>
          <w:tcPr>
            <w:tcW w:w="3940" w:type="dxa"/>
            <w:tcBorders>
              <w:top w:val="nil"/>
              <w:left w:val="nil"/>
              <w:bottom w:val="single" w:sz="4" w:space="0" w:color="auto"/>
              <w:right w:val="single" w:sz="4" w:space="0" w:color="auto"/>
            </w:tcBorders>
            <w:shd w:val="clear" w:color="auto" w:fill="auto"/>
            <w:noWrap/>
            <w:vAlign w:val="center"/>
            <w:hideMark/>
          </w:tcPr>
          <w:p w:rsidR="00594241" w:rsidRPr="00141B31" w:rsidRDefault="00594241" w:rsidP="00DD6AFE">
            <w:pPr>
              <w:spacing w:before="40" w:after="40" w:line="240" w:lineRule="auto"/>
              <w:rPr>
                <w:rFonts w:eastAsia="Times New Roman" w:cs="Arial"/>
                <w:color w:val="000000"/>
                <w:szCs w:val="22"/>
                <w:lang w:eastAsia="en-GB"/>
              </w:rPr>
            </w:pPr>
            <w:r w:rsidRPr="00141B31">
              <w:rPr>
                <w:rFonts w:eastAsia="Times New Roman" w:cs="Arial"/>
                <w:color w:val="000000"/>
                <w:szCs w:val="22"/>
                <w:lang w:eastAsia="en-GB"/>
              </w:rPr>
              <w:t>Inspiring leadership, empowering</w:t>
            </w:r>
          </w:p>
        </w:tc>
      </w:tr>
      <w:tr w:rsidR="00594241" w:rsidRPr="00141B31" w:rsidTr="00594241">
        <w:trPr>
          <w:trHeight w:val="300"/>
          <w:jc w:val="center"/>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594241" w:rsidRPr="00141B31" w:rsidRDefault="00594241" w:rsidP="00D16EF7">
            <w:pPr>
              <w:pStyle w:val="ListParagraph"/>
              <w:rPr>
                <w:lang w:eastAsia="en-GB"/>
              </w:rPr>
            </w:pPr>
            <w:r w:rsidRPr="00141B31">
              <w:rPr>
                <w:lang w:eastAsia="en-GB"/>
              </w:rPr>
              <w:t>No individual offices for any member of staff</w:t>
            </w:r>
          </w:p>
        </w:tc>
        <w:tc>
          <w:tcPr>
            <w:tcW w:w="3940" w:type="dxa"/>
            <w:tcBorders>
              <w:top w:val="nil"/>
              <w:left w:val="nil"/>
              <w:bottom w:val="single" w:sz="4" w:space="0" w:color="auto"/>
              <w:right w:val="single" w:sz="4" w:space="0" w:color="auto"/>
            </w:tcBorders>
            <w:shd w:val="clear" w:color="auto" w:fill="auto"/>
            <w:noWrap/>
            <w:vAlign w:val="center"/>
            <w:hideMark/>
          </w:tcPr>
          <w:p w:rsidR="00594241" w:rsidRPr="00141B31" w:rsidRDefault="00594241" w:rsidP="00DD6AFE">
            <w:pPr>
              <w:spacing w:before="40" w:after="40" w:line="240" w:lineRule="auto"/>
              <w:rPr>
                <w:rFonts w:eastAsia="Times New Roman" w:cs="Arial"/>
                <w:color w:val="000000"/>
                <w:szCs w:val="22"/>
                <w:lang w:eastAsia="en-GB"/>
              </w:rPr>
            </w:pPr>
            <w:r w:rsidRPr="00141B31">
              <w:rPr>
                <w:rFonts w:eastAsia="Times New Roman" w:cs="Arial"/>
                <w:color w:val="000000"/>
                <w:szCs w:val="22"/>
                <w:lang w:eastAsia="en-GB"/>
              </w:rPr>
              <w:t>Integrity</w:t>
            </w:r>
          </w:p>
        </w:tc>
      </w:tr>
      <w:tr w:rsidR="00594241" w:rsidRPr="00141B31" w:rsidTr="00594241">
        <w:trPr>
          <w:trHeight w:val="300"/>
          <w:jc w:val="center"/>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594241" w:rsidRPr="00141B31" w:rsidRDefault="00594241" w:rsidP="00D16EF7">
            <w:pPr>
              <w:pStyle w:val="ListParagraph"/>
              <w:rPr>
                <w:lang w:eastAsia="en-GB"/>
              </w:rPr>
            </w:pPr>
            <w:r w:rsidRPr="00141B31">
              <w:rPr>
                <w:lang w:eastAsia="en-GB"/>
              </w:rPr>
              <w:t>Visible senior leadership</w:t>
            </w:r>
          </w:p>
        </w:tc>
        <w:tc>
          <w:tcPr>
            <w:tcW w:w="3940" w:type="dxa"/>
            <w:tcBorders>
              <w:top w:val="nil"/>
              <w:left w:val="nil"/>
              <w:bottom w:val="single" w:sz="4" w:space="0" w:color="auto"/>
              <w:right w:val="single" w:sz="4" w:space="0" w:color="auto"/>
            </w:tcBorders>
            <w:shd w:val="clear" w:color="auto" w:fill="auto"/>
            <w:noWrap/>
            <w:vAlign w:val="center"/>
            <w:hideMark/>
          </w:tcPr>
          <w:p w:rsidR="00594241" w:rsidRPr="00141B31" w:rsidRDefault="00594241" w:rsidP="00DD6AFE">
            <w:pPr>
              <w:spacing w:before="40" w:after="40" w:line="240" w:lineRule="auto"/>
              <w:rPr>
                <w:rFonts w:eastAsia="Times New Roman" w:cs="Arial"/>
                <w:color w:val="000000"/>
                <w:szCs w:val="22"/>
                <w:lang w:eastAsia="en-GB"/>
              </w:rPr>
            </w:pPr>
            <w:r w:rsidRPr="00141B31">
              <w:rPr>
                <w:rFonts w:eastAsia="Times New Roman" w:cs="Arial"/>
                <w:color w:val="000000"/>
                <w:szCs w:val="22"/>
                <w:lang w:eastAsia="en-GB"/>
              </w:rPr>
              <w:t>Inspiring leadership, integrity</w:t>
            </w:r>
          </w:p>
        </w:tc>
      </w:tr>
      <w:tr w:rsidR="00594241" w:rsidRPr="00141B31" w:rsidTr="00594241">
        <w:trPr>
          <w:trHeight w:val="300"/>
          <w:jc w:val="center"/>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594241" w:rsidRPr="00141B31" w:rsidRDefault="00594241" w:rsidP="00D16EF7">
            <w:pPr>
              <w:pStyle w:val="ListParagraph"/>
              <w:rPr>
                <w:lang w:eastAsia="en-GB"/>
              </w:rPr>
            </w:pPr>
            <w:r w:rsidRPr="00141B31">
              <w:rPr>
                <w:lang w:eastAsia="en-GB"/>
              </w:rPr>
              <w:t>Clear desk policy for all</w:t>
            </w:r>
            <w:r w:rsidR="00A22D9A">
              <w:rPr>
                <w:lang w:eastAsia="en-GB"/>
              </w:rPr>
              <w:t xml:space="preserve"> with access to lockable storage facilities for personal/private items.</w:t>
            </w:r>
          </w:p>
        </w:tc>
        <w:tc>
          <w:tcPr>
            <w:tcW w:w="3940" w:type="dxa"/>
            <w:tcBorders>
              <w:top w:val="nil"/>
              <w:left w:val="nil"/>
              <w:bottom w:val="single" w:sz="4" w:space="0" w:color="auto"/>
              <w:right w:val="single" w:sz="4" w:space="0" w:color="auto"/>
            </w:tcBorders>
            <w:shd w:val="clear" w:color="auto" w:fill="auto"/>
            <w:noWrap/>
            <w:vAlign w:val="center"/>
            <w:hideMark/>
          </w:tcPr>
          <w:p w:rsidR="00594241" w:rsidRPr="00141B31" w:rsidRDefault="00594241" w:rsidP="00DD6AFE">
            <w:pPr>
              <w:spacing w:before="40" w:after="40" w:line="240" w:lineRule="auto"/>
              <w:rPr>
                <w:rFonts w:eastAsia="Times New Roman" w:cs="Arial"/>
                <w:color w:val="000000"/>
                <w:szCs w:val="22"/>
                <w:lang w:eastAsia="en-GB"/>
              </w:rPr>
            </w:pPr>
            <w:r w:rsidRPr="00141B31">
              <w:rPr>
                <w:rFonts w:eastAsia="Times New Roman" w:cs="Arial"/>
                <w:color w:val="000000"/>
                <w:szCs w:val="22"/>
                <w:lang w:eastAsia="en-GB"/>
              </w:rPr>
              <w:t>Integrity, trusted</w:t>
            </w:r>
          </w:p>
        </w:tc>
      </w:tr>
      <w:tr w:rsidR="00594241" w:rsidRPr="00141B31" w:rsidTr="00594241">
        <w:trPr>
          <w:trHeight w:val="570"/>
          <w:jc w:val="center"/>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594241" w:rsidRPr="00141B31" w:rsidRDefault="00594241" w:rsidP="00D16EF7">
            <w:pPr>
              <w:pStyle w:val="ListParagraph"/>
              <w:rPr>
                <w:lang w:eastAsia="en-GB"/>
              </w:rPr>
            </w:pPr>
            <w:r w:rsidRPr="00141B31">
              <w:rPr>
                <w:lang w:eastAsia="en-GB"/>
              </w:rPr>
              <w:t>Pleasant and tidy environment with good storage policies and options</w:t>
            </w:r>
          </w:p>
        </w:tc>
        <w:tc>
          <w:tcPr>
            <w:tcW w:w="3940" w:type="dxa"/>
            <w:tcBorders>
              <w:top w:val="nil"/>
              <w:left w:val="nil"/>
              <w:bottom w:val="single" w:sz="4" w:space="0" w:color="auto"/>
              <w:right w:val="single" w:sz="4" w:space="0" w:color="auto"/>
            </w:tcBorders>
            <w:shd w:val="clear" w:color="auto" w:fill="auto"/>
            <w:noWrap/>
            <w:vAlign w:val="center"/>
            <w:hideMark/>
          </w:tcPr>
          <w:p w:rsidR="00594241" w:rsidRPr="00141B31" w:rsidRDefault="00594241" w:rsidP="00DD6AFE">
            <w:pPr>
              <w:spacing w:before="40" w:after="40" w:line="240" w:lineRule="auto"/>
              <w:rPr>
                <w:rFonts w:eastAsia="Times New Roman" w:cs="Arial"/>
                <w:color w:val="000000"/>
                <w:szCs w:val="22"/>
                <w:lang w:eastAsia="en-GB"/>
              </w:rPr>
            </w:pPr>
            <w:r w:rsidRPr="00141B31">
              <w:rPr>
                <w:rFonts w:eastAsia="Times New Roman" w:cs="Arial"/>
                <w:color w:val="000000"/>
                <w:szCs w:val="22"/>
                <w:lang w:eastAsia="en-GB"/>
              </w:rPr>
              <w:t>Empowering</w:t>
            </w:r>
          </w:p>
        </w:tc>
      </w:tr>
      <w:tr w:rsidR="00594241" w:rsidRPr="00141B31" w:rsidTr="00594241">
        <w:trPr>
          <w:trHeight w:val="570"/>
          <w:jc w:val="center"/>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594241" w:rsidRPr="00141B31" w:rsidRDefault="00594241" w:rsidP="00D16EF7">
            <w:pPr>
              <w:pStyle w:val="ListParagraph"/>
              <w:rPr>
                <w:lang w:eastAsia="en-GB"/>
              </w:rPr>
            </w:pPr>
            <w:r w:rsidRPr="00141B31">
              <w:rPr>
                <w:lang w:eastAsia="en-GB"/>
              </w:rPr>
              <w:t>Comfortable and adjustable chairs to ensure that health and safety requirements are met</w:t>
            </w:r>
          </w:p>
        </w:tc>
        <w:tc>
          <w:tcPr>
            <w:tcW w:w="3940" w:type="dxa"/>
            <w:tcBorders>
              <w:top w:val="nil"/>
              <w:left w:val="nil"/>
              <w:bottom w:val="single" w:sz="4" w:space="0" w:color="auto"/>
              <w:right w:val="single" w:sz="4" w:space="0" w:color="auto"/>
            </w:tcBorders>
            <w:shd w:val="clear" w:color="auto" w:fill="auto"/>
            <w:noWrap/>
            <w:vAlign w:val="center"/>
            <w:hideMark/>
          </w:tcPr>
          <w:p w:rsidR="00594241" w:rsidRPr="00141B31" w:rsidRDefault="00594241" w:rsidP="00DD6AFE">
            <w:pPr>
              <w:spacing w:before="40" w:after="40" w:line="240" w:lineRule="auto"/>
              <w:rPr>
                <w:rFonts w:eastAsia="Times New Roman" w:cs="Arial"/>
                <w:color w:val="000000"/>
                <w:szCs w:val="22"/>
                <w:lang w:eastAsia="en-GB"/>
              </w:rPr>
            </w:pPr>
            <w:r w:rsidRPr="00141B31">
              <w:rPr>
                <w:rFonts w:eastAsia="Times New Roman" w:cs="Arial"/>
                <w:color w:val="000000"/>
                <w:szCs w:val="22"/>
                <w:lang w:eastAsia="en-GB"/>
              </w:rPr>
              <w:t>Empowering</w:t>
            </w:r>
          </w:p>
        </w:tc>
      </w:tr>
      <w:tr w:rsidR="00594241" w:rsidRPr="00141B31" w:rsidTr="00594241">
        <w:trPr>
          <w:trHeight w:val="300"/>
          <w:jc w:val="center"/>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594241" w:rsidRPr="00141B31" w:rsidRDefault="00594241" w:rsidP="00D16EF7">
            <w:pPr>
              <w:pStyle w:val="ListParagraph"/>
              <w:rPr>
                <w:lang w:eastAsia="en-GB"/>
              </w:rPr>
            </w:pPr>
            <w:r w:rsidRPr="00141B31">
              <w:rPr>
                <w:lang w:eastAsia="en-GB"/>
              </w:rPr>
              <w:t>Quiet spaces in all sites</w:t>
            </w:r>
            <w:r w:rsidR="00A22D9A">
              <w:rPr>
                <w:lang w:eastAsia="en-GB"/>
              </w:rPr>
              <w:t xml:space="preserve"> with blinds where necessary</w:t>
            </w:r>
            <w:r w:rsidRPr="00141B31">
              <w:rPr>
                <w:lang w:eastAsia="en-GB"/>
              </w:rPr>
              <w:t xml:space="preserve"> to enable confidential or sensitive discussions</w:t>
            </w:r>
            <w:r w:rsidR="00A22D9A">
              <w:rPr>
                <w:lang w:eastAsia="en-GB"/>
              </w:rPr>
              <w:t>/situations</w:t>
            </w:r>
          </w:p>
        </w:tc>
        <w:tc>
          <w:tcPr>
            <w:tcW w:w="3940" w:type="dxa"/>
            <w:tcBorders>
              <w:top w:val="nil"/>
              <w:left w:val="nil"/>
              <w:bottom w:val="single" w:sz="4" w:space="0" w:color="auto"/>
              <w:right w:val="single" w:sz="4" w:space="0" w:color="auto"/>
            </w:tcBorders>
            <w:shd w:val="clear" w:color="auto" w:fill="auto"/>
            <w:noWrap/>
            <w:vAlign w:val="center"/>
            <w:hideMark/>
          </w:tcPr>
          <w:p w:rsidR="00594241" w:rsidRPr="00141B31" w:rsidRDefault="00594241" w:rsidP="00DD6AFE">
            <w:pPr>
              <w:spacing w:before="40" w:after="40" w:line="240" w:lineRule="auto"/>
              <w:rPr>
                <w:rFonts w:eastAsia="Times New Roman" w:cs="Arial"/>
                <w:color w:val="000000"/>
                <w:szCs w:val="22"/>
                <w:lang w:eastAsia="en-GB"/>
              </w:rPr>
            </w:pPr>
            <w:r w:rsidRPr="00141B31">
              <w:rPr>
                <w:rFonts w:eastAsia="Times New Roman" w:cs="Arial"/>
                <w:color w:val="000000"/>
                <w:szCs w:val="22"/>
                <w:lang w:eastAsia="en-GB"/>
              </w:rPr>
              <w:t>Empowering, inspiring leadership</w:t>
            </w:r>
          </w:p>
        </w:tc>
      </w:tr>
      <w:tr w:rsidR="00594241" w:rsidRPr="00141B31" w:rsidTr="00594241">
        <w:trPr>
          <w:trHeight w:val="300"/>
          <w:jc w:val="center"/>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594241" w:rsidRPr="00141B31" w:rsidRDefault="00594241" w:rsidP="00D16EF7">
            <w:pPr>
              <w:pStyle w:val="ListParagraph"/>
              <w:rPr>
                <w:lang w:eastAsia="en-GB"/>
              </w:rPr>
            </w:pPr>
            <w:r w:rsidRPr="00141B31">
              <w:rPr>
                <w:lang w:eastAsia="en-GB"/>
              </w:rPr>
              <w:t>Standard desks across the organisation</w:t>
            </w:r>
          </w:p>
        </w:tc>
        <w:tc>
          <w:tcPr>
            <w:tcW w:w="3940" w:type="dxa"/>
            <w:tcBorders>
              <w:top w:val="nil"/>
              <w:left w:val="nil"/>
              <w:bottom w:val="single" w:sz="4" w:space="0" w:color="auto"/>
              <w:right w:val="single" w:sz="4" w:space="0" w:color="auto"/>
            </w:tcBorders>
            <w:shd w:val="clear" w:color="auto" w:fill="auto"/>
            <w:noWrap/>
            <w:vAlign w:val="center"/>
            <w:hideMark/>
          </w:tcPr>
          <w:p w:rsidR="00594241" w:rsidRPr="00141B31" w:rsidRDefault="00594241" w:rsidP="00DD6AFE">
            <w:pPr>
              <w:spacing w:before="40" w:after="40" w:line="240" w:lineRule="auto"/>
              <w:rPr>
                <w:rFonts w:eastAsia="Times New Roman" w:cs="Arial"/>
                <w:color w:val="000000"/>
                <w:szCs w:val="22"/>
                <w:lang w:eastAsia="en-GB"/>
              </w:rPr>
            </w:pPr>
            <w:r w:rsidRPr="00141B31">
              <w:rPr>
                <w:rFonts w:eastAsia="Times New Roman" w:cs="Arial"/>
                <w:color w:val="000000"/>
                <w:szCs w:val="22"/>
                <w:lang w:eastAsia="en-GB"/>
              </w:rPr>
              <w:t>Integrity</w:t>
            </w:r>
          </w:p>
        </w:tc>
      </w:tr>
      <w:tr w:rsidR="00594241" w:rsidRPr="00141B31" w:rsidTr="00594241">
        <w:trPr>
          <w:trHeight w:val="600"/>
          <w:jc w:val="center"/>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594241" w:rsidRPr="00141B31" w:rsidRDefault="00594241" w:rsidP="00D16EF7">
            <w:pPr>
              <w:pStyle w:val="ListParagraph"/>
              <w:rPr>
                <w:lang w:eastAsia="en-GB"/>
              </w:rPr>
            </w:pPr>
            <w:r w:rsidRPr="00141B31">
              <w:rPr>
                <w:lang w:eastAsia="en-GB"/>
              </w:rPr>
              <w:t>Shared areas with coffee making facilities and some seating in each office to enable staff interaction</w:t>
            </w:r>
          </w:p>
        </w:tc>
        <w:tc>
          <w:tcPr>
            <w:tcW w:w="3940" w:type="dxa"/>
            <w:tcBorders>
              <w:top w:val="nil"/>
              <w:left w:val="nil"/>
              <w:bottom w:val="single" w:sz="4" w:space="0" w:color="auto"/>
              <w:right w:val="single" w:sz="4" w:space="0" w:color="auto"/>
            </w:tcBorders>
            <w:shd w:val="clear" w:color="auto" w:fill="auto"/>
            <w:noWrap/>
            <w:vAlign w:val="center"/>
            <w:hideMark/>
          </w:tcPr>
          <w:p w:rsidR="00594241" w:rsidRPr="00141B31" w:rsidRDefault="00594241" w:rsidP="00DD6AFE">
            <w:pPr>
              <w:spacing w:before="40" w:after="40" w:line="240" w:lineRule="auto"/>
              <w:rPr>
                <w:rFonts w:eastAsia="Times New Roman" w:cs="Arial"/>
                <w:color w:val="000000"/>
                <w:szCs w:val="22"/>
                <w:lang w:eastAsia="en-GB"/>
              </w:rPr>
            </w:pPr>
            <w:r w:rsidRPr="00141B31">
              <w:rPr>
                <w:rFonts w:eastAsia="Times New Roman" w:cs="Arial"/>
                <w:color w:val="000000"/>
                <w:szCs w:val="22"/>
                <w:lang w:eastAsia="en-GB"/>
              </w:rPr>
              <w:t>Empowering, inspiring leadership</w:t>
            </w:r>
          </w:p>
        </w:tc>
      </w:tr>
    </w:tbl>
    <w:p w:rsidR="00C61CAE" w:rsidRDefault="00C61CAE" w:rsidP="004811BA"/>
    <w:p w:rsidR="004811BA" w:rsidRDefault="004811BA">
      <w:pPr>
        <w:tabs>
          <w:tab w:val="clear" w:pos="567"/>
          <w:tab w:val="clear" w:pos="992"/>
        </w:tabs>
        <w:spacing w:after="0" w:line="240" w:lineRule="auto"/>
      </w:pPr>
      <w:r>
        <w:br w:type="page"/>
      </w:r>
    </w:p>
    <w:p w:rsidR="004811BA" w:rsidRDefault="004811BA" w:rsidP="004811BA"/>
    <w:p w:rsidR="00C61CAE" w:rsidRDefault="00C61CAE" w:rsidP="00C61CAE">
      <w:pPr>
        <w:spacing w:after="240" w:line="400" w:lineRule="exact"/>
        <w:rPr>
          <w:color w:val="EE8800"/>
          <w:sz w:val="36"/>
          <w:szCs w:val="36"/>
        </w:rPr>
      </w:pPr>
      <w:r>
        <w:rPr>
          <w:color w:val="EE8800"/>
          <w:sz w:val="36"/>
          <w:szCs w:val="36"/>
        </w:rPr>
        <w:t>Next steps</w:t>
      </w:r>
    </w:p>
    <w:p w:rsidR="00C61CAE" w:rsidRDefault="00C61CAE" w:rsidP="00D16EF7">
      <w:pPr>
        <w:pStyle w:val="ListParagraph"/>
      </w:pPr>
      <w:r>
        <w:t xml:space="preserve">Next steps include the working up of a detailed implementation plan. </w:t>
      </w:r>
    </w:p>
    <w:p w:rsidR="00C61CAE" w:rsidRDefault="00C61CAE" w:rsidP="00D16EF7">
      <w:pPr>
        <w:pStyle w:val="ListParagraph"/>
      </w:pPr>
      <w:r>
        <w:t>That said, due to the pressure for desk space as a result of HRA Approval recruitment activity, an initial immed</w:t>
      </w:r>
      <w:r w:rsidR="00141B31">
        <w:t>iate phase is required straight</w:t>
      </w:r>
      <w:r>
        <w:t xml:space="preserve">away in London.  </w:t>
      </w:r>
    </w:p>
    <w:p w:rsidR="00C61CAE" w:rsidRDefault="00C61CAE" w:rsidP="00D16EF7">
      <w:pPr>
        <w:pStyle w:val="ListParagraph"/>
      </w:pPr>
      <w:r>
        <w:t>A second phase will need to begin in Manchester.  Given the need to prepare a lease exemption case to try and remain in the current office accommodation, the timing is such that a detailed and phased approach to delivering the move from the current ratio of 1.05 desks to 0.8 desks will be prepared.</w:t>
      </w:r>
    </w:p>
    <w:p w:rsidR="00C61CAE" w:rsidRDefault="00C61CAE" w:rsidP="00C61CAE">
      <w:pPr>
        <w:pStyle w:val="NumberedParagraph"/>
        <w:numPr>
          <w:ilvl w:val="0"/>
          <w:numId w:val="0"/>
        </w:numPr>
      </w:pPr>
    </w:p>
    <w:p w:rsidR="00C61CAE" w:rsidRPr="004B7112" w:rsidRDefault="00C61CAE" w:rsidP="004811BA">
      <w:pPr>
        <w:pStyle w:val="Standfirst"/>
      </w:pPr>
      <w:r>
        <w:t>Governance arrangements</w:t>
      </w:r>
    </w:p>
    <w:p w:rsidR="009577EE" w:rsidRDefault="009577EE" w:rsidP="004811BA">
      <w:r w:rsidRPr="009577EE">
        <w:t xml:space="preserve">Governance arrangements need to </w:t>
      </w:r>
      <w:r w:rsidR="00A22D9A">
        <w:t xml:space="preserve">be </w:t>
      </w:r>
      <w:r w:rsidRPr="009577EE">
        <w:t xml:space="preserve">put in place as follows to ensure successful delivery </w:t>
      </w:r>
      <w:r w:rsidR="0042533D">
        <w:t>and to oversee the design and implementatio</w:t>
      </w:r>
      <w:r w:rsidR="004811BA">
        <w:t>n of the accommodation strategy:</w:t>
      </w:r>
    </w:p>
    <w:p w:rsidR="00EC14BC" w:rsidRDefault="004811BA" w:rsidP="00D16EF7">
      <w:pPr>
        <w:pStyle w:val="ListParagraph"/>
      </w:pPr>
      <w:r>
        <w:t>c</w:t>
      </w:r>
      <w:r w:rsidR="00EC14BC">
        <w:t>reation o</w:t>
      </w:r>
      <w:r>
        <w:t>f a project board;</w:t>
      </w:r>
    </w:p>
    <w:p w:rsidR="00EC14BC" w:rsidRDefault="004811BA" w:rsidP="00D16EF7">
      <w:pPr>
        <w:pStyle w:val="ListParagraph"/>
      </w:pPr>
      <w:r>
        <w:t>a</w:t>
      </w:r>
      <w:r w:rsidR="009577EE">
        <w:t>ppointment of a project manager</w:t>
      </w:r>
      <w:r w:rsidR="00EC14BC">
        <w:t xml:space="preserve"> to deliver phase 1 of</w:t>
      </w:r>
      <w:r>
        <w:t xml:space="preserve"> the estates vision in London;</w:t>
      </w:r>
    </w:p>
    <w:p w:rsidR="00EC14BC" w:rsidRDefault="004811BA" w:rsidP="00D16EF7">
      <w:pPr>
        <w:pStyle w:val="ListParagraph"/>
      </w:pPr>
      <w:proofErr w:type="gramStart"/>
      <w:r>
        <w:t>a</w:t>
      </w:r>
      <w:r w:rsidR="00EC14BC">
        <w:t>ppointment</w:t>
      </w:r>
      <w:proofErr w:type="gramEnd"/>
      <w:r w:rsidR="00EC14BC">
        <w:t xml:space="preserve"> of a project manager to produ</w:t>
      </w:r>
      <w:r>
        <w:t xml:space="preserve">ce the detailed delivery plan, </w:t>
      </w:r>
      <w:r w:rsidR="00EC14BC">
        <w:t>set up project structures with the support of the programme office and deliver ongoing phases</w:t>
      </w:r>
      <w:r>
        <w:t>,</w:t>
      </w:r>
      <w:r w:rsidR="00EC14BC">
        <w:t xml:space="preserve"> including phase 2 of the estates vision in Manchester.</w:t>
      </w:r>
    </w:p>
    <w:p w:rsidR="00594241" w:rsidRPr="00594241" w:rsidRDefault="00594241" w:rsidP="00A36B0E">
      <w:pPr>
        <w:ind w:left="578" w:hanging="578"/>
      </w:pPr>
    </w:p>
    <w:p w:rsidR="004B7112" w:rsidRDefault="004B7112" w:rsidP="004811BA">
      <w:pPr>
        <w:pStyle w:val="Standfirst"/>
      </w:pPr>
      <w:r>
        <w:t>Benefit and risk assessment</w:t>
      </w:r>
      <w:r w:rsidR="00D03ABC">
        <w:t xml:space="preserve"> of the preferred option</w:t>
      </w:r>
    </w:p>
    <w:p w:rsidR="001054BF" w:rsidRDefault="001054BF" w:rsidP="004811BA">
      <w:r>
        <w:t xml:space="preserve">The </w:t>
      </w:r>
      <w:r w:rsidRPr="004811BA">
        <w:rPr>
          <w:b/>
        </w:rPr>
        <w:t>key benefits</w:t>
      </w:r>
      <w:r>
        <w:t xml:space="preserve"> of the </w:t>
      </w:r>
      <w:r w:rsidR="000D5FE5">
        <w:t xml:space="preserve">preferred option </w:t>
      </w:r>
      <w:r>
        <w:t>can be summarised as follows:</w:t>
      </w:r>
    </w:p>
    <w:p w:rsidR="001054BF" w:rsidRDefault="004811BA" w:rsidP="00D16EF7">
      <w:pPr>
        <w:pStyle w:val="ListParagraph"/>
      </w:pPr>
      <w:r>
        <w:t>f</w:t>
      </w:r>
      <w:r w:rsidR="00D03ABC">
        <w:t>inancial</w:t>
      </w:r>
      <w:r w:rsidR="000D5FE5">
        <w:t xml:space="preserve"> and resulting in savings</w:t>
      </w:r>
      <w:r w:rsidR="00D03ABC">
        <w:t>;</w:t>
      </w:r>
    </w:p>
    <w:p w:rsidR="001054BF" w:rsidRDefault="004811BA" w:rsidP="00D16EF7">
      <w:pPr>
        <w:pStyle w:val="ListParagraph"/>
      </w:pPr>
      <w:r>
        <w:t>i</w:t>
      </w:r>
      <w:r w:rsidR="001054BF">
        <w:t xml:space="preserve">mproved </w:t>
      </w:r>
      <w:r w:rsidR="00D03ABC">
        <w:t>space utilisation and efficiency;</w:t>
      </w:r>
    </w:p>
    <w:p w:rsidR="00A22D9A" w:rsidRDefault="00A22D9A" w:rsidP="00D16EF7">
      <w:pPr>
        <w:pStyle w:val="ListParagraph"/>
      </w:pPr>
      <w:r>
        <w:t>improved work life balance for staff;</w:t>
      </w:r>
    </w:p>
    <w:p w:rsidR="001054BF" w:rsidRDefault="004811BA" w:rsidP="00D16EF7">
      <w:pPr>
        <w:pStyle w:val="ListParagraph"/>
      </w:pPr>
      <w:r>
        <w:t>c</w:t>
      </w:r>
      <w:r w:rsidR="001054BF">
        <w:t xml:space="preserve">ompliance with </w:t>
      </w:r>
      <w:r w:rsidR="000D5FE5">
        <w:t>Government Property Unit requirements;</w:t>
      </w:r>
    </w:p>
    <w:p w:rsidR="001054BF" w:rsidRDefault="004811BA" w:rsidP="00D16EF7">
      <w:pPr>
        <w:pStyle w:val="ListParagraph"/>
      </w:pPr>
      <w:r>
        <w:t>c</w:t>
      </w:r>
      <w:r w:rsidR="000D5FE5">
        <w:t>ompliance with Government Estates strategy direction of travel;</w:t>
      </w:r>
    </w:p>
    <w:p w:rsidR="001054BF" w:rsidRDefault="004811BA" w:rsidP="00D16EF7">
      <w:pPr>
        <w:pStyle w:val="ListParagraph"/>
      </w:pPr>
      <w:proofErr w:type="gramStart"/>
      <w:r>
        <w:t>t</w:t>
      </w:r>
      <w:r w:rsidR="001054BF">
        <w:t>he</w:t>
      </w:r>
      <w:proofErr w:type="gramEnd"/>
      <w:r w:rsidR="001054BF">
        <w:t xml:space="preserve"> quality of accommodation</w:t>
      </w:r>
      <w:r w:rsidR="000D5FE5">
        <w:t xml:space="preserve"> and IT</w:t>
      </w:r>
      <w:r w:rsidR="001054BF">
        <w:t xml:space="preserve"> impacts directly on service delivery.  Better quality </w:t>
      </w:r>
      <w:r w:rsidR="000D5FE5">
        <w:t xml:space="preserve">environment and </w:t>
      </w:r>
      <w:r w:rsidR="001054BF">
        <w:t xml:space="preserve">facilities allow for delivery of more and better service levels.  Better </w:t>
      </w:r>
      <w:r w:rsidR="000D5FE5">
        <w:t xml:space="preserve">operational and </w:t>
      </w:r>
      <w:r w:rsidR="001054BF">
        <w:t>statutory performance is a key aim</w:t>
      </w:r>
      <w:r>
        <w:t xml:space="preserve"> of the HRA;</w:t>
      </w:r>
    </w:p>
    <w:p w:rsidR="001054BF" w:rsidRDefault="004811BA" w:rsidP="00D16EF7">
      <w:pPr>
        <w:pStyle w:val="ListParagraph"/>
      </w:pPr>
      <w:r>
        <w:t>t</w:t>
      </w:r>
      <w:r w:rsidR="001054BF">
        <w:t xml:space="preserve">he working environment </w:t>
      </w:r>
      <w:r w:rsidR="000D5FE5">
        <w:t xml:space="preserve">and greater flexibility </w:t>
      </w:r>
      <w:r w:rsidR="001054BF">
        <w:t>also impac</w:t>
      </w:r>
      <w:r>
        <w:t>ts on morale and productivity;</w:t>
      </w:r>
    </w:p>
    <w:p w:rsidR="001054BF" w:rsidRDefault="000D5FE5" w:rsidP="004811BA">
      <w:r>
        <w:t xml:space="preserve">The </w:t>
      </w:r>
      <w:r w:rsidRPr="004811BA">
        <w:rPr>
          <w:b/>
        </w:rPr>
        <w:t>key r</w:t>
      </w:r>
      <w:r w:rsidR="001054BF" w:rsidRPr="004811BA">
        <w:rPr>
          <w:b/>
        </w:rPr>
        <w:t>isks</w:t>
      </w:r>
      <w:r w:rsidR="004811BA">
        <w:t xml:space="preserve"> in the preferred o</w:t>
      </w:r>
      <w:r w:rsidR="001054BF">
        <w:t>ption</w:t>
      </w:r>
      <w:r w:rsidR="004811BA">
        <w:t>:</w:t>
      </w:r>
    </w:p>
    <w:p w:rsidR="001054BF" w:rsidRDefault="0036670D" w:rsidP="00D16EF7">
      <w:pPr>
        <w:pStyle w:val="ListParagraph"/>
      </w:pPr>
      <w:r>
        <w:t>A</w:t>
      </w:r>
      <w:r w:rsidR="001054BF">
        <w:t>s with any major service change, there are inherent risks as well as benefits in developing the new profile of premises</w:t>
      </w:r>
      <w:r>
        <w:t>.</w:t>
      </w:r>
    </w:p>
    <w:p w:rsidR="005615F3" w:rsidRDefault="0036670D" w:rsidP="00D16EF7">
      <w:pPr>
        <w:pStyle w:val="ListParagraph"/>
      </w:pPr>
      <w:r>
        <w:lastRenderedPageBreak/>
        <w:t>T</w:t>
      </w:r>
      <w:r w:rsidR="0042533D">
        <w:t xml:space="preserve">he main challenge will be to maintain focus on </w:t>
      </w:r>
      <w:r w:rsidR="005615F3">
        <w:t xml:space="preserve">a significant and ambitious </w:t>
      </w:r>
      <w:r w:rsidR="0042533D">
        <w:t xml:space="preserve">programme of change, HRA Approval, </w:t>
      </w:r>
      <w:r w:rsidR="005615F3">
        <w:t>which will lead to significant improvements in the approvals process for health research.  This must re</w:t>
      </w:r>
      <w:r w:rsidR="004811BA">
        <w:t>main our key focus and priority</w:t>
      </w:r>
      <w:r>
        <w:t>.</w:t>
      </w:r>
    </w:p>
    <w:p w:rsidR="005615F3" w:rsidRDefault="0036670D" w:rsidP="00D16EF7">
      <w:pPr>
        <w:pStyle w:val="ListParagraph"/>
      </w:pPr>
      <w:r>
        <w:t>A</w:t>
      </w:r>
      <w:r w:rsidR="0042533D">
        <w:t xml:space="preserve"> further challenge will be to ensure that t</w:t>
      </w:r>
      <w:r w:rsidR="005615F3">
        <w:t>he HRA maintain</w:t>
      </w:r>
      <w:r w:rsidR="0042533D">
        <w:t>s</w:t>
      </w:r>
      <w:r w:rsidR="005615F3">
        <w:t xml:space="preserve"> moment</w:t>
      </w:r>
      <w:r>
        <w:t>um during the transition to Non-</w:t>
      </w:r>
      <w:r w:rsidR="005615F3">
        <w:t>Departmental Public Body (NDPB) status and whilst we progress the ne</w:t>
      </w:r>
      <w:r>
        <w:t>w Research Governance Framework.</w:t>
      </w:r>
    </w:p>
    <w:p w:rsidR="005615F3" w:rsidRDefault="0036670D" w:rsidP="00D16EF7">
      <w:pPr>
        <w:pStyle w:val="ListParagraph"/>
      </w:pPr>
      <w:r>
        <w:t>A</w:t>
      </w:r>
      <w:r w:rsidR="0042533D">
        <w:t xml:space="preserve">n additional significant risk </w:t>
      </w:r>
      <w:r w:rsidR="0042533D" w:rsidRPr="0042533D">
        <w:t xml:space="preserve">will be to </w:t>
      </w:r>
      <w:r w:rsidR="0042533D">
        <w:t xml:space="preserve">continue to </w:t>
      </w:r>
      <w:r w:rsidR="0042533D" w:rsidRPr="0042533D">
        <w:t>deliver the cons</w:t>
      </w:r>
      <w:r w:rsidR="0042533D">
        <w:t xml:space="preserve">istent high quality of services.  </w:t>
      </w:r>
      <w:r w:rsidR="005615F3">
        <w:t>We continue to have ambitious and stretched targets for business as usual areas of work as we commit to working to achieve 95% of applications to a ful</w:t>
      </w:r>
      <w:r>
        <w:t>l committee in 40 calendar days.</w:t>
      </w:r>
    </w:p>
    <w:p w:rsidR="0042533D" w:rsidRDefault="0036670D" w:rsidP="00D16EF7">
      <w:pPr>
        <w:pStyle w:val="ListParagraph"/>
      </w:pPr>
      <w:r>
        <w:t>T</w:t>
      </w:r>
      <w:r w:rsidR="0042533D">
        <w:t>he move to the preferred option will represent a significant cultural change in the way in whic</w:t>
      </w:r>
      <w:r>
        <w:t>h HRA staff work, particularly o</w:t>
      </w:r>
      <w:r w:rsidR="0042533D">
        <w:t xml:space="preserve">perational staff.  Inspiring leadership and leading by example will be required.  </w:t>
      </w:r>
      <w:r>
        <w:t xml:space="preserve">The </w:t>
      </w:r>
      <w:r w:rsidR="0042533D">
        <w:t xml:space="preserve">HRA must avoid a twin track approach to operational working and a thorough review of the initial phases in London </w:t>
      </w:r>
      <w:r>
        <w:t>and Manchester will be required.</w:t>
      </w:r>
    </w:p>
    <w:p w:rsidR="005615F3" w:rsidRDefault="0036670D" w:rsidP="00D16EF7">
      <w:pPr>
        <w:pStyle w:val="ListParagraph"/>
      </w:pPr>
      <w:r>
        <w:t>T</w:t>
      </w:r>
      <w:r w:rsidR="005615F3">
        <w:t xml:space="preserve">he majority of the HRA staff </w:t>
      </w:r>
      <w:proofErr w:type="gramStart"/>
      <w:r w:rsidR="005615F3">
        <w:t>are</w:t>
      </w:r>
      <w:proofErr w:type="gramEnd"/>
      <w:r w:rsidR="005615F3">
        <w:t xml:space="preserve"> NRES operations staff.  There has been some previous history of poor performance when attempts at introducing more flexible working were made.  We must learn from this.  </w:t>
      </w:r>
      <w:r w:rsidR="0042533D">
        <w:t xml:space="preserve">It will be important to understand in what way </w:t>
      </w:r>
      <w:r>
        <w:t xml:space="preserve">the </w:t>
      </w:r>
      <w:r w:rsidR="0042533D">
        <w:t>HRA can/will change to become more flexible and a clear understanding of the practic</w:t>
      </w:r>
      <w:r>
        <w:t>al delivery options around desk-</w:t>
      </w:r>
      <w:r w:rsidR="0042533D">
        <w:t>shari</w:t>
      </w:r>
      <w:r>
        <w:t>ng will be an early requirement.</w:t>
      </w:r>
    </w:p>
    <w:p w:rsidR="005615F3" w:rsidRDefault="0036670D" w:rsidP="00D16EF7">
      <w:pPr>
        <w:pStyle w:val="ListParagraph"/>
      </w:pPr>
      <w:r>
        <w:t>O</w:t>
      </w:r>
      <w:r w:rsidR="0042533D">
        <w:t xml:space="preserve">n the mitigation side, </w:t>
      </w:r>
      <w:r>
        <w:t>the</w:t>
      </w:r>
      <w:r w:rsidR="0042533D">
        <w:t xml:space="preserve"> </w:t>
      </w:r>
      <w:r w:rsidR="005615F3">
        <w:t>HRA has introduced innovations into our working practices over the last few years which should assist in the strategy we propose and place us in a position of strength compared to previous attempts.</w:t>
      </w:r>
      <w:r w:rsidR="0042533D">
        <w:t xml:space="preserve">  These include:</w:t>
      </w:r>
    </w:p>
    <w:p w:rsidR="006076EC" w:rsidRPr="006076EC" w:rsidRDefault="0036670D" w:rsidP="00C0083A">
      <w:pPr>
        <w:pStyle w:val="ListParagraph"/>
        <w:numPr>
          <w:ilvl w:val="0"/>
          <w:numId w:val="46"/>
        </w:numPr>
        <w:ind w:left="1349" w:hanging="357"/>
        <w:contextualSpacing/>
      </w:pPr>
      <w:r>
        <w:t>v</w:t>
      </w:r>
      <w:r w:rsidR="006076EC" w:rsidRPr="006076EC">
        <w:t>ideo conferencing in all offices from April 2014</w:t>
      </w:r>
      <w:r w:rsidR="006076EC">
        <w:t xml:space="preserve"> which has facilitated all staff meetings and all staff training such as fraud training across the HRA Offices simultaneously and the latter </w:t>
      </w:r>
      <w:r>
        <w:t>received very good feedback;</w:t>
      </w:r>
    </w:p>
    <w:p w:rsidR="006076EC" w:rsidRPr="006076EC" w:rsidRDefault="0036670D" w:rsidP="00C0083A">
      <w:pPr>
        <w:pStyle w:val="ListParagraph"/>
        <w:numPr>
          <w:ilvl w:val="0"/>
          <w:numId w:val="46"/>
        </w:numPr>
        <w:ind w:left="1349" w:hanging="357"/>
        <w:contextualSpacing/>
      </w:pPr>
      <w:r>
        <w:t>t</w:t>
      </w:r>
      <w:r w:rsidR="006076EC" w:rsidRPr="006076EC">
        <w:t>ransfer to the HARP database</w:t>
      </w:r>
      <w:r>
        <w:t>;</w:t>
      </w:r>
    </w:p>
    <w:p w:rsidR="006076EC" w:rsidRPr="006076EC" w:rsidRDefault="0036670D" w:rsidP="00C0083A">
      <w:pPr>
        <w:pStyle w:val="ListParagraph"/>
        <w:numPr>
          <w:ilvl w:val="0"/>
          <w:numId w:val="46"/>
        </w:numPr>
        <w:ind w:left="1349" w:hanging="357"/>
        <w:contextualSpacing/>
      </w:pPr>
      <w:r>
        <w:t>c</w:t>
      </w:r>
      <w:r w:rsidR="006076EC" w:rsidRPr="006076EC">
        <w:t xml:space="preserve">ommittee papers pilot using </w:t>
      </w:r>
      <w:r>
        <w:t>tablet-</w:t>
      </w:r>
      <w:r w:rsidR="006076EC" w:rsidRPr="006076EC">
        <w:t>type technology</w:t>
      </w:r>
      <w:r>
        <w:t>;</w:t>
      </w:r>
    </w:p>
    <w:p w:rsidR="006076EC" w:rsidRPr="006076EC" w:rsidRDefault="006076EC" w:rsidP="00C0083A">
      <w:pPr>
        <w:pStyle w:val="ListParagraph"/>
        <w:numPr>
          <w:ilvl w:val="0"/>
          <w:numId w:val="46"/>
        </w:numPr>
        <w:ind w:left="1349" w:hanging="357"/>
      </w:pPr>
      <w:r w:rsidRPr="006076EC">
        <w:t>Bris</w:t>
      </w:r>
      <w:r w:rsidR="00CB42E8">
        <w:t>tol office moving to paper</w:t>
      </w:r>
      <w:r w:rsidRPr="006076EC">
        <w:t>less environment</w:t>
      </w:r>
      <w:r w:rsidR="00CB42E8">
        <w:t xml:space="preserve"> </w:t>
      </w:r>
      <w:r w:rsidR="00CB42E8">
        <w:rPr>
          <w:color w:val="000000"/>
        </w:rPr>
        <w:t xml:space="preserve">(documents are </w:t>
      </w:r>
      <w:r w:rsidR="00CB42E8" w:rsidRPr="00792302">
        <w:t>scanned / received and stored electronically</w:t>
      </w:r>
      <w:r w:rsidR="00CB42E8">
        <w:t>,</w:t>
      </w:r>
      <w:r w:rsidR="00CB42E8" w:rsidRPr="00792302">
        <w:t xml:space="preserve"> reducing requirement for storage and filing space)</w:t>
      </w:r>
      <w:r w:rsidR="0036670D">
        <w:t>.</w:t>
      </w:r>
    </w:p>
    <w:p w:rsidR="006076EC" w:rsidRDefault="0036670D" w:rsidP="00D16EF7">
      <w:pPr>
        <w:pStyle w:val="ListParagraph"/>
      </w:pPr>
      <w:r>
        <w:t>F</w:t>
      </w:r>
      <w:r w:rsidR="006076EC">
        <w:t>urther mitigations will involve early engagement with staff and the involvement of staff across the organisation in the project groups required.  Other proposals are:</w:t>
      </w:r>
    </w:p>
    <w:p w:rsidR="006076EC" w:rsidRDefault="0036670D" w:rsidP="00C0083A">
      <w:pPr>
        <w:pStyle w:val="ListParagraph"/>
        <w:numPr>
          <w:ilvl w:val="0"/>
          <w:numId w:val="47"/>
        </w:numPr>
        <w:ind w:left="1349" w:hanging="357"/>
        <w:contextualSpacing/>
      </w:pPr>
      <w:r>
        <w:t>creation of internal ‘Change Champions’;</w:t>
      </w:r>
    </w:p>
    <w:p w:rsidR="006076EC" w:rsidRDefault="0036670D" w:rsidP="00C0083A">
      <w:pPr>
        <w:pStyle w:val="ListParagraph"/>
        <w:numPr>
          <w:ilvl w:val="0"/>
          <w:numId w:val="47"/>
        </w:numPr>
        <w:ind w:left="1349" w:hanging="357"/>
        <w:contextualSpacing/>
      </w:pPr>
      <w:r>
        <w:t>e</w:t>
      </w:r>
      <w:r w:rsidR="006076EC">
        <w:t>arly engagement with middle and senior management to ensure collectiv</w:t>
      </w:r>
      <w:r>
        <w:t>e buy-in and changed behaviours;</w:t>
      </w:r>
    </w:p>
    <w:p w:rsidR="00A22D9A" w:rsidRDefault="00A22D9A" w:rsidP="00C0083A">
      <w:pPr>
        <w:pStyle w:val="ListParagraph"/>
        <w:numPr>
          <w:ilvl w:val="0"/>
          <w:numId w:val="47"/>
        </w:numPr>
        <w:ind w:left="1349" w:hanging="357"/>
        <w:contextualSpacing/>
      </w:pPr>
      <w:r>
        <w:t>clear communication and information on the availability, location and contact numbers for all staff;</w:t>
      </w:r>
    </w:p>
    <w:p w:rsidR="006076EC" w:rsidRDefault="0036670D" w:rsidP="00C0083A">
      <w:pPr>
        <w:pStyle w:val="ListParagraph"/>
        <w:numPr>
          <w:ilvl w:val="0"/>
          <w:numId w:val="47"/>
        </w:numPr>
        <w:ind w:left="1352"/>
      </w:pPr>
      <w:proofErr w:type="gramStart"/>
      <w:r>
        <w:t>i</w:t>
      </w:r>
      <w:r w:rsidR="006076EC">
        <w:t>dentification</w:t>
      </w:r>
      <w:proofErr w:type="gramEnd"/>
      <w:r w:rsidR="006076EC">
        <w:t xml:space="preserve"> of best practice examples focusing on how change has been encouraged and managed.</w:t>
      </w:r>
    </w:p>
    <w:p w:rsidR="0036670D" w:rsidRDefault="0036670D">
      <w:pPr>
        <w:tabs>
          <w:tab w:val="clear" w:pos="567"/>
          <w:tab w:val="clear" w:pos="992"/>
        </w:tabs>
        <w:spacing w:after="0" w:line="240" w:lineRule="auto"/>
      </w:pPr>
      <w:r>
        <w:br w:type="page"/>
      </w:r>
    </w:p>
    <w:p w:rsidR="004B7112" w:rsidRDefault="004B7112" w:rsidP="00E13B55">
      <w:pPr>
        <w:pStyle w:val="ListBullet"/>
        <w:numPr>
          <w:ilvl w:val="0"/>
          <w:numId w:val="0"/>
        </w:numPr>
        <w:ind w:left="360" w:hanging="360"/>
      </w:pPr>
    </w:p>
    <w:p w:rsidR="004B7112" w:rsidRPr="004B7112" w:rsidRDefault="004B7112" w:rsidP="0036670D">
      <w:pPr>
        <w:pStyle w:val="HeadingA"/>
      </w:pPr>
      <w:bookmarkStart w:id="11" w:name="_Toc400975575"/>
      <w:r>
        <w:t>Financial projections</w:t>
      </w:r>
      <w:bookmarkEnd w:id="11"/>
    </w:p>
    <w:p w:rsidR="00961A97" w:rsidRDefault="006076EC" w:rsidP="0036670D">
      <w:pPr>
        <w:ind w:left="567" w:hanging="567"/>
      </w:pPr>
      <w:r>
        <w:t>4.1</w:t>
      </w:r>
      <w:r>
        <w:tab/>
      </w:r>
      <w:r w:rsidR="00961A97">
        <w:t>The following table sets out the current costs of HRA Accommodation and compares them to the costs of the preferred option.  A saving of £340k is presented which represents a third of the current accommodation cost and meets one of our business plan objectives to continue to maintain efficiencies.</w:t>
      </w:r>
    </w:p>
    <w:tbl>
      <w:tblPr>
        <w:tblW w:w="7080" w:type="dxa"/>
        <w:jc w:val="center"/>
        <w:tblInd w:w="103" w:type="dxa"/>
        <w:tblLook w:val="04A0" w:firstRow="1" w:lastRow="0" w:firstColumn="1" w:lastColumn="0" w:noHBand="0" w:noVBand="1"/>
      </w:tblPr>
      <w:tblGrid>
        <w:gridCol w:w="3240"/>
        <w:gridCol w:w="960"/>
        <w:gridCol w:w="960"/>
        <w:gridCol w:w="960"/>
        <w:gridCol w:w="960"/>
      </w:tblGrid>
      <w:tr w:rsidR="006076EC" w:rsidRPr="000E0B77" w:rsidTr="000E0B77">
        <w:trPr>
          <w:trHeight w:val="600"/>
          <w:jc w:val="center"/>
        </w:trPr>
        <w:tc>
          <w:tcPr>
            <w:tcW w:w="3240" w:type="dxa"/>
            <w:tcBorders>
              <w:top w:val="single" w:sz="4" w:space="0" w:color="auto"/>
              <w:left w:val="single" w:sz="4" w:space="0" w:color="auto"/>
              <w:bottom w:val="nil"/>
              <w:right w:val="nil"/>
            </w:tcBorders>
            <w:shd w:val="clear" w:color="000000" w:fill="56008C"/>
            <w:vAlign w:val="center"/>
            <w:hideMark/>
          </w:tcPr>
          <w:p w:rsidR="006076EC" w:rsidRPr="000E0B77" w:rsidRDefault="006076EC" w:rsidP="000E0B77">
            <w:pPr>
              <w:spacing w:after="0" w:line="240" w:lineRule="auto"/>
              <w:rPr>
                <w:rFonts w:eastAsia="Times New Roman" w:cs="Arial"/>
                <w:b/>
                <w:bCs/>
                <w:color w:val="E28C05"/>
                <w:sz w:val="20"/>
                <w:szCs w:val="20"/>
                <w:lang w:eastAsia="en-GB"/>
              </w:rPr>
            </w:pPr>
            <w:r w:rsidRPr="000E0B77">
              <w:rPr>
                <w:rFonts w:eastAsia="Times New Roman" w:cs="Arial"/>
                <w:b/>
                <w:bCs/>
                <w:color w:val="E28C05"/>
                <w:sz w:val="20"/>
                <w:szCs w:val="20"/>
                <w:lang w:eastAsia="en-GB"/>
              </w:rPr>
              <w:t>Preferred option - move to industry standard 8:10</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0E0B77" w:rsidRDefault="006076EC" w:rsidP="000E0B77">
            <w:pPr>
              <w:spacing w:after="0" w:line="240" w:lineRule="auto"/>
              <w:jc w:val="center"/>
              <w:rPr>
                <w:rFonts w:eastAsia="Times New Roman" w:cs="Arial"/>
                <w:b/>
                <w:bCs/>
                <w:color w:val="E28C05"/>
                <w:sz w:val="20"/>
                <w:szCs w:val="20"/>
                <w:lang w:eastAsia="en-GB"/>
              </w:rPr>
            </w:pPr>
            <w:r w:rsidRPr="000E0B77">
              <w:rPr>
                <w:rFonts w:eastAsia="Times New Roman" w:cs="Arial"/>
                <w:b/>
                <w:bCs/>
                <w:color w:val="E28C05"/>
                <w:sz w:val="20"/>
                <w:szCs w:val="20"/>
                <w:lang w:eastAsia="en-GB"/>
              </w:rPr>
              <w:t>Year 1</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0E0B77" w:rsidRDefault="006076EC" w:rsidP="000E0B77">
            <w:pPr>
              <w:spacing w:after="0" w:line="240" w:lineRule="auto"/>
              <w:jc w:val="center"/>
              <w:rPr>
                <w:rFonts w:eastAsia="Times New Roman" w:cs="Arial"/>
                <w:b/>
                <w:bCs/>
                <w:color w:val="E28C05"/>
                <w:sz w:val="20"/>
                <w:szCs w:val="20"/>
                <w:lang w:eastAsia="en-GB"/>
              </w:rPr>
            </w:pPr>
            <w:r w:rsidRPr="000E0B77">
              <w:rPr>
                <w:rFonts w:eastAsia="Times New Roman" w:cs="Arial"/>
                <w:b/>
                <w:bCs/>
                <w:color w:val="E28C05"/>
                <w:sz w:val="20"/>
                <w:szCs w:val="20"/>
                <w:lang w:eastAsia="en-GB"/>
              </w:rPr>
              <w:t>Year 2</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0E0B77" w:rsidRDefault="006076EC" w:rsidP="000E0B77">
            <w:pPr>
              <w:spacing w:after="0" w:line="240" w:lineRule="auto"/>
              <w:jc w:val="center"/>
              <w:rPr>
                <w:rFonts w:eastAsia="Times New Roman" w:cs="Arial"/>
                <w:b/>
                <w:bCs/>
                <w:color w:val="E28C05"/>
                <w:sz w:val="20"/>
                <w:szCs w:val="20"/>
                <w:lang w:eastAsia="en-GB"/>
              </w:rPr>
            </w:pPr>
            <w:r w:rsidRPr="000E0B77">
              <w:rPr>
                <w:rFonts w:eastAsia="Times New Roman" w:cs="Arial"/>
                <w:b/>
                <w:bCs/>
                <w:color w:val="E28C05"/>
                <w:sz w:val="20"/>
                <w:szCs w:val="20"/>
                <w:lang w:eastAsia="en-GB"/>
              </w:rPr>
              <w:t>Year 3</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0E0B77" w:rsidRDefault="006076EC" w:rsidP="000E0B77">
            <w:pPr>
              <w:spacing w:after="0" w:line="240" w:lineRule="auto"/>
              <w:jc w:val="center"/>
              <w:rPr>
                <w:rFonts w:eastAsia="Times New Roman" w:cs="Arial"/>
                <w:b/>
                <w:bCs/>
                <w:color w:val="E28C05"/>
                <w:sz w:val="20"/>
                <w:szCs w:val="20"/>
                <w:lang w:eastAsia="en-GB"/>
              </w:rPr>
            </w:pPr>
            <w:r w:rsidRPr="000E0B77">
              <w:rPr>
                <w:rFonts w:eastAsia="Times New Roman" w:cs="Arial"/>
                <w:b/>
                <w:bCs/>
                <w:color w:val="E28C05"/>
                <w:sz w:val="20"/>
                <w:szCs w:val="20"/>
                <w:lang w:eastAsia="en-GB"/>
              </w:rPr>
              <w:t>Total</w:t>
            </w:r>
          </w:p>
        </w:tc>
      </w:tr>
      <w:tr w:rsidR="006076EC" w:rsidRPr="000E0B77" w:rsidTr="000E0B77">
        <w:trPr>
          <w:trHeight w:val="300"/>
          <w:jc w:val="center"/>
        </w:trPr>
        <w:tc>
          <w:tcPr>
            <w:tcW w:w="3240" w:type="dxa"/>
            <w:tcBorders>
              <w:top w:val="single" w:sz="4" w:space="0" w:color="auto"/>
              <w:left w:val="single" w:sz="4" w:space="0" w:color="auto"/>
              <w:bottom w:val="single" w:sz="4" w:space="0" w:color="auto"/>
              <w:right w:val="single" w:sz="4" w:space="0" w:color="auto"/>
            </w:tcBorders>
            <w:shd w:val="clear" w:color="000000" w:fill="56008C"/>
            <w:vAlign w:val="center"/>
            <w:hideMark/>
          </w:tcPr>
          <w:p w:rsidR="006076EC" w:rsidRPr="000E0B77" w:rsidRDefault="006076EC" w:rsidP="000E0B77">
            <w:pPr>
              <w:spacing w:after="0" w:line="240" w:lineRule="auto"/>
              <w:rPr>
                <w:rFonts w:eastAsia="Times New Roman" w:cs="Arial"/>
                <w:b/>
                <w:bCs/>
                <w:color w:val="E28C05"/>
                <w:sz w:val="20"/>
                <w:szCs w:val="20"/>
                <w:lang w:eastAsia="en-GB"/>
              </w:rPr>
            </w:pPr>
            <w:r w:rsidRPr="000E0B77">
              <w:rPr>
                <w:rFonts w:eastAsia="Times New Roman" w:cs="Arial"/>
                <w:b/>
                <w:bCs/>
                <w:color w:val="E28C05"/>
                <w:sz w:val="20"/>
                <w:szCs w:val="20"/>
                <w:lang w:eastAsia="en-GB"/>
              </w:rPr>
              <w:t> </w:t>
            </w:r>
          </w:p>
        </w:tc>
        <w:tc>
          <w:tcPr>
            <w:tcW w:w="960" w:type="dxa"/>
            <w:tcBorders>
              <w:top w:val="single" w:sz="4" w:space="0" w:color="auto"/>
              <w:left w:val="nil"/>
              <w:bottom w:val="single" w:sz="4" w:space="0" w:color="auto"/>
              <w:right w:val="single" w:sz="4" w:space="0" w:color="auto"/>
            </w:tcBorders>
            <w:shd w:val="clear" w:color="000000" w:fill="56008C"/>
            <w:vAlign w:val="center"/>
            <w:hideMark/>
          </w:tcPr>
          <w:p w:rsidR="006076EC" w:rsidRPr="000E0B77" w:rsidRDefault="006076EC" w:rsidP="000E0B77">
            <w:pPr>
              <w:spacing w:after="0" w:line="240" w:lineRule="auto"/>
              <w:jc w:val="center"/>
              <w:rPr>
                <w:rFonts w:eastAsia="Times New Roman" w:cs="Arial"/>
                <w:b/>
                <w:bCs/>
                <w:color w:val="E28C05"/>
                <w:sz w:val="20"/>
                <w:szCs w:val="20"/>
                <w:lang w:eastAsia="en-GB"/>
              </w:rPr>
            </w:pPr>
            <w:r w:rsidRPr="000E0B77">
              <w:rPr>
                <w:rFonts w:eastAsia="Times New Roman" w:cs="Arial"/>
                <w:b/>
                <w:bCs/>
                <w:color w:val="E28C05"/>
                <w:sz w:val="20"/>
                <w:szCs w:val="20"/>
                <w:lang w:eastAsia="en-GB"/>
              </w:rPr>
              <w:t>(£k)</w:t>
            </w:r>
          </w:p>
        </w:tc>
        <w:tc>
          <w:tcPr>
            <w:tcW w:w="960" w:type="dxa"/>
            <w:tcBorders>
              <w:top w:val="single" w:sz="4" w:space="0" w:color="auto"/>
              <w:left w:val="nil"/>
              <w:bottom w:val="single" w:sz="4" w:space="0" w:color="auto"/>
              <w:right w:val="single" w:sz="4" w:space="0" w:color="auto"/>
            </w:tcBorders>
            <w:shd w:val="clear" w:color="000000" w:fill="56008C"/>
            <w:vAlign w:val="center"/>
            <w:hideMark/>
          </w:tcPr>
          <w:p w:rsidR="006076EC" w:rsidRPr="000E0B77" w:rsidRDefault="006076EC" w:rsidP="000E0B77">
            <w:pPr>
              <w:spacing w:after="0" w:line="240" w:lineRule="auto"/>
              <w:jc w:val="center"/>
              <w:rPr>
                <w:rFonts w:eastAsia="Times New Roman" w:cs="Arial"/>
                <w:b/>
                <w:bCs/>
                <w:color w:val="E28C05"/>
                <w:sz w:val="20"/>
                <w:szCs w:val="20"/>
                <w:lang w:eastAsia="en-GB"/>
              </w:rPr>
            </w:pPr>
            <w:r w:rsidRPr="000E0B77">
              <w:rPr>
                <w:rFonts w:eastAsia="Times New Roman" w:cs="Arial"/>
                <w:b/>
                <w:bCs/>
                <w:color w:val="E28C05"/>
                <w:sz w:val="20"/>
                <w:szCs w:val="20"/>
                <w:lang w:eastAsia="en-GB"/>
              </w:rPr>
              <w:t>(£k)</w:t>
            </w:r>
          </w:p>
        </w:tc>
        <w:tc>
          <w:tcPr>
            <w:tcW w:w="960" w:type="dxa"/>
            <w:tcBorders>
              <w:top w:val="single" w:sz="4" w:space="0" w:color="auto"/>
              <w:left w:val="nil"/>
              <w:bottom w:val="single" w:sz="4" w:space="0" w:color="auto"/>
              <w:right w:val="single" w:sz="4" w:space="0" w:color="auto"/>
            </w:tcBorders>
            <w:shd w:val="clear" w:color="000000" w:fill="56008C"/>
            <w:vAlign w:val="center"/>
            <w:hideMark/>
          </w:tcPr>
          <w:p w:rsidR="006076EC" w:rsidRPr="000E0B77" w:rsidRDefault="006076EC" w:rsidP="000E0B77">
            <w:pPr>
              <w:spacing w:after="0" w:line="240" w:lineRule="auto"/>
              <w:jc w:val="center"/>
              <w:rPr>
                <w:rFonts w:eastAsia="Times New Roman" w:cs="Arial"/>
                <w:b/>
                <w:bCs/>
                <w:color w:val="E28C05"/>
                <w:sz w:val="20"/>
                <w:szCs w:val="20"/>
                <w:lang w:eastAsia="en-GB"/>
              </w:rPr>
            </w:pPr>
            <w:r w:rsidRPr="000E0B77">
              <w:rPr>
                <w:rFonts w:eastAsia="Times New Roman" w:cs="Arial"/>
                <w:b/>
                <w:bCs/>
                <w:color w:val="E28C05"/>
                <w:sz w:val="20"/>
                <w:szCs w:val="20"/>
                <w:lang w:eastAsia="en-GB"/>
              </w:rPr>
              <w:t>(£k)</w:t>
            </w:r>
          </w:p>
        </w:tc>
        <w:tc>
          <w:tcPr>
            <w:tcW w:w="960" w:type="dxa"/>
            <w:tcBorders>
              <w:top w:val="single" w:sz="4" w:space="0" w:color="auto"/>
              <w:left w:val="nil"/>
              <w:bottom w:val="single" w:sz="4" w:space="0" w:color="auto"/>
              <w:right w:val="single" w:sz="4" w:space="0" w:color="auto"/>
            </w:tcBorders>
            <w:shd w:val="clear" w:color="000000" w:fill="56008C"/>
            <w:vAlign w:val="center"/>
            <w:hideMark/>
          </w:tcPr>
          <w:p w:rsidR="006076EC" w:rsidRPr="000E0B77" w:rsidRDefault="006076EC" w:rsidP="000E0B77">
            <w:pPr>
              <w:spacing w:after="0" w:line="240" w:lineRule="auto"/>
              <w:jc w:val="center"/>
              <w:rPr>
                <w:rFonts w:eastAsia="Times New Roman" w:cs="Arial"/>
                <w:b/>
                <w:bCs/>
                <w:color w:val="E28C05"/>
                <w:sz w:val="20"/>
                <w:szCs w:val="20"/>
                <w:lang w:eastAsia="en-GB"/>
              </w:rPr>
            </w:pPr>
            <w:r w:rsidRPr="000E0B77">
              <w:rPr>
                <w:rFonts w:eastAsia="Times New Roman" w:cs="Arial"/>
                <w:b/>
                <w:bCs/>
                <w:color w:val="E28C05"/>
                <w:sz w:val="20"/>
                <w:szCs w:val="20"/>
                <w:lang w:eastAsia="en-GB"/>
              </w:rPr>
              <w:t>(£k)</w:t>
            </w:r>
          </w:p>
        </w:tc>
      </w:tr>
      <w:tr w:rsidR="006076EC" w:rsidRPr="000E0B77" w:rsidTr="000E0B77">
        <w:trPr>
          <w:trHeight w:val="300"/>
          <w:jc w:val="center"/>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rPr>
                <w:rFonts w:eastAsia="Times New Roman" w:cs="Arial"/>
                <w:color w:val="000000"/>
                <w:sz w:val="20"/>
                <w:szCs w:val="20"/>
                <w:lang w:eastAsia="en-GB"/>
              </w:rPr>
            </w:pPr>
            <w:r w:rsidRPr="000E0B77">
              <w:rPr>
                <w:rFonts w:eastAsia="Times New Roman" w:cs="Arial"/>
                <w:color w:val="000000"/>
                <w:sz w:val="20"/>
                <w:szCs w:val="20"/>
                <w:lang w:eastAsia="en-GB"/>
              </w:rPr>
              <w:t xml:space="preserve">Property costs </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color w:val="000000"/>
                <w:sz w:val="20"/>
                <w:szCs w:val="20"/>
                <w:lang w:eastAsia="en-GB"/>
              </w:rPr>
            </w:pPr>
            <w:r w:rsidRPr="000E0B77">
              <w:rPr>
                <w:rFonts w:eastAsia="Times New Roman" w:cs="Arial"/>
                <w:color w:val="000000"/>
                <w:sz w:val="20"/>
                <w:szCs w:val="20"/>
                <w:lang w:eastAsia="en-GB"/>
              </w:rPr>
              <w:t>986</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color w:val="000000"/>
                <w:sz w:val="20"/>
                <w:szCs w:val="20"/>
                <w:lang w:eastAsia="en-GB"/>
              </w:rPr>
            </w:pPr>
            <w:r w:rsidRPr="000E0B77">
              <w:rPr>
                <w:rFonts w:eastAsia="Times New Roman" w:cs="Arial"/>
                <w:color w:val="000000"/>
                <w:sz w:val="20"/>
                <w:szCs w:val="20"/>
                <w:lang w:eastAsia="en-GB"/>
              </w:rPr>
              <w:t>986</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color w:val="000000"/>
                <w:sz w:val="20"/>
                <w:szCs w:val="20"/>
                <w:lang w:eastAsia="en-GB"/>
              </w:rPr>
            </w:pPr>
            <w:r w:rsidRPr="000E0B77">
              <w:rPr>
                <w:rFonts w:eastAsia="Times New Roman" w:cs="Arial"/>
                <w:color w:val="000000"/>
                <w:sz w:val="20"/>
                <w:szCs w:val="20"/>
                <w:lang w:eastAsia="en-GB"/>
              </w:rPr>
              <w:t>986</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color w:val="000000"/>
                <w:sz w:val="20"/>
                <w:szCs w:val="20"/>
                <w:lang w:eastAsia="en-GB"/>
              </w:rPr>
            </w:pPr>
            <w:r w:rsidRPr="000E0B77">
              <w:rPr>
                <w:rFonts w:eastAsia="Times New Roman" w:cs="Arial"/>
                <w:color w:val="000000"/>
                <w:sz w:val="20"/>
                <w:szCs w:val="20"/>
                <w:lang w:eastAsia="en-GB"/>
              </w:rPr>
              <w:t>2,958</w:t>
            </w:r>
          </w:p>
        </w:tc>
      </w:tr>
      <w:tr w:rsidR="006076EC" w:rsidRPr="000E0B77" w:rsidTr="000E0B77">
        <w:trPr>
          <w:trHeight w:val="300"/>
          <w:jc w:val="center"/>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rPr>
                <w:rFonts w:eastAsia="Times New Roman" w:cs="Arial"/>
                <w:color w:val="000000"/>
                <w:sz w:val="20"/>
                <w:szCs w:val="20"/>
                <w:lang w:eastAsia="en-GB"/>
              </w:rPr>
            </w:pPr>
            <w:r w:rsidRPr="000E0B77">
              <w:rPr>
                <w:rFonts w:eastAsia="Times New Roman" w:cs="Arial"/>
                <w:color w:val="000000"/>
                <w:sz w:val="20"/>
                <w:szCs w:val="20"/>
                <w:lang w:eastAsia="en-GB"/>
              </w:rPr>
              <w:t>Travel and accommodation costs*</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color w:val="000000"/>
                <w:sz w:val="20"/>
                <w:szCs w:val="20"/>
                <w:lang w:eastAsia="en-GB"/>
              </w:rPr>
            </w:pPr>
            <w:r w:rsidRPr="000E0B77">
              <w:rPr>
                <w:rFonts w:eastAsia="Times New Roman" w:cs="Arial"/>
                <w:color w:val="000000"/>
                <w:sz w:val="20"/>
                <w:szCs w:val="20"/>
                <w:lang w:eastAsia="en-GB"/>
              </w:rPr>
              <w:t>49</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color w:val="000000"/>
                <w:sz w:val="20"/>
                <w:szCs w:val="20"/>
                <w:lang w:eastAsia="en-GB"/>
              </w:rPr>
            </w:pPr>
            <w:r w:rsidRPr="000E0B77">
              <w:rPr>
                <w:rFonts w:eastAsia="Times New Roman" w:cs="Arial"/>
                <w:color w:val="000000"/>
                <w:sz w:val="20"/>
                <w:szCs w:val="20"/>
                <w:lang w:eastAsia="en-GB"/>
              </w:rPr>
              <w:t>49</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color w:val="000000"/>
                <w:sz w:val="20"/>
                <w:szCs w:val="20"/>
                <w:lang w:eastAsia="en-GB"/>
              </w:rPr>
            </w:pPr>
            <w:r w:rsidRPr="000E0B77">
              <w:rPr>
                <w:rFonts w:eastAsia="Times New Roman" w:cs="Arial"/>
                <w:color w:val="000000"/>
                <w:sz w:val="20"/>
                <w:szCs w:val="20"/>
                <w:lang w:eastAsia="en-GB"/>
              </w:rPr>
              <w:t>49</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color w:val="000000"/>
                <w:sz w:val="20"/>
                <w:szCs w:val="20"/>
                <w:lang w:eastAsia="en-GB"/>
              </w:rPr>
            </w:pPr>
            <w:r w:rsidRPr="000E0B77">
              <w:rPr>
                <w:rFonts w:eastAsia="Times New Roman" w:cs="Arial"/>
                <w:color w:val="000000"/>
                <w:sz w:val="20"/>
                <w:szCs w:val="20"/>
                <w:lang w:eastAsia="en-GB"/>
              </w:rPr>
              <w:t>147</w:t>
            </w:r>
          </w:p>
        </w:tc>
      </w:tr>
      <w:tr w:rsidR="006076EC" w:rsidRPr="000E0B77" w:rsidTr="000E0B77">
        <w:trPr>
          <w:trHeight w:val="300"/>
          <w:jc w:val="center"/>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rPr>
                <w:rFonts w:eastAsia="Times New Roman" w:cs="Arial"/>
                <w:b/>
                <w:bCs/>
                <w:color w:val="000000"/>
                <w:sz w:val="20"/>
                <w:szCs w:val="20"/>
                <w:lang w:eastAsia="en-GB"/>
              </w:rPr>
            </w:pPr>
            <w:r w:rsidRPr="000E0B77">
              <w:rPr>
                <w:rFonts w:eastAsia="Times New Roman" w:cs="Arial"/>
                <w:b/>
                <w:bCs/>
                <w:color w:val="000000"/>
                <w:sz w:val="20"/>
                <w:szCs w:val="20"/>
                <w:lang w:eastAsia="en-GB"/>
              </w:rPr>
              <w:t xml:space="preserve">Total </w:t>
            </w:r>
            <w:r w:rsidR="00961A97" w:rsidRPr="000E0B77">
              <w:rPr>
                <w:rFonts w:eastAsia="Times New Roman" w:cs="Arial"/>
                <w:b/>
                <w:bCs/>
                <w:color w:val="000000"/>
                <w:sz w:val="20"/>
                <w:szCs w:val="20"/>
                <w:lang w:eastAsia="en-GB"/>
              </w:rPr>
              <w:t>current costs</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b/>
                <w:bCs/>
                <w:color w:val="000000"/>
                <w:sz w:val="20"/>
                <w:szCs w:val="20"/>
                <w:lang w:eastAsia="en-GB"/>
              </w:rPr>
            </w:pPr>
            <w:r w:rsidRPr="000E0B77">
              <w:rPr>
                <w:rFonts w:eastAsia="Times New Roman" w:cs="Arial"/>
                <w:b/>
                <w:bCs/>
                <w:color w:val="000000"/>
                <w:sz w:val="20"/>
                <w:szCs w:val="20"/>
                <w:lang w:eastAsia="en-GB"/>
              </w:rPr>
              <w:t>1,035</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b/>
                <w:bCs/>
                <w:color w:val="000000"/>
                <w:sz w:val="20"/>
                <w:szCs w:val="20"/>
                <w:lang w:eastAsia="en-GB"/>
              </w:rPr>
            </w:pPr>
            <w:r w:rsidRPr="000E0B77">
              <w:rPr>
                <w:rFonts w:eastAsia="Times New Roman" w:cs="Arial"/>
                <w:b/>
                <w:bCs/>
                <w:color w:val="000000"/>
                <w:sz w:val="20"/>
                <w:szCs w:val="20"/>
                <w:lang w:eastAsia="en-GB"/>
              </w:rPr>
              <w:t>1,035</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b/>
                <w:bCs/>
                <w:color w:val="000000"/>
                <w:sz w:val="20"/>
                <w:szCs w:val="20"/>
                <w:lang w:eastAsia="en-GB"/>
              </w:rPr>
            </w:pPr>
            <w:r w:rsidRPr="000E0B77">
              <w:rPr>
                <w:rFonts w:eastAsia="Times New Roman" w:cs="Arial"/>
                <w:b/>
                <w:bCs/>
                <w:color w:val="000000"/>
                <w:sz w:val="20"/>
                <w:szCs w:val="20"/>
                <w:lang w:eastAsia="en-GB"/>
              </w:rPr>
              <w:t>1,035</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b/>
                <w:bCs/>
                <w:color w:val="000000"/>
                <w:sz w:val="20"/>
                <w:szCs w:val="20"/>
                <w:lang w:eastAsia="en-GB"/>
              </w:rPr>
            </w:pPr>
            <w:r w:rsidRPr="000E0B77">
              <w:rPr>
                <w:rFonts w:eastAsia="Times New Roman" w:cs="Arial"/>
                <w:b/>
                <w:bCs/>
                <w:color w:val="000000"/>
                <w:sz w:val="20"/>
                <w:szCs w:val="20"/>
                <w:lang w:eastAsia="en-GB"/>
              </w:rPr>
              <w:t>3,105</w:t>
            </w:r>
          </w:p>
        </w:tc>
      </w:tr>
      <w:tr w:rsidR="006076EC" w:rsidRPr="000E0B77" w:rsidTr="000E0B77">
        <w:trPr>
          <w:trHeight w:val="300"/>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6076EC" w:rsidRPr="000E0B77" w:rsidRDefault="006076EC" w:rsidP="000E0B77">
            <w:pPr>
              <w:spacing w:after="0" w:line="240" w:lineRule="auto"/>
              <w:rPr>
                <w:rFonts w:eastAsia="Times New Roman" w:cs="Arial"/>
                <w:b/>
                <w:bCs/>
                <w:sz w:val="20"/>
                <w:szCs w:val="20"/>
                <w:lang w:eastAsia="en-GB"/>
              </w:rPr>
            </w:pPr>
            <w:r w:rsidRPr="000E0B77">
              <w:rPr>
                <w:rFonts w:eastAsia="Times New Roman" w:cs="Arial"/>
                <w:b/>
                <w:bCs/>
                <w:sz w:val="20"/>
                <w:szCs w:val="20"/>
                <w:lang w:eastAsia="en-GB"/>
              </w:rPr>
              <w:t>Preferred option costs</w:t>
            </w:r>
          </w:p>
        </w:tc>
        <w:tc>
          <w:tcPr>
            <w:tcW w:w="960" w:type="dxa"/>
            <w:tcBorders>
              <w:top w:val="nil"/>
              <w:left w:val="nil"/>
              <w:bottom w:val="single" w:sz="4" w:space="0" w:color="auto"/>
              <w:right w:val="single" w:sz="4" w:space="0" w:color="auto"/>
            </w:tcBorders>
            <w:shd w:val="clear" w:color="auto" w:fill="auto"/>
            <w:vAlign w:val="center"/>
            <w:hideMark/>
          </w:tcPr>
          <w:p w:rsidR="006076EC" w:rsidRPr="000E0B77" w:rsidRDefault="006076EC" w:rsidP="000E0B77">
            <w:pPr>
              <w:spacing w:after="0" w:line="240" w:lineRule="auto"/>
              <w:jc w:val="center"/>
              <w:rPr>
                <w:rFonts w:eastAsia="Times New Roman" w:cs="Arial"/>
                <w:b/>
                <w:bCs/>
                <w:sz w:val="20"/>
                <w:szCs w:val="20"/>
                <w:lang w:eastAsia="en-GB"/>
              </w:rPr>
            </w:pPr>
          </w:p>
        </w:tc>
        <w:tc>
          <w:tcPr>
            <w:tcW w:w="960" w:type="dxa"/>
            <w:tcBorders>
              <w:top w:val="nil"/>
              <w:left w:val="nil"/>
              <w:bottom w:val="single" w:sz="4" w:space="0" w:color="auto"/>
              <w:right w:val="single" w:sz="4" w:space="0" w:color="auto"/>
            </w:tcBorders>
            <w:shd w:val="clear" w:color="auto" w:fill="auto"/>
            <w:vAlign w:val="center"/>
            <w:hideMark/>
          </w:tcPr>
          <w:p w:rsidR="006076EC" w:rsidRPr="000E0B77" w:rsidRDefault="006076EC" w:rsidP="000E0B77">
            <w:pPr>
              <w:spacing w:after="0" w:line="240" w:lineRule="auto"/>
              <w:jc w:val="center"/>
              <w:rPr>
                <w:rFonts w:eastAsia="Times New Roman" w:cs="Arial"/>
                <w:b/>
                <w:bCs/>
                <w:sz w:val="20"/>
                <w:szCs w:val="20"/>
                <w:lang w:eastAsia="en-GB"/>
              </w:rPr>
            </w:pPr>
          </w:p>
        </w:tc>
        <w:tc>
          <w:tcPr>
            <w:tcW w:w="960" w:type="dxa"/>
            <w:tcBorders>
              <w:top w:val="nil"/>
              <w:left w:val="nil"/>
              <w:bottom w:val="single" w:sz="4" w:space="0" w:color="auto"/>
              <w:right w:val="single" w:sz="4" w:space="0" w:color="auto"/>
            </w:tcBorders>
            <w:shd w:val="clear" w:color="auto" w:fill="auto"/>
            <w:vAlign w:val="center"/>
            <w:hideMark/>
          </w:tcPr>
          <w:p w:rsidR="006076EC" w:rsidRPr="000E0B77" w:rsidRDefault="006076EC" w:rsidP="000E0B77">
            <w:pPr>
              <w:spacing w:after="0" w:line="240" w:lineRule="auto"/>
              <w:jc w:val="center"/>
              <w:rPr>
                <w:rFonts w:eastAsia="Times New Roman" w:cs="Arial"/>
                <w:b/>
                <w:bCs/>
                <w:sz w:val="20"/>
                <w:szCs w:val="20"/>
                <w:lang w:eastAsia="en-GB"/>
              </w:rPr>
            </w:pPr>
          </w:p>
        </w:tc>
        <w:tc>
          <w:tcPr>
            <w:tcW w:w="960" w:type="dxa"/>
            <w:tcBorders>
              <w:top w:val="nil"/>
              <w:left w:val="nil"/>
              <w:bottom w:val="single" w:sz="4" w:space="0" w:color="auto"/>
              <w:right w:val="single" w:sz="4" w:space="0" w:color="auto"/>
            </w:tcBorders>
            <w:shd w:val="clear" w:color="auto" w:fill="auto"/>
            <w:vAlign w:val="center"/>
            <w:hideMark/>
          </w:tcPr>
          <w:p w:rsidR="006076EC" w:rsidRPr="000E0B77" w:rsidRDefault="006076EC" w:rsidP="000E0B77">
            <w:pPr>
              <w:spacing w:after="0" w:line="240" w:lineRule="auto"/>
              <w:jc w:val="center"/>
              <w:rPr>
                <w:rFonts w:eastAsia="Times New Roman" w:cs="Arial"/>
                <w:b/>
                <w:bCs/>
                <w:sz w:val="20"/>
                <w:szCs w:val="20"/>
                <w:lang w:eastAsia="en-GB"/>
              </w:rPr>
            </w:pPr>
          </w:p>
        </w:tc>
      </w:tr>
      <w:tr w:rsidR="006076EC" w:rsidRPr="000E0B77" w:rsidTr="000E0B77">
        <w:trPr>
          <w:trHeight w:val="300"/>
          <w:jc w:val="center"/>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rPr>
                <w:rFonts w:eastAsia="Times New Roman" w:cs="Arial"/>
                <w:color w:val="000000"/>
                <w:sz w:val="20"/>
                <w:szCs w:val="20"/>
                <w:lang w:eastAsia="en-GB"/>
              </w:rPr>
            </w:pPr>
            <w:r w:rsidRPr="000E0B77">
              <w:rPr>
                <w:rFonts w:eastAsia="Times New Roman" w:cs="Arial"/>
                <w:color w:val="000000"/>
                <w:sz w:val="20"/>
                <w:szCs w:val="20"/>
                <w:lang w:eastAsia="en-GB"/>
              </w:rPr>
              <w:t xml:space="preserve">Property costs </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color w:val="000000"/>
                <w:sz w:val="20"/>
                <w:szCs w:val="20"/>
                <w:lang w:eastAsia="en-GB"/>
              </w:rPr>
            </w:pPr>
            <w:r w:rsidRPr="000E0B77">
              <w:rPr>
                <w:rFonts w:eastAsia="Times New Roman" w:cs="Arial"/>
                <w:color w:val="000000"/>
                <w:sz w:val="20"/>
                <w:szCs w:val="20"/>
                <w:lang w:eastAsia="en-GB"/>
              </w:rPr>
              <w:t>986</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color w:val="000000"/>
                <w:sz w:val="20"/>
                <w:szCs w:val="20"/>
                <w:lang w:eastAsia="en-GB"/>
              </w:rPr>
            </w:pPr>
            <w:r w:rsidRPr="000E0B77">
              <w:rPr>
                <w:rFonts w:eastAsia="Times New Roman" w:cs="Arial"/>
                <w:color w:val="000000"/>
                <w:sz w:val="20"/>
                <w:szCs w:val="20"/>
                <w:lang w:eastAsia="en-GB"/>
              </w:rPr>
              <w:t>659</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color w:val="000000"/>
                <w:sz w:val="20"/>
                <w:szCs w:val="20"/>
                <w:lang w:eastAsia="en-GB"/>
              </w:rPr>
            </w:pPr>
            <w:r w:rsidRPr="000E0B77">
              <w:rPr>
                <w:rFonts w:eastAsia="Times New Roman" w:cs="Arial"/>
                <w:color w:val="000000"/>
                <w:sz w:val="20"/>
                <w:szCs w:val="20"/>
                <w:lang w:eastAsia="en-GB"/>
              </w:rPr>
              <w:t>660</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color w:val="000000"/>
                <w:sz w:val="20"/>
                <w:szCs w:val="20"/>
                <w:lang w:eastAsia="en-GB"/>
              </w:rPr>
            </w:pPr>
            <w:r w:rsidRPr="000E0B77">
              <w:rPr>
                <w:rFonts w:eastAsia="Times New Roman" w:cs="Arial"/>
                <w:color w:val="000000"/>
                <w:sz w:val="20"/>
                <w:szCs w:val="20"/>
                <w:lang w:eastAsia="en-GB"/>
              </w:rPr>
              <w:t>2305</w:t>
            </w:r>
          </w:p>
        </w:tc>
      </w:tr>
      <w:tr w:rsidR="006076EC" w:rsidRPr="000E0B77" w:rsidTr="000E0B77">
        <w:trPr>
          <w:trHeight w:val="300"/>
          <w:jc w:val="center"/>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rPr>
                <w:rFonts w:eastAsia="Times New Roman" w:cs="Arial"/>
                <w:color w:val="000000"/>
                <w:sz w:val="20"/>
                <w:szCs w:val="20"/>
                <w:lang w:eastAsia="en-GB"/>
              </w:rPr>
            </w:pPr>
            <w:r w:rsidRPr="000E0B77">
              <w:rPr>
                <w:rFonts w:eastAsia="Times New Roman" w:cs="Arial"/>
                <w:color w:val="000000"/>
                <w:sz w:val="20"/>
                <w:szCs w:val="20"/>
                <w:lang w:eastAsia="en-GB"/>
              </w:rPr>
              <w:t>Travel and accommodation costs*</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color w:val="000000"/>
                <w:sz w:val="20"/>
                <w:szCs w:val="20"/>
                <w:lang w:eastAsia="en-GB"/>
              </w:rPr>
            </w:pPr>
            <w:r w:rsidRPr="000E0B77">
              <w:rPr>
                <w:rFonts w:eastAsia="Times New Roman" w:cs="Arial"/>
                <w:color w:val="000000"/>
                <w:sz w:val="20"/>
                <w:szCs w:val="20"/>
                <w:lang w:eastAsia="en-GB"/>
              </w:rPr>
              <w:t>49</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color w:val="000000"/>
                <w:sz w:val="20"/>
                <w:szCs w:val="20"/>
                <w:lang w:eastAsia="en-GB"/>
              </w:rPr>
            </w:pPr>
            <w:r w:rsidRPr="000E0B77">
              <w:rPr>
                <w:rFonts w:eastAsia="Times New Roman" w:cs="Arial"/>
                <w:color w:val="000000"/>
                <w:sz w:val="20"/>
                <w:szCs w:val="20"/>
                <w:lang w:eastAsia="en-GB"/>
              </w:rPr>
              <w:t>33</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color w:val="000000"/>
                <w:sz w:val="20"/>
                <w:szCs w:val="20"/>
                <w:lang w:eastAsia="en-GB"/>
              </w:rPr>
            </w:pPr>
            <w:r w:rsidRPr="000E0B77">
              <w:rPr>
                <w:rFonts w:eastAsia="Times New Roman" w:cs="Arial"/>
                <w:color w:val="000000"/>
                <w:sz w:val="20"/>
                <w:szCs w:val="20"/>
                <w:lang w:eastAsia="en-GB"/>
              </w:rPr>
              <w:t>33</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color w:val="000000"/>
                <w:sz w:val="20"/>
                <w:szCs w:val="20"/>
                <w:lang w:eastAsia="en-GB"/>
              </w:rPr>
            </w:pPr>
            <w:r w:rsidRPr="000E0B77">
              <w:rPr>
                <w:rFonts w:eastAsia="Times New Roman" w:cs="Arial"/>
                <w:color w:val="000000"/>
                <w:sz w:val="20"/>
                <w:szCs w:val="20"/>
                <w:lang w:eastAsia="en-GB"/>
              </w:rPr>
              <w:t>115</w:t>
            </w:r>
          </w:p>
        </w:tc>
      </w:tr>
      <w:tr w:rsidR="006076EC" w:rsidRPr="000E0B77" w:rsidTr="000E0B77">
        <w:trPr>
          <w:trHeight w:val="300"/>
          <w:jc w:val="center"/>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rPr>
                <w:rFonts w:eastAsia="Times New Roman" w:cs="Arial"/>
                <w:b/>
                <w:bCs/>
                <w:color w:val="000000"/>
                <w:sz w:val="20"/>
                <w:szCs w:val="20"/>
                <w:lang w:eastAsia="en-GB"/>
              </w:rPr>
            </w:pPr>
            <w:r w:rsidRPr="000E0B77">
              <w:rPr>
                <w:rFonts w:eastAsia="Times New Roman" w:cs="Arial"/>
                <w:b/>
                <w:bCs/>
                <w:color w:val="000000"/>
                <w:sz w:val="20"/>
                <w:szCs w:val="20"/>
                <w:lang w:eastAsia="en-GB"/>
              </w:rPr>
              <w:t xml:space="preserve">Total </w:t>
            </w:r>
            <w:r w:rsidR="00961A97" w:rsidRPr="000E0B77">
              <w:rPr>
                <w:rFonts w:eastAsia="Times New Roman" w:cs="Arial"/>
                <w:b/>
                <w:bCs/>
                <w:color w:val="000000"/>
                <w:sz w:val="20"/>
                <w:szCs w:val="20"/>
                <w:lang w:eastAsia="en-GB"/>
              </w:rPr>
              <w:t>costs preferred option</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b/>
                <w:bCs/>
                <w:color w:val="000000"/>
                <w:sz w:val="20"/>
                <w:szCs w:val="20"/>
                <w:lang w:eastAsia="en-GB"/>
              </w:rPr>
            </w:pPr>
            <w:r w:rsidRPr="000E0B77">
              <w:rPr>
                <w:rFonts w:eastAsia="Times New Roman" w:cs="Arial"/>
                <w:b/>
                <w:bCs/>
                <w:color w:val="000000"/>
                <w:sz w:val="20"/>
                <w:szCs w:val="20"/>
                <w:lang w:eastAsia="en-GB"/>
              </w:rPr>
              <w:t>1,035</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b/>
                <w:bCs/>
                <w:color w:val="000000"/>
                <w:sz w:val="20"/>
                <w:szCs w:val="20"/>
                <w:lang w:eastAsia="en-GB"/>
              </w:rPr>
            </w:pPr>
            <w:r w:rsidRPr="000E0B77">
              <w:rPr>
                <w:rFonts w:eastAsia="Times New Roman" w:cs="Arial"/>
                <w:b/>
                <w:bCs/>
                <w:color w:val="000000"/>
                <w:sz w:val="20"/>
                <w:szCs w:val="20"/>
                <w:lang w:eastAsia="en-GB"/>
              </w:rPr>
              <w:t>692</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b/>
                <w:bCs/>
                <w:color w:val="000000"/>
                <w:sz w:val="20"/>
                <w:szCs w:val="20"/>
                <w:lang w:eastAsia="en-GB"/>
              </w:rPr>
            </w:pPr>
            <w:r w:rsidRPr="000E0B77">
              <w:rPr>
                <w:rFonts w:eastAsia="Times New Roman" w:cs="Arial"/>
                <w:b/>
                <w:bCs/>
                <w:color w:val="000000"/>
                <w:sz w:val="20"/>
                <w:szCs w:val="20"/>
                <w:lang w:eastAsia="en-GB"/>
              </w:rPr>
              <w:t>693</w:t>
            </w:r>
          </w:p>
        </w:tc>
        <w:tc>
          <w:tcPr>
            <w:tcW w:w="960" w:type="dxa"/>
            <w:tcBorders>
              <w:top w:val="nil"/>
              <w:left w:val="nil"/>
              <w:bottom w:val="single" w:sz="4" w:space="0" w:color="auto"/>
              <w:right w:val="single" w:sz="4" w:space="0" w:color="auto"/>
            </w:tcBorders>
            <w:shd w:val="clear" w:color="auto" w:fill="auto"/>
            <w:noWrap/>
            <w:vAlign w:val="center"/>
            <w:hideMark/>
          </w:tcPr>
          <w:p w:rsidR="006076EC" w:rsidRPr="000E0B77" w:rsidRDefault="006076EC" w:rsidP="000E0B77">
            <w:pPr>
              <w:spacing w:after="0" w:line="240" w:lineRule="auto"/>
              <w:jc w:val="center"/>
              <w:rPr>
                <w:rFonts w:eastAsia="Times New Roman" w:cs="Arial"/>
                <w:b/>
                <w:bCs/>
                <w:color w:val="000000"/>
                <w:sz w:val="20"/>
                <w:szCs w:val="20"/>
                <w:lang w:eastAsia="en-GB"/>
              </w:rPr>
            </w:pPr>
            <w:r w:rsidRPr="000E0B77">
              <w:rPr>
                <w:rFonts w:eastAsia="Times New Roman" w:cs="Arial"/>
                <w:b/>
                <w:bCs/>
                <w:color w:val="000000"/>
                <w:sz w:val="20"/>
                <w:szCs w:val="20"/>
                <w:lang w:eastAsia="en-GB"/>
              </w:rPr>
              <w:t>2,420</w:t>
            </w:r>
          </w:p>
        </w:tc>
      </w:tr>
      <w:tr w:rsidR="006076EC" w:rsidRPr="000E0B77" w:rsidTr="000E0B77">
        <w:trPr>
          <w:trHeight w:val="300"/>
          <w:jc w:val="center"/>
        </w:trPr>
        <w:tc>
          <w:tcPr>
            <w:tcW w:w="3240" w:type="dxa"/>
            <w:tcBorders>
              <w:top w:val="nil"/>
              <w:left w:val="single" w:sz="4" w:space="0" w:color="auto"/>
              <w:bottom w:val="single" w:sz="4" w:space="0" w:color="auto"/>
              <w:right w:val="single" w:sz="4" w:space="0" w:color="auto"/>
            </w:tcBorders>
            <w:shd w:val="clear" w:color="000000" w:fill="56008C"/>
            <w:vAlign w:val="center"/>
            <w:hideMark/>
          </w:tcPr>
          <w:p w:rsidR="006076EC" w:rsidRPr="000E0B77" w:rsidRDefault="006076EC" w:rsidP="000E0B77">
            <w:pPr>
              <w:spacing w:after="0" w:line="240" w:lineRule="auto"/>
              <w:rPr>
                <w:rFonts w:eastAsia="Times New Roman" w:cs="Arial"/>
                <w:b/>
                <w:bCs/>
                <w:color w:val="E28C05"/>
                <w:sz w:val="20"/>
                <w:szCs w:val="20"/>
                <w:lang w:eastAsia="en-GB"/>
              </w:rPr>
            </w:pPr>
            <w:r w:rsidRPr="000E0B77">
              <w:rPr>
                <w:rFonts w:eastAsia="Times New Roman" w:cs="Arial"/>
                <w:b/>
                <w:bCs/>
                <w:color w:val="E28C05"/>
                <w:sz w:val="20"/>
                <w:szCs w:val="20"/>
                <w:lang w:eastAsia="en-GB"/>
              </w:rPr>
              <w:t xml:space="preserve">Savings (£) </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0E0B77" w:rsidRDefault="006076EC" w:rsidP="000E0B77">
            <w:pPr>
              <w:spacing w:after="0" w:line="240" w:lineRule="auto"/>
              <w:jc w:val="center"/>
              <w:rPr>
                <w:rFonts w:eastAsia="Times New Roman" w:cs="Arial"/>
                <w:b/>
                <w:bCs/>
                <w:color w:val="E28C05"/>
                <w:sz w:val="20"/>
                <w:szCs w:val="20"/>
                <w:lang w:eastAsia="en-GB"/>
              </w:rPr>
            </w:pPr>
            <w:r w:rsidRPr="000E0B77">
              <w:rPr>
                <w:rFonts w:eastAsia="Times New Roman" w:cs="Arial"/>
                <w:b/>
                <w:bCs/>
                <w:color w:val="E28C05"/>
                <w:sz w:val="20"/>
                <w:szCs w:val="20"/>
                <w:lang w:eastAsia="en-GB"/>
              </w:rPr>
              <w:t>0</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0E0B77" w:rsidRDefault="006076EC" w:rsidP="000E0B77">
            <w:pPr>
              <w:spacing w:after="0" w:line="240" w:lineRule="auto"/>
              <w:jc w:val="center"/>
              <w:rPr>
                <w:rFonts w:eastAsia="Times New Roman" w:cs="Arial"/>
                <w:b/>
                <w:bCs/>
                <w:color w:val="E28C05"/>
                <w:sz w:val="20"/>
                <w:szCs w:val="20"/>
                <w:lang w:eastAsia="en-GB"/>
              </w:rPr>
            </w:pPr>
            <w:r w:rsidRPr="000E0B77">
              <w:rPr>
                <w:rFonts w:eastAsia="Times New Roman" w:cs="Arial"/>
                <w:b/>
                <w:bCs/>
                <w:color w:val="E28C05"/>
                <w:sz w:val="20"/>
                <w:szCs w:val="20"/>
                <w:lang w:eastAsia="en-GB"/>
              </w:rPr>
              <w:t>-343</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0E0B77" w:rsidRDefault="006076EC" w:rsidP="000E0B77">
            <w:pPr>
              <w:spacing w:after="0" w:line="240" w:lineRule="auto"/>
              <w:jc w:val="center"/>
              <w:rPr>
                <w:rFonts w:eastAsia="Times New Roman" w:cs="Arial"/>
                <w:b/>
                <w:bCs/>
                <w:color w:val="E28C05"/>
                <w:sz w:val="20"/>
                <w:szCs w:val="20"/>
                <w:lang w:eastAsia="en-GB"/>
              </w:rPr>
            </w:pPr>
            <w:r w:rsidRPr="000E0B77">
              <w:rPr>
                <w:rFonts w:eastAsia="Times New Roman" w:cs="Arial"/>
                <w:b/>
                <w:bCs/>
                <w:color w:val="E28C05"/>
                <w:sz w:val="20"/>
                <w:szCs w:val="20"/>
                <w:lang w:eastAsia="en-GB"/>
              </w:rPr>
              <w:t>-342</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0E0B77" w:rsidRDefault="006076EC" w:rsidP="000E0B77">
            <w:pPr>
              <w:spacing w:after="0" w:line="240" w:lineRule="auto"/>
              <w:jc w:val="center"/>
              <w:rPr>
                <w:rFonts w:eastAsia="Times New Roman" w:cs="Arial"/>
                <w:b/>
                <w:bCs/>
                <w:color w:val="E28C05"/>
                <w:sz w:val="20"/>
                <w:szCs w:val="20"/>
                <w:lang w:eastAsia="en-GB"/>
              </w:rPr>
            </w:pPr>
          </w:p>
        </w:tc>
      </w:tr>
      <w:tr w:rsidR="006076EC" w:rsidRPr="000E0B77" w:rsidTr="000E0B77">
        <w:trPr>
          <w:trHeight w:val="300"/>
          <w:jc w:val="center"/>
        </w:trPr>
        <w:tc>
          <w:tcPr>
            <w:tcW w:w="3240" w:type="dxa"/>
            <w:tcBorders>
              <w:top w:val="nil"/>
              <w:left w:val="single" w:sz="4" w:space="0" w:color="auto"/>
              <w:bottom w:val="single" w:sz="4" w:space="0" w:color="auto"/>
              <w:right w:val="single" w:sz="4" w:space="0" w:color="auto"/>
            </w:tcBorders>
            <w:shd w:val="clear" w:color="000000" w:fill="56008C"/>
            <w:vAlign w:val="center"/>
            <w:hideMark/>
          </w:tcPr>
          <w:p w:rsidR="006076EC" w:rsidRPr="000E0B77" w:rsidRDefault="006076EC" w:rsidP="000E0B77">
            <w:pPr>
              <w:spacing w:after="0" w:line="240" w:lineRule="auto"/>
              <w:rPr>
                <w:rFonts w:eastAsia="Times New Roman" w:cs="Arial"/>
                <w:b/>
                <w:bCs/>
                <w:color w:val="E28C05"/>
                <w:sz w:val="20"/>
                <w:szCs w:val="20"/>
                <w:lang w:eastAsia="en-GB"/>
              </w:rPr>
            </w:pPr>
            <w:r w:rsidRPr="000E0B77">
              <w:rPr>
                <w:rFonts w:eastAsia="Times New Roman" w:cs="Arial"/>
                <w:b/>
                <w:bCs/>
                <w:color w:val="E28C05"/>
                <w:sz w:val="20"/>
                <w:szCs w:val="20"/>
                <w:lang w:eastAsia="en-GB"/>
              </w:rPr>
              <w:t>% saving</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0E0B77" w:rsidRDefault="006076EC" w:rsidP="000E0B77">
            <w:pPr>
              <w:spacing w:after="0" w:line="240" w:lineRule="auto"/>
              <w:jc w:val="center"/>
              <w:rPr>
                <w:rFonts w:eastAsia="Times New Roman" w:cs="Arial"/>
                <w:b/>
                <w:bCs/>
                <w:color w:val="E28C05"/>
                <w:sz w:val="20"/>
                <w:szCs w:val="20"/>
                <w:lang w:eastAsia="en-GB"/>
              </w:rPr>
            </w:pPr>
          </w:p>
        </w:tc>
        <w:tc>
          <w:tcPr>
            <w:tcW w:w="960" w:type="dxa"/>
            <w:tcBorders>
              <w:top w:val="single" w:sz="4" w:space="0" w:color="auto"/>
              <w:left w:val="single" w:sz="4" w:space="0" w:color="auto"/>
              <w:bottom w:val="nil"/>
              <w:right w:val="nil"/>
            </w:tcBorders>
            <w:shd w:val="clear" w:color="000000" w:fill="56008C"/>
            <w:vAlign w:val="center"/>
            <w:hideMark/>
          </w:tcPr>
          <w:p w:rsidR="006076EC" w:rsidRPr="000E0B77" w:rsidRDefault="006076EC" w:rsidP="000E0B77">
            <w:pPr>
              <w:spacing w:after="0" w:line="240" w:lineRule="auto"/>
              <w:jc w:val="center"/>
              <w:rPr>
                <w:rFonts w:eastAsia="Times New Roman" w:cs="Arial"/>
                <w:b/>
                <w:bCs/>
                <w:color w:val="E28C05"/>
                <w:sz w:val="20"/>
                <w:szCs w:val="20"/>
                <w:lang w:eastAsia="en-GB"/>
              </w:rPr>
            </w:pPr>
            <w:r w:rsidRPr="000E0B77">
              <w:rPr>
                <w:rFonts w:eastAsia="Times New Roman" w:cs="Arial"/>
                <w:b/>
                <w:bCs/>
                <w:color w:val="E28C05"/>
                <w:sz w:val="20"/>
                <w:szCs w:val="20"/>
                <w:lang w:eastAsia="en-GB"/>
              </w:rPr>
              <w:t>-33%</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0E0B77" w:rsidRDefault="006076EC" w:rsidP="000E0B77">
            <w:pPr>
              <w:spacing w:after="0" w:line="240" w:lineRule="auto"/>
              <w:jc w:val="center"/>
              <w:rPr>
                <w:rFonts w:eastAsia="Times New Roman" w:cs="Arial"/>
                <w:b/>
                <w:bCs/>
                <w:color w:val="E28C05"/>
                <w:sz w:val="20"/>
                <w:szCs w:val="20"/>
                <w:lang w:eastAsia="en-GB"/>
              </w:rPr>
            </w:pPr>
            <w:r w:rsidRPr="000E0B77">
              <w:rPr>
                <w:rFonts w:eastAsia="Times New Roman" w:cs="Arial"/>
                <w:b/>
                <w:bCs/>
                <w:color w:val="E28C05"/>
                <w:sz w:val="20"/>
                <w:szCs w:val="20"/>
                <w:lang w:eastAsia="en-GB"/>
              </w:rPr>
              <w:t>-33%</w:t>
            </w:r>
          </w:p>
        </w:tc>
        <w:tc>
          <w:tcPr>
            <w:tcW w:w="960" w:type="dxa"/>
            <w:tcBorders>
              <w:top w:val="single" w:sz="4" w:space="0" w:color="auto"/>
              <w:left w:val="single" w:sz="4" w:space="0" w:color="auto"/>
              <w:bottom w:val="nil"/>
              <w:right w:val="nil"/>
            </w:tcBorders>
            <w:shd w:val="clear" w:color="000000" w:fill="56008C"/>
            <w:vAlign w:val="center"/>
            <w:hideMark/>
          </w:tcPr>
          <w:p w:rsidR="006076EC" w:rsidRPr="000E0B77" w:rsidRDefault="006076EC" w:rsidP="000E0B77">
            <w:pPr>
              <w:spacing w:after="0" w:line="240" w:lineRule="auto"/>
              <w:jc w:val="center"/>
              <w:rPr>
                <w:rFonts w:eastAsia="Times New Roman" w:cs="Arial"/>
                <w:b/>
                <w:bCs/>
                <w:color w:val="E28C05"/>
                <w:sz w:val="20"/>
                <w:szCs w:val="20"/>
                <w:lang w:eastAsia="en-GB"/>
              </w:rPr>
            </w:pPr>
          </w:p>
        </w:tc>
      </w:tr>
      <w:tr w:rsidR="006076EC" w:rsidRPr="000E0B77" w:rsidTr="000E0B77">
        <w:trPr>
          <w:trHeight w:val="300"/>
          <w:jc w:val="center"/>
        </w:trPr>
        <w:tc>
          <w:tcPr>
            <w:tcW w:w="6120" w:type="dxa"/>
            <w:gridSpan w:val="4"/>
            <w:tcBorders>
              <w:top w:val="nil"/>
              <w:left w:val="nil"/>
              <w:bottom w:val="nil"/>
              <w:right w:val="nil"/>
            </w:tcBorders>
            <w:shd w:val="clear" w:color="auto" w:fill="auto"/>
            <w:noWrap/>
            <w:vAlign w:val="center"/>
            <w:hideMark/>
          </w:tcPr>
          <w:p w:rsidR="006076EC" w:rsidRPr="000E0B77" w:rsidRDefault="006076EC" w:rsidP="000E0B77">
            <w:pPr>
              <w:spacing w:after="0" w:line="240" w:lineRule="auto"/>
              <w:jc w:val="center"/>
              <w:rPr>
                <w:rFonts w:eastAsia="Times New Roman" w:cs="Arial"/>
                <w:color w:val="000000"/>
                <w:sz w:val="20"/>
                <w:szCs w:val="20"/>
                <w:lang w:eastAsia="en-GB"/>
              </w:rPr>
            </w:pPr>
            <w:r w:rsidRPr="000E0B77">
              <w:rPr>
                <w:rFonts w:eastAsia="Times New Roman" w:cs="Arial"/>
                <w:color w:val="000000"/>
                <w:sz w:val="20"/>
                <w:szCs w:val="20"/>
                <w:lang w:eastAsia="en-GB"/>
              </w:rPr>
              <w:t>* travel and accommodation costs represent a 5% contingency</w:t>
            </w:r>
          </w:p>
        </w:tc>
        <w:tc>
          <w:tcPr>
            <w:tcW w:w="960" w:type="dxa"/>
            <w:tcBorders>
              <w:top w:val="nil"/>
              <w:left w:val="nil"/>
              <w:bottom w:val="nil"/>
              <w:right w:val="nil"/>
            </w:tcBorders>
            <w:shd w:val="clear" w:color="auto" w:fill="auto"/>
            <w:noWrap/>
            <w:vAlign w:val="center"/>
            <w:hideMark/>
          </w:tcPr>
          <w:p w:rsidR="006076EC" w:rsidRPr="000E0B77" w:rsidRDefault="006076EC" w:rsidP="000E0B77">
            <w:pPr>
              <w:spacing w:after="0" w:line="240" w:lineRule="auto"/>
              <w:jc w:val="center"/>
              <w:rPr>
                <w:rFonts w:eastAsia="Times New Roman" w:cs="Arial"/>
                <w:color w:val="000000"/>
                <w:sz w:val="20"/>
                <w:szCs w:val="20"/>
                <w:lang w:eastAsia="en-GB"/>
              </w:rPr>
            </w:pPr>
          </w:p>
        </w:tc>
      </w:tr>
    </w:tbl>
    <w:p w:rsidR="006076EC" w:rsidRDefault="006076EC" w:rsidP="00E13B55">
      <w:pPr>
        <w:pStyle w:val="ListBullet"/>
        <w:numPr>
          <w:ilvl w:val="0"/>
          <w:numId w:val="0"/>
        </w:numPr>
        <w:ind w:left="360" w:hanging="360"/>
      </w:pPr>
    </w:p>
    <w:p w:rsidR="00961A97" w:rsidRDefault="00961A97" w:rsidP="000E0B77">
      <w:pPr>
        <w:ind w:left="567" w:hanging="567"/>
      </w:pPr>
      <w:r>
        <w:t>4.2</w:t>
      </w:r>
      <w:r>
        <w:tab/>
        <w:t>The assumption is that changes to desk-sharing ratios have been complet</w:t>
      </w:r>
      <w:r w:rsidR="000E0B77">
        <w:t xml:space="preserve">ed by the beginning of year 2, </w:t>
      </w:r>
      <w:proofErr w:type="spellStart"/>
      <w:r>
        <w:t>ie</w:t>
      </w:r>
      <w:proofErr w:type="spellEnd"/>
      <w:r>
        <w:t xml:space="preserve"> 2016/17 when the full year effect savings can be realised.  Good IT will be a requirement and it is proposed that 2014/15 resource is inv</w:t>
      </w:r>
      <w:r w:rsidR="000E0B77">
        <w:t>ested in IT to ensure it is fit-for-</w:t>
      </w:r>
      <w:r>
        <w:t>purpose.  A profile of part year effect savings during 2014/15 and 2015/16 will be presented as part of the implementation planning and business planning.</w:t>
      </w:r>
    </w:p>
    <w:p w:rsidR="00961A97" w:rsidRDefault="000E0B77" w:rsidP="000E0B77">
      <w:pPr>
        <w:ind w:left="567" w:hanging="567"/>
      </w:pPr>
      <w:r>
        <w:t>4.3</w:t>
      </w:r>
      <w:r>
        <w:tab/>
      </w:r>
      <w:r w:rsidR="00961A97">
        <w:t>The cost figures presented have not been inflated nor discounted.</w:t>
      </w:r>
    </w:p>
    <w:p w:rsidR="00961A97" w:rsidRDefault="000E0B77" w:rsidP="000E0B77">
      <w:pPr>
        <w:ind w:left="567" w:hanging="567"/>
      </w:pPr>
      <w:r>
        <w:t>4.4</w:t>
      </w:r>
      <w:r>
        <w:tab/>
      </w:r>
      <w:r w:rsidR="00961A97">
        <w:t xml:space="preserve">The cost review takes no account of lease changes.  </w:t>
      </w:r>
      <w:r>
        <w:t xml:space="preserve">The </w:t>
      </w:r>
      <w:r w:rsidR="00961A97">
        <w:t>HRA will</w:t>
      </w:r>
      <w:r>
        <w:t>,</w:t>
      </w:r>
      <w:r w:rsidR="00961A97">
        <w:t xml:space="preserve"> however</w:t>
      </w:r>
      <w:r>
        <w:t>,</w:t>
      </w:r>
      <w:r w:rsidR="00961A97">
        <w:t xml:space="preserve"> work to try and ensure reduced costs and savings on any renewals of leases.</w:t>
      </w:r>
    </w:p>
    <w:p w:rsidR="006076EC" w:rsidRDefault="00961A97" w:rsidP="000E0B77">
      <w:pPr>
        <w:ind w:left="567" w:hanging="567"/>
      </w:pPr>
      <w:r>
        <w:t>4.5</w:t>
      </w:r>
      <w:r>
        <w:tab/>
        <w:t xml:space="preserve">Detailed costs are presented in the </w:t>
      </w:r>
      <w:r w:rsidRPr="000E0B77">
        <w:rPr>
          <w:i/>
        </w:rPr>
        <w:t>Ways of Working – Real Estate Review</w:t>
      </w:r>
      <w:r w:rsidRPr="00961A97">
        <w:t xml:space="preserve"> </w:t>
      </w:r>
      <w:r>
        <w:t xml:space="preserve">paper which </w:t>
      </w:r>
      <w:r w:rsidRPr="00961A97">
        <w:t xml:space="preserve">was presented to EMT in September 2014.  </w:t>
      </w:r>
    </w:p>
    <w:p w:rsidR="00961A97" w:rsidRDefault="00961A97" w:rsidP="00E13B55">
      <w:pPr>
        <w:pStyle w:val="ListBullet"/>
        <w:numPr>
          <w:ilvl w:val="0"/>
          <w:numId w:val="0"/>
        </w:numPr>
        <w:ind w:left="360" w:hanging="360"/>
      </w:pPr>
    </w:p>
    <w:p w:rsidR="001D4F59" w:rsidRDefault="001D4F59">
      <w:pPr>
        <w:tabs>
          <w:tab w:val="clear" w:pos="567"/>
          <w:tab w:val="clear" w:pos="992"/>
        </w:tabs>
        <w:spacing w:after="0" w:line="240" w:lineRule="auto"/>
      </w:pPr>
      <w:r>
        <w:br w:type="page"/>
      </w:r>
    </w:p>
    <w:p w:rsidR="001D4F59" w:rsidRDefault="001D4F59" w:rsidP="00E13B55">
      <w:pPr>
        <w:pStyle w:val="ListBullet"/>
        <w:numPr>
          <w:ilvl w:val="0"/>
          <w:numId w:val="0"/>
        </w:numPr>
        <w:ind w:left="360" w:hanging="360"/>
      </w:pPr>
    </w:p>
    <w:p w:rsidR="004B7112" w:rsidRPr="004B7112" w:rsidRDefault="004B7112" w:rsidP="000E0B77">
      <w:pPr>
        <w:pStyle w:val="HeadingA"/>
      </w:pPr>
      <w:bookmarkStart w:id="12" w:name="_Toc400975576"/>
      <w:r>
        <w:t>Conclusion and next steps</w:t>
      </w:r>
      <w:bookmarkEnd w:id="12"/>
    </w:p>
    <w:p w:rsidR="00CB5F30" w:rsidRDefault="00CB5F30" w:rsidP="00D16EF7">
      <w:pPr>
        <w:pStyle w:val="ListParagraph"/>
      </w:pPr>
      <w:r>
        <w:t xml:space="preserve">The HRA faces a considerable challenge in delivering the key requirements of HRA Approval and the Research Governance Framework whilst continuing to deliver improved operational performance and   adapt its estates portfolio to meet the new service delivery need.  </w:t>
      </w:r>
    </w:p>
    <w:p w:rsidR="00CB5F30" w:rsidRDefault="00CB5F30" w:rsidP="00D16EF7">
      <w:pPr>
        <w:pStyle w:val="ListParagraph"/>
      </w:pPr>
      <w:r>
        <w:t xml:space="preserve">The current HRA estate consists entirely of leased accommodation with </w:t>
      </w:r>
      <w:r w:rsidR="000E0B77">
        <w:t>two</w:t>
      </w:r>
      <w:r>
        <w:t xml:space="preserve"> leases coming up for renegotiation in 2015 and </w:t>
      </w:r>
      <w:r w:rsidR="000E0B77">
        <w:t>three</w:t>
      </w:r>
      <w:r>
        <w:t xml:space="preserve"> in the course of 2016.  </w:t>
      </w:r>
    </w:p>
    <w:p w:rsidR="006E252D" w:rsidRDefault="00CB5F30" w:rsidP="00D16EF7">
      <w:pPr>
        <w:pStyle w:val="ListParagraph"/>
      </w:pPr>
      <w:r>
        <w:t>At present</w:t>
      </w:r>
      <w:r w:rsidR="000E0B77">
        <w:t>,</w:t>
      </w:r>
      <w:r>
        <w:t xml:space="preserve"> the progress of the HRA Approval and Research Governance Framework are in early stages of design and implementation is plann</w:t>
      </w:r>
      <w:r w:rsidR="000E0B77">
        <w:t>ed for December 2015.  A medium-</w:t>
      </w:r>
      <w:r>
        <w:t>term strategy of maintaining the current 5 geogr</w:t>
      </w:r>
      <w:r w:rsidR="006E252D">
        <w:t xml:space="preserve">aphic office locations which broadly reflect the geographical spread of the Research Ethics Committees is the </w:t>
      </w:r>
      <w:r>
        <w:t xml:space="preserve">preferred option for the next </w:t>
      </w:r>
      <w:r w:rsidR="006E252D">
        <w:t>5</w:t>
      </w:r>
      <w:r>
        <w:t xml:space="preserve"> years</w:t>
      </w:r>
      <w:r w:rsidR="006E252D">
        <w:t xml:space="preserve">.  A strategy beyond that is </w:t>
      </w:r>
      <w:r>
        <w:t>not possible</w:t>
      </w:r>
      <w:r w:rsidR="006E252D">
        <w:t xml:space="preserve"> immediately</w:t>
      </w:r>
      <w:r w:rsidR="000E0B77">
        <w:t>;</w:t>
      </w:r>
      <w:r w:rsidR="006E252D">
        <w:t xml:space="preserve"> however</w:t>
      </w:r>
      <w:r w:rsidR="000E0B77">
        <w:t>,</w:t>
      </w:r>
      <w:r w:rsidR="006E252D">
        <w:t xml:space="preserve"> a longer term view will be possible</w:t>
      </w:r>
      <w:r w:rsidR="000E0B77">
        <w:t xml:space="preserve"> once the move to an 8:10 ratio</w:t>
      </w:r>
      <w:r w:rsidR="006E252D">
        <w:t xml:space="preserve"> has been achieved and with greater clarity on the longer term implications on HRA services of HRA Approval</w:t>
      </w:r>
      <w:r w:rsidR="000E0B77">
        <w:t xml:space="preserve">. </w:t>
      </w:r>
      <w:r w:rsidR="006E252D">
        <w:t xml:space="preserve"> The space utilisation study undertaken by Carney Green highlights that the probability of achieving this strategy is high</w:t>
      </w:r>
      <w:r w:rsidR="000E0B77">
        <w:t>;</w:t>
      </w:r>
      <w:r w:rsidR="006E252D">
        <w:t xml:space="preserve"> however</w:t>
      </w:r>
      <w:r w:rsidR="000E0B77">
        <w:t>,</w:t>
      </w:r>
      <w:r w:rsidR="006E252D">
        <w:t xml:space="preserve"> the limiting factor of ensuring reliable, efficient and adaptable IT will be the biggest risk alongside the risk of ensuring focus is maintained on delivering the benefits of HRA Approval alongside the further cultural change required to delivery this strategy. </w:t>
      </w:r>
    </w:p>
    <w:p w:rsidR="006E252D" w:rsidRDefault="006E252D" w:rsidP="00D16EF7">
      <w:pPr>
        <w:pStyle w:val="ListParagraph"/>
      </w:pPr>
      <w:r>
        <w:t>A</w:t>
      </w:r>
      <w:r w:rsidR="00CB5F30">
        <w:t xml:space="preserve"> clear series of transitional planning phases </w:t>
      </w:r>
      <w:r>
        <w:t xml:space="preserve">is planned </w:t>
      </w:r>
      <w:r w:rsidR="00CB5F30">
        <w:t xml:space="preserve">which will lead the </w:t>
      </w:r>
      <w:r>
        <w:t>HRA</w:t>
      </w:r>
      <w:r w:rsidR="00CB5F30">
        <w:t xml:space="preserve"> along the right early steps in </w:t>
      </w:r>
      <w:r>
        <w:t xml:space="preserve">delivering the strategy.  </w:t>
      </w:r>
      <w:r w:rsidR="00CB5F30">
        <w:t xml:space="preserve">These transition phases generate essential </w:t>
      </w:r>
      <w:r w:rsidR="000E0B77">
        <w:t>project work streams</w:t>
      </w:r>
      <w:r w:rsidR="00CB5F30">
        <w:t xml:space="preserve"> and in estate terms the most essential will be a detailed comprehensive space planning exercise to understand the full potential of the major office sites.  This study will need to be led from a clear schedule of the staff and accommodation required within the new organisation and must deal with the most serious risk to the future success of the agency; that of future expansion and adaptability.</w:t>
      </w:r>
    </w:p>
    <w:p w:rsidR="006E252D" w:rsidRDefault="00CB5F30" w:rsidP="00D16EF7">
      <w:pPr>
        <w:pStyle w:val="ListParagraph"/>
      </w:pPr>
      <w:r>
        <w:t xml:space="preserve">The immediate next steps therefore must be to </w:t>
      </w:r>
      <w:r w:rsidR="006E252D">
        <w:t>action the following as quickly as possible</w:t>
      </w:r>
      <w:r w:rsidR="000E0B77">
        <w:t>:</w:t>
      </w:r>
    </w:p>
    <w:p w:rsidR="006E252D" w:rsidRDefault="00CB5F30" w:rsidP="00C0083A">
      <w:pPr>
        <w:pStyle w:val="ListParagraph"/>
        <w:numPr>
          <w:ilvl w:val="0"/>
          <w:numId w:val="43"/>
        </w:numPr>
        <w:ind w:left="1349" w:hanging="357"/>
        <w:contextualSpacing/>
      </w:pPr>
      <w:r>
        <w:t xml:space="preserve">prepare and agree the required </w:t>
      </w:r>
      <w:r w:rsidR="006E252D">
        <w:t xml:space="preserve">implementation plan; </w:t>
      </w:r>
    </w:p>
    <w:p w:rsidR="006E252D" w:rsidRDefault="000E0B77" w:rsidP="00C0083A">
      <w:pPr>
        <w:pStyle w:val="ListParagraph"/>
        <w:numPr>
          <w:ilvl w:val="0"/>
          <w:numId w:val="43"/>
        </w:numPr>
        <w:ind w:left="1349" w:hanging="357"/>
        <w:contextualSpacing/>
      </w:pPr>
      <w:r>
        <w:t>appoint a project manager;</w:t>
      </w:r>
    </w:p>
    <w:p w:rsidR="006E252D" w:rsidRDefault="006E252D" w:rsidP="00C0083A">
      <w:pPr>
        <w:pStyle w:val="ListParagraph"/>
        <w:numPr>
          <w:ilvl w:val="0"/>
          <w:numId w:val="43"/>
        </w:numPr>
        <w:ind w:left="1349" w:hanging="357"/>
        <w:contextualSpacing/>
      </w:pPr>
      <w:r>
        <w:t>set up governance arrangements</w:t>
      </w:r>
      <w:r w:rsidR="000E0B77">
        <w:t>;</w:t>
      </w:r>
    </w:p>
    <w:p w:rsidR="006E252D" w:rsidRDefault="006E252D" w:rsidP="00C0083A">
      <w:pPr>
        <w:pStyle w:val="ListParagraph"/>
        <w:numPr>
          <w:ilvl w:val="0"/>
          <w:numId w:val="43"/>
        </w:numPr>
        <w:ind w:left="1349" w:hanging="357"/>
        <w:contextualSpacing/>
      </w:pPr>
      <w:r>
        <w:t>implemen</w:t>
      </w:r>
      <w:r w:rsidR="001054BF">
        <w:t>t phase one in London to ensure the successful induction and working arrangements for newly appointed HRA Approval staff</w:t>
      </w:r>
      <w:r w:rsidR="000E0B77">
        <w:t>;</w:t>
      </w:r>
    </w:p>
    <w:p w:rsidR="006E252D" w:rsidRDefault="006E252D" w:rsidP="00C0083A">
      <w:pPr>
        <w:pStyle w:val="ListParagraph"/>
        <w:numPr>
          <w:ilvl w:val="0"/>
          <w:numId w:val="43"/>
        </w:numPr>
        <w:ind w:left="1352"/>
      </w:pPr>
      <w:proofErr w:type="gramStart"/>
      <w:r>
        <w:t>prepare</w:t>
      </w:r>
      <w:proofErr w:type="gramEnd"/>
      <w:r>
        <w:t xml:space="preserve"> a lease exemption case for the Manchester</w:t>
      </w:r>
      <w:r w:rsidR="000E0B77">
        <w:t xml:space="preserve"> office.</w:t>
      </w:r>
    </w:p>
    <w:p w:rsidR="004B7112" w:rsidRDefault="004B7112" w:rsidP="000E0B77"/>
    <w:p w:rsidR="004B7112" w:rsidRDefault="004B7112" w:rsidP="000E0B77"/>
    <w:p w:rsidR="0036670D" w:rsidRDefault="0036670D">
      <w:pPr>
        <w:tabs>
          <w:tab w:val="clear" w:pos="567"/>
          <w:tab w:val="clear" w:pos="992"/>
        </w:tabs>
        <w:spacing w:after="0" w:line="240" w:lineRule="auto"/>
      </w:pPr>
      <w:r>
        <w:br w:type="page"/>
      </w:r>
    </w:p>
    <w:p w:rsidR="002E7324" w:rsidRDefault="002E7324">
      <w:pPr>
        <w:spacing w:after="0" w:line="240" w:lineRule="auto"/>
      </w:pPr>
    </w:p>
    <w:p w:rsidR="00EA5586" w:rsidRPr="00EA5586" w:rsidRDefault="00EA5586" w:rsidP="00EA5586">
      <w:pPr>
        <w:keepNext/>
        <w:spacing w:after="600" w:line="600" w:lineRule="exact"/>
        <w:outlineLvl w:val="0"/>
        <w:rPr>
          <w:rFonts w:eastAsia="MS Gothic" w:cs="Arial"/>
          <w:b/>
          <w:bCs/>
          <w:color w:val="331188"/>
          <w:kern w:val="32"/>
          <w:sz w:val="32"/>
          <w:szCs w:val="18"/>
        </w:rPr>
      </w:pPr>
      <w:bookmarkStart w:id="13" w:name="_Toc400975577"/>
      <w:r w:rsidRPr="00EA5586">
        <w:rPr>
          <w:rFonts w:eastAsia="MS Gothic" w:cs="Arial"/>
          <w:b/>
          <w:bCs/>
          <w:color w:val="331188"/>
          <w:kern w:val="32"/>
          <w:sz w:val="32"/>
          <w:szCs w:val="18"/>
        </w:rPr>
        <w:t>Document Control</w:t>
      </w:r>
      <w:bookmarkEnd w:id="13"/>
    </w:p>
    <w:p w:rsidR="00EA5586" w:rsidRPr="00EA5586" w:rsidRDefault="00EA5586" w:rsidP="00EA5586">
      <w:pPr>
        <w:keepNext/>
        <w:keepLines/>
        <w:spacing w:before="120"/>
        <w:ind w:left="-709" w:firstLine="709"/>
        <w:rPr>
          <w:rFonts w:cs="Arial"/>
          <w:b/>
          <w:szCs w:val="18"/>
        </w:rPr>
      </w:pPr>
      <w:r w:rsidRPr="00EA5586">
        <w:rPr>
          <w:rFonts w:cs="Arial"/>
          <w:b/>
          <w:szCs w:val="18"/>
        </w:rPr>
        <w:t>Change Record</w:t>
      </w:r>
    </w:p>
    <w:tbl>
      <w:tblPr>
        <w:tblW w:w="8820" w:type="dxa"/>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2079"/>
        <w:gridCol w:w="4581"/>
      </w:tblGrid>
      <w:tr w:rsidR="00EA5586" w:rsidRPr="00EA5586" w:rsidTr="00D44549">
        <w:trPr>
          <w:cantSplit/>
          <w:tblHeader/>
        </w:trPr>
        <w:tc>
          <w:tcPr>
            <w:tcW w:w="2160" w:type="dxa"/>
            <w:tcBorders>
              <w:top w:val="single" w:sz="12" w:space="0" w:color="auto"/>
              <w:left w:val="single" w:sz="12" w:space="0" w:color="auto"/>
              <w:bottom w:val="single" w:sz="6" w:space="0" w:color="auto"/>
              <w:right w:val="single" w:sz="4" w:space="0" w:color="auto"/>
            </w:tcBorders>
            <w:shd w:val="pct10" w:color="auto" w:fill="auto"/>
          </w:tcPr>
          <w:p w:rsidR="00EA5586" w:rsidRPr="00EA5586" w:rsidRDefault="00EA5586" w:rsidP="00EA5586">
            <w:pPr>
              <w:spacing w:before="60" w:after="60" w:line="240" w:lineRule="auto"/>
              <w:ind w:left="-709" w:firstLine="709"/>
              <w:jc w:val="center"/>
              <w:rPr>
                <w:rFonts w:cs="Arial"/>
                <w:sz w:val="18"/>
                <w:szCs w:val="18"/>
              </w:rPr>
            </w:pPr>
            <w:r w:rsidRPr="00EA5586">
              <w:rPr>
                <w:rFonts w:cs="Arial"/>
                <w:sz w:val="18"/>
                <w:szCs w:val="18"/>
              </w:rPr>
              <w:t>Version Status</w:t>
            </w:r>
          </w:p>
        </w:tc>
        <w:tc>
          <w:tcPr>
            <w:tcW w:w="2079" w:type="dxa"/>
            <w:tcBorders>
              <w:top w:val="single" w:sz="12" w:space="0" w:color="auto"/>
              <w:left w:val="single" w:sz="4" w:space="0" w:color="auto"/>
              <w:bottom w:val="single" w:sz="6" w:space="0" w:color="auto"/>
              <w:right w:val="single" w:sz="4" w:space="0" w:color="auto"/>
            </w:tcBorders>
            <w:shd w:val="pct10" w:color="auto" w:fill="auto"/>
          </w:tcPr>
          <w:p w:rsidR="00EA5586" w:rsidRPr="00EA5586" w:rsidRDefault="00EA5586" w:rsidP="00EA5586">
            <w:pPr>
              <w:spacing w:before="60" w:after="60" w:line="240" w:lineRule="auto"/>
              <w:ind w:left="-709" w:firstLine="709"/>
              <w:jc w:val="center"/>
              <w:rPr>
                <w:rFonts w:cs="Arial"/>
                <w:sz w:val="18"/>
                <w:szCs w:val="18"/>
              </w:rPr>
            </w:pPr>
            <w:r w:rsidRPr="00EA5586">
              <w:rPr>
                <w:rFonts w:cs="Arial"/>
                <w:sz w:val="18"/>
                <w:szCs w:val="18"/>
              </w:rPr>
              <w:t>Date of Change</w:t>
            </w:r>
          </w:p>
        </w:tc>
        <w:tc>
          <w:tcPr>
            <w:tcW w:w="4581" w:type="dxa"/>
            <w:tcBorders>
              <w:top w:val="single" w:sz="12" w:space="0" w:color="auto"/>
              <w:left w:val="single" w:sz="4" w:space="0" w:color="auto"/>
              <w:bottom w:val="nil"/>
              <w:right w:val="single" w:sz="12" w:space="0" w:color="auto"/>
            </w:tcBorders>
            <w:shd w:val="pct10" w:color="auto" w:fill="auto"/>
          </w:tcPr>
          <w:p w:rsidR="00EA5586" w:rsidRPr="00EA5586" w:rsidRDefault="00EA5586" w:rsidP="00EA5586">
            <w:pPr>
              <w:spacing w:before="60" w:after="60" w:line="240" w:lineRule="auto"/>
              <w:ind w:left="-709" w:firstLine="709"/>
              <w:jc w:val="center"/>
              <w:rPr>
                <w:rFonts w:cs="Arial"/>
                <w:sz w:val="18"/>
                <w:szCs w:val="18"/>
              </w:rPr>
            </w:pPr>
            <w:r w:rsidRPr="00EA5586">
              <w:rPr>
                <w:rFonts w:cs="Arial"/>
                <w:sz w:val="18"/>
                <w:szCs w:val="18"/>
              </w:rPr>
              <w:t>Reason for Change</w:t>
            </w:r>
          </w:p>
        </w:tc>
      </w:tr>
      <w:tr w:rsidR="00EA5586" w:rsidRPr="00EA5586" w:rsidTr="00D44549">
        <w:trPr>
          <w:cantSplit/>
          <w:trHeight w:hRule="exact" w:val="60"/>
          <w:tblHeader/>
        </w:trPr>
        <w:tc>
          <w:tcPr>
            <w:tcW w:w="2160" w:type="dxa"/>
            <w:tcBorders>
              <w:top w:val="single" w:sz="6" w:space="0" w:color="auto"/>
              <w:left w:val="nil"/>
              <w:bottom w:val="single" w:sz="6" w:space="0" w:color="auto"/>
              <w:right w:val="nil"/>
            </w:tcBorders>
            <w:shd w:val="pct50" w:color="auto" w:fill="auto"/>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6" w:space="0" w:color="auto"/>
              <w:left w:val="nil"/>
              <w:bottom w:val="single" w:sz="6" w:space="0" w:color="auto"/>
              <w:right w:val="nil"/>
            </w:tcBorders>
            <w:shd w:val="pct50" w:color="auto" w:fill="auto"/>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6" w:space="0" w:color="auto"/>
              <w:left w:val="nil"/>
              <w:bottom w:val="single" w:sz="6" w:space="0" w:color="auto"/>
              <w:right w:val="nil"/>
            </w:tcBorders>
            <w:shd w:val="pct50" w:color="auto" w:fill="auto"/>
          </w:tcPr>
          <w:p w:rsidR="00EA5586" w:rsidRPr="00EA5586" w:rsidRDefault="00EA5586" w:rsidP="00EA5586">
            <w:pPr>
              <w:spacing w:before="60" w:after="60" w:line="240" w:lineRule="auto"/>
              <w:ind w:left="-709" w:firstLine="709"/>
              <w:rPr>
                <w:rFonts w:cs="Arial"/>
                <w:sz w:val="18"/>
                <w:szCs w:val="18"/>
              </w:rPr>
            </w:pPr>
          </w:p>
        </w:tc>
      </w:tr>
      <w:tr w:rsidR="00EA5586" w:rsidRPr="00EA5586" w:rsidTr="00D44549">
        <w:trPr>
          <w:cantSplit/>
        </w:trPr>
        <w:tc>
          <w:tcPr>
            <w:tcW w:w="2160" w:type="dxa"/>
            <w:tcBorders>
              <w:top w:val="single" w:sz="6"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r w:rsidRPr="00EA5586">
              <w:rPr>
                <w:rFonts w:cs="Arial"/>
                <w:sz w:val="18"/>
                <w:szCs w:val="18"/>
              </w:rPr>
              <w:t xml:space="preserve">V </w:t>
            </w:r>
            <w:r>
              <w:rPr>
                <w:rFonts w:cs="Arial"/>
                <w:sz w:val="18"/>
                <w:szCs w:val="18"/>
              </w:rPr>
              <w:t>1.0</w:t>
            </w:r>
          </w:p>
        </w:tc>
        <w:tc>
          <w:tcPr>
            <w:tcW w:w="2079" w:type="dxa"/>
            <w:tcBorders>
              <w:top w:val="single" w:sz="6"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r w:rsidRPr="00EA5586">
              <w:rPr>
                <w:rFonts w:cs="Arial"/>
                <w:sz w:val="18"/>
                <w:szCs w:val="18"/>
              </w:rPr>
              <w:t>N/A</w:t>
            </w:r>
          </w:p>
        </w:tc>
        <w:tc>
          <w:tcPr>
            <w:tcW w:w="4581" w:type="dxa"/>
            <w:tcBorders>
              <w:top w:val="single" w:sz="6"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82"/>
              <w:rPr>
                <w:rFonts w:cs="Arial"/>
                <w:sz w:val="18"/>
                <w:szCs w:val="18"/>
              </w:rPr>
            </w:pPr>
            <w:r w:rsidRPr="00EA5586">
              <w:rPr>
                <w:rFonts w:cs="Arial"/>
                <w:sz w:val="18"/>
                <w:szCs w:val="18"/>
              </w:rPr>
              <w:t xml:space="preserve">First draft </w:t>
            </w:r>
            <w:r>
              <w:rPr>
                <w:rFonts w:cs="Arial"/>
                <w:sz w:val="18"/>
                <w:szCs w:val="18"/>
              </w:rPr>
              <w:t>prepared by DC</w:t>
            </w: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r>
              <w:rPr>
                <w:rFonts w:cs="Arial"/>
                <w:sz w:val="18"/>
                <w:szCs w:val="18"/>
              </w:rPr>
              <w:t>V1.1</w:t>
            </w: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r>
              <w:rPr>
                <w:rFonts w:cs="Arial"/>
                <w:sz w:val="18"/>
                <w:szCs w:val="18"/>
              </w:rPr>
              <w:t>13/10/14</w:t>
            </w: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82"/>
              <w:rPr>
                <w:rFonts w:cs="Arial"/>
                <w:sz w:val="18"/>
                <w:szCs w:val="18"/>
              </w:rPr>
            </w:pPr>
            <w:r>
              <w:rPr>
                <w:rFonts w:cs="Arial"/>
                <w:sz w:val="18"/>
                <w:szCs w:val="18"/>
              </w:rPr>
              <w:t>Draft prepared for review by EMT</w:t>
            </w: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4927DE" w:rsidP="00EA5586">
            <w:pPr>
              <w:spacing w:before="60" w:after="60" w:line="240" w:lineRule="auto"/>
              <w:ind w:left="-709" w:firstLine="709"/>
              <w:rPr>
                <w:rFonts w:cs="Arial"/>
                <w:sz w:val="18"/>
                <w:szCs w:val="18"/>
              </w:rPr>
            </w:pPr>
            <w:r>
              <w:rPr>
                <w:rFonts w:cs="Arial"/>
                <w:sz w:val="18"/>
                <w:szCs w:val="18"/>
              </w:rPr>
              <w:t>V1.2</w:t>
            </w: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4927DE" w:rsidP="00EA5586">
            <w:pPr>
              <w:spacing w:before="60" w:after="60" w:line="240" w:lineRule="auto"/>
              <w:ind w:left="-709" w:firstLine="709"/>
              <w:rPr>
                <w:rFonts w:cs="Arial"/>
                <w:sz w:val="18"/>
                <w:szCs w:val="18"/>
              </w:rPr>
            </w:pPr>
            <w:r>
              <w:rPr>
                <w:rFonts w:cs="Arial"/>
                <w:sz w:val="18"/>
                <w:szCs w:val="18"/>
              </w:rPr>
              <w:t>13/10/14</w:t>
            </w: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4927DE" w:rsidP="00EA5586">
            <w:pPr>
              <w:spacing w:before="60" w:after="60" w:line="240" w:lineRule="auto"/>
              <w:ind w:left="-82"/>
              <w:rPr>
                <w:rFonts w:cs="Arial"/>
                <w:sz w:val="18"/>
                <w:szCs w:val="18"/>
              </w:rPr>
            </w:pPr>
            <w:r>
              <w:rPr>
                <w:rFonts w:cs="Arial"/>
                <w:sz w:val="18"/>
                <w:szCs w:val="18"/>
              </w:rPr>
              <w:t>Amendments for review by EMT</w:t>
            </w: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C97B52" w:rsidP="00EA5586">
            <w:pPr>
              <w:spacing w:before="60" w:after="60" w:line="240" w:lineRule="auto"/>
              <w:ind w:left="-709" w:firstLine="709"/>
              <w:rPr>
                <w:rFonts w:cs="Arial"/>
                <w:sz w:val="18"/>
                <w:szCs w:val="18"/>
              </w:rPr>
            </w:pPr>
            <w:r>
              <w:rPr>
                <w:rFonts w:cs="Arial"/>
                <w:sz w:val="18"/>
                <w:szCs w:val="18"/>
              </w:rPr>
              <w:t>V1.3</w:t>
            </w: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C97B52" w:rsidP="00EA5586">
            <w:pPr>
              <w:spacing w:before="60" w:after="60" w:line="240" w:lineRule="auto"/>
              <w:ind w:left="-709" w:firstLine="709"/>
              <w:rPr>
                <w:rFonts w:cs="Arial"/>
                <w:sz w:val="18"/>
                <w:szCs w:val="18"/>
              </w:rPr>
            </w:pPr>
            <w:r>
              <w:rPr>
                <w:rFonts w:cs="Arial"/>
                <w:sz w:val="18"/>
                <w:szCs w:val="18"/>
              </w:rPr>
              <w:t>20/10/14</w:t>
            </w: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C97B52" w:rsidP="00EA5586">
            <w:pPr>
              <w:spacing w:before="60" w:after="60" w:line="240" w:lineRule="auto"/>
              <w:ind w:left="-82"/>
              <w:rPr>
                <w:rFonts w:cs="Arial"/>
                <w:sz w:val="18"/>
                <w:szCs w:val="18"/>
              </w:rPr>
            </w:pPr>
            <w:r>
              <w:rPr>
                <w:rFonts w:cs="Arial"/>
                <w:sz w:val="18"/>
                <w:szCs w:val="18"/>
              </w:rPr>
              <w:t>Amendments following lead review by Director of Quality, Standards &amp; Information and by EMT</w:t>
            </w: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82"/>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82"/>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82"/>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82"/>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12"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12"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12" w:space="0" w:color="auto"/>
              <w:right w:val="single" w:sz="12" w:space="0" w:color="auto"/>
            </w:tcBorders>
          </w:tcPr>
          <w:p w:rsidR="00EA5586" w:rsidRPr="00EA5586" w:rsidRDefault="00EA5586" w:rsidP="00EA5586">
            <w:pPr>
              <w:spacing w:before="60" w:after="60" w:line="240" w:lineRule="auto"/>
              <w:ind w:left="60"/>
              <w:rPr>
                <w:rFonts w:cs="Arial"/>
                <w:sz w:val="18"/>
                <w:szCs w:val="18"/>
              </w:rPr>
            </w:pPr>
          </w:p>
        </w:tc>
      </w:tr>
    </w:tbl>
    <w:p w:rsidR="00EA5586" w:rsidRPr="00EA5586" w:rsidRDefault="00EA5586" w:rsidP="00EA5586">
      <w:pPr>
        <w:keepNext/>
        <w:keepLines/>
        <w:spacing w:before="120"/>
        <w:ind w:left="-709" w:firstLine="709"/>
        <w:rPr>
          <w:rFonts w:cs="Arial"/>
          <w:b/>
          <w:sz w:val="18"/>
          <w:szCs w:val="18"/>
        </w:rPr>
      </w:pPr>
    </w:p>
    <w:p w:rsidR="00EA5586" w:rsidRPr="00EA5586" w:rsidRDefault="00EA5586" w:rsidP="00EA5586">
      <w:pPr>
        <w:keepNext/>
        <w:keepLines/>
        <w:spacing w:before="120"/>
        <w:ind w:left="-709" w:firstLine="709"/>
        <w:rPr>
          <w:rFonts w:cs="Arial"/>
          <w:b/>
          <w:sz w:val="18"/>
          <w:szCs w:val="18"/>
        </w:rPr>
      </w:pPr>
    </w:p>
    <w:p w:rsidR="00EA5586" w:rsidRPr="00EA5586" w:rsidRDefault="00EA5586" w:rsidP="00EA5586">
      <w:pPr>
        <w:keepNext/>
        <w:keepLines/>
        <w:spacing w:before="120"/>
        <w:ind w:left="-709" w:firstLine="709"/>
        <w:rPr>
          <w:rFonts w:cs="Arial"/>
          <w:b/>
          <w:szCs w:val="18"/>
        </w:rPr>
      </w:pPr>
      <w:r w:rsidRPr="00EA5586">
        <w:rPr>
          <w:rFonts w:cs="Arial"/>
          <w:b/>
          <w:szCs w:val="18"/>
        </w:rPr>
        <w:t>Reviewers</w:t>
      </w:r>
    </w:p>
    <w:tbl>
      <w:tblPr>
        <w:tblW w:w="88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2160"/>
      </w:tblGrid>
      <w:tr w:rsidR="00EA5586" w:rsidRPr="00EA5586" w:rsidTr="00D44549">
        <w:trPr>
          <w:cantSplit/>
          <w:tblHeader/>
        </w:trPr>
        <w:tc>
          <w:tcPr>
            <w:tcW w:w="3686" w:type="dxa"/>
            <w:tcBorders>
              <w:top w:val="single" w:sz="12" w:space="0" w:color="auto"/>
              <w:left w:val="single" w:sz="12" w:space="0" w:color="auto"/>
              <w:bottom w:val="single" w:sz="6" w:space="0" w:color="auto"/>
              <w:right w:val="single" w:sz="4" w:space="0" w:color="auto"/>
            </w:tcBorders>
            <w:shd w:val="pct10" w:color="auto" w:fill="auto"/>
          </w:tcPr>
          <w:p w:rsidR="00EA5586" w:rsidRPr="00EA5586" w:rsidRDefault="00EA5586" w:rsidP="00EA5586">
            <w:pPr>
              <w:spacing w:before="60" w:after="60" w:line="240" w:lineRule="auto"/>
              <w:ind w:left="-709" w:firstLine="709"/>
              <w:jc w:val="center"/>
              <w:rPr>
                <w:rFonts w:cs="Arial"/>
                <w:sz w:val="18"/>
                <w:szCs w:val="18"/>
              </w:rPr>
            </w:pPr>
            <w:r w:rsidRPr="00EA5586">
              <w:rPr>
                <w:rFonts w:cs="Arial"/>
                <w:sz w:val="18"/>
                <w:szCs w:val="18"/>
              </w:rPr>
              <w:t>Name</w:t>
            </w:r>
          </w:p>
        </w:tc>
        <w:tc>
          <w:tcPr>
            <w:tcW w:w="2974" w:type="dxa"/>
            <w:tcBorders>
              <w:top w:val="single" w:sz="12" w:space="0" w:color="auto"/>
              <w:left w:val="single" w:sz="4" w:space="0" w:color="auto"/>
              <w:bottom w:val="single" w:sz="6" w:space="0" w:color="auto"/>
              <w:right w:val="single" w:sz="4" w:space="0" w:color="auto"/>
            </w:tcBorders>
            <w:shd w:val="pct10" w:color="auto" w:fill="auto"/>
          </w:tcPr>
          <w:p w:rsidR="00EA5586" w:rsidRPr="00EA5586" w:rsidRDefault="00EA5586" w:rsidP="00EA5586">
            <w:pPr>
              <w:spacing w:before="60" w:after="60" w:line="240" w:lineRule="auto"/>
              <w:ind w:left="-709" w:firstLine="709"/>
              <w:jc w:val="center"/>
              <w:rPr>
                <w:rFonts w:cs="Arial"/>
                <w:sz w:val="18"/>
                <w:szCs w:val="18"/>
              </w:rPr>
            </w:pPr>
            <w:r w:rsidRPr="00EA5586">
              <w:rPr>
                <w:rFonts w:cs="Arial"/>
                <w:sz w:val="18"/>
                <w:szCs w:val="18"/>
              </w:rPr>
              <w:t>Position</w:t>
            </w:r>
          </w:p>
        </w:tc>
        <w:tc>
          <w:tcPr>
            <w:tcW w:w="2160" w:type="dxa"/>
            <w:tcBorders>
              <w:top w:val="single" w:sz="12" w:space="0" w:color="auto"/>
              <w:left w:val="single" w:sz="4" w:space="0" w:color="auto"/>
              <w:bottom w:val="nil"/>
              <w:right w:val="single" w:sz="12" w:space="0" w:color="auto"/>
            </w:tcBorders>
            <w:shd w:val="pct10" w:color="auto" w:fill="auto"/>
          </w:tcPr>
          <w:p w:rsidR="00EA5586" w:rsidRPr="00EA5586" w:rsidRDefault="00EA5586" w:rsidP="00EA5586">
            <w:pPr>
              <w:spacing w:before="60" w:after="60" w:line="240" w:lineRule="auto"/>
              <w:ind w:left="-709" w:firstLine="709"/>
              <w:jc w:val="center"/>
              <w:rPr>
                <w:rFonts w:cs="Arial"/>
                <w:sz w:val="18"/>
                <w:szCs w:val="18"/>
              </w:rPr>
            </w:pPr>
            <w:r w:rsidRPr="00EA5586">
              <w:rPr>
                <w:rFonts w:cs="Arial"/>
                <w:sz w:val="18"/>
                <w:szCs w:val="18"/>
              </w:rPr>
              <w:t>Version Reviewed</w:t>
            </w:r>
          </w:p>
        </w:tc>
      </w:tr>
      <w:tr w:rsidR="00EA5586" w:rsidRPr="00EA5586" w:rsidTr="00D44549">
        <w:trPr>
          <w:cantSplit/>
          <w:tblHeader/>
        </w:trPr>
        <w:tc>
          <w:tcPr>
            <w:tcW w:w="3686" w:type="dxa"/>
            <w:tcBorders>
              <w:top w:val="single" w:sz="12" w:space="0" w:color="auto"/>
              <w:left w:val="single" w:sz="12" w:space="0" w:color="auto"/>
              <w:bottom w:val="single" w:sz="6" w:space="0" w:color="auto"/>
              <w:right w:val="single" w:sz="4" w:space="0" w:color="auto"/>
            </w:tcBorders>
            <w:shd w:val="clear" w:color="auto" w:fill="auto"/>
          </w:tcPr>
          <w:p w:rsidR="00EA5586" w:rsidRPr="00EA5586" w:rsidRDefault="00EA5586" w:rsidP="00EA5586">
            <w:pPr>
              <w:spacing w:before="60" w:after="60" w:line="240" w:lineRule="auto"/>
              <w:ind w:left="-709" w:firstLine="709"/>
              <w:jc w:val="center"/>
              <w:rPr>
                <w:rFonts w:cs="Arial"/>
                <w:sz w:val="18"/>
                <w:szCs w:val="18"/>
              </w:rPr>
            </w:pPr>
            <w:r>
              <w:rPr>
                <w:rFonts w:cs="Arial"/>
                <w:sz w:val="18"/>
                <w:szCs w:val="18"/>
              </w:rPr>
              <w:t>Gill Habicht, Stephen Robinson</w:t>
            </w:r>
          </w:p>
        </w:tc>
        <w:tc>
          <w:tcPr>
            <w:tcW w:w="2974" w:type="dxa"/>
            <w:tcBorders>
              <w:top w:val="single" w:sz="12" w:space="0" w:color="auto"/>
              <w:left w:val="single" w:sz="4" w:space="0" w:color="auto"/>
              <w:bottom w:val="single" w:sz="6" w:space="0" w:color="auto"/>
              <w:right w:val="single" w:sz="4" w:space="0" w:color="auto"/>
            </w:tcBorders>
            <w:shd w:val="clear" w:color="auto" w:fill="auto"/>
          </w:tcPr>
          <w:p w:rsidR="00EA5586" w:rsidRPr="00EA5586" w:rsidRDefault="00EA5586" w:rsidP="00EA5586">
            <w:pPr>
              <w:spacing w:before="60" w:after="60" w:line="240" w:lineRule="auto"/>
              <w:ind w:left="-709" w:firstLine="709"/>
              <w:jc w:val="center"/>
              <w:rPr>
                <w:rFonts w:cs="Arial"/>
                <w:sz w:val="18"/>
                <w:szCs w:val="18"/>
              </w:rPr>
            </w:pPr>
          </w:p>
        </w:tc>
        <w:tc>
          <w:tcPr>
            <w:tcW w:w="2160" w:type="dxa"/>
            <w:tcBorders>
              <w:top w:val="single" w:sz="12" w:space="0" w:color="auto"/>
              <w:left w:val="single" w:sz="4" w:space="0" w:color="auto"/>
              <w:bottom w:val="nil"/>
              <w:right w:val="single" w:sz="12" w:space="0" w:color="auto"/>
            </w:tcBorders>
            <w:shd w:val="clear" w:color="auto" w:fill="auto"/>
          </w:tcPr>
          <w:p w:rsidR="00EA5586" w:rsidRPr="00EA5586" w:rsidRDefault="00EA5586" w:rsidP="00EA5586">
            <w:pPr>
              <w:spacing w:before="60" w:after="60" w:line="240" w:lineRule="auto"/>
              <w:ind w:left="-709" w:firstLine="709"/>
              <w:jc w:val="center"/>
              <w:rPr>
                <w:rFonts w:cs="Arial"/>
                <w:sz w:val="18"/>
                <w:szCs w:val="18"/>
              </w:rPr>
            </w:pPr>
            <w:r>
              <w:rPr>
                <w:rFonts w:cs="Arial"/>
                <w:sz w:val="18"/>
                <w:szCs w:val="18"/>
              </w:rPr>
              <w:t>V1.1</w:t>
            </w:r>
            <w:r w:rsidR="00C97B52">
              <w:rPr>
                <w:rFonts w:cs="Arial"/>
                <w:sz w:val="18"/>
                <w:szCs w:val="18"/>
              </w:rPr>
              <w:t xml:space="preserve"> and V1.2</w:t>
            </w:r>
          </w:p>
        </w:tc>
      </w:tr>
      <w:tr w:rsidR="004927DE" w:rsidRPr="00EA5586" w:rsidTr="00D44549">
        <w:trPr>
          <w:cantSplit/>
          <w:tblHeader/>
        </w:trPr>
        <w:tc>
          <w:tcPr>
            <w:tcW w:w="3686" w:type="dxa"/>
            <w:tcBorders>
              <w:top w:val="single" w:sz="12" w:space="0" w:color="auto"/>
              <w:left w:val="single" w:sz="12" w:space="0" w:color="auto"/>
              <w:bottom w:val="single" w:sz="6" w:space="0" w:color="auto"/>
              <w:right w:val="single" w:sz="4" w:space="0" w:color="auto"/>
            </w:tcBorders>
            <w:shd w:val="clear" w:color="auto" w:fill="auto"/>
          </w:tcPr>
          <w:p w:rsidR="004927DE" w:rsidRDefault="00C97B52" w:rsidP="00EA5586">
            <w:pPr>
              <w:spacing w:before="60" w:after="60" w:line="240" w:lineRule="auto"/>
              <w:ind w:left="-709" w:firstLine="709"/>
              <w:jc w:val="center"/>
              <w:rPr>
                <w:rFonts w:cs="Arial"/>
                <w:sz w:val="18"/>
                <w:szCs w:val="18"/>
              </w:rPr>
            </w:pPr>
            <w:r>
              <w:rPr>
                <w:rFonts w:cs="Arial"/>
                <w:sz w:val="18"/>
                <w:szCs w:val="18"/>
              </w:rPr>
              <w:t xml:space="preserve">Lead reviewer &amp; </w:t>
            </w:r>
            <w:r w:rsidR="004927DE">
              <w:rPr>
                <w:rFonts w:cs="Arial"/>
                <w:sz w:val="18"/>
                <w:szCs w:val="18"/>
              </w:rPr>
              <w:t>EMT</w:t>
            </w:r>
          </w:p>
        </w:tc>
        <w:tc>
          <w:tcPr>
            <w:tcW w:w="2974" w:type="dxa"/>
            <w:tcBorders>
              <w:top w:val="single" w:sz="12" w:space="0" w:color="auto"/>
              <w:left w:val="single" w:sz="4" w:space="0" w:color="auto"/>
              <w:bottom w:val="single" w:sz="6" w:space="0" w:color="auto"/>
              <w:right w:val="single" w:sz="4" w:space="0" w:color="auto"/>
            </w:tcBorders>
            <w:shd w:val="clear" w:color="auto" w:fill="auto"/>
          </w:tcPr>
          <w:p w:rsidR="004927DE" w:rsidRPr="00EA5586" w:rsidRDefault="004927DE" w:rsidP="00EA5586">
            <w:pPr>
              <w:spacing w:before="60" w:after="60" w:line="240" w:lineRule="auto"/>
              <w:ind w:left="-709" w:firstLine="709"/>
              <w:jc w:val="center"/>
              <w:rPr>
                <w:rFonts w:cs="Arial"/>
                <w:sz w:val="18"/>
                <w:szCs w:val="18"/>
              </w:rPr>
            </w:pPr>
          </w:p>
        </w:tc>
        <w:tc>
          <w:tcPr>
            <w:tcW w:w="2160" w:type="dxa"/>
            <w:tcBorders>
              <w:top w:val="single" w:sz="12" w:space="0" w:color="auto"/>
              <w:left w:val="single" w:sz="4" w:space="0" w:color="auto"/>
              <w:bottom w:val="nil"/>
              <w:right w:val="single" w:sz="12" w:space="0" w:color="auto"/>
            </w:tcBorders>
            <w:shd w:val="clear" w:color="auto" w:fill="auto"/>
          </w:tcPr>
          <w:p w:rsidR="004927DE" w:rsidRDefault="004927DE" w:rsidP="00C97B52">
            <w:pPr>
              <w:spacing w:before="60" w:after="60" w:line="240" w:lineRule="auto"/>
              <w:ind w:left="-709" w:firstLine="709"/>
              <w:jc w:val="center"/>
              <w:rPr>
                <w:rFonts w:cs="Arial"/>
                <w:sz w:val="18"/>
                <w:szCs w:val="18"/>
              </w:rPr>
            </w:pPr>
            <w:r>
              <w:rPr>
                <w:rFonts w:cs="Arial"/>
                <w:sz w:val="18"/>
                <w:szCs w:val="18"/>
              </w:rPr>
              <w:t>V1.</w:t>
            </w:r>
            <w:r w:rsidR="00C97B52">
              <w:rPr>
                <w:rFonts w:cs="Arial"/>
                <w:sz w:val="18"/>
                <w:szCs w:val="18"/>
              </w:rPr>
              <w:t>3</w:t>
            </w:r>
          </w:p>
        </w:tc>
      </w:tr>
      <w:tr w:rsidR="00EA5586" w:rsidRPr="00EA5586" w:rsidTr="00D44549">
        <w:trPr>
          <w:cantSplit/>
          <w:trHeight w:hRule="exact" w:val="60"/>
          <w:tblHeader/>
        </w:trPr>
        <w:tc>
          <w:tcPr>
            <w:tcW w:w="3686" w:type="dxa"/>
            <w:tcBorders>
              <w:top w:val="single" w:sz="6" w:space="0" w:color="auto"/>
              <w:left w:val="nil"/>
              <w:bottom w:val="single" w:sz="6" w:space="0" w:color="auto"/>
              <w:right w:val="nil"/>
            </w:tcBorders>
            <w:shd w:val="pct50" w:color="auto" w:fill="auto"/>
          </w:tcPr>
          <w:p w:rsidR="00EA5586" w:rsidRPr="00EA5586" w:rsidRDefault="00EA5586" w:rsidP="00EA5586">
            <w:pPr>
              <w:spacing w:before="60" w:after="60" w:line="240" w:lineRule="auto"/>
              <w:ind w:left="-709" w:firstLine="709"/>
              <w:rPr>
                <w:rFonts w:cs="Arial"/>
                <w:sz w:val="18"/>
                <w:szCs w:val="18"/>
              </w:rPr>
            </w:pPr>
          </w:p>
        </w:tc>
        <w:tc>
          <w:tcPr>
            <w:tcW w:w="2974" w:type="dxa"/>
            <w:tcBorders>
              <w:top w:val="single" w:sz="6" w:space="0" w:color="auto"/>
              <w:left w:val="nil"/>
              <w:bottom w:val="single" w:sz="6" w:space="0" w:color="auto"/>
              <w:right w:val="single" w:sz="4" w:space="0" w:color="auto"/>
            </w:tcBorders>
            <w:shd w:val="pct50" w:color="auto" w:fill="auto"/>
          </w:tcPr>
          <w:p w:rsidR="00EA5586" w:rsidRPr="00EA5586" w:rsidRDefault="00EA5586" w:rsidP="00EA5586">
            <w:pPr>
              <w:spacing w:before="60" w:after="60" w:line="240" w:lineRule="auto"/>
              <w:ind w:left="-709" w:firstLine="709"/>
              <w:rPr>
                <w:rFonts w:cs="Arial"/>
                <w:sz w:val="18"/>
                <w:szCs w:val="18"/>
              </w:rPr>
            </w:pPr>
          </w:p>
        </w:tc>
        <w:tc>
          <w:tcPr>
            <w:tcW w:w="2160" w:type="dxa"/>
            <w:tcBorders>
              <w:top w:val="single" w:sz="6" w:space="0" w:color="auto"/>
              <w:left w:val="single" w:sz="4" w:space="0" w:color="auto"/>
              <w:bottom w:val="single" w:sz="6" w:space="0" w:color="auto"/>
              <w:right w:val="nil"/>
            </w:tcBorders>
            <w:shd w:val="pct50" w:color="auto" w:fill="auto"/>
          </w:tcPr>
          <w:p w:rsidR="00EA5586" w:rsidRPr="00EA5586" w:rsidRDefault="00EA5586" w:rsidP="00EA5586">
            <w:pPr>
              <w:spacing w:before="60" w:after="60" w:line="240" w:lineRule="auto"/>
              <w:ind w:left="-709" w:firstLine="709"/>
              <w:rPr>
                <w:rFonts w:cs="Arial"/>
                <w:sz w:val="18"/>
                <w:szCs w:val="18"/>
              </w:rPr>
            </w:pPr>
          </w:p>
        </w:tc>
      </w:tr>
    </w:tbl>
    <w:p w:rsidR="00EA5586" w:rsidRPr="00EA5586" w:rsidRDefault="00EA5586" w:rsidP="00EA5586">
      <w:pPr>
        <w:tabs>
          <w:tab w:val="left" w:pos="720"/>
          <w:tab w:val="left" w:pos="1440"/>
        </w:tabs>
        <w:ind w:left="-709" w:firstLine="709"/>
        <w:rPr>
          <w:rFonts w:eastAsia="Times New Roman" w:cs="Arial"/>
          <w:sz w:val="18"/>
          <w:szCs w:val="18"/>
        </w:rPr>
      </w:pPr>
    </w:p>
    <w:p w:rsidR="00EA5586" w:rsidRPr="00EA5586" w:rsidRDefault="00EA5586" w:rsidP="00EA5586">
      <w:pPr>
        <w:tabs>
          <w:tab w:val="left" w:pos="720"/>
          <w:tab w:val="left" w:pos="1440"/>
        </w:tabs>
        <w:ind w:left="-709" w:firstLine="709"/>
        <w:rPr>
          <w:rFonts w:eastAsia="Times New Roman" w:cs="Arial"/>
          <w:sz w:val="18"/>
          <w:szCs w:val="18"/>
        </w:rPr>
      </w:pPr>
    </w:p>
    <w:p w:rsidR="00EA5586" w:rsidRPr="00EA5586" w:rsidRDefault="00EA5586" w:rsidP="00EA5586">
      <w:pPr>
        <w:tabs>
          <w:tab w:val="left" w:pos="720"/>
          <w:tab w:val="left" w:pos="1440"/>
        </w:tabs>
        <w:ind w:left="-709" w:firstLine="709"/>
        <w:rPr>
          <w:rFonts w:eastAsia="Times New Roman" w:cs="Arial"/>
          <w:b/>
          <w:szCs w:val="18"/>
        </w:rPr>
      </w:pPr>
      <w:r w:rsidRPr="00EA5586">
        <w:rPr>
          <w:rFonts w:eastAsia="Times New Roman" w:cs="Arial"/>
          <w:b/>
          <w:szCs w:val="18"/>
        </w:rPr>
        <w:t>Distribution of Approved Version</w:t>
      </w:r>
    </w:p>
    <w:tbl>
      <w:tblPr>
        <w:tblW w:w="8820" w:type="dxa"/>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2079"/>
        <w:gridCol w:w="4581"/>
      </w:tblGrid>
      <w:tr w:rsidR="00EA5586" w:rsidRPr="00EA5586" w:rsidTr="00D44549">
        <w:trPr>
          <w:cantSplit/>
          <w:tblHeader/>
        </w:trPr>
        <w:tc>
          <w:tcPr>
            <w:tcW w:w="2160" w:type="dxa"/>
            <w:tcBorders>
              <w:top w:val="single" w:sz="12" w:space="0" w:color="auto"/>
              <w:left w:val="single" w:sz="12" w:space="0" w:color="auto"/>
              <w:bottom w:val="single" w:sz="6" w:space="0" w:color="auto"/>
              <w:right w:val="single" w:sz="4" w:space="0" w:color="auto"/>
            </w:tcBorders>
            <w:shd w:val="pct10" w:color="auto" w:fill="auto"/>
          </w:tcPr>
          <w:p w:rsidR="00EA5586" w:rsidRPr="00EA5586" w:rsidRDefault="00EA5586" w:rsidP="00EA5586">
            <w:pPr>
              <w:spacing w:before="60" w:after="60" w:line="240" w:lineRule="auto"/>
              <w:ind w:left="-709" w:firstLine="709"/>
              <w:jc w:val="center"/>
              <w:rPr>
                <w:rFonts w:cs="Arial"/>
                <w:sz w:val="18"/>
                <w:szCs w:val="18"/>
              </w:rPr>
            </w:pPr>
            <w:r w:rsidRPr="00EA5586">
              <w:rPr>
                <w:rFonts w:cs="Arial"/>
                <w:sz w:val="18"/>
                <w:szCs w:val="18"/>
              </w:rPr>
              <w:t>Name of person or group</w:t>
            </w:r>
          </w:p>
        </w:tc>
        <w:tc>
          <w:tcPr>
            <w:tcW w:w="2079" w:type="dxa"/>
            <w:tcBorders>
              <w:top w:val="single" w:sz="12" w:space="0" w:color="auto"/>
              <w:left w:val="single" w:sz="4" w:space="0" w:color="auto"/>
              <w:bottom w:val="single" w:sz="6" w:space="0" w:color="auto"/>
              <w:right w:val="single" w:sz="4" w:space="0" w:color="auto"/>
            </w:tcBorders>
            <w:shd w:val="pct10" w:color="auto" w:fill="auto"/>
          </w:tcPr>
          <w:p w:rsidR="00EA5586" w:rsidRPr="00EA5586" w:rsidRDefault="00EA5586" w:rsidP="00EA5586">
            <w:pPr>
              <w:spacing w:before="60" w:after="60" w:line="240" w:lineRule="auto"/>
              <w:ind w:left="-709" w:firstLine="709"/>
              <w:jc w:val="center"/>
              <w:rPr>
                <w:rFonts w:cs="Arial"/>
                <w:sz w:val="18"/>
                <w:szCs w:val="18"/>
              </w:rPr>
            </w:pPr>
            <w:r w:rsidRPr="00EA5586">
              <w:rPr>
                <w:rFonts w:cs="Arial"/>
                <w:sz w:val="18"/>
                <w:szCs w:val="18"/>
              </w:rPr>
              <w:t>Position</w:t>
            </w:r>
          </w:p>
        </w:tc>
        <w:tc>
          <w:tcPr>
            <w:tcW w:w="4581" w:type="dxa"/>
            <w:tcBorders>
              <w:top w:val="single" w:sz="12" w:space="0" w:color="auto"/>
              <w:left w:val="single" w:sz="4" w:space="0" w:color="auto"/>
              <w:bottom w:val="nil"/>
              <w:right w:val="single" w:sz="12" w:space="0" w:color="auto"/>
            </w:tcBorders>
            <w:shd w:val="pct10" w:color="auto" w:fill="auto"/>
          </w:tcPr>
          <w:p w:rsidR="00EA5586" w:rsidRPr="00EA5586" w:rsidRDefault="00EA5586" w:rsidP="00EA5586">
            <w:pPr>
              <w:spacing w:before="60" w:after="60" w:line="240" w:lineRule="auto"/>
              <w:ind w:left="-709" w:firstLine="709"/>
              <w:jc w:val="center"/>
              <w:rPr>
                <w:rFonts w:cs="Arial"/>
                <w:sz w:val="18"/>
                <w:szCs w:val="18"/>
              </w:rPr>
            </w:pPr>
            <w:r w:rsidRPr="00EA5586">
              <w:rPr>
                <w:rFonts w:cs="Arial"/>
                <w:sz w:val="18"/>
                <w:szCs w:val="18"/>
              </w:rPr>
              <w:t>Version Released</w:t>
            </w:r>
          </w:p>
        </w:tc>
      </w:tr>
      <w:tr w:rsidR="00EA5586" w:rsidRPr="00EA5586" w:rsidTr="00D44549">
        <w:trPr>
          <w:cantSplit/>
          <w:trHeight w:hRule="exact" w:val="60"/>
          <w:tblHeader/>
        </w:trPr>
        <w:tc>
          <w:tcPr>
            <w:tcW w:w="2160" w:type="dxa"/>
            <w:tcBorders>
              <w:top w:val="single" w:sz="6" w:space="0" w:color="auto"/>
              <w:left w:val="nil"/>
              <w:bottom w:val="single" w:sz="6" w:space="0" w:color="auto"/>
              <w:right w:val="nil"/>
            </w:tcBorders>
            <w:shd w:val="pct50" w:color="auto" w:fill="auto"/>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6" w:space="0" w:color="auto"/>
              <w:left w:val="nil"/>
              <w:bottom w:val="single" w:sz="6" w:space="0" w:color="auto"/>
              <w:right w:val="nil"/>
            </w:tcBorders>
            <w:shd w:val="pct50" w:color="auto" w:fill="auto"/>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6" w:space="0" w:color="auto"/>
              <w:left w:val="nil"/>
              <w:bottom w:val="single" w:sz="6" w:space="0" w:color="auto"/>
              <w:right w:val="nil"/>
            </w:tcBorders>
            <w:shd w:val="pct50" w:color="auto" w:fill="auto"/>
          </w:tcPr>
          <w:p w:rsidR="00EA5586" w:rsidRPr="00EA5586" w:rsidRDefault="00EA5586" w:rsidP="00EA5586">
            <w:pPr>
              <w:spacing w:before="60" w:after="60" w:line="240" w:lineRule="auto"/>
              <w:ind w:left="-709" w:firstLine="709"/>
              <w:rPr>
                <w:rFonts w:cs="Arial"/>
                <w:sz w:val="18"/>
                <w:szCs w:val="18"/>
              </w:rPr>
            </w:pPr>
          </w:p>
        </w:tc>
      </w:tr>
      <w:tr w:rsidR="00EA5586" w:rsidRPr="00EA5586" w:rsidTr="00D44549">
        <w:trPr>
          <w:cantSplit/>
        </w:trPr>
        <w:tc>
          <w:tcPr>
            <w:tcW w:w="2160" w:type="dxa"/>
            <w:tcBorders>
              <w:top w:val="single" w:sz="6"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6"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6"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709" w:firstLine="709"/>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709" w:firstLine="709"/>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709" w:firstLine="709"/>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709" w:firstLine="709"/>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709" w:firstLine="709"/>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709" w:firstLine="709"/>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709" w:firstLine="709"/>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709" w:firstLine="709"/>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12"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12"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12" w:space="0" w:color="auto"/>
              <w:right w:val="single" w:sz="12" w:space="0" w:color="auto"/>
            </w:tcBorders>
          </w:tcPr>
          <w:p w:rsidR="00EA5586" w:rsidRPr="00EA5586" w:rsidRDefault="00EA5586" w:rsidP="00EA5586">
            <w:pPr>
              <w:spacing w:before="60" w:after="60" w:line="240" w:lineRule="auto"/>
              <w:ind w:left="-709" w:firstLine="709"/>
              <w:rPr>
                <w:rFonts w:cs="Arial"/>
                <w:sz w:val="18"/>
                <w:szCs w:val="18"/>
              </w:rPr>
            </w:pPr>
          </w:p>
        </w:tc>
      </w:tr>
    </w:tbl>
    <w:p w:rsidR="00EA5586" w:rsidRPr="00EA5586" w:rsidRDefault="00EA5586" w:rsidP="00EA5586">
      <w:pPr>
        <w:tabs>
          <w:tab w:val="left" w:pos="720"/>
          <w:tab w:val="left" w:pos="1440"/>
        </w:tabs>
        <w:ind w:left="-709" w:firstLine="709"/>
        <w:rPr>
          <w:rFonts w:eastAsia="Times New Roman" w:cs="Arial"/>
          <w:b/>
          <w:sz w:val="18"/>
          <w:szCs w:val="18"/>
        </w:rPr>
      </w:pPr>
    </w:p>
    <w:sectPr w:rsidR="00EA5586" w:rsidRPr="00EA5586" w:rsidSect="009D46CA">
      <w:footerReference w:type="default" r:id="rId18"/>
      <w:pgSz w:w="11900" w:h="16840" w:code="9"/>
      <w:pgMar w:top="1134" w:right="1021" w:bottom="1021" w:left="1134" w:header="624"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9A" w:rsidRDefault="00A22D9A" w:rsidP="009B3A1B">
      <w:pPr>
        <w:spacing w:after="0" w:line="240" w:lineRule="auto"/>
      </w:pPr>
      <w:r>
        <w:separator/>
      </w:r>
    </w:p>
  </w:endnote>
  <w:endnote w:type="continuationSeparator" w:id="0">
    <w:p w:rsidR="00A22D9A" w:rsidRDefault="00A22D9A" w:rsidP="009B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utiger-Roman">
    <w:altName w:val="Cambria"/>
    <w:panose1 w:val="00000000000000000000"/>
    <w:charset w:val="4D"/>
    <w:family w:val="auto"/>
    <w:notTrueType/>
    <w:pitch w:val="default"/>
    <w:sig w:usb0="00000003" w:usb1="00000000" w:usb2="00000000" w:usb3="00000000" w:csb0="00000001" w:csb1="00000000"/>
  </w:font>
  <w:font w:name="Lucida Grande">
    <w:altName w:val="Malgun Gothic"/>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9A" w:rsidRDefault="00A22D9A" w:rsidP="00D44549">
    <w:pPr>
      <w:pStyle w:val="Footer"/>
      <w:tabs>
        <w:tab w:val="clear" w:pos="8640"/>
        <w:tab w:val="right" w:pos="10206"/>
      </w:tabs>
    </w:pPr>
    <w:r>
      <w:tab/>
    </w:r>
    <w:r>
      <w:tab/>
    </w:r>
    <w:r>
      <w:tab/>
    </w:r>
    <w:r>
      <w:tab/>
    </w:r>
    <w:r w:rsidRPr="00D44549">
      <w:rPr>
        <w:color w:val="808080" w:themeColor="background1" w:themeShade="80"/>
        <w:spacing w:val="60"/>
      </w:rPr>
      <w:t>Page</w:t>
    </w:r>
    <w:r>
      <w:t xml:space="preserve"> | </w:t>
    </w:r>
    <w:r>
      <w:fldChar w:fldCharType="begin"/>
    </w:r>
    <w:r>
      <w:instrText xml:space="preserve"> PAGE   \* MERGEFORMAT </w:instrText>
    </w:r>
    <w:r>
      <w:fldChar w:fldCharType="separate"/>
    </w:r>
    <w:r w:rsidRPr="00826AEA">
      <w:rPr>
        <w:b/>
        <w:bCs/>
        <w:noProof/>
      </w:rPr>
      <w:t>6</w:t>
    </w:r>
    <w:r>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9A" w:rsidRDefault="00A22D9A">
    <w:pPr>
      <w:pStyle w:val="Footer"/>
    </w:pPr>
    <w:r>
      <w:rPr>
        <w:noProof/>
        <w:lang w:eastAsia="en-GB"/>
      </w:rPr>
      <w:drawing>
        <wp:anchor distT="0" distB="0" distL="114300" distR="114300" simplePos="0" relativeHeight="251657728" behindDoc="0" locked="0" layoutInCell="1" allowOverlap="1" wp14:anchorId="0CB2AACB" wp14:editId="3D4EF2FB">
          <wp:simplePos x="0" y="0"/>
          <wp:positionH relativeFrom="column">
            <wp:posOffset>5758180</wp:posOffset>
          </wp:positionH>
          <wp:positionV relativeFrom="paragraph">
            <wp:posOffset>-99060</wp:posOffset>
          </wp:positionV>
          <wp:extent cx="711835" cy="288290"/>
          <wp:effectExtent l="25400" t="0" r="0" b="0"/>
          <wp:wrapTopAndBottom/>
          <wp:docPr id="12" name="Picture 12" descr="N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HS-logo"/>
                  <pic:cNvPicPr>
                    <a:picLocks noChangeAspect="1" noChangeArrowheads="1"/>
                  </pic:cNvPicPr>
                </pic:nvPicPr>
                <pic:blipFill>
                  <a:blip r:embed="rId1"/>
                  <a:srcRect/>
                  <a:stretch>
                    <a:fillRect/>
                  </a:stretch>
                </pic:blipFill>
                <pic:spPr bwMode="auto">
                  <a:xfrm>
                    <a:off x="0" y="0"/>
                    <a:ext cx="711835" cy="28829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9A" w:rsidRDefault="00A22D9A" w:rsidP="00826AEA">
    <w:pPr>
      <w:pStyle w:val="Footer"/>
      <w:tabs>
        <w:tab w:val="clear" w:pos="8640"/>
        <w:tab w:val="right" w:pos="9639"/>
      </w:tabs>
    </w:pPr>
    <w:r>
      <w:tab/>
    </w:r>
    <w:r>
      <w:tab/>
    </w:r>
    <w:r>
      <w:tab/>
    </w:r>
    <w:r>
      <w:tab/>
    </w:r>
    <w:r w:rsidRPr="00D44549">
      <w:rPr>
        <w:color w:val="808080" w:themeColor="background1" w:themeShade="80"/>
        <w:spacing w:val="60"/>
      </w:rPr>
      <w:t>Page</w:t>
    </w:r>
    <w:r>
      <w:t xml:space="preserve"> | </w:t>
    </w:r>
    <w:r>
      <w:fldChar w:fldCharType="begin"/>
    </w:r>
    <w:r>
      <w:instrText xml:space="preserve"> PAGE   \* MERGEFORMAT </w:instrText>
    </w:r>
    <w:r>
      <w:fldChar w:fldCharType="separate"/>
    </w:r>
    <w:r w:rsidRPr="00D16EF7">
      <w:rPr>
        <w:b/>
        <w:bCs/>
        <w:noProof/>
      </w:rPr>
      <w:t>2</w:t>
    </w:r>
    <w:r>
      <w:rPr>
        <w:b/>
        <w:bCs/>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9A" w:rsidRDefault="00A22D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9A" w:rsidRDefault="00A22D9A" w:rsidP="00826AEA">
    <w:pPr>
      <w:pStyle w:val="Footer"/>
      <w:tabs>
        <w:tab w:val="clear" w:pos="8640"/>
        <w:tab w:val="right" w:pos="9639"/>
      </w:tabs>
    </w:pPr>
    <w:r>
      <w:tab/>
    </w:r>
    <w:r>
      <w:tab/>
    </w:r>
    <w:r>
      <w:tab/>
    </w:r>
    <w:r>
      <w:tab/>
    </w:r>
    <w:r w:rsidRPr="00D44549">
      <w:rPr>
        <w:color w:val="808080" w:themeColor="background1" w:themeShade="80"/>
        <w:spacing w:val="60"/>
      </w:rPr>
      <w:t>Page</w:t>
    </w:r>
    <w:r>
      <w:t xml:space="preserve"> | </w:t>
    </w:r>
    <w:r>
      <w:fldChar w:fldCharType="begin"/>
    </w:r>
    <w:r>
      <w:instrText xml:space="preserve"> PAGE   \* MERGEFORMAT </w:instrText>
    </w:r>
    <w:r>
      <w:fldChar w:fldCharType="separate"/>
    </w:r>
    <w:r w:rsidR="005E1059" w:rsidRPr="005E1059">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9A" w:rsidRDefault="00A22D9A" w:rsidP="009B3A1B">
      <w:pPr>
        <w:spacing w:after="0" w:line="240" w:lineRule="auto"/>
      </w:pPr>
      <w:r>
        <w:separator/>
      </w:r>
    </w:p>
  </w:footnote>
  <w:footnote w:type="continuationSeparator" w:id="0">
    <w:p w:rsidR="00A22D9A" w:rsidRDefault="00A22D9A" w:rsidP="009B3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9A" w:rsidRDefault="00A22D9A" w:rsidP="009B3A1B">
    <w:pPr>
      <w:pStyle w:val="Header"/>
      <w:jc w:val="left"/>
    </w:pPr>
    <w:r>
      <w:t>HRA Estates Strategy V1.1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9A" w:rsidRPr="002A426A" w:rsidRDefault="005E1059" w:rsidP="00826AEA">
    <w:pPr>
      <w:pStyle w:val="Header"/>
      <w:jc w:val="left"/>
    </w:pPr>
    <w:r>
      <w:fldChar w:fldCharType="begin"/>
    </w:r>
    <w:r>
      <w:instrText xml:space="preserve"> STYLEREF "Heading 1,Heading A Chapter,Section" \* MERGEFORMAT </w:instrText>
    </w:r>
    <w:r>
      <w:fldChar w:fldCharType="separate"/>
    </w:r>
    <w:r>
      <w:rPr>
        <w:noProof/>
      </w:rPr>
      <w:t>HRA Estates Strategy</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9A" w:rsidRDefault="00A22D9A">
    <w:pPr>
      <w:pStyle w:val="Header"/>
    </w:pPr>
    <w:r>
      <w:rPr>
        <w:noProof/>
        <w:lang w:eastAsia="en-GB"/>
      </w:rPr>
      <w:drawing>
        <wp:anchor distT="0" distB="0" distL="114300" distR="114300" simplePos="0" relativeHeight="251658752" behindDoc="1" locked="0" layoutInCell="1" allowOverlap="1" wp14:anchorId="204DA353" wp14:editId="5D7F614C">
          <wp:simplePos x="0" y="0"/>
          <wp:positionH relativeFrom="column">
            <wp:posOffset>1828800</wp:posOffset>
          </wp:positionH>
          <wp:positionV relativeFrom="paragraph">
            <wp:posOffset>4210050</wp:posOffset>
          </wp:positionV>
          <wp:extent cx="3992245" cy="3959860"/>
          <wp:effectExtent l="838200" t="838200" r="808355" b="815340"/>
          <wp:wrapNone/>
          <wp:docPr id="10" name="Picture 10" descr="010023-HRA-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7" descr="010023-HRA-Graphic"/>
                  <pic:cNvPicPr>
                    <a:picLocks noChangeAspect="1" noChangeArrowheads="1"/>
                  </pic:cNvPicPr>
                </pic:nvPicPr>
                <pic:blipFill>
                  <a:blip r:embed="rId1"/>
                  <a:srcRect/>
                  <a:stretch>
                    <a:fillRect/>
                  </a:stretch>
                </pic:blipFill>
                <pic:spPr bwMode="auto">
                  <a:xfrm rot="2671363">
                    <a:off x="0" y="0"/>
                    <a:ext cx="3992245" cy="3959860"/>
                  </a:xfrm>
                  <a:prstGeom prst="rect">
                    <a:avLst/>
                  </a:prstGeom>
                  <a:noFill/>
                </pic:spPr>
              </pic:pic>
            </a:graphicData>
          </a:graphic>
        </wp:anchor>
      </w:drawing>
    </w:r>
    <w:r>
      <w:rPr>
        <w:noProof/>
        <w:lang w:eastAsia="en-GB"/>
      </w:rPr>
      <w:drawing>
        <wp:anchor distT="0" distB="0" distL="114300" distR="114300" simplePos="0" relativeHeight="251656704" behindDoc="0" locked="0" layoutInCell="1" allowOverlap="1" wp14:anchorId="7AC478A6" wp14:editId="5E55628D">
          <wp:simplePos x="0" y="0"/>
          <wp:positionH relativeFrom="column">
            <wp:posOffset>4221480</wp:posOffset>
          </wp:positionH>
          <wp:positionV relativeFrom="paragraph">
            <wp:posOffset>64770</wp:posOffset>
          </wp:positionV>
          <wp:extent cx="2266950" cy="647700"/>
          <wp:effectExtent l="25400" t="0" r="0" b="0"/>
          <wp:wrapTopAndBottom/>
          <wp:docPr id="11" name="Picture 11" descr="NHS-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HS-HRA"/>
                  <pic:cNvPicPr>
                    <a:picLocks noChangeAspect="1" noChangeArrowheads="1"/>
                  </pic:cNvPicPr>
                </pic:nvPicPr>
                <pic:blipFill>
                  <a:blip r:embed="rId2"/>
                  <a:srcRect/>
                  <a:stretch>
                    <a:fillRect/>
                  </a:stretch>
                </pic:blipFill>
                <pic:spPr bwMode="auto">
                  <a:xfrm>
                    <a:off x="0" y="0"/>
                    <a:ext cx="2266950" cy="6477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9A" w:rsidRDefault="00A22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4884150"/>
    <w:lvl w:ilvl="0">
      <w:start w:val="1"/>
      <w:numFmt w:val="lowerRoman"/>
      <w:pStyle w:val="ListNumber2"/>
      <w:lvlText w:val="%1."/>
      <w:lvlJc w:val="right"/>
      <w:pPr>
        <w:ind w:left="463" w:hanging="180"/>
      </w:pPr>
      <w:rPr>
        <w:rFonts w:hint="default"/>
      </w:rPr>
    </w:lvl>
  </w:abstractNum>
  <w:abstractNum w:abstractNumId="1">
    <w:nsid w:val="FFFFFF83"/>
    <w:multiLevelType w:val="singleLevel"/>
    <w:tmpl w:val="154C62F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171AC7B6"/>
    <w:lvl w:ilvl="0">
      <w:start w:val="1"/>
      <w:numFmt w:val="decimal"/>
      <w:pStyle w:val="ListNumber"/>
      <w:lvlText w:val="%1."/>
      <w:lvlJc w:val="left"/>
      <w:pPr>
        <w:tabs>
          <w:tab w:val="num" w:pos="360"/>
        </w:tabs>
        <w:ind w:left="360" w:hanging="360"/>
      </w:pPr>
      <w:rPr>
        <w:rFonts w:hint="default"/>
        <w:color w:val="331188"/>
      </w:rPr>
    </w:lvl>
  </w:abstractNum>
  <w:abstractNum w:abstractNumId="3">
    <w:nsid w:val="FFFFFF89"/>
    <w:multiLevelType w:val="singleLevel"/>
    <w:tmpl w:val="4A60AE50"/>
    <w:lvl w:ilvl="0">
      <w:start w:val="1"/>
      <w:numFmt w:val="bullet"/>
      <w:pStyle w:val="ListBullet"/>
      <w:lvlText w:val=""/>
      <w:lvlJc w:val="left"/>
      <w:pPr>
        <w:ind w:left="360" w:hanging="360"/>
      </w:pPr>
      <w:rPr>
        <w:rFonts w:ascii="Symbol" w:hAnsi="Symbol" w:hint="default"/>
        <w:color w:val="331188"/>
      </w:rPr>
    </w:lvl>
  </w:abstractNum>
  <w:abstractNum w:abstractNumId="4">
    <w:nsid w:val="002943FD"/>
    <w:multiLevelType w:val="hybridMultilevel"/>
    <w:tmpl w:val="2AB48E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396368"/>
    <w:multiLevelType w:val="hybridMultilevel"/>
    <w:tmpl w:val="CA628C8E"/>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3A46823"/>
    <w:multiLevelType w:val="hybridMultilevel"/>
    <w:tmpl w:val="B9A0D956"/>
    <w:lvl w:ilvl="0" w:tplc="6A6AF8E6">
      <w:start w:val="1"/>
      <w:numFmt w:val="bullet"/>
      <w:lvlText w:val=""/>
      <w:lvlJc w:val="left"/>
      <w:pPr>
        <w:ind w:left="1287" w:hanging="360"/>
      </w:pPr>
      <w:rPr>
        <w:rFonts w:ascii="Symbol" w:hAnsi="Symbol" w:hint="default"/>
        <w:b w:val="0"/>
        <w:i w:val="0"/>
        <w:color w:val="E36C0A" w:themeColor="accent6" w:themeShade="BF"/>
        <w:sz w:val="18"/>
      </w:rPr>
    </w:lvl>
    <w:lvl w:ilvl="1" w:tplc="08090003">
      <w:start w:val="1"/>
      <w:numFmt w:val="bullet"/>
      <w:lvlText w:val="o"/>
      <w:lvlJc w:val="left"/>
      <w:pPr>
        <w:ind w:left="2007" w:hanging="360"/>
      </w:pPr>
      <w:rPr>
        <w:rFonts w:ascii="Courier New" w:hAnsi="Courier New" w:cs="Times New Roman"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Times New Roman"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Times New Roman" w:hint="default"/>
      </w:rPr>
    </w:lvl>
    <w:lvl w:ilvl="8" w:tplc="08090005">
      <w:start w:val="1"/>
      <w:numFmt w:val="bullet"/>
      <w:lvlText w:val=""/>
      <w:lvlJc w:val="left"/>
      <w:pPr>
        <w:ind w:left="7047" w:hanging="360"/>
      </w:pPr>
      <w:rPr>
        <w:rFonts w:ascii="Wingdings" w:hAnsi="Wingdings" w:hint="default"/>
      </w:rPr>
    </w:lvl>
  </w:abstractNum>
  <w:abstractNum w:abstractNumId="7">
    <w:nsid w:val="07057B3B"/>
    <w:multiLevelType w:val="hybridMultilevel"/>
    <w:tmpl w:val="863ACC18"/>
    <w:lvl w:ilvl="0" w:tplc="3C5057F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A438A3"/>
    <w:multiLevelType w:val="hybridMultilevel"/>
    <w:tmpl w:val="6638F81A"/>
    <w:lvl w:ilvl="0" w:tplc="B2C4B294">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B3570B"/>
    <w:multiLevelType w:val="hybridMultilevel"/>
    <w:tmpl w:val="1C3A4590"/>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56754C"/>
    <w:multiLevelType w:val="hybridMultilevel"/>
    <w:tmpl w:val="8DD46464"/>
    <w:lvl w:ilvl="0" w:tplc="6A6AF8E6">
      <w:start w:val="1"/>
      <w:numFmt w:val="bullet"/>
      <w:lvlText w:val=""/>
      <w:lvlJc w:val="left"/>
      <w:pPr>
        <w:ind w:left="1800" w:hanging="360"/>
      </w:pPr>
      <w:rPr>
        <w:rFonts w:ascii="Symbol" w:hAnsi="Symbol" w:hint="default"/>
        <w:color w:val="E36C0A" w:themeColor="accent6" w:themeShade="BF"/>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1C534496"/>
    <w:multiLevelType w:val="multilevel"/>
    <w:tmpl w:val="D81675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CF80B7D"/>
    <w:multiLevelType w:val="hybridMultilevel"/>
    <w:tmpl w:val="E034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475874"/>
    <w:multiLevelType w:val="hybridMultilevel"/>
    <w:tmpl w:val="25268DFA"/>
    <w:lvl w:ilvl="0" w:tplc="3A089A6C">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9871B7"/>
    <w:multiLevelType w:val="hybridMultilevel"/>
    <w:tmpl w:val="6150D164"/>
    <w:lvl w:ilvl="0" w:tplc="AA089332">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EF54A1"/>
    <w:multiLevelType w:val="hybridMultilevel"/>
    <w:tmpl w:val="057A77A6"/>
    <w:lvl w:ilvl="0" w:tplc="AAB8E74A">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1E35F7"/>
    <w:multiLevelType w:val="hybridMultilevel"/>
    <w:tmpl w:val="E9BEE4D0"/>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5E6ED7"/>
    <w:multiLevelType w:val="hybridMultilevel"/>
    <w:tmpl w:val="EAC2BEA6"/>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A2564A"/>
    <w:multiLevelType w:val="hybridMultilevel"/>
    <w:tmpl w:val="34D88978"/>
    <w:lvl w:ilvl="0" w:tplc="74A67C00">
      <w:start w:val="1"/>
      <w:numFmt w:val="bullet"/>
      <w:lvlText w:val=""/>
      <w:lvlJc w:val="left"/>
      <w:pPr>
        <w:ind w:left="1296" w:hanging="360"/>
      </w:pPr>
      <w:rPr>
        <w:rFonts w:ascii="Symbol" w:hAnsi="Symbol" w:hint="default"/>
        <w:b w:val="0"/>
        <w:i w:val="0"/>
        <w:sz w:val="18"/>
      </w:rPr>
    </w:lvl>
    <w:lvl w:ilvl="1" w:tplc="08090003">
      <w:start w:val="1"/>
      <w:numFmt w:val="bullet"/>
      <w:lvlText w:val="o"/>
      <w:lvlJc w:val="left"/>
      <w:pPr>
        <w:ind w:left="2016" w:hanging="360"/>
      </w:pPr>
      <w:rPr>
        <w:rFonts w:ascii="Courier New" w:hAnsi="Courier New" w:cs="Courier New" w:hint="default"/>
      </w:rPr>
    </w:lvl>
    <w:lvl w:ilvl="2" w:tplc="08090005">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9">
    <w:nsid w:val="286D13D2"/>
    <w:multiLevelType w:val="hybridMultilevel"/>
    <w:tmpl w:val="2DD80E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933EF8"/>
    <w:multiLevelType w:val="hybridMultilevel"/>
    <w:tmpl w:val="80B4D8E4"/>
    <w:lvl w:ilvl="0" w:tplc="2ED407E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F3717E"/>
    <w:multiLevelType w:val="hybridMultilevel"/>
    <w:tmpl w:val="5C5CAD9C"/>
    <w:lvl w:ilvl="0" w:tplc="6A6AF8E6">
      <w:start w:val="1"/>
      <w:numFmt w:val="bullet"/>
      <w:lvlText w:val=""/>
      <w:lvlJc w:val="left"/>
      <w:pPr>
        <w:ind w:left="1080" w:hanging="360"/>
      </w:pPr>
      <w:rPr>
        <w:rFonts w:ascii="Symbol" w:hAnsi="Symbol" w:hint="default"/>
        <w:color w:val="E36C0A" w:themeColor="accent6"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2B627BE"/>
    <w:multiLevelType w:val="hybridMultilevel"/>
    <w:tmpl w:val="192CF3DC"/>
    <w:lvl w:ilvl="0" w:tplc="C4BAC504">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5A6B5D"/>
    <w:multiLevelType w:val="hybridMultilevel"/>
    <w:tmpl w:val="2E62BDD2"/>
    <w:lvl w:ilvl="0" w:tplc="CD640E2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5C214D"/>
    <w:multiLevelType w:val="hybridMultilevel"/>
    <w:tmpl w:val="A09AAB4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391942AE"/>
    <w:multiLevelType w:val="hybridMultilevel"/>
    <w:tmpl w:val="576A157E"/>
    <w:lvl w:ilvl="0" w:tplc="028C34A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C935CF"/>
    <w:multiLevelType w:val="hybridMultilevel"/>
    <w:tmpl w:val="0D4438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053687"/>
    <w:multiLevelType w:val="hybridMultilevel"/>
    <w:tmpl w:val="43A8F5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7E56B6"/>
    <w:multiLevelType w:val="hybridMultilevel"/>
    <w:tmpl w:val="962ECF22"/>
    <w:lvl w:ilvl="0" w:tplc="74A67C00">
      <w:start w:val="1"/>
      <w:numFmt w:val="bullet"/>
      <w:lvlText w:val=""/>
      <w:lvlJc w:val="left"/>
      <w:pPr>
        <w:ind w:left="1296" w:hanging="360"/>
      </w:pPr>
      <w:rPr>
        <w:rFonts w:ascii="Symbol" w:hAnsi="Symbol" w:hint="default"/>
        <w:b w:val="0"/>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8D0D13"/>
    <w:multiLevelType w:val="multilevel"/>
    <w:tmpl w:val="11B8275A"/>
    <w:lvl w:ilvl="0">
      <w:start w:val="1"/>
      <w:numFmt w:val="decimal"/>
      <w:pStyle w:val="HeadingA"/>
      <w:lvlText w:val="%1.0"/>
      <w:lvlJc w:val="left"/>
      <w:pPr>
        <w:ind w:left="6245" w:hanging="432"/>
      </w:pPr>
      <w:rPr>
        <w:rFonts w:hint="default"/>
      </w:rPr>
    </w:lvl>
    <w:lvl w:ilvl="1">
      <w:start w:val="1"/>
      <w:numFmt w:val="decimal"/>
      <w:pStyle w:val="NumberedParagraph"/>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45871F9F"/>
    <w:multiLevelType w:val="hybridMultilevel"/>
    <w:tmpl w:val="D372561A"/>
    <w:lvl w:ilvl="0" w:tplc="B090F554">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6F0E0E"/>
    <w:multiLevelType w:val="hybridMultilevel"/>
    <w:tmpl w:val="C096B58A"/>
    <w:lvl w:ilvl="0" w:tplc="6A6AF8E6">
      <w:start w:val="1"/>
      <w:numFmt w:val="bullet"/>
      <w:lvlText w:val=""/>
      <w:lvlJc w:val="left"/>
      <w:pPr>
        <w:ind w:left="1287" w:hanging="360"/>
      </w:pPr>
      <w:rPr>
        <w:rFonts w:ascii="Symbol" w:hAnsi="Symbol" w:hint="default"/>
        <w:b w:val="0"/>
        <w:i w:val="0"/>
        <w:color w:val="E36C0A" w:themeColor="accent6" w:themeShade="BF"/>
        <w:sz w:val="18"/>
      </w:rPr>
    </w:lvl>
    <w:lvl w:ilvl="1" w:tplc="08090003">
      <w:start w:val="1"/>
      <w:numFmt w:val="bullet"/>
      <w:lvlText w:val="o"/>
      <w:lvlJc w:val="left"/>
      <w:pPr>
        <w:ind w:left="2007" w:hanging="360"/>
      </w:pPr>
      <w:rPr>
        <w:rFonts w:ascii="Courier New" w:hAnsi="Courier New" w:cs="Times New Roman"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Times New Roman"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Times New Roman" w:hint="default"/>
      </w:rPr>
    </w:lvl>
    <w:lvl w:ilvl="8" w:tplc="08090005">
      <w:start w:val="1"/>
      <w:numFmt w:val="bullet"/>
      <w:lvlText w:val=""/>
      <w:lvlJc w:val="left"/>
      <w:pPr>
        <w:ind w:left="7047" w:hanging="360"/>
      </w:pPr>
      <w:rPr>
        <w:rFonts w:ascii="Wingdings" w:hAnsi="Wingdings" w:hint="default"/>
      </w:rPr>
    </w:lvl>
  </w:abstractNum>
  <w:abstractNum w:abstractNumId="33">
    <w:nsid w:val="5AB2292D"/>
    <w:multiLevelType w:val="hybridMultilevel"/>
    <w:tmpl w:val="3D9CD66E"/>
    <w:lvl w:ilvl="0" w:tplc="BFE69192">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DD7BE9"/>
    <w:multiLevelType w:val="hybridMultilevel"/>
    <w:tmpl w:val="643E3BAA"/>
    <w:lvl w:ilvl="0" w:tplc="3A9AA5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33599D"/>
    <w:multiLevelType w:val="hybridMultilevel"/>
    <w:tmpl w:val="33DCD638"/>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BB1FD8"/>
    <w:multiLevelType w:val="hybridMultilevel"/>
    <w:tmpl w:val="7756B118"/>
    <w:lvl w:ilvl="0" w:tplc="590A4B8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977B4C"/>
    <w:multiLevelType w:val="hybridMultilevel"/>
    <w:tmpl w:val="C90209C6"/>
    <w:lvl w:ilvl="0" w:tplc="437A34C4">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1B51AC"/>
    <w:multiLevelType w:val="multilevel"/>
    <w:tmpl w:val="1DE67216"/>
    <w:lvl w:ilvl="0">
      <w:start w:val="1"/>
      <w:numFmt w:val="bullet"/>
      <w:pStyle w:val="ListParagraph"/>
      <w:lvlText w:val=""/>
      <w:lvlJc w:val="left"/>
      <w:pPr>
        <w:ind w:left="927" w:hanging="360"/>
      </w:pPr>
      <w:rPr>
        <w:rFonts w:ascii="Symbol" w:hAnsi="Symbol" w:hint="default"/>
        <w:color w:val="E36C0A" w:themeColor="accent6" w:themeShade="BF"/>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74755EE"/>
    <w:multiLevelType w:val="hybridMultilevel"/>
    <w:tmpl w:val="8B222DEC"/>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466806"/>
    <w:multiLevelType w:val="hybridMultilevel"/>
    <w:tmpl w:val="E27EA4C0"/>
    <w:lvl w:ilvl="0" w:tplc="74A67C00">
      <w:start w:val="1"/>
      <w:numFmt w:val="bullet"/>
      <w:lvlText w:val=""/>
      <w:lvlJc w:val="left"/>
      <w:pPr>
        <w:ind w:left="1296" w:hanging="360"/>
      </w:pPr>
      <w:rPr>
        <w:rFonts w:ascii="Symbol" w:hAnsi="Symbol" w:hint="default"/>
        <w:b w:val="0"/>
        <w:i w:val="0"/>
        <w:sz w:val="18"/>
      </w:rPr>
    </w:lvl>
    <w:lvl w:ilvl="1" w:tplc="08090003">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41">
    <w:nsid w:val="759771AF"/>
    <w:multiLevelType w:val="hybridMultilevel"/>
    <w:tmpl w:val="50705C9A"/>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0036DD"/>
    <w:multiLevelType w:val="hybridMultilevel"/>
    <w:tmpl w:val="1032D0E8"/>
    <w:lvl w:ilvl="0" w:tplc="CD1AD596">
      <w:start w:val="1"/>
      <w:numFmt w:val="bullet"/>
      <w:pStyle w:val="BodyTextIndent2"/>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Times New Roman"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Times New Roman"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Times New Roman" w:hint="default"/>
      </w:rPr>
    </w:lvl>
    <w:lvl w:ilvl="8" w:tplc="08090005">
      <w:start w:val="1"/>
      <w:numFmt w:val="bullet"/>
      <w:lvlText w:val=""/>
      <w:lvlJc w:val="left"/>
      <w:pPr>
        <w:ind w:left="7047" w:hanging="360"/>
      </w:pPr>
      <w:rPr>
        <w:rFonts w:ascii="Wingdings" w:hAnsi="Wingdings" w:hint="default"/>
      </w:rPr>
    </w:lvl>
  </w:abstractNum>
  <w:abstractNum w:abstractNumId="43">
    <w:nsid w:val="76B257C3"/>
    <w:multiLevelType w:val="hybridMultilevel"/>
    <w:tmpl w:val="140EC8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BB2749"/>
    <w:multiLevelType w:val="hybridMultilevel"/>
    <w:tmpl w:val="1EC859B4"/>
    <w:lvl w:ilvl="0" w:tplc="C86EAAAC">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2"/>
  </w:num>
  <w:num w:numId="5">
    <w:abstractNumId w:val="0"/>
  </w:num>
  <w:num w:numId="6">
    <w:abstractNumId w:val="42"/>
  </w:num>
  <w:num w:numId="7">
    <w:abstractNumId w:val="29"/>
  </w:num>
  <w:num w:numId="8">
    <w:abstractNumId w:val="40"/>
  </w:num>
  <w:num w:numId="9">
    <w:abstractNumId w:val="24"/>
  </w:num>
  <w:num w:numId="10">
    <w:abstractNumId w:val="12"/>
  </w:num>
  <w:num w:numId="11">
    <w:abstractNumId w:val="28"/>
  </w:num>
  <w:num w:numId="12">
    <w:abstractNumId w:val="18"/>
  </w:num>
  <w:num w:numId="13">
    <w:abstractNumId w:val="29"/>
    <w:lvlOverride w:ilvl="0">
      <w:startOverride w:val="3"/>
    </w:lvlOverride>
    <w:lvlOverride w:ilvl="1">
      <w:startOverride w:val="2"/>
    </w:lvlOverride>
  </w:num>
  <w:num w:numId="14">
    <w:abstractNumId w:val="29"/>
    <w:lvlOverride w:ilvl="0">
      <w:startOverride w:val="3"/>
    </w:lvlOverride>
    <w:lvlOverride w:ilvl="1">
      <w:startOverride w:val="1"/>
    </w:lvlOverride>
  </w:num>
  <w:num w:numId="15">
    <w:abstractNumId w:val="21"/>
  </w:num>
  <w:num w:numId="16">
    <w:abstractNumId w:val="10"/>
  </w:num>
  <w:num w:numId="17">
    <w:abstractNumId w:val="32"/>
  </w:num>
  <w:num w:numId="18">
    <w:abstractNumId w:val="17"/>
  </w:num>
  <w:num w:numId="19">
    <w:abstractNumId w:val="35"/>
  </w:num>
  <w:num w:numId="20">
    <w:abstractNumId w:val="41"/>
  </w:num>
  <w:num w:numId="21">
    <w:abstractNumId w:val="14"/>
  </w:num>
  <w:num w:numId="22">
    <w:abstractNumId w:val="20"/>
  </w:num>
  <w:num w:numId="23">
    <w:abstractNumId w:val="16"/>
  </w:num>
  <w:num w:numId="24">
    <w:abstractNumId w:val="5"/>
  </w:num>
  <w:num w:numId="25">
    <w:abstractNumId w:val="39"/>
  </w:num>
  <w:num w:numId="26">
    <w:abstractNumId w:val="34"/>
  </w:num>
  <w:num w:numId="27">
    <w:abstractNumId w:val="9"/>
  </w:num>
  <w:num w:numId="28">
    <w:abstractNumId w:val="6"/>
  </w:num>
  <w:num w:numId="29">
    <w:abstractNumId w:val="44"/>
  </w:num>
  <w:num w:numId="30">
    <w:abstractNumId w:val="30"/>
  </w:num>
  <w:num w:numId="31">
    <w:abstractNumId w:val="25"/>
  </w:num>
  <w:num w:numId="32">
    <w:abstractNumId w:val="13"/>
  </w:num>
  <w:num w:numId="33">
    <w:abstractNumId w:val="22"/>
  </w:num>
  <w:num w:numId="34">
    <w:abstractNumId w:val="37"/>
  </w:num>
  <w:num w:numId="35">
    <w:abstractNumId w:val="8"/>
  </w:num>
  <w:num w:numId="36">
    <w:abstractNumId w:val="33"/>
  </w:num>
  <w:num w:numId="37">
    <w:abstractNumId w:val="7"/>
  </w:num>
  <w:num w:numId="38">
    <w:abstractNumId w:val="23"/>
  </w:num>
  <w:num w:numId="39">
    <w:abstractNumId w:val="15"/>
  </w:num>
  <w:num w:numId="40">
    <w:abstractNumId w:val="36"/>
  </w:num>
  <w:num w:numId="41">
    <w:abstractNumId w:val="4"/>
  </w:num>
  <w:num w:numId="42">
    <w:abstractNumId w:val="26"/>
  </w:num>
  <w:num w:numId="43">
    <w:abstractNumId w:val="19"/>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7"/>
  </w:num>
  <w:num w:numId="47">
    <w:abstractNumId w:val="43"/>
  </w:num>
  <w:num w:numId="48">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CD3862"/>
    <w:rsid w:val="000C1866"/>
    <w:rsid w:val="000D0D4C"/>
    <w:rsid w:val="000D199C"/>
    <w:rsid w:val="000D5FE5"/>
    <w:rsid w:val="000E0B77"/>
    <w:rsid w:val="000E5121"/>
    <w:rsid w:val="0010261F"/>
    <w:rsid w:val="001054BF"/>
    <w:rsid w:val="00141B31"/>
    <w:rsid w:val="001D2A1E"/>
    <w:rsid w:val="001D4F59"/>
    <w:rsid w:val="002152D9"/>
    <w:rsid w:val="002226C3"/>
    <w:rsid w:val="00223E93"/>
    <w:rsid w:val="00241EF4"/>
    <w:rsid w:val="00242306"/>
    <w:rsid w:val="0024605C"/>
    <w:rsid w:val="00264725"/>
    <w:rsid w:val="00265192"/>
    <w:rsid w:val="00270874"/>
    <w:rsid w:val="002A5300"/>
    <w:rsid w:val="002E7324"/>
    <w:rsid w:val="00335920"/>
    <w:rsid w:val="0036670D"/>
    <w:rsid w:val="00372ED1"/>
    <w:rsid w:val="00390B5F"/>
    <w:rsid w:val="003B5A25"/>
    <w:rsid w:val="003C0F3D"/>
    <w:rsid w:val="003E7407"/>
    <w:rsid w:val="003E7D93"/>
    <w:rsid w:val="004120FC"/>
    <w:rsid w:val="00414240"/>
    <w:rsid w:val="0042533D"/>
    <w:rsid w:val="00437C49"/>
    <w:rsid w:val="00476F41"/>
    <w:rsid w:val="004811BA"/>
    <w:rsid w:val="004927DE"/>
    <w:rsid w:val="004B7112"/>
    <w:rsid w:val="004B7466"/>
    <w:rsid w:val="004F528A"/>
    <w:rsid w:val="0052187C"/>
    <w:rsid w:val="0053043C"/>
    <w:rsid w:val="005615F3"/>
    <w:rsid w:val="00562804"/>
    <w:rsid w:val="00573B07"/>
    <w:rsid w:val="00594241"/>
    <w:rsid w:val="005C3872"/>
    <w:rsid w:val="005C69E2"/>
    <w:rsid w:val="005D25FA"/>
    <w:rsid w:val="005E1059"/>
    <w:rsid w:val="006076EC"/>
    <w:rsid w:val="00695568"/>
    <w:rsid w:val="006E252D"/>
    <w:rsid w:val="00733141"/>
    <w:rsid w:val="00735A17"/>
    <w:rsid w:val="00750332"/>
    <w:rsid w:val="007826A0"/>
    <w:rsid w:val="00792302"/>
    <w:rsid w:val="007A1F8D"/>
    <w:rsid w:val="007B130E"/>
    <w:rsid w:val="007E1E53"/>
    <w:rsid w:val="00826AEA"/>
    <w:rsid w:val="00893D17"/>
    <w:rsid w:val="008B02D4"/>
    <w:rsid w:val="008C1363"/>
    <w:rsid w:val="008C27E4"/>
    <w:rsid w:val="00937456"/>
    <w:rsid w:val="009577EE"/>
    <w:rsid w:val="00961A97"/>
    <w:rsid w:val="009B3A1B"/>
    <w:rsid w:val="009C304F"/>
    <w:rsid w:val="009D46CA"/>
    <w:rsid w:val="009D79C0"/>
    <w:rsid w:val="00A1263F"/>
    <w:rsid w:val="00A211BD"/>
    <w:rsid w:val="00A22D9A"/>
    <w:rsid w:val="00A36B0E"/>
    <w:rsid w:val="00A4660D"/>
    <w:rsid w:val="00A51DB6"/>
    <w:rsid w:val="00A61B6B"/>
    <w:rsid w:val="00AB277E"/>
    <w:rsid w:val="00AC43BE"/>
    <w:rsid w:val="00AC7887"/>
    <w:rsid w:val="00B04785"/>
    <w:rsid w:val="00B162C8"/>
    <w:rsid w:val="00B80F18"/>
    <w:rsid w:val="00C0083A"/>
    <w:rsid w:val="00C22ED2"/>
    <w:rsid w:val="00C61CAE"/>
    <w:rsid w:val="00C6639E"/>
    <w:rsid w:val="00C97B52"/>
    <w:rsid w:val="00CB42E8"/>
    <w:rsid w:val="00CB5F30"/>
    <w:rsid w:val="00CD3862"/>
    <w:rsid w:val="00CD7F4C"/>
    <w:rsid w:val="00CF022B"/>
    <w:rsid w:val="00D03ABC"/>
    <w:rsid w:val="00D16EF7"/>
    <w:rsid w:val="00D206BC"/>
    <w:rsid w:val="00D44549"/>
    <w:rsid w:val="00DD6AFE"/>
    <w:rsid w:val="00E071EF"/>
    <w:rsid w:val="00E13B55"/>
    <w:rsid w:val="00E242DF"/>
    <w:rsid w:val="00E30B17"/>
    <w:rsid w:val="00E479E3"/>
    <w:rsid w:val="00EA5586"/>
    <w:rsid w:val="00EB340F"/>
    <w:rsid w:val="00EB6B1B"/>
    <w:rsid w:val="00EC14BC"/>
    <w:rsid w:val="00FA1815"/>
    <w:rsid w:val="00FB57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qFormat="1"/>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BC"/>
    <w:pPr>
      <w:tabs>
        <w:tab w:val="left" w:pos="567"/>
        <w:tab w:val="left" w:pos="992"/>
      </w:tabs>
      <w:spacing w:after="200" w:line="276" w:lineRule="auto"/>
    </w:pPr>
    <w:rPr>
      <w:rFonts w:ascii="Arial" w:hAnsi="Arial"/>
      <w:sz w:val="22"/>
      <w:szCs w:val="24"/>
    </w:rPr>
  </w:style>
  <w:style w:type="paragraph" w:styleId="Heading1">
    <w:name w:val="heading 1"/>
    <w:aliases w:val="Heading A Chapter,Section"/>
    <w:basedOn w:val="Normal"/>
    <w:next w:val="Normal"/>
    <w:link w:val="Heading1Char"/>
    <w:uiPriority w:val="9"/>
    <w:qFormat/>
    <w:rsid w:val="004F5023"/>
    <w:pPr>
      <w:keepNext/>
      <w:spacing w:after="600" w:line="600" w:lineRule="exact"/>
      <w:outlineLvl w:val="0"/>
    </w:pPr>
    <w:rPr>
      <w:rFonts w:eastAsia="MS Gothic"/>
      <w:bCs/>
      <w:color w:val="331188"/>
      <w:kern w:val="32"/>
      <w:sz w:val="52"/>
      <w:szCs w:val="32"/>
    </w:rPr>
  </w:style>
  <w:style w:type="paragraph" w:styleId="Heading2">
    <w:name w:val="heading 2"/>
    <w:aliases w:val="Heading B"/>
    <w:basedOn w:val="Normal"/>
    <w:next w:val="Normal"/>
    <w:link w:val="Heading2Char"/>
    <w:uiPriority w:val="9"/>
    <w:qFormat/>
    <w:rsid w:val="002C3602"/>
    <w:pPr>
      <w:keepNext/>
      <w:spacing w:before="240" w:after="0"/>
      <w:outlineLvl w:val="1"/>
    </w:pPr>
    <w:rPr>
      <w:rFonts w:eastAsia="MS Gothic"/>
      <w:bCs/>
      <w:iCs/>
      <w:color w:val="331188"/>
      <w:sz w:val="24"/>
      <w:szCs w:val="28"/>
    </w:rPr>
  </w:style>
  <w:style w:type="paragraph" w:styleId="Heading3">
    <w:name w:val="heading 3"/>
    <w:aliases w:val="Heading C"/>
    <w:basedOn w:val="Normal"/>
    <w:next w:val="Normal"/>
    <w:link w:val="Heading3Char"/>
    <w:uiPriority w:val="9"/>
    <w:qFormat/>
    <w:rsid w:val="00270874"/>
    <w:pPr>
      <w:keepNext/>
      <w:spacing w:after="240"/>
      <w:outlineLvl w:val="2"/>
    </w:pPr>
    <w:rPr>
      <w:rFonts w:eastAsia="MS Gothic"/>
      <w:b/>
      <w:bCs/>
      <w:color w:val="331188"/>
      <w:sz w:val="24"/>
      <w:szCs w:val="26"/>
    </w:rPr>
  </w:style>
  <w:style w:type="paragraph" w:styleId="Heading4">
    <w:name w:val="heading 4"/>
    <w:aliases w:val="Heading D"/>
    <w:basedOn w:val="Normal"/>
    <w:next w:val="Normal"/>
    <w:link w:val="Heading4Char"/>
    <w:uiPriority w:val="9"/>
    <w:qFormat/>
    <w:rsid w:val="00457F50"/>
    <w:pPr>
      <w:keepNext/>
      <w:spacing w:after="0"/>
      <w:outlineLvl w:val="3"/>
    </w:pPr>
    <w:rPr>
      <w:rFonts w:ascii="Arial Narrow" w:hAnsi="Arial Narrow"/>
      <w:bCs/>
      <w:color w:val="331188"/>
      <w:szCs w:val="28"/>
    </w:rPr>
  </w:style>
  <w:style w:type="paragraph" w:styleId="Heading5">
    <w:name w:val="heading 5"/>
    <w:basedOn w:val="Normal"/>
    <w:next w:val="Normal"/>
    <w:link w:val="Heading5Char"/>
    <w:uiPriority w:val="9"/>
    <w:qFormat/>
    <w:rsid w:val="00564F88"/>
    <w:pPr>
      <w:numPr>
        <w:ilvl w:val="4"/>
        <w:numId w:val="1"/>
      </w:numPr>
      <w:spacing w:before="240" w:after="60"/>
      <w:outlineLvl w:val="4"/>
    </w:pPr>
    <w:rPr>
      <w:rFonts w:ascii="Cambria" w:hAnsi="Cambria"/>
      <w:b/>
      <w:bCs/>
      <w:i/>
      <w:iCs/>
      <w:sz w:val="26"/>
      <w:szCs w:val="26"/>
    </w:rPr>
  </w:style>
  <w:style w:type="paragraph" w:styleId="Heading6">
    <w:name w:val="heading 6"/>
    <w:aliases w:val="Block"/>
    <w:basedOn w:val="BlockText"/>
    <w:next w:val="Normal"/>
    <w:link w:val="Heading6Char"/>
    <w:uiPriority w:val="9"/>
    <w:qFormat/>
    <w:rsid w:val="001C1F87"/>
    <w:pPr>
      <w:outlineLvl w:val="5"/>
    </w:pPr>
    <w:rPr>
      <w:b/>
      <w:color w:val="EE8800"/>
    </w:rPr>
  </w:style>
  <w:style w:type="paragraph" w:styleId="Heading7">
    <w:name w:val="heading 7"/>
    <w:basedOn w:val="Normal"/>
    <w:next w:val="Normal"/>
    <w:link w:val="Heading7Char"/>
    <w:uiPriority w:val="9"/>
    <w:qFormat/>
    <w:rsid w:val="00564F88"/>
    <w:pPr>
      <w:numPr>
        <w:ilvl w:val="6"/>
        <w:numId w:val="1"/>
      </w:numPr>
      <w:spacing w:before="240" w:after="60"/>
      <w:outlineLvl w:val="6"/>
    </w:pPr>
    <w:rPr>
      <w:rFonts w:ascii="Cambria" w:hAnsi="Cambria"/>
      <w:sz w:val="24"/>
    </w:rPr>
  </w:style>
  <w:style w:type="paragraph" w:styleId="Heading8">
    <w:name w:val="heading 8"/>
    <w:basedOn w:val="Normal"/>
    <w:next w:val="Normal"/>
    <w:link w:val="Heading8Char"/>
    <w:uiPriority w:val="9"/>
    <w:qFormat/>
    <w:rsid w:val="00564F88"/>
    <w:pPr>
      <w:numPr>
        <w:ilvl w:val="7"/>
        <w:numId w:val="1"/>
      </w:numPr>
      <w:spacing w:before="240" w:after="60"/>
      <w:outlineLvl w:val="7"/>
    </w:pPr>
    <w:rPr>
      <w:rFonts w:ascii="Cambria" w:hAnsi="Cambria"/>
      <w:i/>
      <w:iCs/>
      <w:sz w:val="24"/>
    </w:rPr>
  </w:style>
  <w:style w:type="paragraph" w:styleId="Heading9">
    <w:name w:val="heading 9"/>
    <w:basedOn w:val="Normal"/>
    <w:next w:val="Normal"/>
    <w:link w:val="Heading9Char"/>
    <w:uiPriority w:val="9"/>
    <w:qFormat/>
    <w:rsid w:val="00564F88"/>
    <w:pPr>
      <w:numPr>
        <w:ilvl w:val="8"/>
        <w:numId w:val="1"/>
      </w:numPr>
      <w:spacing w:before="240" w:after="60"/>
      <w:outlineLvl w:val="8"/>
    </w:pPr>
    <w:rPr>
      <w:rFonts w:ascii="Calibri" w:eastAsia="MS Gothic"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5023"/>
    <w:pPr>
      <w:spacing w:after="360" w:line="800" w:lineRule="exact"/>
      <w:outlineLvl w:val="0"/>
    </w:pPr>
    <w:rPr>
      <w:rFonts w:eastAsia="MS Gothic"/>
      <w:bCs/>
      <w:color w:val="331188"/>
      <w:kern w:val="28"/>
      <w:sz w:val="66"/>
      <w:szCs w:val="32"/>
    </w:rPr>
  </w:style>
  <w:style w:type="character" w:customStyle="1" w:styleId="TitleChar">
    <w:name w:val="Title Char"/>
    <w:link w:val="Title"/>
    <w:uiPriority w:val="10"/>
    <w:rsid w:val="004F5023"/>
    <w:rPr>
      <w:rFonts w:ascii="Arial" w:eastAsia="MS Gothic" w:hAnsi="Arial"/>
      <w:bCs/>
      <w:color w:val="331188"/>
      <w:kern w:val="28"/>
      <w:sz w:val="66"/>
      <w:szCs w:val="32"/>
    </w:rPr>
  </w:style>
  <w:style w:type="paragraph" w:styleId="Header">
    <w:name w:val="header"/>
    <w:basedOn w:val="Normal"/>
    <w:link w:val="HeaderChar"/>
    <w:unhideWhenUsed/>
    <w:rsid w:val="00000995"/>
    <w:pPr>
      <w:tabs>
        <w:tab w:val="center" w:pos="4320"/>
        <w:tab w:val="right" w:pos="8640"/>
      </w:tabs>
      <w:jc w:val="right"/>
    </w:pPr>
    <w:rPr>
      <w:color w:val="EE8800"/>
      <w:sz w:val="20"/>
    </w:rPr>
  </w:style>
  <w:style w:type="character" w:customStyle="1" w:styleId="HeaderChar">
    <w:name w:val="Header Char"/>
    <w:link w:val="Header"/>
    <w:uiPriority w:val="99"/>
    <w:rsid w:val="00000995"/>
    <w:rPr>
      <w:rFonts w:ascii="Arial" w:hAnsi="Arial"/>
      <w:color w:val="EE8800"/>
      <w:szCs w:val="24"/>
    </w:rPr>
  </w:style>
  <w:style w:type="paragraph" w:styleId="Footer">
    <w:name w:val="footer"/>
    <w:basedOn w:val="Normal"/>
    <w:link w:val="FooterChar"/>
    <w:uiPriority w:val="99"/>
    <w:unhideWhenUsed/>
    <w:qFormat/>
    <w:rsid w:val="003154E1"/>
    <w:pPr>
      <w:tabs>
        <w:tab w:val="center" w:pos="4320"/>
        <w:tab w:val="right" w:pos="8640"/>
      </w:tabs>
      <w:spacing w:after="0" w:line="240" w:lineRule="exact"/>
    </w:pPr>
    <w:rPr>
      <w:sz w:val="20"/>
    </w:rPr>
  </w:style>
  <w:style w:type="character" w:customStyle="1" w:styleId="FooterChar">
    <w:name w:val="Footer Char"/>
    <w:link w:val="Footer"/>
    <w:uiPriority w:val="99"/>
    <w:rsid w:val="003154E1"/>
    <w:rPr>
      <w:rFonts w:ascii="Arial" w:hAnsi="Arial"/>
      <w:szCs w:val="24"/>
    </w:rPr>
  </w:style>
  <w:style w:type="paragraph" w:styleId="Subtitle">
    <w:name w:val="Subtitle"/>
    <w:basedOn w:val="Normal"/>
    <w:next w:val="Normal"/>
    <w:link w:val="SubtitleChar"/>
    <w:uiPriority w:val="11"/>
    <w:qFormat/>
    <w:rsid w:val="000F3A30"/>
    <w:pPr>
      <w:spacing w:before="120" w:line="420" w:lineRule="exact"/>
      <w:outlineLvl w:val="1"/>
    </w:pPr>
    <w:rPr>
      <w:rFonts w:eastAsia="MS Gothic"/>
      <w:color w:val="666666"/>
      <w:sz w:val="36"/>
    </w:rPr>
  </w:style>
  <w:style w:type="character" w:customStyle="1" w:styleId="SubtitleChar">
    <w:name w:val="Subtitle Char"/>
    <w:link w:val="Subtitle"/>
    <w:uiPriority w:val="11"/>
    <w:rsid w:val="000F3A30"/>
    <w:rPr>
      <w:rFonts w:ascii="Arial" w:eastAsia="MS Gothic" w:hAnsi="Arial" w:cs="Times New Roman"/>
      <w:color w:val="666666"/>
      <w:sz w:val="36"/>
      <w:szCs w:val="24"/>
    </w:rPr>
  </w:style>
  <w:style w:type="character" w:customStyle="1" w:styleId="Heading1Char">
    <w:name w:val="Heading 1 Char"/>
    <w:aliases w:val="Heading A Chapter Char,Section Char"/>
    <w:link w:val="Heading1"/>
    <w:uiPriority w:val="9"/>
    <w:rsid w:val="004F5023"/>
    <w:rPr>
      <w:rFonts w:ascii="Arial" w:eastAsia="MS Gothic" w:hAnsi="Arial"/>
      <w:bCs/>
      <w:color w:val="331188"/>
      <w:kern w:val="32"/>
      <w:sz w:val="52"/>
      <w:szCs w:val="32"/>
    </w:rPr>
  </w:style>
  <w:style w:type="character" w:customStyle="1" w:styleId="Heading2Char">
    <w:name w:val="Heading 2 Char"/>
    <w:aliases w:val="Heading B Char"/>
    <w:link w:val="Heading2"/>
    <w:uiPriority w:val="9"/>
    <w:rsid w:val="002C3602"/>
    <w:rPr>
      <w:rFonts w:ascii="Arial" w:eastAsia="MS Gothic" w:hAnsi="Arial" w:cs="Times New Roman"/>
      <w:bCs/>
      <w:iCs/>
      <w:color w:val="331188"/>
      <w:sz w:val="24"/>
      <w:szCs w:val="28"/>
    </w:rPr>
  </w:style>
  <w:style w:type="paragraph" w:customStyle="1" w:styleId="NumberedParagraph">
    <w:name w:val="Numbered Paragraph"/>
    <w:basedOn w:val="Normal"/>
    <w:qFormat/>
    <w:rsid w:val="002731BF"/>
    <w:pPr>
      <w:numPr>
        <w:ilvl w:val="1"/>
        <w:numId w:val="7"/>
      </w:numPr>
    </w:pPr>
  </w:style>
  <w:style w:type="paragraph" w:customStyle="1" w:styleId="HeadingA">
    <w:name w:val="Heading A"/>
    <w:basedOn w:val="Heading1"/>
    <w:next w:val="Normal"/>
    <w:qFormat/>
    <w:rsid w:val="009D46CA"/>
    <w:pPr>
      <w:numPr>
        <w:numId w:val="7"/>
      </w:numPr>
      <w:ind w:left="567" w:hanging="567"/>
    </w:pPr>
  </w:style>
  <w:style w:type="character" w:customStyle="1" w:styleId="Heading3Char">
    <w:name w:val="Heading 3 Char"/>
    <w:aliases w:val="Heading C Char"/>
    <w:link w:val="Heading3"/>
    <w:uiPriority w:val="9"/>
    <w:rsid w:val="00270874"/>
    <w:rPr>
      <w:rFonts w:ascii="Arial" w:eastAsia="MS Gothic" w:hAnsi="Arial"/>
      <w:b/>
      <w:bCs/>
      <w:color w:val="331188"/>
      <w:sz w:val="24"/>
      <w:szCs w:val="26"/>
    </w:rPr>
  </w:style>
  <w:style w:type="character" w:customStyle="1" w:styleId="Heading4Char">
    <w:name w:val="Heading 4 Char"/>
    <w:aliases w:val="Heading D Char"/>
    <w:link w:val="Heading4"/>
    <w:uiPriority w:val="9"/>
    <w:semiHidden/>
    <w:rsid w:val="00457F50"/>
    <w:rPr>
      <w:rFonts w:ascii="Arial Narrow" w:eastAsia="MS Mincho" w:hAnsi="Arial Narrow" w:cs="Times New Roman"/>
      <w:bCs/>
      <w:color w:val="331188"/>
      <w:sz w:val="22"/>
      <w:szCs w:val="28"/>
    </w:rPr>
  </w:style>
  <w:style w:type="character" w:customStyle="1" w:styleId="Heading5Char">
    <w:name w:val="Heading 5 Char"/>
    <w:link w:val="Heading5"/>
    <w:uiPriority w:val="9"/>
    <w:rsid w:val="00564F88"/>
    <w:rPr>
      <w:b/>
      <w:bCs/>
      <w:i/>
      <w:iCs/>
      <w:sz w:val="26"/>
      <w:szCs w:val="26"/>
    </w:rPr>
  </w:style>
  <w:style w:type="character" w:customStyle="1" w:styleId="Heading6Char">
    <w:name w:val="Heading 6 Char"/>
    <w:aliases w:val="Block Char"/>
    <w:link w:val="Heading6"/>
    <w:uiPriority w:val="9"/>
    <w:rsid w:val="001C1F87"/>
    <w:rPr>
      <w:rFonts w:ascii="Arial" w:hAnsi="Arial"/>
      <w:b/>
      <w:color w:val="EE8800"/>
      <w:sz w:val="22"/>
      <w:szCs w:val="24"/>
    </w:rPr>
  </w:style>
  <w:style w:type="character" w:customStyle="1" w:styleId="Heading7Char">
    <w:name w:val="Heading 7 Char"/>
    <w:link w:val="Heading7"/>
    <w:uiPriority w:val="9"/>
    <w:rsid w:val="00564F88"/>
    <w:rPr>
      <w:sz w:val="24"/>
      <w:szCs w:val="24"/>
    </w:rPr>
  </w:style>
  <w:style w:type="character" w:customStyle="1" w:styleId="Heading8Char">
    <w:name w:val="Heading 8 Char"/>
    <w:link w:val="Heading8"/>
    <w:uiPriority w:val="9"/>
    <w:rsid w:val="00564F88"/>
    <w:rPr>
      <w:i/>
      <w:iCs/>
      <w:sz w:val="24"/>
      <w:szCs w:val="24"/>
    </w:rPr>
  </w:style>
  <w:style w:type="character" w:customStyle="1" w:styleId="Heading9Char">
    <w:name w:val="Heading 9 Char"/>
    <w:link w:val="Heading9"/>
    <w:uiPriority w:val="9"/>
    <w:rsid w:val="00564F88"/>
    <w:rPr>
      <w:rFonts w:ascii="Calibri" w:eastAsia="MS Gothic" w:hAnsi="Calibri"/>
      <w:sz w:val="22"/>
      <w:szCs w:val="22"/>
    </w:rPr>
  </w:style>
  <w:style w:type="paragraph" w:styleId="Caption">
    <w:name w:val="caption"/>
    <w:basedOn w:val="Normal"/>
    <w:next w:val="Normal"/>
    <w:qFormat/>
    <w:rsid w:val="00EB2B55"/>
    <w:pPr>
      <w:spacing w:before="240" w:after="240" w:line="280" w:lineRule="exact"/>
    </w:pPr>
    <w:rPr>
      <w:bCs/>
      <w:color w:val="666666"/>
      <w:sz w:val="20"/>
      <w:szCs w:val="20"/>
    </w:rPr>
  </w:style>
  <w:style w:type="paragraph" w:styleId="FootnoteText">
    <w:name w:val="footnote text"/>
    <w:basedOn w:val="Normal"/>
    <w:link w:val="FootnoteTextChar"/>
    <w:uiPriority w:val="99"/>
    <w:unhideWhenUsed/>
    <w:qFormat/>
    <w:rsid w:val="006D5589"/>
    <w:pPr>
      <w:spacing w:after="60" w:line="200" w:lineRule="exact"/>
    </w:pPr>
    <w:rPr>
      <w:color w:val="666666"/>
      <w:sz w:val="16"/>
      <w:szCs w:val="16"/>
    </w:rPr>
  </w:style>
  <w:style w:type="character" w:customStyle="1" w:styleId="FootnoteTextChar">
    <w:name w:val="Footnote Text Char"/>
    <w:link w:val="FootnoteText"/>
    <w:uiPriority w:val="99"/>
    <w:rsid w:val="006D5589"/>
    <w:rPr>
      <w:rFonts w:ascii="Arial" w:hAnsi="Arial"/>
      <w:color w:val="666666"/>
      <w:sz w:val="16"/>
      <w:szCs w:val="16"/>
    </w:rPr>
  </w:style>
  <w:style w:type="character" w:styleId="FootnoteReference">
    <w:name w:val="footnote reference"/>
    <w:uiPriority w:val="99"/>
    <w:unhideWhenUsed/>
    <w:rsid w:val="00713B75"/>
    <w:rPr>
      <w:vertAlign w:val="superscript"/>
    </w:rPr>
  </w:style>
  <w:style w:type="paragraph" w:customStyle="1" w:styleId="Pullout">
    <w:name w:val="Pullout"/>
    <w:basedOn w:val="Normal"/>
    <w:next w:val="Normal"/>
    <w:qFormat/>
    <w:rsid w:val="00EB6599"/>
    <w:pPr>
      <w:pBdr>
        <w:top w:val="single" w:sz="18" w:space="5" w:color="auto"/>
        <w:bottom w:val="single" w:sz="18" w:space="5" w:color="auto"/>
      </w:pBdr>
      <w:spacing w:before="120" w:line="240" w:lineRule="auto"/>
      <w:ind w:right="4536"/>
      <w:jc w:val="both"/>
    </w:pPr>
    <w:rPr>
      <w:sz w:val="40"/>
      <w:szCs w:val="40"/>
    </w:rPr>
  </w:style>
  <w:style w:type="paragraph" w:customStyle="1" w:styleId="Accreditations">
    <w:name w:val="Accreditations"/>
    <w:basedOn w:val="Normal"/>
    <w:next w:val="Normal"/>
    <w:qFormat/>
    <w:rsid w:val="00E402DD"/>
    <w:pPr>
      <w:spacing w:before="60" w:after="60" w:line="240" w:lineRule="exact"/>
    </w:pPr>
    <w:rPr>
      <w:sz w:val="20"/>
      <w:szCs w:val="20"/>
    </w:rPr>
  </w:style>
  <w:style w:type="paragraph" w:customStyle="1" w:styleId="Footnote">
    <w:name w:val="Footnote"/>
    <w:basedOn w:val="Normal"/>
    <w:qFormat/>
    <w:rsid w:val="00557D1F"/>
    <w:pPr>
      <w:widowControl w:val="0"/>
      <w:suppressAutoHyphens/>
      <w:autoSpaceDE w:val="0"/>
      <w:autoSpaceDN w:val="0"/>
      <w:adjustRightInd w:val="0"/>
      <w:spacing w:after="60" w:line="200" w:lineRule="atLeast"/>
      <w:textAlignment w:val="center"/>
    </w:pPr>
    <w:rPr>
      <w:rFonts w:cs="Frutiger-Roman"/>
      <w:color w:val="666666"/>
      <w:sz w:val="16"/>
      <w:szCs w:val="20"/>
    </w:rPr>
  </w:style>
  <w:style w:type="paragraph" w:customStyle="1" w:styleId="Standfirst">
    <w:name w:val="Standfirst"/>
    <w:next w:val="Normal"/>
    <w:qFormat/>
    <w:rsid w:val="008C7E06"/>
    <w:pPr>
      <w:spacing w:after="240" w:line="400" w:lineRule="exact"/>
    </w:pPr>
    <w:rPr>
      <w:rFonts w:ascii="Arial" w:hAnsi="Arial"/>
      <w:color w:val="EE8800"/>
      <w:sz w:val="36"/>
      <w:szCs w:val="36"/>
    </w:rPr>
  </w:style>
  <w:style w:type="paragraph" w:customStyle="1" w:styleId="HeadingFigures">
    <w:name w:val="Heading Figures"/>
    <w:aliases w:val="Tables"/>
    <w:next w:val="Normal"/>
    <w:qFormat/>
    <w:rsid w:val="00C5648C"/>
    <w:pPr>
      <w:spacing w:after="60" w:line="240" w:lineRule="exact"/>
      <w:outlineLvl w:val="5"/>
    </w:pPr>
    <w:rPr>
      <w:rFonts w:ascii="Arial" w:hAnsi="Arial"/>
      <w:b/>
    </w:rPr>
  </w:style>
  <w:style w:type="paragraph" w:customStyle="1" w:styleId="Source">
    <w:name w:val="Source"/>
    <w:aliases w:val="Reference"/>
    <w:next w:val="Normal"/>
    <w:qFormat/>
    <w:rsid w:val="007437E7"/>
    <w:pPr>
      <w:spacing w:before="60" w:after="240" w:line="240" w:lineRule="exact"/>
      <w:jc w:val="right"/>
    </w:pPr>
    <w:rPr>
      <w:rFonts w:ascii="Arial Narrow" w:hAnsi="Arial Narrow"/>
      <w:b/>
      <w:color w:val="666666"/>
    </w:rPr>
  </w:style>
  <w:style w:type="paragraph" w:styleId="TOCHeading">
    <w:name w:val="TOC Heading"/>
    <w:basedOn w:val="Heading1"/>
    <w:next w:val="Normal"/>
    <w:uiPriority w:val="39"/>
    <w:unhideWhenUsed/>
    <w:qFormat/>
    <w:rsid w:val="009069AA"/>
    <w:rPr>
      <w:sz w:val="40"/>
      <w:szCs w:val="40"/>
    </w:rPr>
  </w:style>
  <w:style w:type="paragraph" w:styleId="ListBullet">
    <w:name w:val="List Bullet"/>
    <w:basedOn w:val="Normal"/>
    <w:uiPriority w:val="99"/>
    <w:unhideWhenUsed/>
    <w:rsid w:val="00C456B7"/>
    <w:pPr>
      <w:numPr>
        <w:numId w:val="2"/>
      </w:numPr>
      <w:spacing w:before="120"/>
    </w:pPr>
  </w:style>
  <w:style w:type="paragraph" w:styleId="ListBullet2">
    <w:name w:val="List Bullet 2"/>
    <w:basedOn w:val="Normal"/>
    <w:uiPriority w:val="99"/>
    <w:unhideWhenUsed/>
    <w:rsid w:val="000404CE"/>
    <w:pPr>
      <w:numPr>
        <w:numId w:val="3"/>
      </w:numPr>
      <w:contextualSpacing/>
    </w:pPr>
  </w:style>
  <w:style w:type="paragraph" w:styleId="ListNumber">
    <w:name w:val="List Number"/>
    <w:basedOn w:val="Normal"/>
    <w:uiPriority w:val="99"/>
    <w:semiHidden/>
    <w:unhideWhenUsed/>
    <w:rsid w:val="00140C10"/>
    <w:pPr>
      <w:numPr>
        <w:numId w:val="4"/>
      </w:numPr>
      <w:contextualSpacing/>
    </w:pPr>
  </w:style>
  <w:style w:type="character" w:customStyle="1" w:styleId="Fact">
    <w:name w:val="Fact"/>
    <w:uiPriority w:val="1"/>
    <w:qFormat/>
    <w:rsid w:val="003813B6"/>
    <w:rPr>
      <w:color w:val="EE8800"/>
      <w:sz w:val="72"/>
      <w:szCs w:val="72"/>
    </w:rPr>
  </w:style>
  <w:style w:type="paragraph" w:styleId="ListNumber2">
    <w:name w:val="List Number 2"/>
    <w:basedOn w:val="Normal"/>
    <w:uiPriority w:val="99"/>
    <w:semiHidden/>
    <w:unhideWhenUsed/>
    <w:rsid w:val="00AA4CD3"/>
    <w:pPr>
      <w:numPr>
        <w:numId w:val="5"/>
      </w:numPr>
      <w:contextualSpacing/>
    </w:pPr>
  </w:style>
  <w:style w:type="paragraph" w:styleId="BlockText">
    <w:name w:val="Block Text"/>
    <w:basedOn w:val="Normal"/>
    <w:uiPriority w:val="99"/>
    <w:unhideWhenUsed/>
    <w:rsid w:val="001C1F87"/>
    <w:pPr>
      <w:pBdr>
        <w:top w:val="double" w:sz="4" w:space="1" w:color="EE8800"/>
        <w:left w:val="double" w:sz="4" w:space="4" w:color="EE8800"/>
        <w:bottom w:val="double" w:sz="4" w:space="1" w:color="EE8800"/>
        <w:right w:val="double" w:sz="4" w:space="4" w:color="EE8800"/>
      </w:pBdr>
      <w:spacing w:before="120"/>
      <w:ind w:left="284" w:right="567"/>
    </w:pPr>
  </w:style>
  <w:style w:type="paragraph" w:styleId="BalloonText">
    <w:name w:val="Balloon Text"/>
    <w:basedOn w:val="Normal"/>
    <w:link w:val="BalloonTextChar"/>
    <w:uiPriority w:val="99"/>
    <w:semiHidden/>
    <w:unhideWhenUsed/>
    <w:rsid w:val="004B7F6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4B7F63"/>
    <w:rPr>
      <w:rFonts w:ascii="Lucida Grande" w:hAnsi="Lucida Grande" w:cs="Lucida Grande"/>
      <w:sz w:val="18"/>
      <w:szCs w:val="18"/>
    </w:rPr>
  </w:style>
  <w:style w:type="table" w:styleId="TableGrid">
    <w:name w:val="Table Grid"/>
    <w:basedOn w:val="TableNormal"/>
    <w:uiPriority w:val="59"/>
    <w:rsid w:val="009B43DF"/>
    <w:pPr>
      <w:spacing w:before="60" w:after="60"/>
    </w:pPr>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wordWrap/>
        <w:spacing w:beforeLines="0" w:beforeAutospacing="0" w:afterLines="0" w:afterAutospacing="0" w:line="240" w:lineRule="auto"/>
        <w:jc w:val="center"/>
      </w:pPr>
      <w:rPr>
        <w:rFonts w:ascii="Arial" w:hAnsi="Arial"/>
        <w:b/>
        <w:i w:val="0"/>
        <w:sz w:val="22"/>
      </w:rPr>
      <w:tblPr/>
      <w:tcPr>
        <w:tcBorders>
          <w:top w:val="single" w:sz="12" w:space="0" w:color="auto"/>
          <w:left w:val="single" w:sz="12" w:space="0" w:color="auto"/>
          <w:bottom w:val="single" w:sz="12" w:space="0" w:color="auto"/>
          <w:right w:val="single" w:sz="12" w:space="0" w:color="auto"/>
        </w:tcBorders>
        <w:shd w:val="clear" w:color="auto" w:fill="CCCCCC"/>
      </w:tcPr>
    </w:tblStylePr>
  </w:style>
  <w:style w:type="paragraph" w:customStyle="1" w:styleId="TableText">
    <w:name w:val="Table Text"/>
    <w:basedOn w:val="Normal"/>
    <w:qFormat/>
    <w:rsid w:val="00E57B1F"/>
    <w:pPr>
      <w:spacing w:before="60" w:after="60" w:line="240" w:lineRule="auto"/>
    </w:pPr>
    <w:rPr>
      <w:sz w:val="20"/>
      <w:szCs w:val="20"/>
    </w:rPr>
  </w:style>
  <w:style w:type="paragraph" w:customStyle="1" w:styleId="TableHeading">
    <w:name w:val="Table Heading"/>
    <w:basedOn w:val="Normal"/>
    <w:qFormat/>
    <w:rsid w:val="00E57B1F"/>
    <w:pPr>
      <w:spacing w:before="60" w:after="60" w:line="240" w:lineRule="auto"/>
      <w:jc w:val="center"/>
    </w:pPr>
  </w:style>
  <w:style w:type="paragraph" w:styleId="Quote">
    <w:name w:val="Quote"/>
    <w:basedOn w:val="Normal"/>
    <w:next w:val="Normal"/>
    <w:link w:val="QuoteChar"/>
    <w:uiPriority w:val="29"/>
    <w:qFormat/>
    <w:rsid w:val="002A5750"/>
    <w:pPr>
      <w:spacing w:before="240" w:after="0" w:line="400" w:lineRule="exact"/>
      <w:ind w:left="3402"/>
      <w:jc w:val="right"/>
    </w:pPr>
    <w:rPr>
      <w:rFonts w:ascii="Arial Narrow" w:hAnsi="Arial Narrow"/>
      <w:iCs/>
      <w:color w:val="EE8800"/>
      <w:sz w:val="32"/>
      <w:szCs w:val="36"/>
    </w:rPr>
  </w:style>
  <w:style w:type="character" w:customStyle="1" w:styleId="QuoteChar">
    <w:name w:val="Quote Char"/>
    <w:basedOn w:val="DefaultParagraphFont"/>
    <w:link w:val="Quote"/>
    <w:uiPriority w:val="29"/>
    <w:rsid w:val="002A5750"/>
    <w:rPr>
      <w:rFonts w:ascii="Arial Narrow" w:hAnsi="Arial Narrow"/>
      <w:iCs/>
      <w:color w:val="EE8800"/>
      <w:sz w:val="32"/>
      <w:szCs w:val="36"/>
      <w:lang w:val="en-GB"/>
    </w:rPr>
  </w:style>
  <w:style w:type="paragraph" w:customStyle="1" w:styleId="CharChar3CharCharCharChar">
    <w:name w:val="Char Char3 Char Char Char Char"/>
    <w:basedOn w:val="Normal"/>
    <w:rsid w:val="0010261F"/>
    <w:pPr>
      <w:spacing w:after="160" w:line="240" w:lineRule="exact"/>
    </w:pPr>
    <w:rPr>
      <w:rFonts w:ascii="Verdana" w:eastAsia="Times New Roman" w:hAnsi="Verdana"/>
      <w:sz w:val="20"/>
      <w:szCs w:val="20"/>
    </w:rPr>
  </w:style>
  <w:style w:type="paragraph" w:styleId="ListParagraph">
    <w:name w:val="List Paragraph"/>
    <w:basedOn w:val="Normal"/>
    <w:autoRedefine/>
    <w:uiPriority w:val="34"/>
    <w:qFormat/>
    <w:rsid w:val="00D16EF7"/>
    <w:pPr>
      <w:numPr>
        <w:numId w:val="45"/>
      </w:numPr>
      <w:ind w:left="992" w:hanging="425"/>
    </w:pPr>
    <w:rPr>
      <w:rFonts w:eastAsia="Times New Roman" w:cs="Arial"/>
      <w:szCs w:val="22"/>
    </w:rPr>
  </w:style>
  <w:style w:type="paragraph" w:customStyle="1" w:styleId="CharCharCharCharCharCharCharChar">
    <w:name w:val="Char Char Char Char Char Char Char Char"/>
    <w:basedOn w:val="Normal"/>
    <w:rsid w:val="00E13B55"/>
    <w:pPr>
      <w:spacing w:after="160" w:line="240" w:lineRule="exact"/>
    </w:pPr>
    <w:rPr>
      <w:rFonts w:ascii="Verdana" w:eastAsia="Times New Roman" w:hAnsi="Verdana"/>
      <w:sz w:val="20"/>
      <w:szCs w:val="20"/>
    </w:rPr>
  </w:style>
  <w:style w:type="character" w:styleId="CommentReference">
    <w:name w:val="annotation reference"/>
    <w:semiHidden/>
    <w:rsid w:val="002E7324"/>
    <w:rPr>
      <w:sz w:val="16"/>
      <w:szCs w:val="16"/>
    </w:rPr>
  </w:style>
  <w:style w:type="paragraph" w:styleId="CommentText">
    <w:name w:val="annotation text"/>
    <w:basedOn w:val="Normal"/>
    <w:link w:val="CommentTextChar"/>
    <w:semiHidden/>
    <w:rsid w:val="002E7324"/>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semiHidden/>
    <w:rsid w:val="002E7324"/>
    <w:rPr>
      <w:rFonts w:ascii="Times New Roman" w:eastAsia="Times New Roman" w:hAnsi="Times New Roman"/>
      <w:lang w:eastAsia="en-GB"/>
    </w:rPr>
  </w:style>
  <w:style w:type="character" w:styleId="Strong">
    <w:name w:val="Strong"/>
    <w:uiPriority w:val="22"/>
    <w:qFormat/>
    <w:rsid w:val="002E7324"/>
    <w:rPr>
      <w:b/>
      <w:bCs/>
    </w:rPr>
  </w:style>
  <w:style w:type="paragraph" w:styleId="BodyTextIndent2">
    <w:name w:val="Body Text Indent 2"/>
    <w:basedOn w:val="Normal"/>
    <w:link w:val="BodyTextIndent2Char"/>
    <w:rsid w:val="009D79C0"/>
    <w:pPr>
      <w:numPr>
        <w:numId w:val="6"/>
      </w:numPr>
      <w:spacing w:after="0" w:line="240" w:lineRule="auto"/>
      <w:ind w:firstLine="0"/>
    </w:pPr>
    <w:rPr>
      <w:rFonts w:eastAsia="Times New Roman"/>
      <w:sz w:val="24"/>
      <w:szCs w:val="20"/>
    </w:rPr>
  </w:style>
  <w:style w:type="character" w:customStyle="1" w:styleId="BodyTextIndent2Char">
    <w:name w:val="Body Text Indent 2 Char"/>
    <w:basedOn w:val="DefaultParagraphFont"/>
    <w:link w:val="BodyTextIndent2"/>
    <w:rsid w:val="009D79C0"/>
    <w:rPr>
      <w:rFonts w:ascii="Arial" w:eastAsia="Times New Roman" w:hAnsi="Arial"/>
      <w:sz w:val="24"/>
    </w:rPr>
  </w:style>
  <w:style w:type="paragraph" w:customStyle="1" w:styleId="Default">
    <w:name w:val="Default"/>
    <w:rsid w:val="009D79C0"/>
    <w:pPr>
      <w:autoSpaceDE w:val="0"/>
      <w:autoSpaceDN w:val="0"/>
      <w:adjustRightInd w:val="0"/>
    </w:pPr>
    <w:rPr>
      <w:rFonts w:ascii="Arial" w:eastAsia="Times New Roman" w:hAnsi="Arial" w:cs="Arial"/>
      <w:color w:val="000000"/>
      <w:sz w:val="24"/>
      <w:szCs w:val="24"/>
      <w:lang w:val="en-US"/>
    </w:rPr>
  </w:style>
  <w:style w:type="paragraph" w:styleId="BodyText">
    <w:name w:val="Body Text"/>
    <w:basedOn w:val="Normal"/>
    <w:link w:val="BodyTextChar"/>
    <w:uiPriority w:val="99"/>
    <w:semiHidden/>
    <w:unhideWhenUsed/>
    <w:rsid w:val="00EA5586"/>
  </w:style>
  <w:style w:type="character" w:customStyle="1" w:styleId="BodyTextChar">
    <w:name w:val="Body Text Char"/>
    <w:basedOn w:val="DefaultParagraphFont"/>
    <w:link w:val="BodyText"/>
    <w:uiPriority w:val="99"/>
    <w:semiHidden/>
    <w:rsid w:val="00EA5586"/>
    <w:rPr>
      <w:rFonts w:ascii="Arial" w:hAnsi="Arial"/>
      <w:sz w:val="22"/>
      <w:szCs w:val="24"/>
    </w:rPr>
  </w:style>
  <w:style w:type="paragraph" w:styleId="TOC3">
    <w:name w:val="toc 3"/>
    <w:basedOn w:val="Normal"/>
    <w:next w:val="Normal"/>
    <w:autoRedefine/>
    <w:uiPriority w:val="39"/>
    <w:unhideWhenUsed/>
    <w:rsid w:val="009D46CA"/>
    <w:pPr>
      <w:tabs>
        <w:tab w:val="clear" w:pos="567"/>
        <w:tab w:val="clear" w:pos="992"/>
      </w:tabs>
      <w:spacing w:after="100"/>
      <w:ind w:left="440"/>
    </w:pPr>
  </w:style>
  <w:style w:type="paragraph" w:styleId="TOC1">
    <w:name w:val="toc 1"/>
    <w:basedOn w:val="Normal"/>
    <w:next w:val="Normal"/>
    <w:autoRedefine/>
    <w:uiPriority w:val="39"/>
    <w:unhideWhenUsed/>
    <w:rsid w:val="009D46CA"/>
    <w:pPr>
      <w:tabs>
        <w:tab w:val="clear" w:pos="567"/>
        <w:tab w:val="clear" w:pos="992"/>
      </w:tabs>
      <w:spacing w:after="100"/>
    </w:pPr>
  </w:style>
  <w:style w:type="character" w:styleId="Hyperlink">
    <w:name w:val="Hyperlink"/>
    <w:basedOn w:val="DefaultParagraphFont"/>
    <w:uiPriority w:val="99"/>
    <w:unhideWhenUsed/>
    <w:rsid w:val="009D46CA"/>
    <w:rPr>
      <w:color w:val="0000FF" w:themeColor="hyperlink"/>
      <w:u w:val="single"/>
    </w:rPr>
  </w:style>
  <w:style w:type="paragraph" w:styleId="NoSpacing">
    <w:name w:val="No Spacing"/>
    <w:uiPriority w:val="99"/>
    <w:qFormat/>
    <w:rsid w:val="005E1059"/>
    <w:rPr>
      <w:rFonts w:ascii="Calibri" w:eastAsia="Times New Roman" w:hAnsi="Calibri"/>
      <w:sz w:val="22"/>
      <w:szCs w:val="22"/>
      <w:lang w:val="en-US"/>
    </w:rPr>
  </w:style>
  <w:style w:type="table" w:customStyle="1" w:styleId="TableGrid1">
    <w:name w:val="Table Grid1"/>
    <w:basedOn w:val="TableNormal"/>
    <w:next w:val="TableGrid"/>
    <w:uiPriority w:val="59"/>
    <w:rsid w:val="005E1059"/>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0630">
      <w:bodyDiv w:val="1"/>
      <w:marLeft w:val="0"/>
      <w:marRight w:val="0"/>
      <w:marTop w:val="0"/>
      <w:marBottom w:val="0"/>
      <w:divBdr>
        <w:top w:val="none" w:sz="0" w:space="0" w:color="auto"/>
        <w:left w:val="none" w:sz="0" w:space="0" w:color="auto"/>
        <w:bottom w:val="none" w:sz="0" w:space="0" w:color="auto"/>
        <w:right w:val="none" w:sz="0" w:space="0" w:color="auto"/>
      </w:divBdr>
    </w:div>
    <w:div w:id="264657396">
      <w:bodyDiv w:val="1"/>
      <w:marLeft w:val="0"/>
      <w:marRight w:val="0"/>
      <w:marTop w:val="0"/>
      <w:marBottom w:val="0"/>
      <w:divBdr>
        <w:top w:val="none" w:sz="0" w:space="0" w:color="auto"/>
        <w:left w:val="none" w:sz="0" w:space="0" w:color="auto"/>
        <w:bottom w:val="none" w:sz="0" w:space="0" w:color="auto"/>
        <w:right w:val="none" w:sz="0" w:space="0" w:color="auto"/>
      </w:divBdr>
    </w:div>
    <w:div w:id="354506181">
      <w:bodyDiv w:val="1"/>
      <w:marLeft w:val="0"/>
      <w:marRight w:val="0"/>
      <w:marTop w:val="0"/>
      <w:marBottom w:val="0"/>
      <w:divBdr>
        <w:top w:val="none" w:sz="0" w:space="0" w:color="auto"/>
        <w:left w:val="none" w:sz="0" w:space="0" w:color="auto"/>
        <w:bottom w:val="none" w:sz="0" w:space="0" w:color="auto"/>
        <w:right w:val="none" w:sz="0" w:space="0" w:color="auto"/>
      </w:divBdr>
    </w:div>
    <w:div w:id="375787266">
      <w:bodyDiv w:val="1"/>
      <w:marLeft w:val="0"/>
      <w:marRight w:val="0"/>
      <w:marTop w:val="0"/>
      <w:marBottom w:val="0"/>
      <w:divBdr>
        <w:top w:val="none" w:sz="0" w:space="0" w:color="auto"/>
        <w:left w:val="none" w:sz="0" w:space="0" w:color="auto"/>
        <w:bottom w:val="none" w:sz="0" w:space="0" w:color="auto"/>
        <w:right w:val="none" w:sz="0" w:space="0" w:color="auto"/>
      </w:divBdr>
    </w:div>
    <w:div w:id="396100337">
      <w:bodyDiv w:val="1"/>
      <w:marLeft w:val="0"/>
      <w:marRight w:val="0"/>
      <w:marTop w:val="0"/>
      <w:marBottom w:val="0"/>
      <w:divBdr>
        <w:top w:val="none" w:sz="0" w:space="0" w:color="auto"/>
        <w:left w:val="none" w:sz="0" w:space="0" w:color="auto"/>
        <w:bottom w:val="none" w:sz="0" w:space="0" w:color="auto"/>
        <w:right w:val="none" w:sz="0" w:space="0" w:color="auto"/>
      </w:divBdr>
    </w:div>
    <w:div w:id="442386010">
      <w:bodyDiv w:val="1"/>
      <w:marLeft w:val="0"/>
      <w:marRight w:val="0"/>
      <w:marTop w:val="0"/>
      <w:marBottom w:val="0"/>
      <w:divBdr>
        <w:top w:val="none" w:sz="0" w:space="0" w:color="auto"/>
        <w:left w:val="none" w:sz="0" w:space="0" w:color="auto"/>
        <w:bottom w:val="none" w:sz="0" w:space="0" w:color="auto"/>
        <w:right w:val="none" w:sz="0" w:space="0" w:color="auto"/>
      </w:divBdr>
    </w:div>
    <w:div w:id="500699443">
      <w:bodyDiv w:val="1"/>
      <w:marLeft w:val="0"/>
      <w:marRight w:val="0"/>
      <w:marTop w:val="0"/>
      <w:marBottom w:val="0"/>
      <w:divBdr>
        <w:top w:val="none" w:sz="0" w:space="0" w:color="auto"/>
        <w:left w:val="none" w:sz="0" w:space="0" w:color="auto"/>
        <w:bottom w:val="none" w:sz="0" w:space="0" w:color="auto"/>
        <w:right w:val="none" w:sz="0" w:space="0" w:color="auto"/>
      </w:divBdr>
    </w:div>
    <w:div w:id="969240974">
      <w:bodyDiv w:val="1"/>
      <w:marLeft w:val="0"/>
      <w:marRight w:val="0"/>
      <w:marTop w:val="0"/>
      <w:marBottom w:val="0"/>
      <w:divBdr>
        <w:top w:val="none" w:sz="0" w:space="0" w:color="auto"/>
        <w:left w:val="none" w:sz="0" w:space="0" w:color="auto"/>
        <w:bottom w:val="none" w:sz="0" w:space="0" w:color="auto"/>
        <w:right w:val="none" w:sz="0" w:space="0" w:color="auto"/>
      </w:divBdr>
    </w:div>
    <w:div w:id="987781024">
      <w:bodyDiv w:val="1"/>
      <w:marLeft w:val="0"/>
      <w:marRight w:val="0"/>
      <w:marTop w:val="0"/>
      <w:marBottom w:val="0"/>
      <w:divBdr>
        <w:top w:val="none" w:sz="0" w:space="0" w:color="auto"/>
        <w:left w:val="none" w:sz="0" w:space="0" w:color="auto"/>
        <w:bottom w:val="none" w:sz="0" w:space="0" w:color="auto"/>
        <w:right w:val="none" w:sz="0" w:space="0" w:color="auto"/>
      </w:divBdr>
    </w:div>
    <w:div w:id="1123039238">
      <w:bodyDiv w:val="1"/>
      <w:marLeft w:val="0"/>
      <w:marRight w:val="0"/>
      <w:marTop w:val="0"/>
      <w:marBottom w:val="0"/>
      <w:divBdr>
        <w:top w:val="none" w:sz="0" w:space="0" w:color="auto"/>
        <w:left w:val="none" w:sz="0" w:space="0" w:color="auto"/>
        <w:bottom w:val="none" w:sz="0" w:space="0" w:color="auto"/>
        <w:right w:val="none" w:sz="0" w:space="0" w:color="auto"/>
      </w:divBdr>
    </w:div>
    <w:div w:id="1292903844">
      <w:bodyDiv w:val="1"/>
      <w:marLeft w:val="0"/>
      <w:marRight w:val="0"/>
      <w:marTop w:val="0"/>
      <w:marBottom w:val="0"/>
      <w:divBdr>
        <w:top w:val="none" w:sz="0" w:space="0" w:color="auto"/>
        <w:left w:val="none" w:sz="0" w:space="0" w:color="auto"/>
        <w:bottom w:val="none" w:sz="0" w:space="0" w:color="auto"/>
        <w:right w:val="none" w:sz="0" w:space="0" w:color="auto"/>
      </w:divBdr>
    </w:div>
    <w:div w:id="1293630888">
      <w:bodyDiv w:val="1"/>
      <w:marLeft w:val="0"/>
      <w:marRight w:val="0"/>
      <w:marTop w:val="0"/>
      <w:marBottom w:val="0"/>
      <w:divBdr>
        <w:top w:val="none" w:sz="0" w:space="0" w:color="auto"/>
        <w:left w:val="none" w:sz="0" w:space="0" w:color="auto"/>
        <w:bottom w:val="none" w:sz="0" w:space="0" w:color="auto"/>
        <w:right w:val="none" w:sz="0" w:space="0" w:color="auto"/>
      </w:divBdr>
    </w:div>
    <w:div w:id="1455902662">
      <w:bodyDiv w:val="1"/>
      <w:marLeft w:val="0"/>
      <w:marRight w:val="0"/>
      <w:marTop w:val="0"/>
      <w:marBottom w:val="0"/>
      <w:divBdr>
        <w:top w:val="none" w:sz="0" w:space="0" w:color="auto"/>
        <w:left w:val="none" w:sz="0" w:space="0" w:color="auto"/>
        <w:bottom w:val="none" w:sz="0" w:space="0" w:color="auto"/>
        <w:right w:val="none" w:sz="0" w:space="0" w:color="auto"/>
      </w:divBdr>
    </w:div>
    <w:div w:id="1713798936">
      <w:bodyDiv w:val="1"/>
      <w:marLeft w:val="0"/>
      <w:marRight w:val="0"/>
      <w:marTop w:val="0"/>
      <w:marBottom w:val="0"/>
      <w:divBdr>
        <w:top w:val="none" w:sz="0" w:space="0" w:color="auto"/>
        <w:left w:val="none" w:sz="0" w:space="0" w:color="auto"/>
        <w:bottom w:val="none" w:sz="0" w:space="0" w:color="auto"/>
        <w:right w:val="none" w:sz="0" w:space="0" w:color="auto"/>
      </w:divBdr>
    </w:div>
    <w:div w:id="1918205528">
      <w:bodyDiv w:val="1"/>
      <w:marLeft w:val="0"/>
      <w:marRight w:val="0"/>
      <w:marTop w:val="0"/>
      <w:marBottom w:val="0"/>
      <w:divBdr>
        <w:top w:val="none" w:sz="0" w:space="0" w:color="auto"/>
        <w:left w:val="none" w:sz="0" w:space="0" w:color="auto"/>
        <w:bottom w:val="none" w:sz="0" w:space="0" w:color="auto"/>
        <w:right w:val="none" w:sz="0" w:space="0" w:color="auto"/>
      </w:divBdr>
    </w:div>
    <w:div w:id="2006351339">
      <w:bodyDiv w:val="1"/>
      <w:marLeft w:val="0"/>
      <w:marRight w:val="0"/>
      <w:marTop w:val="0"/>
      <w:marBottom w:val="0"/>
      <w:divBdr>
        <w:top w:val="none" w:sz="0" w:space="0" w:color="auto"/>
        <w:left w:val="none" w:sz="0" w:space="0" w:color="auto"/>
        <w:bottom w:val="none" w:sz="0" w:space="0" w:color="auto"/>
        <w:right w:val="none" w:sz="0" w:space="0" w:color="auto"/>
      </w:divBdr>
    </w:div>
    <w:div w:id="2145196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0BB5-86FF-46A3-AEF0-6D0D6A85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4646</Words>
  <Characters>26486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HRA Report</vt:lpstr>
    </vt:vector>
  </TitlesOfParts>
  <Company>e-fishency ltd</Company>
  <LinksUpToDate>false</LinksUpToDate>
  <CharactersWithSpaces>31070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 Report</dc:title>
  <dc:creator>Keith Vernege</dc:creator>
  <cp:lastModifiedBy>Steve Tebbutt</cp:lastModifiedBy>
  <cp:revision>5</cp:revision>
  <cp:lastPrinted>2014-06-03T14:43:00Z</cp:lastPrinted>
  <dcterms:created xsi:type="dcterms:W3CDTF">2014-10-21T17:27:00Z</dcterms:created>
  <dcterms:modified xsi:type="dcterms:W3CDTF">2014-10-22T14:36:00Z</dcterms:modified>
</cp:coreProperties>
</file>