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49" w:rsidRDefault="00917849" w:rsidP="00917849">
      <w:pPr>
        <w:spacing w:after="0" w:line="240" w:lineRule="auto"/>
        <w:ind w:right="-46"/>
        <w:jc w:val="center"/>
        <w:rPr>
          <w:rFonts w:cs="Arial"/>
          <w:b/>
          <w:sz w:val="28"/>
          <w:szCs w:val="28"/>
        </w:rPr>
      </w:pPr>
      <w:r w:rsidRPr="009374C1">
        <w:rPr>
          <w:rFonts w:cs="Arial"/>
          <w:b/>
          <w:sz w:val="28"/>
          <w:szCs w:val="28"/>
        </w:rPr>
        <w:t>AUDIT AND RISK COMMITTEE MEETING</w:t>
      </w:r>
      <w:r>
        <w:rPr>
          <w:rFonts w:cs="Arial"/>
          <w:b/>
          <w:sz w:val="28"/>
          <w:szCs w:val="28"/>
        </w:rPr>
        <w:t xml:space="preserve"> SUMMARY </w:t>
      </w:r>
    </w:p>
    <w:p w:rsidR="00917849" w:rsidRPr="00AB4AAE" w:rsidRDefault="00917849" w:rsidP="00917849">
      <w:pPr>
        <w:spacing w:after="0" w:line="240" w:lineRule="auto"/>
        <w:ind w:right="-46"/>
        <w:jc w:val="center"/>
        <w:rPr>
          <w:rFonts w:cs="Arial"/>
          <w:b/>
          <w:szCs w:val="28"/>
        </w:rPr>
      </w:pPr>
    </w:p>
    <w:p w:rsidR="00917849" w:rsidRDefault="00917849" w:rsidP="00917849">
      <w:pPr>
        <w:spacing w:after="0" w:line="240" w:lineRule="auto"/>
        <w:ind w:right="-46"/>
        <w:jc w:val="center"/>
        <w:rPr>
          <w:rFonts w:cs="Arial"/>
          <w:b/>
          <w:sz w:val="28"/>
          <w:szCs w:val="28"/>
        </w:rPr>
      </w:pPr>
      <w:r>
        <w:rPr>
          <w:rFonts w:cs="Arial"/>
          <w:b/>
          <w:sz w:val="28"/>
          <w:szCs w:val="28"/>
        </w:rPr>
        <w:t xml:space="preserve">Key summary points from the </w:t>
      </w:r>
      <w:r w:rsidR="000F7ECD">
        <w:rPr>
          <w:rFonts w:cs="Arial"/>
          <w:b/>
          <w:sz w:val="28"/>
          <w:szCs w:val="28"/>
        </w:rPr>
        <w:t xml:space="preserve">HRA </w:t>
      </w:r>
      <w:r>
        <w:rPr>
          <w:rFonts w:cs="Arial"/>
          <w:b/>
          <w:sz w:val="28"/>
          <w:szCs w:val="28"/>
        </w:rPr>
        <w:t>Audit and Risk Committ</w:t>
      </w:r>
      <w:r w:rsidR="00382649">
        <w:rPr>
          <w:rFonts w:cs="Arial"/>
          <w:b/>
          <w:sz w:val="28"/>
          <w:szCs w:val="28"/>
        </w:rPr>
        <w:t>ee meeting held on</w:t>
      </w:r>
      <w:r w:rsidR="000F7ECD">
        <w:rPr>
          <w:rFonts w:cs="Arial"/>
          <w:b/>
          <w:sz w:val="28"/>
          <w:szCs w:val="28"/>
        </w:rPr>
        <w:t xml:space="preserve"> </w:t>
      </w:r>
      <w:r w:rsidR="003864F6">
        <w:rPr>
          <w:rFonts w:cs="Arial"/>
          <w:b/>
          <w:sz w:val="28"/>
          <w:szCs w:val="28"/>
        </w:rPr>
        <w:t>0</w:t>
      </w:r>
      <w:r w:rsidR="00997614">
        <w:rPr>
          <w:rFonts w:cs="Arial"/>
          <w:b/>
          <w:sz w:val="28"/>
          <w:szCs w:val="28"/>
        </w:rPr>
        <w:t>7</w:t>
      </w:r>
      <w:r w:rsidR="003864F6">
        <w:rPr>
          <w:rFonts w:cs="Arial"/>
          <w:b/>
          <w:sz w:val="28"/>
          <w:szCs w:val="28"/>
        </w:rPr>
        <w:t xml:space="preserve"> </w:t>
      </w:r>
      <w:r w:rsidR="00997614">
        <w:rPr>
          <w:rFonts w:cs="Arial"/>
          <w:b/>
          <w:sz w:val="28"/>
          <w:szCs w:val="28"/>
        </w:rPr>
        <w:t>November</w:t>
      </w:r>
      <w:r w:rsidR="000F7ECD">
        <w:rPr>
          <w:rFonts w:cs="Arial"/>
          <w:b/>
          <w:sz w:val="28"/>
          <w:szCs w:val="28"/>
        </w:rPr>
        <w:t xml:space="preserve"> </w:t>
      </w:r>
      <w:r w:rsidR="00524AC0">
        <w:rPr>
          <w:rFonts w:cs="Arial"/>
          <w:b/>
          <w:sz w:val="28"/>
          <w:szCs w:val="28"/>
        </w:rPr>
        <w:t>2018</w:t>
      </w:r>
    </w:p>
    <w:p w:rsidR="00917849" w:rsidRDefault="00917849" w:rsidP="00917849">
      <w:pPr>
        <w:spacing w:after="0" w:line="240" w:lineRule="auto"/>
        <w:ind w:right="-46"/>
        <w:jc w:val="center"/>
        <w:rPr>
          <w:rFonts w:cs="Arial"/>
          <w:b/>
          <w:sz w:val="28"/>
          <w:szCs w:val="28"/>
        </w:rPr>
      </w:pPr>
    </w:p>
    <w:tbl>
      <w:tblPr>
        <w:tblStyle w:val="TableGrid"/>
        <w:tblW w:w="9924" w:type="dxa"/>
        <w:tblInd w:w="-318" w:type="dxa"/>
        <w:tblLook w:val="04A0" w:firstRow="1" w:lastRow="0" w:firstColumn="1" w:lastColumn="0" w:noHBand="0" w:noVBand="1"/>
      </w:tblPr>
      <w:tblGrid>
        <w:gridCol w:w="1589"/>
        <w:gridCol w:w="8335"/>
      </w:tblGrid>
      <w:tr w:rsidR="00917849" w:rsidTr="000E2CD1">
        <w:tc>
          <w:tcPr>
            <w:tcW w:w="1589" w:type="dxa"/>
            <w:tcBorders>
              <w:bottom w:val="single" w:sz="4" w:space="0" w:color="auto"/>
            </w:tcBorders>
            <w:shd w:val="clear" w:color="auto" w:fill="FBD4B4" w:themeFill="accent6" w:themeFillTint="66"/>
          </w:tcPr>
          <w:p w:rsidR="00A36BD7" w:rsidRDefault="009C098E" w:rsidP="000E5951">
            <w:pPr>
              <w:ind w:right="-46"/>
              <w:rPr>
                <w:rFonts w:cs="Arial"/>
                <w:b/>
                <w:szCs w:val="28"/>
              </w:rPr>
            </w:pPr>
            <w:r>
              <w:rPr>
                <w:rFonts w:cs="Arial"/>
                <w:b/>
                <w:szCs w:val="28"/>
              </w:rPr>
              <w:t>COMMITTEE GOVERNANCE</w:t>
            </w:r>
          </w:p>
          <w:p w:rsidR="00A36BD7" w:rsidRPr="00AB4AAE" w:rsidRDefault="00A36BD7" w:rsidP="000E5951">
            <w:pPr>
              <w:ind w:right="-46"/>
              <w:rPr>
                <w:rFonts w:cs="Arial"/>
                <w:b/>
                <w:szCs w:val="28"/>
              </w:rPr>
            </w:pPr>
          </w:p>
        </w:tc>
        <w:tc>
          <w:tcPr>
            <w:tcW w:w="8335" w:type="dxa"/>
          </w:tcPr>
          <w:p w:rsidR="000E5951" w:rsidRPr="000E5951" w:rsidRDefault="00997614" w:rsidP="009C098E">
            <w:pPr>
              <w:shd w:val="clear" w:color="auto" w:fill="FBD4B4" w:themeFill="accent6" w:themeFillTint="66"/>
              <w:ind w:right="-46"/>
              <w:rPr>
                <w:rFonts w:cs="Arial"/>
                <w:b/>
                <w:szCs w:val="28"/>
              </w:rPr>
            </w:pPr>
            <w:r>
              <w:rPr>
                <w:rFonts w:cs="Arial"/>
                <w:b/>
                <w:szCs w:val="28"/>
              </w:rPr>
              <w:t>07 November</w:t>
            </w:r>
            <w:r w:rsidR="00BF2A11">
              <w:rPr>
                <w:rFonts w:cs="Arial"/>
                <w:b/>
                <w:szCs w:val="28"/>
              </w:rPr>
              <w:t xml:space="preserve"> </w:t>
            </w:r>
            <w:r w:rsidR="001334A0">
              <w:rPr>
                <w:rFonts w:cs="Arial"/>
                <w:b/>
                <w:szCs w:val="28"/>
              </w:rPr>
              <w:t>201</w:t>
            </w:r>
            <w:r w:rsidR="00BF2A11">
              <w:rPr>
                <w:rFonts w:cs="Arial"/>
                <w:b/>
                <w:szCs w:val="28"/>
              </w:rPr>
              <w:t>8</w:t>
            </w:r>
            <w:r w:rsidR="000E5951" w:rsidRPr="000E5951">
              <w:rPr>
                <w:rFonts w:cs="Arial"/>
                <w:b/>
                <w:szCs w:val="28"/>
              </w:rPr>
              <w:t xml:space="preserve">, </w:t>
            </w:r>
            <w:r w:rsidR="00BF2A11">
              <w:rPr>
                <w:rFonts w:cs="Arial"/>
                <w:b/>
                <w:szCs w:val="28"/>
              </w:rPr>
              <w:t>Avonmouth House</w:t>
            </w:r>
          </w:p>
          <w:p w:rsidR="000E5951" w:rsidRDefault="000E5951" w:rsidP="00917849">
            <w:pPr>
              <w:ind w:right="-46"/>
              <w:rPr>
                <w:rFonts w:cs="Arial"/>
                <w:szCs w:val="28"/>
              </w:rPr>
            </w:pPr>
          </w:p>
          <w:p w:rsidR="00AB4AAE" w:rsidRPr="009C098E" w:rsidRDefault="00997614" w:rsidP="009C098E">
            <w:pPr>
              <w:pStyle w:val="ListParagraph"/>
              <w:numPr>
                <w:ilvl w:val="0"/>
                <w:numId w:val="4"/>
              </w:numPr>
              <w:ind w:right="-46"/>
              <w:rPr>
                <w:rFonts w:cs="Arial"/>
                <w:szCs w:val="28"/>
              </w:rPr>
            </w:pPr>
            <w:r>
              <w:rPr>
                <w:rFonts w:cs="Arial"/>
                <w:szCs w:val="28"/>
              </w:rPr>
              <w:t>Q</w:t>
            </w:r>
            <w:r w:rsidR="001334A0">
              <w:rPr>
                <w:rFonts w:cs="Arial"/>
                <w:szCs w:val="28"/>
              </w:rPr>
              <w:t>uorate</w:t>
            </w:r>
          </w:p>
          <w:p w:rsidR="00524AC0" w:rsidRDefault="00917849" w:rsidP="00524AC0">
            <w:pPr>
              <w:pStyle w:val="ListParagraph"/>
              <w:numPr>
                <w:ilvl w:val="0"/>
                <w:numId w:val="4"/>
              </w:numPr>
              <w:ind w:right="-46"/>
              <w:rPr>
                <w:rFonts w:cs="Arial"/>
                <w:szCs w:val="28"/>
              </w:rPr>
            </w:pPr>
            <w:r w:rsidRPr="009C098E">
              <w:rPr>
                <w:rFonts w:cs="Arial"/>
                <w:szCs w:val="28"/>
              </w:rPr>
              <w:t xml:space="preserve">Attendance (membership) – </w:t>
            </w:r>
            <w:r w:rsidR="00997614">
              <w:rPr>
                <w:rFonts w:cs="Arial"/>
                <w:szCs w:val="28"/>
              </w:rPr>
              <w:t>4</w:t>
            </w:r>
            <w:r w:rsidRPr="009C098E">
              <w:rPr>
                <w:rFonts w:cs="Arial"/>
                <w:szCs w:val="28"/>
              </w:rPr>
              <w:t>/4</w:t>
            </w:r>
          </w:p>
          <w:p w:rsidR="000E5951" w:rsidRDefault="000E5951" w:rsidP="00851C09">
            <w:pPr>
              <w:ind w:right="-46"/>
              <w:rPr>
                <w:rFonts w:cs="Arial"/>
                <w:szCs w:val="28"/>
              </w:rPr>
            </w:pPr>
          </w:p>
        </w:tc>
      </w:tr>
      <w:tr w:rsidR="00F11009" w:rsidTr="000E2CD1">
        <w:trPr>
          <w:trHeight w:val="699"/>
        </w:trPr>
        <w:tc>
          <w:tcPr>
            <w:tcW w:w="1589" w:type="dxa"/>
            <w:vMerge w:val="restart"/>
            <w:shd w:val="clear" w:color="auto" w:fill="FBD4B4" w:themeFill="accent6" w:themeFillTint="66"/>
          </w:tcPr>
          <w:p w:rsidR="00F11009" w:rsidRDefault="00F11009" w:rsidP="001334A0">
            <w:pPr>
              <w:shd w:val="clear" w:color="auto" w:fill="FBD4B4" w:themeFill="accent6" w:themeFillTint="66"/>
              <w:ind w:right="-46"/>
              <w:rPr>
                <w:rFonts w:cs="Arial"/>
                <w:b/>
                <w:szCs w:val="28"/>
              </w:rPr>
            </w:pPr>
            <w:r>
              <w:rPr>
                <w:rFonts w:cs="Arial"/>
                <w:b/>
                <w:szCs w:val="28"/>
              </w:rPr>
              <w:t>KEY BUSINESS CONDUCTED</w:t>
            </w:r>
          </w:p>
          <w:p w:rsidR="00F11009" w:rsidRDefault="00F11009" w:rsidP="00AB4AAE">
            <w:pPr>
              <w:ind w:right="-46"/>
              <w:rPr>
                <w:rFonts w:cs="Arial"/>
                <w:szCs w:val="28"/>
              </w:rPr>
            </w:pPr>
          </w:p>
        </w:tc>
        <w:tc>
          <w:tcPr>
            <w:tcW w:w="8335" w:type="dxa"/>
          </w:tcPr>
          <w:p w:rsidR="00F11009" w:rsidRDefault="00997614" w:rsidP="009C098E">
            <w:pPr>
              <w:shd w:val="clear" w:color="auto" w:fill="FBD4B4" w:themeFill="accent6" w:themeFillTint="66"/>
              <w:rPr>
                <w:b/>
              </w:rPr>
            </w:pPr>
            <w:r>
              <w:rPr>
                <w:rFonts w:cs="Arial"/>
                <w:b/>
              </w:rPr>
              <w:t>A</w:t>
            </w:r>
            <w:r w:rsidR="00F11009">
              <w:rPr>
                <w:rFonts w:cs="Arial"/>
                <w:b/>
              </w:rPr>
              <w:t xml:space="preserve">udit and Risk Committee </w:t>
            </w:r>
            <w:r>
              <w:rPr>
                <w:rFonts w:cs="Arial"/>
                <w:b/>
              </w:rPr>
              <w:t>Effectiveness Survey Results</w:t>
            </w:r>
          </w:p>
          <w:p w:rsidR="00F11009" w:rsidRDefault="00F11009" w:rsidP="00F96497"/>
          <w:p w:rsidR="00997614" w:rsidRPr="00997614" w:rsidRDefault="00997614" w:rsidP="00997614">
            <w:pPr>
              <w:autoSpaceDE w:val="0"/>
              <w:autoSpaceDN w:val="0"/>
              <w:adjustRightInd w:val="0"/>
              <w:rPr>
                <w:rFonts w:ascii="Calibri" w:hAnsi="Calibri" w:cs="Calibri"/>
                <w:color w:val="000000"/>
              </w:rPr>
            </w:pPr>
            <w:r>
              <w:rPr>
                <w:rFonts w:cs="Arial"/>
              </w:rPr>
              <w:t>T</w:t>
            </w:r>
            <w:r w:rsidRPr="0083368D">
              <w:rPr>
                <w:rFonts w:cs="Arial"/>
              </w:rPr>
              <w:t xml:space="preserve">he </w:t>
            </w:r>
            <w:r>
              <w:rPr>
                <w:rFonts w:cs="Arial"/>
              </w:rPr>
              <w:t>results from the 2018 survey were largely positive and, in general, an improvement from the last survey</w:t>
            </w:r>
            <w:r w:rsidRPr="00997614">
              <w:rPr>
                <w:rFonts w:cs="Arial"/>
              </w:rPr>
              <w:t xml:space="preserve">. The Committee was assured it </w:t>
            </w:r>
            <w:r w:rsidR="00851C09">
              <w:rPr>
                <w:rFonts w:cs="Arial"/>
              </w:rPr>
              <w:t>is</w:t>
            </w:r>
            <w:r w:rsidRPr="00997614">
              <w:rPr>
                <w:rFonts w:cs="Arial"/>
              </w:rPr>
              <w:t xml:space="preserve"> following best practice as set out in the </w:t>
            </w:r>
            <w:r w:rsidRPr="00997614">
              <w:rPr>
                <w:rFonts w:ascii="Calibri" w:hAnsi="Calibri" w:cs="Calibri"/>
                <w:color w:val="000000"/>
              </w:rPr>
              <w:t>five good practice principles (Membership / Skills / Roles / Scope /</w:t>
            </w:r>
          </w:p>
          <w:p w:rsidR="00997614" w:rsidRDefault="00997614" w:rsidP="00997614">
            <w:pPr>
              <w:autoSpaceDE w:val="0"/>
              <w:autoSpaceDN w:val="0"/>
              <w:adjustRightInd w:val="0"/>
              <w:rPr>
                <w:rFonts w:cs="Arial"/>
              </w:rPr>
            </w:pPr>
            <w:r w:rsidRPr="00997614">
              <w:rPr>
                <w:rFonts w:ascii="Calibri" w:hAnsi="Calibri" w:cs="Calibri"/>
                <w:color w:val="000000"/>
              </w:rPr>
              <w:t xml:space="preserve">Communication) from </w:t>
            </w:r>
            <w:r w:rsidRPr="00997614">
              <w:rPr>
                <w:rFonts w:ascii="Calibri" w:hAnsi="Calibri" w:cs="Calibri"/>
              </w:rPr>
              <w:t xml:space="preserve">the Audit Committee Handbook published </w:t>
            </w:r>
            <w:r w:rsidRPr="00997614">
              <w:rPr>
                <w:rFonts w:ascii="Calibri" w:hAnsi="Calibri" w:cs="Calibri"/>
                <w:color w:val="000000"/>
              </w:rPr>
              <w:t>by HM Treasury.</w:t>
            </w:r>
            <w:r w:rsidRPr="00997614">
              <w:rPr>
                <w:rFonts w:cs="Arial"/>
              </w:rPr>
              <w:t xml:space="preserve"> </w:t>
            </w:r>
          </w:p>
          <w:p w:rsidR="00997614" w:rsidRDefault="00997614" w:rsidP="00997614">
            <w:pPr>
              <w:autoSpaceDE w:val="0"/>
              <w:autoSpaceDN w:val="0"/>
              <w:adjustRightInd w:val="0"/>
              <w:rPr>
                <w:rFonts w:cs="Arial"/>
              </w:rPr>
            </w:pPr>
          </w:p>
          <w:p w:rsidR="00997614" w:rsidRDefault="00997614" w:rsidP="00997614">
            <w:pPr>
              <w:autoSpaceDE w:val="0"/>
              <w:autoSpaceDN w:val="0"/>
              <w:adjustRightInd w:val="0"/>
              <w:rPr>
                <w:rFonts w:cs="Arial"/>
              </w:rPr>
            </w:pPr>
            <w:r w:rsidRPr="00997614">
              <w:rPr>
                <w:rFonts w:cs="Arial"/>
              </w:rPr>
              <w:t>A survey of the effectiveness of Internal and External Audit had also been undertaken with largely positive findings. A recommendation for greater involvement from external audit was raised</w:t>
            </w:r>
            <w:r>
              <w:rPr>
                <w:rFonts w:cs="Arial"/>
              </w:rPr>
              <w:t xml:space="preserve"> with a request for examples of best practice and relevant baseline information when applicable.</w:t>
            </w:r>
          </w:p>
          <w:p w:rsidR="00997614" w:rsidRDefault="00997614" w:rsidP="00997614">
            <w:pPr>
              <w:autoSpaceDE w:val="0"/>
              <w:autoSpaceDN w:val="0"/>
              <w:adjustRightInd w:val="0"/>
              <w:rPr>
                <w:rFonts w:cs="Arial"/>
              </w:rPr>
            </w:pPr>
          </w:p>
          <w:p w:rsidR="00997614" w:rsidRDefault="00997614" w:rsidP="00997614">
            <w:pPr>
              <w:autoSpaceDE w:val="0"/>
              <w:autoSpaceDN w:val="0"/>
              <w:adjustRightInd w:val="0"/>
            </w:pPr>
            <w:r>
              <w:rPr>
                <w:rFonts w:cs="Arial"/>
              </w:rPr>
              <w:t>The survey will be repeated annually.</w:t>
            </w:r>
          </w:p>
          <w:p w:rsidR="00F11009" w:rsidRPr="00DA67AA" w:rsidRDefault="00F11009" w:rsidP="00997614">
            <w:pPr>
              <w:rPr>
                <w:sz w:val="18"/>
              </w:rPr>
            </w:pPr>
          </w:p>
        </w:tc>
      </w:tr>
      <w:tr w:rsidR="00F11009" w:rsidTr="000E2CD1">
        <w:tc>
          <w:tcPr>
            <w:tcW w:w="1589" w:type="dxa"/>
            <w:vMerge/>
            <w:shd w:val="clear" w:color="auto" w:fill="FBD4B4" w:themeFill="accent6" w:themeFillTint="66"/>
          </w:tcPr>
          <w:p w:rsidR="00F11009" w:rsidRDefault="00F11009" w:rsidP="00AB4AAE">
            <w:pPr>
              <w:ind w:right="-46"/>
              <w:rPr>
                <w:rFonts w:cs="Arial"/>
                <w:szCs w:val="28"/>
              </w:rPr>
            </w:pPr>
          </w:p>
        </w:tc>
        <w:tc>
          <w:tcPr>
            <w:tcW w:w="8335" w:type="dxa"/>
          </w:tcPr>
          <w:p w:rsidR="00F11009" w:rsidRDefault="00997614" w:rsidP="0001360C">
            <w:pPr>
              <w:shd w:val="clear" w:color="auto" w:fill="FBD4B4" w:themeFill="accent6" w:themeFillTint="66"/>
              <w:rPr>
                <w:b/>
              </w:rPr>
            </w:pPr>
            <w:r>
              <w:rPr>
                <w:rFonts w:cs="Arial"/>
                <w:b/>
              </w:rPr>
              <w:t>Delivery of HRA HGIAS Audit Plan 2018/19</w:t>
            </w:r>
          </w:p>
          <w:p w:rsidR="00F11009" w:rsidRDefault="00F11009" w:rsidP="0001360C">
            <w:pPr>
              <w:shd w:val="clear" w:color="auto" w:fill="FFFFFF" w:themeFill="background1"/>
              <w:rPr>
                <w:b/>
              </w:rPr>
            </w:pPr>
          </w:p>
          <w:p w:rsidR="00997614" w:rsidRPr="00997614" w:rsidRDefault="00997614" w:rsidP="00997614">
            <w:r w:rsidRPr="00997614">
              <w:t xml:space="preserve">The Committee noted </w:t>
            </w:r>
            <w:r w:rsidR="00D64DDA">
              <w:t>he plan</w:t>
            </w:r>
            <w:r w:rsidRPr="00997614">
              <w:t xml:space="preserve"> was on track</w:t>
            </w:r>
            <w:r w:rsidR="00D64DDA">
              <w:t xml:space="preserve"> with two audits completed in quarter 2.</w:t>
            </w:r>
            <w:r w:rsidRPr="00997614">
              <w:t xml:space="preserve"> </w:t>
            </w:r>
          </w:p>
          <w:p w:rsidR="00F11009" w:rsidRDefault="00F11009" w:rsidP="00997614">
            <w:pPr>
              <w:rPr>
                <w:u w:val="single"/>
              </w:rPr>
            </w:pPr>
          </w:p>
          <w:tbl>
            <w:tblPr>
              <w:tblStyle w:val="TableGrid"/>
              <w:tblW w:w="8109" w:type="dxa"/>
              <w:tblLook w:val="04A0" w:firstRow="1" w:lastRow="0" w:firstColumn="1" w:lastColumn="0" w:noHBand="0" w:noVBand="1"/>
            </w:tblPr>
            <w:tblGrid>
              <w:gridCol w:w="1439"/>
              <w:gridCol w:w="1282"/>
              <w:gridCol w:w="571"/>
              <w:gridCol w:w="571"/>
              <w:gridCol w:w="571"/>
              <w:gridCol w:w="3675"/>
            </w:tblGrid>
            <w:tr w:rsidR="00D64DDA" w:rsidTr="00D64DDA">
              <w:tc>
                <w:tcPr>
                  <w:tcW w:w="1439" w:type="dxa"/>
                  <w:vMerge w:val="restart"/>
                  <w:tcBorders>
                    <w:top w:val="single" w:sz="4" w:space="0" w:color="auto"/>
                    <w:left w:val="single" w:sz="4" w:space="0" w:color="auto"/>
                    <w:bottom w:val="single" w:sz="4" w:space="0" w:color="auto"/>
                    <w:right w:val="single" w:sz="4" w:space="0" w:color="auto"/>
                  </w:tcBorders>
                  <w:hideMark/>
                </w:tcPr>
                <w:p w:rsidR="00D64DDA" w:rsidRDefault="00D64DDA">
                  <w:pPr>
                    <w:rPr>
                      <w:b/>
                    </w:rPr>
                  </w:pPr>
                  <w:r>
                    <w:rPr>
                      <w:b/>
                    </w:rPr>
                    <w:t>Review</w:t>
                  </w:r>
                </w:p>
              </w:tc>
              <w:tc>
                <w:tcPr>
                  <w:tcW w:w="1282" w:type="dxa"/>
                  <w:vMerge w:val="restart"/>
                  <w:tcBorders>
                    <w:top w:val="single" w:sz="4" w:space="0" w:color="auto"/>
                    <w:left w:val="single" w:sz="4" w:space="0" w:color="auto"/>
                    <w:bottom w:val="single" w:sz="4" w:space="0" w:color="auto"/>
                    <w:right w:val="single" w:sz="4" w:space="0" w:color="auto"/>
                  </w:tcBorders>
                  <w:hideMark/>
                </w:tcPr>
                <w:p w:rsidR="00D64DDA" w:rsidRDefault="00D64DDA">
                  <w:pPr>
                    <w:jc w:val="center"/>
                    <w:rPr>
                      <w:b/>
                    </w:rPr>
                  </w:pPr>
                  <w:r>
                    <w:rPr>
                      <w:b/>
                    </w:rPr>
                    <w:t>Assurance level</w:t>
                  </w:r>
                </w:p>
              </w:tc>
              <w:tc>
                <w:tcPr>
                  <w:tcW w:w="1713" w:type="dxa"/>
                  <w:gridSpan w:val="3"/>
                  <w:tcBorders>
                    <w:top w:val="single" w:sz="4" w:space="0" w:color="auto"/>
                    <w:left w:val="single" w:sz="4" w:space="0" w:color="auto"/>
                    <w:bottom w:val="single" w:sz="4" w:space="0" w:color="auto"/>
                    <w:right w:val="single" w:sz="4" w:space="0" w:color="auto"/>
                  </w:tcBorders>
                  <w:hideMark/>
                </w:tcPr>
                <w:p w:rsidR="00D64DDA" w:rsidRDefault="00D64DDA">
                  <w:pPr>
                    <w:jc w:val="center"/>
                    <w:rPr>
                      <w:b/>
                    </w:rPr>
                  </w:pPr>
                  <w:r>
                    <w:rPr>
                      <w:b/>
                    </w:rPr>
                    <w:t>Findings</w:t>
                  </w:r>
                </w:p>
              </w:tc>
              <w:tc>
                <w:tcPr>
                  <w:tcW w:w="3675" w:type="dxa"/>
                  <w:vMerge w:val="restart"/>
                  <w:tcBorders>
                    <w:top w:val="single" w:sz="4" w:space="0" w:color="auto"/>
                    <w:left w:val="single" w:sz="4" w:space="0" w:color="auto"/>
                    <w:bottom w:val="single" w:sz="4" w:space="0" w:color="auto"/>
                    <w:right w:val="single" w:sz="4" w:space="0" w:color="auto"/>
                  </w:tcBorders>
                  <w:hideMark/>
                </w:tcPr>
                <w:p w:rsidR="00D64DDA" w:rsidRDefault="00D64DDA">
                  <w:pPr>
                    <w:rPr>
                      <w:b/>
                    </w:rPr>
                  </w:pPr>
                  <w:r>
                    <w:rPr>
                      <w:b/>
                    </w:rPr>
                    <w:t>Comments</w:t>
                  </w:r>
                </w:p>
              </w:tc>
            </w:tr>
            <w:tr w:rsidR="00D64DDA" w:rsidTr="00D64DDA">
              <w:tc>
                <w:tcPr>
                  <w:tcW w:w="0" w:type="auto"/>
                  <w:vMerge/>
                  <w:tcBorders>
                    <w:top w:val="single" w:sz="4" w:space="0" w:color="auto"/>
                    <w:left w:val="single" w:sz="4" w:space="0" w:color="auto"/>
                    <w:bottom w:val="single" w:sz="4" w:space="0" w:color="auto"/>
                    <w:right w:val="single" w:sz="4" w:space="0" w:color="auto"/>
                  </w:tcBorders>
                  <w:vAlign w:val="center"/>
                  <w:hideMark/>
                </w:tcPr>
                <w:p w:rsidR="00D64DDA" w:rsidRDefault="00D64DD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DDA" w:rsidRDefault="00D64DDA">
                  <w:pPr>
                    <w:rPr>
                      <w:b/>
                    </w:rPr>
                  </w:pPr>
                </w:p>
              </w:tc>
              <w:tc>
                <w:tcPr>
                  <w:tcW w:w="571" w:type="dxa"/>
                  <w:tcBorders>
                    <w:top w:val="single" w:sz="4" w:space="0" w:color="auto"/>
                    <w:left w:val="single" w:sz="4" w:space="0" w:color="auto"/>
                    <w:bottom w:val="single" w:sz="4" w:space="0" w:color="auto"/>
                    <w:right w:val="single" w:sz="4" w:space="0" w:color="auto"/>
                  </w:tcBorders>
                  <w:hideMark/>
                </w:tcPr>
                <w:p w:rsidR="00D64DDA" w:rsidRDefault="00D64DDA">
                  <w:pPr>
                    <w:jc w:val="center"/>
                    <w:rPr>
                      <w:b/>
                    </w:rPr>
                  </w:pPr>
                  <w:r>
                    <w:rPr>
                      <w:b/>
                    </w:rPr>
                    <w:t>H</w:t>
                  </w:r>
                </w:p>
              </w:tc>
              <w:tc>
                <w:tcPr>
                  <w:tcW w:w="571" w:type="dxa"/>
                  <w:tcBorders>
                    <w:top w:val="single" w:sz="4" w:space="0" w:color="auto"/>
                    <w:left w:val="single" w:sz="4" w:space="0" w:color="auto"/>
                    <w:bottom w:val="single" w:sz="4" w:space="0" w:color="auto"/>
                    <w:right w:val="single" w:sz="4" w:space="0" w:color="auto"/>
                  </w:tcBorders>
                  <w:hideMark/>
                </w:tcPr>
                <w:p w:rsidR="00D64DDA" w:rsidRDefault="00D64DDA">
                  <w:pPr>
                    <w:jc w:val="center"/>
                    <w:rPr>
                      <w:b/>
                    </w:rPr>
                  </w:pPr>
                  <w:r>
                    <w:rPr>
                      <w:b/>
                    </w:rPr>
                    <w:t>M</w:t>
                  </w:r>
                </w:p>
              </w:tc>
              <w:tc>
                <w:tcPr>
                  <w:tcW w:w="571" w:type="dxa"/>
                  <w:tcBorders>
                    <w:top w:val="single" w:sz="4" w:space="0" w:color="auto"/>
                    <w:left w:val="single" w:sz="4" w:space="0" w:color="auto"/>
                    <w:bottom w:val="single" w:sz="4" w:space="0" w:color="auto"/>
                    <w:right w:val="single" w:sz="4" w:space="0" w:color="auto"/>
                  </w:tcBorders>
                  <w:hideMark/>
                </w:tcPr>
                <w:p w:rsidR="00D64DDA" w:rsidRDefault="00D64DDA">
                  <w:pPr>
                    <w:jc w:val="center"/>
                    <w:rPr>
                      <w:b/>
                    </w:rPr>
                  </w:pPr>
                  <w:r>
                    <w:rPr>
                      <w:b/>
                    </w:rPr>
                    <w: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DDA" w:rsidRDefault="00D64DDA">
                  <w:pPr>
                    <w:rPr>
                      <w:b/>
                    </w:rPr>
                  </w:pPr>
                </w:p>
              </w:tc>
            </w:tr>
            <w:tr w:rsidR="00D64DDA" w:rsidTr="00BF328D">
              <w:tc>
                <w:tcPr>
                  <w:tcW w:w="1439" w:type="dxa"/>
                  <w:tcBorders>
                    <w:top w:val="single" w:sz="4" w:space="0" w:color="auto"/>
                    <w:left w:val="single" w:sz="4" w:space="0" w:color="auto"/>
                    <w:bottom w:val="single" w:sz="4" w:space="0" w:color="auto"/>
                    <w:right w:val="single" w:sz="4" w:space="0" w:color="auto"/>
                  </w:tcBorders>
                </w:tcPr>
                <w:p w:rsidR="00D64DDA" w:rsidRPr="00BF328D" w:rsidRDefault="00BF328D">
                  <w:r w:rsidRPr="00BF328D">
                    <w:t>HRA GDPR Review</w:t>
                  </w:r>
                </w:p>
              </w:tc>
              <w:tc>
                <w:tcPr>
                  <w:tcW w:w="1282" w:type="dxa"/>
                  <w:tcBorders>
                    <w:top w:val="single" w:sz="4" w:space="0" w:color="auto"/>
                    <w:left w:val="single" w:sz="4" w:space="0" w:color="auto"/>
                    <w:bottom w:val="single" w:sz="4" w:space="0" w:color="auto"/>
                    <w:right w:val="single" w:sz="4" w:space="0" w:color="auto"/>
                  </w:tcBorders>
                  <w:shd w:val="clear" w:color="auto" w:fill="92D050"/>
                </w:tcPr>
                <w:p w:rsidR="00D64DDA" w:rsidRDefault="00BF328D">
                  <w:pPr>
                    <w:jc w:val="center"/>
                    <w:rPr>
                      <w:b/>
                    </w:rPr>
                  </w:pPr>
                  <w:r>
                    <w:rPr>
                      <w:b/>
                    </w:rPr>
                    <w:t>MODERATE</w:t>
                  </w:r>
                </w:p>
              </w:tc>
              <w:tc>
                <w:tcPr>
                  <w:tcW w:w="571" w:type="dxa"/>
                  <w:tcBorders>
                    <w:top w:val="single" w:sz="4" w:space="0" w:color="auto"/>
                    <w:left w:val="single" w:sz="4" w:space="0" w:color="auto"/>
                    <w:bottom w:val="single" w:sz="4" w:space="0" w:color="auto"/>
                    <w:right w:val="single" w:sz="4" w:space="0" w:color="auto"/>
                  </w:tcBorders>
                </w:tcPr>
                <w:p w:rsidR="00D64DDA" w:rsidRDefault="00BF328D">
                  <w:pPr>
                    <w:jc w:val="center"/>
                  </w:pPr>
                  <w:r>
                    <w:t>0</w:t>
                  </w:r>
                </w:p>
              </w:tc>
              <w:tc>
                <w:tcPr>
                  <w:tcW w:w="571" w:type="dxa"/>
                  <w:tcBorders>
                    <w:top w:val="single" w:sz="4" w:space="0" w:color="auto"/>
                    <w:left w:val="single" w:sz="4" w:space="0" w:color="auto"/>
                    <w:bottom w:val="single" w:sz="4" w:space="0" w:color="auto"/>
                    <w:right w:val="single" w:sz="4" w:space="0" w:color="auto"/>
                  </w:tcBorders>
                </w:tcPr>
                <w:p w:rsidR="00D64DDA" w:rsidRDefault="00BF328D">
                  <w:pPr>
                    <w:jc w:val="center"/>
                  </w:pPr>
                  <w:r>
                    <w:t>3</w:t>
                  </w:r>
                </w:p>
              </w:tc>
              <w:tc>
                <w:tcPr>
                  <w:tcW w:w="571" w:type="dxa"/>
                  <w:tcBorders>
                    <w:top w:val="single" w:sz="4" w:space="0" w:color="auto"/>
                    <w:left w:val="single" w:sz="4" w:space="0" w:color="auto"/>
                    <w:bottom w:val="single" w:sz="4" w:space="0" w:color="auto"/>
                    <w:right w:val="single" w:sz="4" w:space="0" w:color="auto"/>
                  </w:tcBorders>
                </w:tcPr>
                <w:p w:rsidR="00D64DDA" w:rsidRDefault="00BF328D">
                  <w:pPr>
                    <w:jc w:val="center"/>
                  </w:pPr>
                  <w:r>
                    <w:t>3</w:t>
                  </w:r>
                </w:p>
              </w:tc>
              <w:tc>
                <w:tcPr>
                  <w:tcW w:w="3675" w:type="dxa"/>
                  <w:tcBorders>
                    <w:top w:val="single" w:sz="4" w:space="0" w:color="auto"/>
                    <w:left w:val="single" w:sz="4" w:space="0" w:color="auto"/>
                    <w:bottom w:val="single" w:sz="4" w:space="0" w:color="auto"/>
                    <w:right w:val="single" w:sz="4" w:space="0" w:color="auto"/>
                  </w:tcBorders>
                </w:tcPr>
                <w:p w:rsidR="00D64DDA" w:rsidRDefault="00BF328D">
                  <w:pPr>
                    <w:rPr>
                      <w:rFonts w:cs="Arial"/>
                    </w:rPr>
                  </w:pPr>
                  <w:r w:rsidRPr="00BF328D">
                    <w:rPr>
                      <w:rFonts w:cs="Arial"/>
                    </w:rPr>
                    <w:t xml:space="preserve">Overall HRA has completed </w:t>
                  </w:r>
                  <w:r w:rsidR="00851C09">
                    <w:rPr>
                      <w:rFonts w:cs="Arial"/>
                    </w:rPr>
                    <w:t>almost all</w:t>
                  </w:r>
                  <w:r w:rsidRPr="00BF328D">
                    <w:rPr>
                      <w:rFonts w:cs="Arial"/>
                    </w:rPr>
                    <w:t xml:space="preserve"> actions required to be GDPR compliant.</w:t>
                  </w:r>
                  <w:r w:rsidR="00851C09">
                    <w:rPr>
                      <w:rFonts w:cs="Arial"/>
                    </w:rPr>
                    <w:t xml:space="preserve"> The final recommendations from the audit are in the process of being completed including the provision of a new training package for staff using the new Learning Management System once developed.</w:t>
                  </w:r>
                </w:p>
                <w:p w:rsidR="00851C09" w:rsidRPr="00BF328D" w:rsidRDefault="00851C09"/>
              </w:tc>
            </w:tr>
            <w:tr w:rsidR="00D64DDA" w:rsidTr="00BF328D">
              <w:tc>
                <w:tcPr>
                  <w:tcW w:w="1439" w:type="dxa"/>
                  <w:tcBorders>
                    <w:top w:val="single" w:sz="4" w:space="0" w:color="auto"/>
                    <w:left w:val="single" w:sz="4" w:space="0" w:color="auto"/>
                    <w:bottom w:val="single" w:sz="4" w:space="0" w:color="auto"/>
                    <w:right w:val="single" w:sz="4" w:space="0" w:color="auto"/>
                  </w:tcBorders>
                </w:tcPr>
                <w:p w:rsidR="00D64DDA" w:rsidRDefault="00BF328D">
                  <w:r>
                    <w:t>Review of HRA Assurance Mapping</w:t>
                  </w:r>
                </w:p>
              </w:tc>
              <w:tc>
                <w:tcPr>
                  <w:tcW w:w="1282" w:type="dxa"/>
                  <w:tcBorders>
                    <w:top w:val="single" w:sz="4" w:space="0" w:color="auto"/>
                    <w:left w:val="single" w:sz="4" w:space="0" w:color="auto"/>
                    <w:bottom w:val="single" w:sz="4" w:space="0" w:color="auto"/>
                    <w:right w:val="single" w:sz="4" w:space="0" w:color="auto"/>
                  </w:tcBorders>
                  <w:shd w:val="clear" w:color="auto" w:fill="FFC000"/>
                </w:tcPr>
                <w:p w:rsidR="00D64DDA" w:rsidRDefault="00BF328D">
                  <w:pPr>
                    <w:jc w:val="center"/>
                    <w:rPr>
                      <w:b/>
                    </w:rPr>
                  </w:pPr>
                  <w:r>
                    <w:rPr>
                      <w:b/>
                    </w:rPr>
                    <w:t>LIMITED</w:t>
                  </w:r>
                </w:p>
              </w:tc>
              <w:tc>
                <w:tcPr>
                  <w:tcW w:w="571" w:type="dxa"/>
                  <w:tcBorders>
                    <w:top w:val="single" w:sz="4" w:space="0" w:color="auto"/>
                    <w:left w:val="single" w:sz="4" w:space="0" w:color="auto"/>
                    <w:bottom w:val="single" w:sz="4" w:space="0" w:color="auto"/>
                    <w:right w:val="single" w:sz="4" w:space="0" w:color="auto"/>
                  </w:tcBorders>
                </w:tcPr>
                <w:p w:rsidR="00D64DDA" w:rsidRDefault="00BF328D">
                  <w:pPr>
                    <w:jc w:val="center"/>
                  </w:pPr>
                  <w:r>
                    <w:t>1</w:t>
                  </w:r>
                </w:p>
              </w:tc>
              <w:tc>
                <w:tcPr>
                  <w:tcW w:w="571" w:type="dxa"/>
                  <w:tcBorders>
                    <w:top w:val="single" w:sz="4" w:space="0" w:color="auto"/>
                    <w:left w:val="single" w:sz="4" w:space="0" w:color="auto"/>
                    <w:bottom w:val="single" w:sz="4" w:space="0" w:color="auto"/>
                    <w:right w:val="single" w:sz="4" w:space="0" w:color="auto"/>
                  </w:tcBorders>
                </w:tcPr>
                <w:p w:rsidR="00D64DDA" w:rsidRDefault="00BF328D">
                  <w:pPr>
                    <w:jc w:val="center"/>
                  </w:pPr>
                  <w:r>
                    <w:t>2</w:t>
                  </w:r>
                </w:p>
              </w:tc>
              <w:tc>
                <w:tcPr>
                  <w:tcW w:w="571" w:type="dxa"/>
                  <w:tcBorders>
                    <w:top w:val="single" w:sz="4" w:space="0" w:color="auto"/>
                    <w:left w:val="single" w:sz="4" w:space="0" w:color="auto"/>
                    <w:bottom w:val="single" w:sz="4" w:space="0" w:color="auto"/>
                    <w:right w:val="single" w:sz="4" w:space="0" w:color="auto"/>
                  </w:tcBorders>
                </w:tcPr>
                <w:p w:rsidR="00D64DDA" w:rsidRDefault="00BF328D">
                  <w:pPr>
                    <w:jc w:val="center"/>
                  </w:pPr>
                  <w:r>
                    <w:t>1</w:t>
                  </w:r>
                </w:p>
              </w:tc>
              <w:tc>
                <w:tcPr>
                  <w:tcW w:w="3675" w:type="dxa"/>
                  <w:tcBorders>
                    <w:top w:val="single" w:sz="4" w:space="0" w:color="auto"/>
                    <w:left w:val="single" w:sz="4" w:space="0" w:color="auto"/>
                    <w:bottom w:val="single" w:sz="4" w:space="0" w:color="auto"/>
                    <w:right w:val="single" w:sz="4" w:space="0" w:color="auto"/>
                  </w:tcBorders>
                </w:tcPr>
                <w:p w:rsidR="00D64DDA" w:rsidRPr="00851C09" w:rsidRDefault="00851C09" w:rsidP="00851C09">
                  <w:pPr>
                    <w:autoSpaceDE w:val="0"/>
                    <w:autoSpaceDN w:val="0"/>
                    <w:adjustRightInd w:val="0"/>
                    <w:rPr>
                      <w:rFonts w:cs="Arial"/>
                    </w:rPr>
                  </w:pPr>
                  <w:r>
                    <w:t>The Committee agreed the process is still in its early stages with the baseline review only recently completed at the time. The limited rating did not necessarily reflect</w:t>
                  </w:r>
                  <w:r w:rsidRPr="00105C99">
                    <w:rPr>
                      <w:rFonts w:ascii="Calibri" w:hAnsi="Calibri" w:cs="Calibri"/>
                    </w:rPr>
                    <w:t xml:space="preserve"> any significant weakness identified in the governance or risk management framework.</w:t>
                  </w:r>
                </w:p>
              </w:tc>
            </w:tr>
          </w:tbl>
          <w:p w:rsidR="00D64DDA" w:rsidRDefault="00D64DDA" w:rsidP="00D64DDA">
            <w:pPr>
              <w:rPr>
                <w:i/>
                <w:sz w:val="18"/>
              </w:rPr>
            </w:pPr>
            <w:r>
              <w:rPr>
                <w:i/>
                <w:sz w:val="18"/>
              </w:rPr>
              <w:t>Substantial – the framework of governance, risk management and control is adequate &amp; effective</w:t>
            </w:r>
          </w:p>
          <w:p w:rsidR="00D64DDA" w:rsidRDefault="00D64DDA" w:rsidP="00D64DDA">
            <w:pPr>
              <w:rPr>
                <w:i/>
                <w:sz w:val="18"/>
              </w:rPr>
            </w:pPr>
            <w:r>
              <w:rPr>
                <w:i/>
                <w:sz w:val="18"/>
              </w:rPr>
              <w:t>Moderate - some improvements are required to enhance the adequacy and effectiveness of the framework</w:t>
            </w:r>
          </w:p>
          <w:p w:rsidR="00D64DDA" w:rsidRDefault="00D64DDA" w:rsidP="00D64DDA">
            <w:pPr>
              <w:rPr>
                <w:i/>
                <w:sz w:val="18"/>
              </w:rPr>
            </w:pPr>
            <w:r>
              <w:rPr>
                <w:i/>
                <w:sz w:val="18"/>
              </w:rPr>
              <w:t>Limited - significant weaknesses in the framework - it could be / could become inadequate and ineffective</w:t>
            </w:r>
          </w:p>
          <w:p w:rsidR="00997614" w:rsidRDefault="00D64DDA" w:rsidP="00D64DDA">
            <w:pPr>
              <w:rPr>
                <w:u w:val="single"/>
              </w:rPr>
            </w:pPr>
            <w:r>
              <w:rPr>
                <w:i/>
                <w:sz w:val="18"/>
              </w:rPr>
              <w:lastRenderedPageBreak/>
              <w:t>Unsatisfactory - fundamental weaknesses in the framework - it is inadequate and ineffective or is likely to fail</w:t>
            </w:r>
          </w:p>
          <w:p w:rsidR="00D64DDA" w:rsidRDefault="00D64DDA" w:rsidP="00997614"/>
          <w:p w:rsidR="00D64DDA" w:rsidRDefault="00D64DDA" w:rsidP="00997614">
            <w:pPr>
              <w:rPr>
                <w:rFonts w:eastAsia="Arial" w:cs="Arial"/>
                <w:color w:val="000000"/>
              </w:rPr>
            </w:pPr>
            <w:r w:rsidRPr="00997614">
              <w:t xml:space="preserve">The Committee discussed the importance of cyber security noting the audit planned for quarter 3. The Committee noted a letter from DHSC with regard to assurance of Arm’s Length Body (ALB) cyber resilience had been received </w:t>
            </w:r>
            <w:r>
              <w:t xml:space="preserve">flagging the need for ALBs to sign up to the </w:t>
            </w:r>
            <w:r w:rsidRPr="00997614">
              <w:rPr>
                <w:rFonts w:eastAsia="Arial" w:cs="Arial"/>
                <w:color w:val="000000"/>
              </w:rPr>
              <w:t>Data Security and Protection (DSP) Toolkit.</w:t>
            </w:r>
          </w:p>
          <w:p w:rsidR="00D64DDA" w:rsidRPr="000F7ECD" w:rsidRDefault="00D64DDA" w:rsidP="00997614">
            <w:pPr>
              <w:rPr>
                <w:u w:val="single"/>
              </w:rPr>
            </w:pPr>
          </w:p>
        </w:tc>
      </w:tr>
      <w:tr w:rsidR="00071D85" w:rsidTr="000E2CD1">
        <w:tc>
          <w:tcPr>
            <w:tcW w:w="1589" w:type="dxa"/>
            <w:vMerge/>
            <w:shd w:val="clear" w:color="auto" w:fill="FBD4B4" w:themeFill="accent6" w:themeFillTint="66"/>
          </w:tcPr>
          <w:p w:rsidR="00071D85" w:rsidRDefault="00071D85" w:rsidP="00AB4AAE">
            <w:pPr>
              <w:ind w:right="-46"/>
              <w:rPr>
                <w:rFonts w:cs="Arial"/>
                <w:szCs w:val="28"/>
              </w:rPr>
            </w:pPr>
          </w:p>
        </w:tc>
        <w:tc>
          <w:tcPr>
            <w:tcW w:w="8335" w:type="dxa"/>
          </w:tcPr>
          <w:p w:rsidR="00071D85" w:rsidRDefault="00071D85" w:rsidP="0001360C">
            <w:pPr>
              <w:shd w:val="clear" w:color="auto" w:fill="FBD4B4" w:themeFill="accent6" w:themeFillTint="66"/>
              <w:rPr>
                <w:rFonts w:cs="Arial"/>
                <w:b/>
              </w:rPr>
            </w:pPr>
            <w:r>
              <w:rPr>
                <w:rFonts w:cs="Arial"/>
                <w:b/>
              </w:rPr>
              <w:t>HRA Assurance Mapping update</w:t>
            </w:r>
          </w:p>
          <w:p w:rsidR="00071D85" w:rsidRDefault="00071D85" w:rsidP="00071D85">
            <w:pPr>
              <w:shd w:val="clear" w:color="auto" w:fill="FFFFFF" w:themeFill="background1"/>
              <w:rPr>
                <w:rFonts w:cs="Arial"/>
                <w:b/>
              </w:rPr>
            </w:pPr>
          </w:p>
          <w:p w:rsidR="00071D85" w:rsidRDefault="00851C09" w:rsidP="00851C09">
            <w:pPr>
              <w:shd w:val="clear" w:color="auto" w:fill="FFFFFF" w:themeFill="background1"/>
              <w:rPr>
                <w:rFonts w:cs="Arial"/>
              </w:rPr>
            </w:pPr>
            <w:r>
              <w:rPr>
                <w:rFonts w:cs="Arial"/>
              </w:rPr>
              <w:t xml:space="preserve">The Committee reviewed the HRA Assurance Map Procedure which </w:t>
            </w:r>
            <w:r>
              <w:t xml:space="preserve">provides details of the proposed HRA Annual Assurance Plan. </w:t>
            </w:r>
            <w:r w:rsidRPr="00105C99">
              <w:t>The Committee n</w:t>
            </w:r>
            <w:r>
              <w:t>oted t</w:t>
            </w:r>
            <w:r w:rsidRPr="00105C99">
              <w:rPr>
                <w:rFonts w:cs="Arial"/>
              </w:rPr>
              <w:t>he plan will consider strategic objectives, risks, the</w:t>
            </w:r>
            <w:r>
              <w:rPr>
                <w:rFonts w:cs="Arial"/>
              </w:rPr>
              <w:t xml:space="preserve"> </w:t>
            </w:r>
            <w:r w:rsidRPr="00105C99">
              <w:rPr>
                <w:rFonts w:cs="Arial"/>
              </w:rPr>
              <w:t>business plan and o</w:t>
            </w:r>
            <w:r>
              <w:rPr>
                <w:rFonts w:cs="Arial"/>
              </w:rPr>
              <w:t>ther requirements and determine any areas of HRA business w</w:t>
            </w:r>
            <w:r w:rsidRPr="00105C99">
              <w:rPr>
                <w:rFonts w:cs="Arial"/>
              </w:rPr>
              <w:t>here fur</w:t>
            </w:r>
            <w:r>
              <w:rPr>
                <w:rFonts w:cs="Arial"/>
              </w:rPr>
              <w:t>ther assurance may be required. The Committee noted the plan will include self-assessment reviews undertaken by function owners, corporate reviews undertaken by the HRA QA team and capture any external audits taking place. The findings from these reviews will be used to update the assurance map and give a clear indication of the level of assurance across the HRA.</w:t>
            </w:r>
          </w:p>
          <w:p w:rsidR="00851C09" w:rsidRDefault="00851C09" w:rsidP="00851C09">
            <w:pPr>
              <w:shd w:val="clear" w:color="auto" w:fill="FFFFFF" w:themeFill="background1"/>
              <w:rPr>
                <w:rFonts w:cs="Arial"/>
              </w:rPr>
            </w:pPr>
          </w:p>
          <w:p w:rsidR="00851C09" w:rsidRPr="00105C99" w:rsidRDefault="00851C09" w:rsidP="00851C09">
            <w:pPr>
              <w:autoSpaceDE w:val="0"/>
              <w:autoSpaceDN w:val="0"/>
              <w:adjustRightInd w:val="0"/>
            </w:pPr>
            <w:r>
              <w:rPr>
                <w:rFonts w:cs="Arial"/>
              </w:rPr>
              <w:t>The Committee was supportive of the direction of travel and approved the assurance mapping procedure.</w:t>
            </w:r>
          </w:p>
          <w:p w:rsidR="00851C09" w:rsidRDefault="00851C09" w:rsidP="00851C09">
            <w:pPr>
              <w:shd w:val="clear" w:color="auto" w:fill="FFFFFF" w:themeFill="background1"/>
              <w:rPr>
                <w:rFonts w:cs="Arial"/>
                <w:b/>
              </w:rPr>
            </w:pPr>
          </w:p>
        </w:tc>
      </w:tr>
      <w:tr w:rsidR="00F11009" w:rsidTr="000E2CD1">
        <w:tc>
          <w:tcPr>
            <w:tcW w:w="1589" w:type="dxa"/>
            <w:vMerge/>
            <w:shd w:val="clear" w:color="auto" w:fill="FBD4B4" w:themeFill="accent6" w:themeFillTint="66"/>
          </w:tcPr>
          <w:p w:rsidR="00F11009" w:rsidRDefault="00F11009" w:rsidP="00AB4AAE">
            <w:pPr>
              <w:ind w:right="-46"/>
              <w:rPr>
                <w:rFonts w:cs="Arial"/>
                <w:szCs w:val="28"/>
              </w:rPr>
            </w:pPr>
          </w:p>
        </w:tc>
        <w:tc>
          <w:tcPr>
            <w:tcW w:w="8335" w:type="dxa"/>
          </w:tcPr>
          <w:p w:rsidR="00F11009" w:rsidRDefault="00071D85" w:rsidP="008C6063">
            <w:pPr>
              <w:shd w:val="clear" w:color="auto" w:fill="FBD4B4" w:themeFill="accent6" w:themeFillTint="66"/>
              <w:rPr>
                <w:b/>
              </w:rPr>
            </w:pPr>
            <w:r>
              <w:rPr>
                <w:b/>
              </w:rPr>
              <w:t>External Audit Planning report on the 2018-19 financial statement audit</w:t>
            </w:r>
          </w:p>
          <w:p w:rsidR="00F11009" w:rsidRDefault="00F11009" w:rsidP="008C6063">
            <w:pPr>
              <w:rPr>
                <w:b/>
              </w:rPr>
            </w:pPr>
          </w:p>
          <w:p w:rsidR="00071D85" w:rsidRDefault="00071D85" w:rsidP="00071D85">
            <w:pPr>
              <w:pStyle w:val="Default"/>
              <w:rPr>
                <w:rFonts w:asciiTheme="minorHAnsi" w:hAnsiTheme="minorHAnsi"/>
                <w:bCs/>
                <w:sz w:val="22"/>
                <w:szCs w:val="22"/>
              </w:rPr>
            </w:pPr>
            <w:r w:rsidRPr="00071D85">
              <w:rPr>
                <w:rFonts w:asciiTheme="minorHAnsi" w:hAnsiTheme="minorHAnsi"/>
                <w:sz w:val="22"/>
                <w:szCs w:val="22"/>
              </w:rPr>
              <w:t xml:space="preserve">The Committee received and noted the Audit planning report on the 2018-19 </w:t>
            </w:r>
            <w:r w:rsidRPr="00071D85">
              <w:rPr>
                <w:rFonts w:asciiTheme="minorHAnsi" w:hAnsiTheme="minorHAnsi"/>
                <w:bCs/>
                <w:sz w:val="22"/>
                <w:szCs w:val="22"/>
              </w:rPr>
              <w:t>financial statement a</w:t>
            </w:r>
            <w:bookmarkStart w:id="0" w:name="_GoBack"/>
            <w:bookmarkEnd w:id="0"/>
            <w:r w:rsidRPr="00071D85">
              <w:rPr>
                <w:rFonts w:asciiTheme="minorHAnsi" w:hAnsiTheme="minorHAnsi"/>
                <w:bCs/>
                <w:sz w:val="22"/>
                <w:szCs w:val="22"/>
              </w:rPr>
              <w:t>udit.</w:t>
            </w:r>
            <w:r w:rsidR="00851C09">
              <w:rPr>
                <w:rFonts w:asciiTheme="minorHAnsi" w:hAnsiTheme="minorHAnsi"/>
                <w:bCs/>
                <w:sz w:val="22"/>
                <w:szCs w:val="22"/>
              </w:rPr>
              <w:t xml:space="preserve"> The Committee accepted the fee associated with the audit.</w:t>
            </w:r>
          </w:p>
          <w:p w:rsidR="00071D85" w:rsidRPr="00520A87" w:rsidRDefault="00071D85" w:rsidP="00071D85">
            <w:pPr>
              <w:pStyle w:val="Default"/>
            </w:pPr>
          </w:p>
        </w:tc>
      </w:tr>
      <w:tr w:rsidR="00071D85" w:rsidTr="000E2CD1">
        <w:tc>
          <w:tcPr>
            <w:tcW w:w="1589" w:type="dxa"/>
            <w:vMerge/>
            <w:shd w:val="clear" w:color="auto" w:fill="FBD4B4" w:themeFill="accent6" w:themeFillTint="66"/>
          </w:tcPr>
          <w:p w:rsidR="00071D85" w:rsidRDefault="00071D85" w:rsidP="00AB4AAE">
            <w:pPr>
              <w:ind w:right="-46"/>
              <w:rPr>
                <w:rFonts w:cs="Arial"/>
                <w:szCs w:val="28"/>
              </w:rPr>
            </w:pPr>
          </w:p>
        </w:tc>
        <w:tc>
          <w:tcPr>
            <w:tcW w:w="8335" w:type="dxa"/>
          </w:tcPr>
          <w:p w:rsidR="00071D85" w:rsidRDefault="00071D85" w:rsidP="008C6063">
            <w:pPr>
              <w:shd w:val="clear" w:color="auto" w:fill="FBD4B4" w:themeFill="accent6" w:themeFillTint="66"/>
              <w:rPr>
                <w:b/>
              </w:rPr>
            </w:pPr>
            <w:r>
              <w:rPr>
                <w:b/>
              </w:rPr>
              <w:t>Information Governance Steering Group Annual Report 2017/18</w:t>
            </w:r>
          </w:p>
          <w:p w:rsidR="00071D85" w:rsidRDefault="00071D85" w:rsidP="00071D85">
            <w:pPr>
              <w:shd w:val="clear" w:color="auto" w:fill="FFFFFF" w:themeFill="background1"/>
              <w:rPr>
                <w:b/>
              </w:rPr>
            </w:pPr>
          </w:p>
          <w:p w:rsidR="00071D85" w:rsidRDefault="00851C09" w:rsidP="00071D85">
            <w:r>
              <w:t xml:space="preserve">The </w:t>
            </w:r>
            <w:r w:rsidR="00071D85">
              <w:t>Committee received and noted the IG annual report for 2017/18. The Committee noted one risk in the report related to the difficulty in ascertaining HRA staff mandatory training completion rates, which includes IG related training. The Committee noted the Electronic Staff Record may provide a solution with further investigation underway.</w:t>
            </w:r>
          </w:p>
          <w:p w:rsidR="00071D85" w:rsidRPr="00071D85" w:rsidRDefault="00071D85" w:rsidP="00071D85"/>
        </w:tc>
      </w:tr>
      <w:tr w:rsidR="00F11009" w:rsidTr="000E2CD1">
        <w:tc>
          <w:tcPr>
            <w:tcW w:w="1589" w:type="dxa"/>
            <w:vMerge/>
            <w:shd w:val="clear" w:color="auto" w:fill="FBD4B4" w:themeFill="accent6" w:themeFillTint="66"/>
          </w:tcPr>
          <w:p w:rsidR="00F11009" w:rsidRDefault="00F11009" w:rsidP="00AB4AAE">
            <w:pPr>
              <w:ind w:right="-46"/>
              <w:rPr>
                <w:rFonts w:cs="Arial"/>
                <w:szCs w:val="28"/>
              </w:rPr>
            </w:pPr>
          </w:p>
        </w:tc>
        <w:tc>
          <w:tcPr>
            <w:tcW w:w="8335" w:type="dxa"/>
          </w:tcPr>
          <w:p w:rsidR="00997614" w:rsidRDefault="00997614" w:rsidP="00997614">
            <w:pPr>
              <w:shd w:val="clear" w:color="auto" w:fill="FBD4B4" w:themeFill="accent6" w:themeFillTint="66"/>
              <w:rPr>
                <w:b/>
              </w:rPr>
            </w:pPr>
            <w:r>
              <w:rPr>
                <w:rFonts w:cs="Arial"/>
                <w:b/>
              </w:rPr>
              <w:t xml:space="preserve">Risk Deep Dive </w:t>
            </w:r>
            <w:r w:rsidR="00851C09">
              <w:rPr>
                <w:rFonts w:cs="Arial"/>
                <w:b/>
              </w:rPr>
              <w:t>–</w:t>
            </w:r>
            <w:r>
              <w:rPr>
                <w:rFonts w:cs="Arial"/>
                <w:b/>
              </w:rPr>
              <w:t xml:space="preserve"> </w:t>
            </w:r>
            <w:r w:rsidR="00851C09">
              <w:rPr>
                <w:rFonts w:cs="Arial"/>
                <w:b/>
              </w:rPr>
              <w:t>Brexit and EU Clinical Trial Regulations</w:t>
            </w:r>
          </w:p>
          <w:p w:rsidR="00997614" w:rsidRDefault="00997614" w:rsidP="00997614">
            <w:pPr>
              <w:rPr>
                <w:b/>
              </w:rPr>
            </w:pPr>
          </w:p>
          <w:p w:rsidR="00F11009" w:rsidRPr="00851C09" w:rsidRDefault="00851C09" w:rsidP="00A87B82">
            <w:r w:rsidRPr="00851C09">
              <w:t>The Committee received a presentation which detailed the HRA’s preparedness for Brexit in two key areas; research and data. The Committee noted the consensus amongst stakeholders was either the UK is part of the same regulation or the regulation</w:t>
            </w:r>
            <w:r>
              <w:t xml:space="preserve"> is mirrored exactly therefore t</w:t>
            </w:r>
            <w:r w:rsidRPr="00851C09">
              <w:t>he researcher experience should no</w:t>
            </w:r>
            <w:r>
              <w:t>t</w:t>
            </w:r>
            <w:r w:rsidRPr="00851C09">
              <w:t xml:space="preserve"> be particularly different from 01 April 2019</w:t>
            </w:r>
            <w:r>
              <w:t xml:space="preserve">. The Committee noted </w:t>
            </w:r>
            <w:r w:rsidRPr="00851C09">
              <w:t xml:space="preserve">the programme of work to deliver this </w:t>
            </w:r>
            <w:r>
              <w:t xml:space="preserve">remains </w:t>
            </w:r>
            <w:r w:rsidRPr="00851C09">
              <w:t>on track.</w:t>
            </w:r>
          </w:p>
          <w:p w:rsidR="00F11009" w:rsidRPr="00851C09" w:rsidRDefault="00F11009" w:rsidP="00997614">
            <w:pPr>
              <w:rPr>
                <w:rFonts w:cs="Arial"/>
              </w:rPr>
            </w:pPr>
          </w:p>
          <w:p w:rsidR="00851C09" w:rsidRPr="00851C09" w:rsidRDefault="00851C09" w:rsidP="00851C09">
            <w:pPr>
              <w:rPr>
                <w:rFonts w:cs="Calibri-Bold"/>
                <w:bCs/>
              </w:rPr>
            </w:pPr>
            <w:r w:rsidRPr="00851C09">
              <w:rPr>
                <w:rFonts w:cs="Calibri-Bold"/>
                <w:bCs/>
              </w:rPr>
              <w:t>The Committee agreed there are still consider</w:t>
            </w:r>
            <w:r>
              <w:rPr>
                <w:rFonts w:cs="Calibri-Bold"/>
                <w:bCs/>
              </w:rPr>
              <w:t>able risks and work required</w:t>
            </w:r>
            <w:r w:rsidRPr="00851C09">
              <w:rPr>
                <w:rFonts w:cs="Calibri-Bold"/>
                <w:bCs/>
              </w:rPr>
              <w:t xml:space="preserve"> however was reasonably assured appropriate steps are being taken to ensure the HRA is as prepared as possible. The Committee agreed it would be helpful to receive a further update on Brexit at the February Audit &amp; Risk Committee.</w:t>
            </w:r>
          </w:p>
          <w:p w:rsidR="00851C09" w:rsidRPr="004D6DC9" w:rsidRDefault="00851C09" w:rsidP="00997614">
            <w:pPr>
              <w:rPr>
                <w:rFonts w:cs="Arial"/>
              </w:rPr>
            </w:pPr>
          </w:p>
        </w:tc>
      </w:tr>
      <w:tr w:rsidR="00F11009" w:rsidTr="000E2CD1">
        <w:tc>
          <w:tcPr>
            <w:tcW w:w="1589" w:type="dxa"/>
            <w:vMerge/>
            <w:shd w:val="clear" w:color="auto" w:fill="FBD4B4" w:themeFill="accent6" w:themeFillTint="66"/>
          </w:tcPr>
          <w:p w:rsidR="00F11009" w:rsidRDefault="00F11009" w:rsidP="00AB4AAE">
            <w:pPr>
              <w:ind w:right="-46"/>
              <w:rPr>
                <w:rFonts w:cs="Arial"/>
                <w:szCs w:val="28"/>
              </w:rPr>
            </w:pPr>
          </w:p>
        </w:tc>
        <w:tc>
          <w:tcPr>
            <w:tcW w:w="8335" w:type="dxa"/>
          </w:tcPr>
          <w:p w:rsidR="00F11009" w:rsidRDefault="00F11009" w:rsidP="00A87B82">
            <w:pPr>
              <w:shd w:val="clear" w:color="auto" w:fill="FBD4B4" w:themeFill="accent6" w:themeFillTint="66"/>
              <w:rPr>
                <w:b/>
              </w:rPr>
            </w:pPr>
            <w:r>
              <w:rPr>
                <w:b/>
              </w:rPr>
              <w:t xml:space="preserve">Corporate Risk Register Quarter </w:t>
            </w:r>
            <w:r w:rsidR="00997614">
              <w:rPr>
                <w:b/>
              </w:rPr>
              <w:t>2</w:t>
            </w:r>
            <w:r>
              <w:rPr>
                <w:b/>
              </w:rPr>
              <w:t xml:space="preserve"> 2017/18</w:t>
            </w:r>
          </w:p>
          <w:p w:rsidR="00F11009" w:rsidRDefault="00F11009" w:rsidP="00A87B82">
            <w:pPr>
              <w:rPr>
                <w:b/>
              </w:rPr>
            </w:pPr>
          </w:p>
          <w:p w:rsidR="00F11009" w:rsidRDefault="00F11009" w:rsidP="004D6DC9">
            <w:pPr>
              <w:rPr>
                <w:rFonts w:cs="Arial"/>
              </w:rPr>
            </w:pPr>
            <w:r w:rsidRPr="00461688">
              <w:rPr>
                <w:rFonts w:cs="Arial"/>
              </w:rPr>
              <w:t xml:space="preserve">The Committee reviewed and noted the Corporate Risk Register for Quarter </w:t>
            </w:r>
            <w:r w:rsidR="00997614">
              <w:rPr>
                <w:rFonts w:cs="Arial"/>
              </w:rPr>
              <w:t>2</w:t>
            </w:r>
            <w:r w:rsidRPr="00461688">
              <w:rPr>
                <w:rFonts w:cs="Arial"/>
              </w:rPr>
              <w:t xml:space="preserve"> 2018/19</w:t>
            </w:r>
            <w:r w:rsidR="00D06C3E">
              <w:rPr>
                <w:rFonts w:cs="Arial"/>
              </w:rPr>
              <w:t>.</w:t>
            </w:r>
            <w:r w:rsidR="00997614">
              <w:rPr>
                <w:rFonts w:cs="Arial"/>
              </w:rPr>
              <w:t xml:space="preserve"> </w:t>
            </w:r>
          </w:p>
          <w:p w:rsidR="00F11009" w:rsidRDefault="00F11009" w:rsidP="004D6DC9">
            <w:pPr>
              <w:rPr>
                <w:b/>
              </w:rPr>
            </w:pPr>
          </w:p>
        </w:tc>
      </w:tr>
      <w:tr w:rsidR="000F7ECD" w:rsidTr="00096C62">
        <w:tc>
          <w:tcPr>
            <w:tcW w:w="1589" w:type="dxa"/>
            <w:shd w:val="clear" w:color="auto" w:fill="FBD4B4" w:themeFill="accent6" w:themeFillTint="66"/>
          </w:tcPr>
          <w:p w:rsidR="000F7ECD" w:rsidRPr="00A36BD7" w:rsidRDefault="000F7ECD" w:rsidP="00AB4AAE">
            <w:pPr>
              <w:ind w:right="-46"/>
              <w:rPr>
                <w:rFonts w:cs="Arial"/>
                <w:b/>
                <w:szCs w:val="28"/>
              </w:rPr>
            </w:pPr>
            <w:r>
              <w:rPr>
                <w:rFonts w:cs="Arial"/>
                <w:b/>
                <w:szCs w:val="28"/>
              </w:rPr>
              <w:t xml:space="preserve">UPCOMING MEETING </w:t>
            </w:r>
            <w:r>
              <w:rPr>
                <w:rFonts w:cs="Arial"/>
                <w:b/>
                <w:szCs w:val="28"/>
              </w:rPr>
              <w:lastRenderedPageBreak/>
              <w:t>TOPICS</w:t>
            </w:r>
          </w:p>
          <w:p w:rsidR="000F7ECD" w:rsidRDefault="000F7ECD" w:rsidP="00AB4AAE">
            <w:pPr>
              <w:ind w:right="-46"/>
              <w:rPr>
                <w:rFonts w:cs="Arial"/>
                <w:szCs w:val="28"/>
              </w:rPr>
            </w:pPr>
          </w:p>
        </w:tc>
        <w:tc>
          <w:tcPr>
            <w:tcW w:w="8335" w:type="dxa"/>
          </w:tcPr>
          <w:p w:rsidR="000E2CD1" w:rsidRDefault="000E2CD1" w:rsidP="00F11009">
            <w:pPr>
              <w:pStyle w:val="ListParagraph"/>
              <w:numPr>
                <w:ilvl w:val="0"/>
                <w:numId w:val="3"/>
              </w:numPr>
            </w:pPr>
            <w:r>
              <w:lastRenderedPageBreak/>
              <w:t>Receive draft HGIAS Audit Plan</w:t>
            </w:r>
          </w:p>
          <w:p w:rsidR="000E2CD1" w:rsidRDefault="000E2CD1" w:rsidP="00F11009">
            <w:pPr>
              <w:pStyle w:val="ListParagraph"/>
              <w:numPr>
                <w:ilvl w:val="0"/>
                <w:numId w:val="3"/>
              </w:numPr>
            </w:pPr>
            <w:r>
              <w:t>Receive draft HRA Annual Assurance Plan</w:t>
            </w:r>
          </w:p>
          <w:p w:rsidR="00BF328D" w:rsidRDefault="00BF328D" w:rsidP="00F11009">
            <w:pPr>
              <w:pStyle w:val="ListParagraph"/>
              <w:numPr>
                <w:ilvl w:val="0"/>
                <w:numId w:val="3"/>
              </w:numPr>
            </w:pPr>
            <w:r>
              <w:lastRenderedPageBreak/>
              <w:t>Review fraud position</w:t>
            </w:r>
          </w:p>
          <w:p w:rsidR="00BF328D" w:rsidRDefault="00BF328D" w:rsidP="00F11009">
            <w:pPr>
              <w:pStyle w:val="ListParagraph"/>
              <w:numPr>
                <w:ilvl w:val="0"/>
                <w:numId w:val="3"/>
              </w:numPr>
            </w:pPr>
            <w:r>
              <w:t>Review scheme of delegation</w:t>
            </w:r>
          </w:p>
          <w:p w:rsidR="00F11009" w:rsidRPr="000648A8" w:rsidRDefault="00BF328D" w:rsidP="00F11009">
            <w:pPr>
              <w:pStyle w:val="ListParagraph"/>
              <w:numPr>
                <w:ilvl w:val="0"/>
                <w:numId w:val="3"/>
              </w:numPr>
            </w:pPr>
            <w:r>
              <w:t xml:space="preserve">Review Quarter 3 </w:t>
            </w:r>
            <w:r w:rsidR="00F11009" w:rsidRPr="000648A8">
              <w:t>Risk Register</w:t>
            </w:r>
          </w:p>
          <w:p w:rsidR="00F11009" w:rsidRPr="000648A8" w:rsidRDefault="00F11009" w:rsidP="00F11009">
            <w:pPr>
              <w:pStyle w:val="ListParagraph"/>
              <w:numPr>
                <w:ilvl w:val="0"/>
                <w:numId w:val="3"/>
              </w:numPr>
            </w:pPr>
            <w:r w:rsidRPr="000648A8">
              <w:t>Review Assurance Mapping Framework</w:t>
            </w:r>
          </w:p>
          <w:p w:rsidR="00120731" w:rsidRPr="00FB4A6E" w:rsidRDefault="00120731" w:rsidP="0032419A">
            <w:pPr>
              <w:pStyle w:val="ListParagraph"/>
              <w:rPr>
                <w:rFonts w:cs="Arial"/>
                <w:szCs w:val="28"/>
              </w:rPr>
            </w:pPr>
          </w:p>
        </w:tc>
      </w:tr>
    </w:tbl>
    <w:p w:rsidR="00917849" w:rsidRPr="00917849" w:rsidRDefault="00917849" w:rsidP="00917849">
      <w:pPr>
        <w:spacing w:after="0" w:line="240" w:lineRule="auto"/>
        <w:ind w:right="-46"/>
        <w:jc w:val="center"/>
        <w:rPr>
          <w:rFonts w:cs="Arial"/>
          <w:szCs w:val="28"/>
        </w:rPr>
      </w:pPr>
    </w:p>
    <w:p w:rsidR="00917849" w:rsidRDefault="00917849" w:rsidP="00917849">
      <w:pPr>
        <w:jc w:val="center"/>
      </w:pPr>
    </w:p>
    <w:sectPr w:rsidR="00917849" w:rsidSect="000E22AB">
      <w:footerReference w:type="default" r:id="rId8"/>
      <w:headerReference w:type="first" r:id="rId9"/>
      <w:footerReference w:type="first" r:id="rId10"/>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49" w:rsidRDefault="00917849" w:rsidP="00917849">
      <w:pPr>
        <w:spacing w:after="0" w:line="240" w:lineRule="auto"/>
      </w:pPr>
      <w:r>
        <w:separator/>
      </w:r>
    </w:p>
  </w:endnote>
  <w:endnote w:type="continuationSeparator" w:id="0">
    <w:p w:rsidR="00917849" w:rsidRDefault="00917849" w:rsidP="0091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9B" w:rsidRPr="00382649" w:rsidRDefault="006D5E36" w:rsidP="00374B9B">
    <w:pPr>
      <w:pStyle w:val="Footer"/>
      <w:rPr>
        <w:sz w:val="18"/>
      </w:rPr>
    </w:pPr>
    <w:r>
      <w:rPr>
        <w:sz w:val="18"/>
      </w:rPr>
      <w:t>2018</w:t>
    </w:r>
    <w:r w:rsidR="00851C09">
      <w:rPr>
        <w:sz w:val="18"/>
      </w:rPr>
      <w:t>.11</w:t>
    </w:r>
    <w:r w:rsidR="00D06C3E">
      <w:rPr>
        <w:sz w:val="18"/>
      </w:rPr>
      <w:t>.0</w:t>
    </w:r>
    <w:r w:rsidR="00851C09">
      <w:rPr>
        <w:sz w:val="18"/>
      </w:rPr>
      <w:t>7</w:t>
    </w:r>
    <w:r w:rsidR="00374B9B">
      <w:rPr>
        <w:sz w:val="18"/>
      </w:rPr>
      <w:t xml:space="preserve"> Audit and Risk Committee meeting summary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49" w:rsidRPr="00382649" w:rsidRDefault="00997614" w:rsidP="00382649">
    <w:pPr>
      <w:pStyle w:val="Footer"/>
      <w:rPr>
        <w:sz w:val="18"/>
      </w:rPr>
    </w:pPr>
    <w:r>
      <w:rPr>
        <w:sz w:val="18"/>
      </w:rPr>
      <w:t>2018.11.07</w:t>
    </w:r>
    <w:r w:rsidR="00382649">
      <w:rPr>
        <w:sz w:val="18"/>
      </w:rPr>
      <w:t xml:space="preserve"> Audit and Risk Committee meeting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49" w:rsidRDefault="00917849" w:rsidP="00917849">
      <w:pPr>
        <w:spacing w:after="0" w:line="240" w:lineRule="auto"/>
      </w:pPr>
      <w:r>
        <w:separator/>
      </w:r>
    </w:p>
  </w:footnote>
  <w:footnote w:type="continuationSeparator" w:id="0">
    <w:p w:rsidR="00917849" w:rsidRDefault="00917849" w:rsidP="0091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49" w:rsidRDefault="00917849">
    <w:pPr>
      <w:pStyle w:val="Header"/>
    </w:pPr>
    <w:r>
      <w:rPr>
        <w:noProof/>
        <w:lang w:eastAsia="en-GB"/>
      </w:rPr>
      <w:drawing>
        <wp:anchor distT="0" distB="0" distL="114300" distR="114300" simplePos="0" relativeHeight="251658240" behindDoc="0" locked="0" layoutInCell="1" allowOverlap="1" wp14:anchorId="3FBE8649" wp14:editId="0B3275D1">
          <wp:simplePos x="0" y="0"/>
          <wp:positionH relativeFrom="column">
            <wp:posOffset>4800600</wp:posOffset>
          </wp:positionH>
          <wp:positionV relativeFrom="paragraph">
            <wp:posOffset>-1905</wp:posOffset>
          </wp:positionV>
          <wp:extent cx="1238250" cy="6515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2624"/>
    <w:multiLevelType w:val="hybridMultilevel"/>
    <w:tmpl w:val="9A763E3C"/>
    <w:lvl w:ilvl="0" w:tplc="E960915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D4F90"/>
    <w:multiLevelType w:val="hybridMultilevel"/>
    <w:tmpl w:val="238C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27EE8"/>
    <w:multiLevelType w:val="hybridMultilevel"/>
    <w:tmpl w:val="C8806494"/>
    <w:lvl w:ilvl="0" w:tplc="36B87BA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E7F24"/>
    <w:multiLevelType w:val="hybridMultilevel"/>
    <w:tmpl w:val="BF0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CF6F9B"/>
    <w:multiLevelType w:val="hybridMultilevel"/>
    <w:tmpl w:val="C8D8840C"/>
    <w:lvl w:ilvl="0" w:tplc="634270E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3E6645"/>
    <w:multiLevelType w:val="hybridMultilevel"/>
    <w:tmpl w:val="618A4748"/>
    <w:lvl w:ilvl="0" w:tplc="4ACA79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49"/>
    <w:rsid w:val="0001360C"/>
    <w:rsid w:val="00071D85"/>
    <w:rsid w:val="00096C62"/>
    <w:rsid w:val="000B5773"/>
    <w:rsid w:val="000E22AB"/>
    <w:rsid w:val="000E2CD1"/>
    <w:rsid w:val="000E5951"/>
    <w:rsid w:val="000F7ECD"/>
    <w:rsid w:val="00120731"/>
    <w:rsid w:val="001228DF"/>
    <w:rsid w:val="001334A0"/>
    <w:rsid w:val="00215CFE"/>
    <w:rsid w:val="00245072"/>
    <w:rsid w:val="00252481"/>
    <w:rsid w:val="002A59FC"/>
    <w:rsid w:val="0032419A"/>
    <w:rsid w:val="00352AE4"/>
    <w:rsid w:val="00367375"/>
    <w:rsid w:val="00374B9B"/>
    <w:rsid w:val="00382649"/>
    <w:rsid w:val="003864F6"/>
    <w:rsid w:val="00416A35"/>
    <w:rsid w:val="00442B16"/>
    <w:rsid w:val="004D6DC9"/>
    <w:rsid w:val="00520A87"/>
    <w:rsid w:val="00524AC0"/>
    <w:rsid w:val="006B5B32"/>
    <w:rsid w:val="006D5E36"/>
    <w:rsid w:val="006E043F"/>
    <w:rsid w:val="0075434C"/>
    <w:rsid w:val="00851C09"/>
    <w:rsid w:val="00917849"/>
    <w:rsid w:val="0097136F"/>
    <w:rsid w:val="00997614"/>
    <w:rsid w:val="009C098E"/>
    <w:rsid w:val="009C0D4B"/>
    <w:rsid w:val="009C21A4"/>
    <w:rsid w:val="00A05A3D"/>
    <w:rsid w:val="00A36BD7"/>
    <w:rsid w:val="00A87B82"/>
    <w:rsid w:val="00AB4AAE"/>
    <w:rsid w:val="00B22404"/>
    <w:rsid w:val="00BF2A11"/>
    <w:rsid w:val="00BF328D"/>
    <w:rsid w:val="00C05EAF"/>
    <w:rsid w:val="00D06C3E"/>
    <w:rsid w:val="00D07DBF"/>
    <w:rsid w:val="00D3109F"/>
    <w:rsid w:val="00D64DDA"/>
    <w:rsid w:val="00D66EBF"/>
    <w:rsid w:val="00DA67AA"/>
    <w:rsid w:val="00E20B18"/>
    <w:rsid w:val="00E621F0"/>
    <w:rsid w:val="00EB35E3"/>
    <w:rsid w:val="00F11009"/>
    <w:rsid w:val="00F14976"/>
    <w:rsid w:val="00F56939"/>
    <w:rsid w:val="00F96497"/>
    <w:rsid w:val="00FB4A6E"/>
    <w:rsid w:val="00FD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 w:type="paragraph" w:customStyle="1" w:styleId="Default">
    <w:name w:val="Default"/>
    <w:rsid w:val="00F149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 w:type="paragraph" w:customStyle="1" w:styleId="Default">
    <w:name w:val="Default"/>
    <w:rsid w:val="00F149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7447">
      <w:bodyDiv w:val="1"/>
      <w:marLeft w:val="0"/>
      <w:marRight w:val="0"/>
      <w:marTop w:val="0"/>
      <w:marBottom w:val="0"/>
      <w:divBdr>
        <w:top w:val="none" w:sz="0" w:space="0" w:color="auto"/>
        <w:left w:val="none" w:sz="0" w:space="0" w:color="auto"/>
        <w:bottom w:val="none" w:sz="0" w:space="0" w:color="auto"/>
        <w:right w:val="none" w:sz="0" w:space="0" w:color="auto"/>
      </w:divBdr>
    </w:div>
    <w:div w:id="855197853">
      <w:bodyDiv w:val="1"/>
      <w:marLeft w:val="0"/>
      <w:marRight w:val="0"/>
      <w:marTop w:val="0"/>
      <w:marBottom w:val="0"/>
      <w:divBdr>
        <w:top w:val="none" w:sz="0" w:space="0" w:color="auto"/>
        <w:left w:val="none" w:sz="0" w:space="0" w:color="auto"/>
        <w:bottom w:val="none" w:sz="0" w:space="0" w:color="auto"/>
        <w:right w:val="none" w:sz="0" w:space="0" w:color="auto"/>
      </w:divBdr>
    </w:div>
    <w:div w:id="1163738750">
      <w:bodyDiv w:val="1"/>
      <w:marLeft w:val="0"/>
      <w:marRight w:val="0"/>
      <w:marTop w:val="0"/>
      <w:marBottom w:val="0"/>
      <w:divBdr>
        <w:top w:val="none" w:sz="0" w:space="0" w:color="auto"/>
        <w:left w:val="none" w:sz="0" w:space="0" w:color="auto"/>
        <w:bottom w:val="none" w:sz="0" w:space="0" w:color="auto"/>
        <w:right w:val="none" w:sz="0" w:space="0" w:color="auto"/>
      </w:divBdr>
    </w:div>
    <w:div w:id="1243952572">
      <w:bodyDiv w:val="1"/>
      <w:marLeft w:val="0"/>
      <w:marRight w:val="0"/>
      <w:marTop w:val="0"/>
      <w:marBottom w:val="0"/>
      <w:divBdr>
        <w:top w:val="none" w:sz="0" w:space="0" w:color="auto"/>
        <w:left w:val="none" w:sz="0" w:space="0" w:color="auto"/>
        <w:bottom w:val="none" w:sz="0" w:space="0" w:color="auto"/>
        <w:right w:val="none" w:sz="0" w:space="0" w:color="auto"/>
      </w:divBdr>
    </w:div>
    <w:div w:id="1629777757">
      <w:bodyDiv w:val="1"/>
      <w:marLeft w:val="0"/>
      <w:marRight w:val="0"/>
      <w:marTop w:val="0"/>
      <w:marBottom w:val="0"/>
      <w:divBdr>
        <w:top w:val="none" w:sz="0" w:space="0" w:color="auto"/>
        <w:left w:val="none" w:sz="0" w:space="0" w:color="auto"/>
        <w:bottom w:val="none" w:sz="0" w:space="0" w:color="auto"/>
        <w:right w:val="none" w:sz="0" w:space="0" w:color="auto"/>
      </w:divBdr>
    </w:div>
    <w:div w:id="1845506632">
      <w:bodyDiv w:val="1"/>
      <w:marLeft w:val="0"/>
      <w:marRight w:val="0"/>
      <w:marTop w:val="0"/>
      <w:marBottom w:val="0"/>
      <w:divBdr>
        <w:top w:val="none" w:sz="0" w:space="0" w:color="auto"/>
        <w:left w:val="none" w:sz="0" w:space="0" w:color="auto"/>
        <w:bottom w:val="none" w:sz="0" w:space="0" w:color="auto"/>
        <w:right w:val="none" w:sz="0" w:space="0" w:color="auto"/>
      </w:divBdr>
    </w:div>
    <w:div w:id="21125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29</cp:revision>
  <dcterms:created xsi:type="dcterms:W3CDTF">2017-07-11T12:26:00Z</dcterms:created>
  <dcterms:modified xsi:type="dcterms:W3CDTF">2018-11-15T15:38:00Z</dcterms:modified>
</cp:coreProperties>
</file>