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r>
        <w:rPr>
          <w:rFonts w:ascii="Arial" w:hAnsi="Arial" w:cs="Arial"/>
          <w:b/>
          <w:lang w:val="en-GB"/>
        </w:rPr>
        <w:tab/>
      </w:r>
      <w:r w:rsidR="00E34821">
        <w:rPr>
          <w:rFonts w:ascii="Arial" w:hAnsi="Arial" w:cs="Arial"/>
          <w:b/>
          <w:noProof/>
          <w:lang w:val="en-GB" w:eastAsia="en-GB"/>
        </w:rPr>
        <w:drawing>
          <wp:inline distT="0" distB="0" distL="0" distR="0" wp14:anchorId="1427C7E2" wp14:editId="552BD36F">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273775"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10</w:t>
            </w: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5E4465" w:rsidRDefault="00273775"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E</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AD4685">
        <w:rPr>
          <w:rFonts w:asciiTheme="minorHAnsi" w:eastAsiaTheme="minorHAnsi" w:hAnsiTheme="minorHAnsi" w:cstheme="minorHAnsi"/>
          <w:b/>
          <w:sz w:val="44"/>
          <w:szCs w:val="44"/>
          <w:lang w:eastAsia="en-US"/>
        </w:rPr>
        <w:t>BOARD</w:t>
      </w:r>
      <w:r w:rsidR="00E93BF0">
        <w:rPr>
          <w:rFonts w:asciiTheme="minorHAnsi" w:eastAsiaTheme="minorHAnsi" w:hAnsiTheme="minorHAnsi" w:cstheme="minorHAnsi"/>
          <w:b/>
          <w:sz w:val="44"/>
          <w:szCs w:val="44"/>
          <w:lang w:eastAsia="en-US"/>
        </w:rPr>
        <w:t xml:space="preserve"> </w:t>
      </w:r>
      <w:r w:rsidRPr="00DF3EE3">
        <w:rPr>
          <w:rFonts w:asciiTheme="minorHAnsi" w:eastAsiaTheme="minorHAnsi" w:hAnsiTheme="minorHAnsi" w:cstheme="minorHAnsi"/>
          <w:b/>
          <w:sz w:val="44"/>
          <w:szCs w:val="44"/>
          <w:lang w:eastAsia="en-US"/>
        </w:rPr>
        <w:t>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A5757C">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shd w:val="clear" w:color="auto" w:fill="auto"/>
          </w:tcPr>
          <w:p w:rsidR="00E93BF0" w:rsidRDefault="00052DF0" w:rsidP="002C39A0">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Leadership team: 13</w:t>
            </w:r>
            <w:r w:rsidRPr="00052DF0">
              <w:rPr>
                <w:rFonts w:asciiTheme="minorHAnsi" w:eastAsiaTheme="minorHAnsi" w:hAnsiTheme="minorHAnsi" w:cstheme="minorHAnsi"/>
                <w:vertAlign w:val="superscript"/>
                <w:lang w:eastAsia="en-US"/>
              </w:rPr>
              <w:t>th</w:t>
            </w:r>
            <w:r>
              <w:rPr>
                <w:rFonts w:asciiTheme="minorHAnsi" w:eastAsiaTheme="minorHAnsi" w:hAnsiTheme="minorHAnsi" w:cstheme="minorHAnsi"/>
                <w:lang w:eastAsia="en-US"/>
              </w:rPr>
              <w:t xml:space="preserve"> November 2018</w:t>
            </w:r>
          </w:p>
          <w:p w:rsidR="00052DF0" w:rsidRPr="00A5757C" w:rsidRDefault="00052DF0" w:rsidP="002C39A0">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Board: 21</w:t>
            </w:r>
            <w:r w:rsidRPr="00052DF0">
              <w:rPr>
                <w:rFonts w:asciiTheme="minorHAnsi" w:eastAsiaTheme="minorHAnsi" w:hAnsiTheme="minorHAnsi" w:cstheme="minorHAnsi"/>
                <w:vertAlign w:val="superscript"/>
                <w:lang w:eastAsia="en-US"/>
              </w:rPr>
              <w:t>st</w:t>
            </w:r>
            <w:r>
              <w:rPr>
                <w:rFonts w:asciiTheme="minorHAnsi" w:eastAsiaTheme="minorHAnsi" w:hAnsiTheme="minorHAnsi" w:cstheme="minorHAnsi"/>
                <w:lang w:eastAsia="en-US"/>
              </w:rPr>
              <w:t xml:space="preserve"> November 2018</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F3EE3" w:rsidP="003C0061">
            <w:pPr>
              <w:spacing w:after="200" w:line="276" w:lineRule="auto"/>
              <w:rPr>
                <w:rFonts w:asciiTheme="minorHAnsi" w:hAnsiTheme="minorHAnsi" w:cstheme="minorHAnsi"/>
              </w:rPr>
            </w:pPr>
            <w:r w:rsidRPr="00DF3EE3">
              <w:rPr>
                <w:rFonts w:asciiTheme="minorHAnsi" w:hAnsiTheme="minorHAnsi" w:cstheme="minorHAnsi"/>
              </w:rPr>
              <w:t>Financ</w:t>
            </w:r>
            <w:r w:rsidR="00E93BF0">
              <w:rPr>
                <w:rFonts w:asciiTheme="minorHAnsi" w:hAnsiTheme="minorHAnsi" w:cstheme="minorHAnsi"/>
              </w:rPr>
              <w:t>e</w:t>
            </w:r>
            <w:r w:rsidRPr="00DF3EE3">
              <w:rPr>
                <w:rFonts w:asciiTheme="minorHAnsi" w:hAnsiTheme="minorHAnsi" w:cstheme="minorHAnsi"/>
              </w:rPr>
              <w:t xml:space="preserve"> </w:t>
            </w:r>
            <w:r w:rsidR="00AD76CF">
              <w:rPr>
                <w:rFonts w:asciiTheme="minorHAnsi" w:hAnsiTheme="minorHAnsi" w:cstheme="minorHAnsi"/>
              </w:rPr>
              <w:t xml:space="preserve">report </w:t>
            </w:r>
            <w:r w:rsidR="008D3436">
              <w:rPr>
                <w:rFonts w:asciiTheme="minorHAnsi" w:hAnsiTheme="minorHAnsi" w:cstheme="minorHAnsi"/>
              </w:rPr>
              <w:t xml:space="preserve"> - </w:t>
            </w:r>
            <w:r w:rsidR="00A76C3F">
              <w:rPr>
                <w:rFonts w:asciiTheme="minorHAnsi" w:hAnsiTheme="minorHAnsi" w:cstheme="minorHAnsi"/>
              </w:rPr>
              <w:t xml:space="preserve">for the </w:t>
            </w:r>
            <w:r w:rsidR="00184229">
              <w:rPr>
                <w:rFonts w:asciiTheme="minorHAnsi" w:hAnsiTheme="minorHAnsi" w:cstheme="minorHAnsi"/>
              </w:rPr>
              <w:t>6</w:t>
            </w:r>
            <w:r w:rsidR="00E93BF0">
              <w:rPr>
                <w:rFonts w:asciiTheme="minorHAnsi" w:hAnsiTheme="minorHAnsi" w:cstheme="minorHAnsi"/>
              </w:rPr>
              <w:t xml:space="preserve"> months </w:t>
            </w:r>
            <w:r w:rsidR="00757721">
              <w:rPr>
                <w:rFonts w:asciiTheme="minorHAnsi" w:hAnsiTheme="minorHAnsi" w:cstheme="minorHAnsi"/>
              </w:rPr>
              <w:t xml:space="preserve">ended </w:t>
            </w:r>
            <w:r w:rsidR="00184229">
              <w:rPr>
                <w:rFonts w:asciiTheme="minorHAnsi" w:hAnsiTheme="minorHAnsi" w:cstheme="minorHAnsi"/>
              </w:rPr>
              <w:t>30 September</w:t>
            </w:r>
            <w:r w:rsidR="00FA0CFC">
              <w:rPr>
                <w:rFonts w:asciiTheme="minorHAnsi" w:hAnsiTheme="minorHAnsi" w:cstheme="minorHAnsi"/>
              </w:rPr>
              <w:t xml:space="preserve"> 201</w:t>
            </w:r>
            <w:r w:rsidR="003119AE">
              <w:rPr>
                <w:rFonts w:asciiTheme="minorHAnsi" w:hAnsiTheme="minorHAnsi" w:cstheme="minorHAnsi"/>
              </w:rPr>
              <w:t>8</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5F1D45" w:rsidRDefault="009F5C1B" w:rsidP="005F1D4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w:t>
            </w:r>
            <w:r w:rsidR="005F1D45">
              <w:rPr>
                <w:rFonts w:asciiTheme="minorHAnsi" w:eastAsiaTheme="minorHAnsi" w:hAnsiTheme="minorHAnsi" w:cstheme="minorHAnsi"/>
                <w:lang w:eastAsia="en-US"/>
              </w:rPr>
              <w:t xml:space="preserve">enable </w:t>
            </w:r>
            <w:r w:rsidR="000F7175">
              <w:rPr>
                <w:rFonts w:asciiTheme="minorHAnsi" w:eastAsiaTheme="minorHAnsi" w:hAnsiTheme="minorHAnsi" w:cstheme="minorHAnsi"/>
                <w:lang w:eastAsia="en-US"/>
              </w:rPr>
              <w:t xml:space="preserve">an </w:t>
            </w:r>
            <w:r w:rsidR="005F1D45" w:rsidRPr="005F1D45">
              <w:rPr>
                <w:rFonts w:asciiTheme="minorHAnsi" w:eastAsiaTheme="minorHAnsi" w:hAnsiTheme="minorHAnsi" w:cstheme="minorHAnsi"/>
                <w:lang w:eastAsia="en-US"/>
              </w:rPr>
              <w:t xml:space="preserve">informed understanding of our financial </w:t>
            </w:r>
            <w:r w:rsidR="00B07207" w:rsidRPr="005F1D45">
              <w:rPr>
                <w:rFonts w:asciiTheme="minorHAnsi" w:eastAsiaTheme="minorHAnsi" w:hAnsiTheme="minorHAnsi" w:cstheme="minorHAnsi"/>
                <w:lang w:eastAsia="en-US"/>
              </w:rPr>
              <w:t>performance</w:t>
            </w:r>
            <w:r w:rsidR="00DF3EE3" w:rsidRPr="005F1D45">
              <w:rPr>
                <w:rFonts w:asciiTheme="minorHAnsi" w:eastAsiaTheme="minorHAnsi" w:hAnsiTheme="minorHAnsi" w:cstheme="minorHAnsi"/>
                <w:lang w:eastAsia="en-US"/>
              </w:rPr>
              <w:t xml:space="preserve"> </w:t>
            </w:r>
            <w:r w:rsidR="00A76C3F" w:rsidRPr="005F1D45">
              <w:rPr>
                <w:rFonts w:asciiTheme="minorHAnsi" w:eastAsiaTheme="minorHAnsi" w:hAnsiTheme="minorHAnsi" w:cstheme="minorHAnsi"/>
                <w:lang w:eastAsia="en-US"/>
              </w:rPr>
              <w:t xml:space="preserve">for the </w:t>
            </w:r>
            <w:r w:rsidR="00184229">
              <w:rPr>
                <w:rFonts w:asciiTheme="minorHAnsi" w:eastAsiaTheme="minorHAnsi" w:hAnsiTheme="minorHAnsi" w:cstheme="minorHAnsi"/>
                <w:lang w:eastAsia="en-US"/>
              </w:rPr>
              <w:t>6</w:t>
            </w:r>
            <w:r w:rsidR="00E93BF0">
              <w:rPr>
                <w:rFonts w:asciiTheme="minorHAnsi" w:eastAsiaTheme="minorHAnsi" w:hAnsiTheme="minorHAnsi" w:cstheme="minorHAnsi"/>
                <w:lang w:eastAsia="en-US"/>
              </w:rPr>
              <w:t xml:space="preserve"> months</w:t>
            </w:r>
            <w:r w:rsidR="00882077">
              <w:rPr>
                <w:rFonts w:asciiTheme="minorHAnsi" w:eastAsiaTheme="minorHAnsi" w:hAnsiTheme="minorHAnsi" w:cstheme="minorHAnsi"/>
                <w:lang w:eastAsia="en-US"/>
              </w:rPr>
              <w:t xml:space="preserve"> to</w:t>
            </w:r>
            <w:r w:rsidR="00A76C3F" w:rsidRPr="005F1D45">
              <w:rPr>
                <w:rFonts w:asciiTheme="minorHAnsi" w:eastAsiaTheme="minorHAnsi" w:hAnsiTheme="minorHAnsi" w:cstheme="minorHAnsi"/>
                <w:lang w:eastAsia="en-US"/>
              </w:rPr>
              <w:t xml:space="preserve"> </w:t>
            </w:r>
            <w:r w:rsidR="00184229">
              <w:rPr>
                <w:rFonts w:asciiTheme="minorHAnsi" w:eastAsiaTheme="minorHAnsi" w:hAnsiTheme="minorHAnsi" w:cstheme="minorHAnsi"/>
                <w:lang w:eastAsia="en-US"/>
              </w:rPr>
              <w:t>30 September</w:t>
            </w:r>
            <w:r w:rsidR="005F1D45" w:rsidRPr="005F1D45">
              <w:rPr>
                <w:rFonts w:asciiTheme="minorHAnsi" w:eastAsiaTheme="minorHAnsi" w:hAnsiTheme="minorHAnsi" w:cstheme="minorHAnsi"/>
                <w:lang w:eastAsia="en-US"/>
              </w:rPr>
              <w:t xml:space="preserve"> 201</w:t>
            </w:r>
            <w:r w:rsidR="00E25D78">
              <w:rPr>
                <w:rFonts w:asciiTheme="minorHAnsi" w:eastAsiaTheme="minorHAnsi" w:hAnsiTheme="minorHAnsi" w:cstheme="minorHAnsi"/>
                <w:lang w:eastAsia="en-US"/>
              </w:rPr>
              <w:t xml:space="preserve">8. </w:t>
            </w:r>
          </w:p>
          <w:p w:rsidR="00E93BF0" w:rsidRPr="005F1D45" w:rsidRDefault="005F1D45" w:rsidP="003119AE">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improve decision making by increasing financial literacy particularly in relation to </w:t>
            </w:r>
            <w:r w:rsidRPr="005F1D45">
              <w:rPr>
                <w:rFonts w:asciiTheme="minorHAnsi" w:eastAsiaTheme="minorHAnsi" w:hAnsiTheme="minorHAnsi" w:cstheme="minorHAnsi"/>
                <w:lang w:eastAsia="en-US"/>
              </w:rPr>
              <w:t>our 2018</w:t>
            </w:r>
            <w:r w:rsidR="00E25D78">
              <w:rPr>
                <w:rFonts w:asciiTheme="minorHAnsi" w:eastAsiaTheme="minorHAnsi" w:hAnsiTheme="minorHAnsi" w:cstheme="minorHAnsi"/>
                <w:lang w:eastAsia="en-US"/>
              </w:rPr>
              <w:t>/19</w:t>
            </w:r>
            <w:r w:rsidRPr="005F1D45">
              <w:rPr>
                <w:rFonts w:asciiTheme="minorHAnsi" w:eastAsiaTheme="minorHAnsi" w:hAnsiTheme="minorHAnsi" w:cstheme="minorHAnsi"/>
                <w:lang w:eastAsia="en-US"/>
              </w:rPr>
              <w:t xml:space="preserve"> financial </w:t>
            </w:r>
            <w:r>
              <w:rPr>
                <w:rFonts w:asciiTheme="minorHAnsi" w:eastAsiaTheme="minorHAnsi" w:hAnsiTheme="minorHAnsi" w:cstheme="minorHAnsi"/>
                <w:lang w:eastAsia="en-US"/>
              </w:rPr>
              <w:t xml:space="preserve">plan </w:t>
            </w:r>
            <w:r w:rsidRPr="005F1D45">
              <w:rPr>
                <w:rFonts w:asciiTheme="minorHAnsi" w:eastAsiaTheme="minorHAnsi" w:hAnsiTheme="minorHAnsi" w:cstheme="minorHAnsi"/>
                <w:lang w:eastAsia="en-US"/>
              </w:rPr>
              <w:t xml:space="preserve">and future financial strategy. </w:t>
            </w:r>
          </w:p>
        </w:tc>
      </w:tr>
      <w:tr w:rsidR="00DF3EE3" w:rsidRPr="00DF3EE3" w:rsidTr="00EA6CFB">
        <w:trPr>
          <w:trHeight w:val="1660"/>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0F7175" w:rsidRDefault="005F1D45" w:rsidP="00861399">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Board</w:t>
            </w:r>
            <w:r w:rsidR="000F7175">
              <w:rPr>
                <w:rFonts w:asciiTheme="minorHAnsi" w:eastAsiaTheme="minorHAnsi" w:hAnsiTheme="minorHAnsi" w:cstheme="minorHAnsi"/>
                <w:lang w:eastAsia="en-US"/>
              </w:rPr>
              <w:t>, Accounting Officer</w:t>
            </w:r>
            <w:r>
              <w:rPr>
                <w:rFonts w:asciiTheme="minorHAnsi" w:eastAsiaTheme="minorHAnsi" w:hAnsiTheme="minorHAnsi" w:cstheme="minorHAnsi"/>
                <w:lang w:eastAsia="en-US"/>
              </w:rPr>
              <w:t xml:space="preserve"> and </w:t>
            </w:r>
            <w:r w:rsidR="00A76C3F">
              <w:rPr>
                <w:rFonts w:asciiTheme="minorHAnsi" w:eastAsiaTheme="minorHAnsi" w:hAnsiTheme="minorHAnsi" w:cstheme="minorHAnsi"/>
                <w:lang w:eastAsia="en-US"/>
              </w:rPr>
              <w:t xml:space="preserve">Leadership Team </w:t>
            </w:r>
            <w:r>
              <w:rPr>
                <w:rFonts w:asciiTheme="minorHAnsi" w:eastAsiaTheme="minorHAnsi" w:hAnsiTheme="minorHAnsi" w:cstheme="minorHAnsi"/>
                <w:lang w:eastAsia="en-US"/>
              </w:rPr>
              <w:t xml:space="preserve">have a key governance role </w:t>
            </w:r>
            <w:r w:rsidR="000F7175">
              <w:rPr>
                <w:rFonts w:asciiTheme="minorHAnsi" w:eastAsiaTheme="minorHAnsi" w:hAnsiTheme="minorHAnsi" w:cstheme="minorHAnsi"/>
                <w:lang w:eastAsia="en-US"/>
              </w:rPr>
              <w:t>in</w:t>
            </w:r>
            <w:r w:rsidR="00A76C3F">
              <w:rPr>
                <w:rFonts w:asciiTheme="minorHAnsi" w:eastAsiaTheme="minorHAnsi" w:hAnsiTheme="minorHAnsi" w:cstheme="minorHAnsi"/>
                <w:lang w:eastAsia="en-US"/>
              </w:rPr>
              <w:t xml:space="preserve"> the</w:t>
            </w:r>
            <w:r w:rsidR="004A176F">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financial stewardship of the HRA. </w:t>
            </w:r>
          </w:p>
          <w:p w:rsidR="00FA0CFC" w:rsidRPr="00731002" w:rsidRDefault="005F1D45" w:rsidP="00E93BF0">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This report </w:t>
            </w:r>
            <w:r w:rsidR="000F7175">
              <w:rPr>
                <w:rFonts w:asciiTheme="minorHAnsi" w:eastAsiaTheme="minorHAnsi" w:hAnsiTheme="minorHAnsi" w:cstheme="minorHAnsi"/>
                <w:lang w:eastAsia="en-US"/>
              </w:rPr>
              <w:t>supports this</w:t>
            </w:r>
            <w:r w:rsidR="00731002">
              <w:rPr>
                <w:rFonts w:asciiTheme="minorHAnsi" w:eastAsiaTheme="minorHAnsi" w:hAnsiTheme="minorHAnsi" w:cstheme="minorHAnsi"/>
                <w:lang w:eastAsia="en-US"/>
              </w:rPr>
              <w:t xml:space="preserve"> </w:t>
            </w:r>
            <w:r w:rsidR="00E93BF0">
              <w:rPr>
                <w:rFonts w:asciiTheme="minorHAnsi" w:eastAsiaTheme="minorHAnsi" w:hAnsiTheme="minorHAnsi" w:cstheme="minorHAnsi"/>
                <w:lang w:eastAsia="en-US"/>
              </w:rPr>
              <w:t>aspect</w:t>
            </w:r>
            <w:r w:rsidR="00731002">
              <w:rPr>
                <w:rFonts w:asciiTheme="minorHAnsi" w:eastAsiaTheme="minorHAnsi" w:hAnsiTheme="minorHAnsi" w:cstheme="minorHAnsi"/>
                <w:lang w:eastAsia="en-US"/>
              </w:rPr>
              <w:t xml:space="preserve"> </w:t>
            </w:r>
            <w:r w:rsidR="000F7175">
              <w:rPr>
                <w:rFonts w:asciiTheme="minorHAnsi" w:eastAsiaTheme="minorHAnsi" w:hAnsiTheme="minorHAnsi" w:cstheme="minorHAnsi"/>
                <w:lang w:eastAsia="en-US"/>
              </w:rPr>
              <w:t>of the</w:t>
            </w:r>
            <w:r w:rsidR="00731002">
              <w:rPr>
                <w:rFonts w:asciiTheme="minorHAnsi" w:eastAsiaTheme="minorHAnsi" w:hAnsiTheme="minorHAnsi" w:cstheme="minorHAnsi"/>
                <w:lang w:eastAsia="en-US"/>
              </w:rPr>
              <w:t xml:space="preserve"> governance framework, providing the Board</w:t>
            </w:r>
            <w:r w:rsidR="000F7175">
              <w:rPr>
                <w:rFonts w:asciiTheme="minorHAnsi" w:eastAsiaTheme="minorHAnsi" w:hAnsiTheme="minorHAnsi" w:cstheme="minorHAnsi"/>
                <w:lang w:eastAsia="en-US"/>
              </w:rPr>
              <w:t>, Accounting Officer</w:t>
            </w:r>
            <w:r w:rsidR="00731002">
              <w:rPr>
                <w:rFonts w:asciiTheme="minorHAnsi" w:eastAsiaTheme="minorHAnsi" w:hAnsiTheme="minorHAnsi" w:cstheme="minorHAnsi"/>
                <w:lang w:eastAsia="en-US"/>
              </w:rPr>
              <w:t xml:space="preserve"> and senior management with essential financial information to inform strategy</w:t>
            </w:r>
            <w:r w:rsidR="000F7175">
              <w:rPr>
                <w:rFonts w:asciiTheme="minorHAnsi" w:eastAsiaTheme="minorHAnsi" w:hAnsiTheme="minorHAnsi" w:cstheme="minorHAnsi"/>
                <w:lang w:eastAsia="en-US"/>
              </w:rPr>
              <w:t>, inform</w:t>
            </w:r>
            <w:r w:rsidR="00731002">
              <w:rPr>
                <w:rFonts w:asciiTheme="minorHAnsi" w:eastAsiaTheme="minorHAnsi" w:hAnsiTheme="minorHAnsi" w:cstheme="minorHAnsi"/>
                <w:lang w:eastAsia="en-US"/>
              </w:rPr>
              <w:t xml:space="preserve"> decision making</w:t>
            </w:r>
            <w:r w:rsidR="000F7175">
              <w:rPr>
                <w:rFonts w:asciiTheme="minorHAnsi" w:eastAsiaTheme="minorHAnsi" w:hAnsiTheme="minorHAnsi" w:cstheme="minorHAnsi"/>
                <w:lang w:eastAsia="en-US"/>
              </w:rPr>
              <w:t xml:space="preserve"> and ensure </w:t>
            </w:r>
            <w:r w:rsidR="00D07ECB">
              <w:rPr>
                <w:rFonts w:asciiTheme="minorHAnsi" w:eastAsiaTheme="minorHAnsi" w:hAnsiTheme="minorHAnsi" w:cstheme="minorHAnsi"/>
                <w:lang w:eastAsia="en-US"/>
              </w:rPr>
              <w:t>robust financial management</w:t>
            </w:r>
            <w:r w:rsidR="00731002">
              <w:rPr>
                <w:rFonts w:asciiTheme="minorHAnsi" w:eastAsiaTheme="minorHAnsi" w:hAnsiTheme="minorHAnsi" w:cstheme="minorHAnsi"/>
                <w:lang w:eastAsia="en-US"/>
              </w:rPr>
              <w:t xml:space="preserve">. </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774E04" w:rsidP="001677C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Steve Tebbutt</w:t>
            </w:r>
          </w:p>
        </w:tc>
      </w:tr>
      <w:tr w:rsidR="00DF3EE3" w:rsidRPr="00052DF0"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706F89" w:rsidRPr="00052DF0" w:rsidRDefault="00706F89" w:rsidP="00DF3EE3">
            <w:pPr>
              <w:spacing w:after="200" w:line="276" w:lineRule="auto"/>
              <w:rPr>
                <w:rFonts w:asciiTheme="minorHAnsi" w:eastAsiaTheme="minorHAnsi" w:hAnsiTheme="minorHAnsi" w:cstheme="minorHAnsi"/>
                <w:lang w:eastAsia="en-US"/>
              </w:rPr>
            </w:pPr>
            <w:r w:rsidRPr="00052DF0">
              <w:rPr>
                <w:rFonts w:asciiTheme="minorHAnsi" w:eastAsiaTheme="minorHAnsi" w:hAnsiTheme="minorHAnsi" w:cstheme="minorHAnsi"/>
                <w:lang w:eastAsia="en-US"/>
              </w:rPr>
              <w:t>Main points to note:</w:t>
            </w:r>
          </w:p>
          <w:p w:rsidR="00052DF0" w:rsidRDefault="0059723D" w:rsidP="00826FF2">
            <w:pPr>
              <w:pStyle w:val="ListParagraph"/>
              <w:numPr>
                <w:ilvl w:val="0"/>
                <w:numId w:val="24"/>
              </w:numPr>
              <w:spacing w:after="200" w:line="276" w:lineRule="auto"/>
              <w:rPr>
                <w:rFonts w:asciiTheme="minorHAnsi" w:eastAsiaTheme="minorHAnsi" w:hAnsiTheme="minorHAnsi" w:cstheme="minorHAnsi"/>
                <w:lang w:eastAsia="en-US"/>
              </w:rPr>
            </w:pPr>
            <w:r w:rsidRPr="00052DF0">
              <w:rPr>
                <w:rFonts w:asciiTheme="minorHAnsi" w:eastAsiaTheme="minorHAnsi" w:hAnsiTheme="minorHAnsi" w:cstheme="minorHAnsi"/>
                <w:b/>
                <w:lang w:eastAsia="en-US"/>
              </w:rPr>
              <w:t>No significant variances</w:t>
            </w:r>
            <w:r w:rsidRPr="00052DF0">
              <w:rPr>
                <w:rFonts w:asciiTheme="minorHAnsi" w:eastAsiaTheme="minorHAnsi" w:hAnsiTheme="minorHAnsi" w:cstheme="minorHAnsi"/>
                <w:lang w:eastAsia="en-US"/>
              </w:rPr>
              <w:t xml:space="preserve"> at this stage of the year</w:t>
            </w:r>
          </w:p>
          <w:p w:rsidR="003C0061" w:rsidRPr="00052DF0" w:rsidRDefault="00184229" w:rsidP="00826FF2">
            <w:pPr>
              <w:pStyle w:val="ListParagraph"/>
              <w:numPr>
                <w:ilvl w:val="0"/>
                <w:numId w:val="24"/>
              </w:numPr>
              <w:spacing w:after="200" w:line="276" w:lineRule="auto"/>
              <w:rPr>
                <w:rFonts w:asciiTheme="minorHAnsi" w:eastAsiaTheme="minorHAnsi" w:hAnsiTheme="minorHAnsi" w:cstheme="minorHAnsi"/>
                <w:lang w:eastAsia="en-US"/>
              </w:rPr>
            </w:pPr>
            <w:r w:rsidRPr="00052DF0">
              <w:rPr>
                <w:rFonts w:asciiTheme="minorHAnsi" w:eastAsiaTheme="minorHAnsi" w:hAnsiTheme="minorHAnsi" w:cstheme="minorHAnsi"/>
                <w:b/>
                <w:lang w:eastAsia="en-US"/>
              </w:rPr>
              <w:t>P6</w:t>
            </w:r>
            <w:r w:rsidR="003C0061" w:rsidRPr="00052DF0">
              <w:rPr>
                <w:rFonts w:asciiTheme="minorHAnsi" w:eastAsiaTheme="minorHAnsi" w:hAnsiTheme="minorHAnsi" w:cstheme="minorHAnsi"/>
                <w:b/>
                <w:lang w:eastAsia="en-US"/>
              </w:rPr>
              <w:t xml:space="preserve"> reforecast</w:t>
            </w:r>
            <w:r w:rsidR="003C0061" w:rsidRPr="00052DF0">
              <w:rPr>
                <w:rFonts w:asciiTheme="minorHAnsi" w:eastAsiaTheme="minorHAnsi" w:hAnsiTheme="minorHAnsi" w:cstheme="minorHAnsi"/>
                <w:lang w:eastAsia="en-US"/>
              </w:rPr>
              <w:t xml:space="preserve"> predicts a balanced financial position </w:t>
            </w:r>
            <w:r w:rsidR="00052DF0">
              <w:rPr>
                <w:rFonts w:asciiTheme="minorHAnsi" w:eastAsiaTheme="minorHAnsi" w:hAnsiTheme="minorHAnsi" w:cstheme="minorHAnsi"/>
                <w:lang w:eastAsia="en-US"/>
              </w:rPr>
              <w:t>on business as usual activities</w:t>
            </w:r>
          </w:p>
          <w:p w:rsidR="00E25D78" w:rsidRDefault="002E5567" w:rsidP="00826FF2">
            <w:pPr>
              <w:pStyle w:val="ListParagraph"/>
              <w:numPr>
                <w:ilvl w:val="0"/>
                <w:numId w:val="24"/>
              </w:numPr>
              <w:spacing w:after="200" w:line="276" w:lineRule="auto"/>
              <w:rPr>
                <w:rFonts w:asciiTheme="minorHAnsi" w:eastAsiaTheme="minorHAnsi" w:hAnsiTheme="minorHAnsi" w:cstheme="minorHAnsi"/>
                <w:lang w:eastAsia="en-US"/>
              </w:rPr>
            </w:pPr>
            <w:r w:rsidRPr="00052DF0">
              <w:rPr>
                <w:rFonts w:asciiTheme="minorHAnsi" w:eastAsiaTheme="minorHAnsi" w:hAnsiTheme="minorHAnsi" w:cstheme="minorHAnsi"/>
                <w:b/>
                <w:lang w:eastAsia="en-US"/>
              </w:rPr>
              <w:t xml:space="preserve">Depreciation </w:t>
            </w:r>
            <w:r w:rsidR="002C39A0" w:rsidRPr="00052DF0">
              <w:rPr>
                <w:rFonts w:asciiTheme="minorHAnsi" w:eastAsiaTheme="minorHAnsi" w:hAnsiTheme="minorHAnsi" w:cstheme="minorHAnsi"/>
                <w:lang w:eastAsia="en-US"/>
              </w:rPr>
              <w:t>resource limit remains un</w:t>
            </w:r>
            <w:r w:rsidRPr="00052DF0">
              <w:rPr>
                <w:rFonts w:asciiTheme="minorHAnsi" w:eastAsiaTheme="minorHAnsi" w:hAnsiTheme="minorHAnsi" w:cstheme="minorHAnsi"/>
                <w:lang w:eastAsia="en-US"/>
              </w:rPr>
              <w:t>confirmed by DHSC but is expected to be consistent with outline plans.</w:t>
            </w:r>
          </w:p>
          <w:p w:rsidR="003119AE" w:rsidRPr="00052DF0" w:rsidRDefault="00052DF0"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b/>
                <w:lang w:eastAsia="en-US"/>
              </w:rPr>
              <w:t>Research systems</w:t>
            </w:r>
            <w:r w:rsidRPr="00052DF0">
              <w:rPr>
                <w:rFonts w:asciiTheme="minorHAnsi" w:eastAsiaTheme="minorHAnsi" w:hAnsiTheme="minorHAnsi" w:cstheme="minorHAnsi"/>
                <w:b/>
                <w:lang w:eastAsia="en-US"/>
              </w:rPr>
              <w:t xml:space="preserve"> £250k budget pressure </w:t>
            </w:r>
            <w:r>
              <w:rPr>
                <w:rFonts w:asciiTheme="minorHAnsi" w:eastAsiaTheme="minorHAnsi" w:hAnsiTheme="minorHAnsi" w:cstheme="minorHAnsi"/>
                <w:b/>
                <w:lang w:eastAsia="en-US"/>
              </w:rPr>
              <w:t xml:space="preserve">identified </w:t>
            </w:r>
            <w:r w:rsidR="00F35946">
              <w:rPr>
                <w:rFonts w:asciiTheme="minorHAnsi" w:eastAsiaTheme="minorHAnsi" w:hAnsiTheme="minorHAnsi" w:cstheme="minorHAnsi"/>
                <w:lang w:eastAsia="en-US"/>
              </w:rPr>
              <w:t>due to GFI integration. A</w:t>
            </w:r>
            <w:r w:rsidR="003119AE" w:rsidRPr="00052DF0">
              <w:rPr>
                <w:rFonts w:asciiTheme="minorHAnsi" w:eastAsiaTheme="minorHAnsi" w:hAnsiTheme="minorHAnsi" w:cstheme="minorHAnsi"/>
                <w:lang w:eastAsia="en-US"/>
              </w:rPr>
              <w:t>dditional funding (£</w:t>
            </w:r>
            <w:r w:rsidR="00172061" w:rsidRPr="00052DF0">
              <w:rPr>
                <w:rFonts w:asciiTheme="minorHAnsi" w:eastAsiaTheme="minorHAnsi" w:hAnsiTheme="minorHAnsi" w:cstheme="minorHAnsi"/>
                <w:lang w:eastAsia="en-US"/>
              </w:rPr>
              <w:t>250</w:t>
            </w:r>
            <w:r w:rsidR="003119AE" w:rsidRPr="00052DF0">
              <w:rPr>
                <w:rFonts w:asciiTheme="minorHAnsi" w:eastAsiaTheme="minorHAnsi" w:hAnsiTheme="minorHAnsi" w:cstheme="minorHAnsi"/>
                <w:lang w:eastAsia="en-US"/>
              </w:rPr>
              <w:t>k)</w:t>
            </w:r>
            <w:r w:rsidR="008654B1" w:rsidRPr="00052DF0">
              <w:rPr>
                <w:rFonts w:asciiTheme="minorHAnsi" w:eastAsiaTheme="minorHAnsi" w:hAnsiTheme="minorHAnsi" w:cstheme="minorHAnsi"/>
                <w:lang w:eastAsia="en-US"/>
              </w:rPr>
              <w:t xml:space="preserve"> </w:t>
            </w:r>
            <w:r w:rsidR="00172061" w:rsidRPr="00052DF0">
              <w:rPr>
                <w:rFonts w:asciiTheme="minorHAnsi" w:eastAsiaTheme="minorHAnsi" w:hAnsiTheme="minorHAnsi" w:cstheme="minorHAnsi"/>
                <w:lang w:eastAsia="en-US"/>
              </w:rPr>
              <w:t>agreed with</w:t>
            </w:r>
            <w:r w:rsidR="008654B1" w:rsidRPr="00052DF0">
              <w:rPr>
                <w:rFonts w:asciiTheme="minorHAnsi" w:eastAsiaTheme="minorHAnsi" w:hAnsiTheme="minorHAnsi" w:cstheme="minorHAnsi"/>
                <w:lang w:eastAsia="en-US"/>
              </w:rPr>
              <w:t xml:space="preserve"> D</w:t>
            </w:r>
            <w:r w:rsidR="003C0061" w:rsidRPr="00052DF0">
              <w:rPr>
                <w:rFonts w:asciiTheme="minorHAnsi" w:eastAsiaTheme="minorHAnsi" w:hAnsiTheme="minorHAnsi" w:cstheme="minorHAnsi"/>
                <w:lang w:eastAsia="en-US"/>
              </w:rPr>
              <w:t>HSC</w:t>
            </w:r>
            <w:r w:rsidR="00172061" w:rsidRPr="00052DF0">
              <w:rPr>
                <w:rFonts w:asciiTheme="minorHAnsi" w:eastAsiaTheme="minorHAnsi" w:hAnsiTheme="minorHAnsi" w:cstheme="minorHAnsi"/>
                <w:lang w:eastAsia="en-US"/>
              </w:rPr>
              <w:t xml:space="preserve"> </w:t>
            </w:r>
            <w:r w:rsidRPr="00052DF0">
              <w:rPr>
                <w:rFonts w:asciiTheme="minorHAnsi" w:eastAsiaTheme="minorHAnsi" w:hAnsiTheme="minorHAnsi" w:cstheme="minorHAnsi"/>
                <w:lang w:eastAsia="en-US"/>
              </w:rPr>
              <w:t xml:space="preserve">and will </w:t>
            </w:r>
            <w:r w:rsidR="00172061" w:rsidRPr="00052DF0">
              <w:rPr>
                <w:rFonts w:asciiTheme="minorHAnsi" w:eastAsiaTheme="minorHAnsi" w:hAnsiTheme="minorHAnsi" w:cstheme="minorHAnsi"/>
                <w:lang w:eastAsia="en-US"/>
              </w:rPr>
              <w:t>be confirmed at Q3</w:t>
            </w:r>
            <w:r w:rsidRPr="00052DF0">
              <w:rPr>
                <w:rFonts w:asciiTheme="minorHAnsi" w:eastAsiaTheme="minorHAnsi" w:hAnsiTheme="minorHAnsi" w:cstheme="minorHAnsi"/>
                <w:lang w:eastAsia="en-US"/>
              </w:rPr>
              <w:t xml:space="preserve"> </w:t>
            </w:r>
            <w:r w:rsidRPr="00052DF0">
              <w:rPr>
                <w:rFonts w:asciiTheme="minorHAnsi" w:eastAsiaTheme="minorHAnsi" w:hAnsiTheme="minorHAnsi" w:cstheme="minorHAnsi"/>
                <w:lang w:eastAsia="en-US"/>
              </w:rPr>
              <w:lastRenderedPageBreak/>
              <w:t>consolidation schedule</w:t>
            </w:r>
            <w:r w:rsidR="00172061" w:rsidRPr="00052DF0">
              <w:rPr>
                <w:rFonts w:asciiTheme="minorHAnsi" w:eastAsiaTheme="minorHAnsi" w:hAnsiTheme="minorHAnsi" w:cstheme="minorHAnsi"/>
                <w:lang w:eastAsia="en-US"/>
              </w:rPr>
              <w:t>.</w:t>
            </w:r>
            <w:r w:rsidR="0063120F" w:rsidRPr="00052DF0">
              <w:rPr>
                <w:rFonts w:asciiTheme="minorHAnsi" w:eastAsiaTheme="minorHAnsi" w:hAnsiTheme="minorHAnsi" w:cstheme="minorHAnsi"/>
                <w:lang w:eastAsia="en-US"/>
              </w:rPr>
              <w:t xml:space="preserve"> </w:t>
            </w:r>
          </w:p>
          <w:p w:rsidR="00101141" w:rsidRPr="00052DF0" w:rsidRDefault="00052DF0"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Further </w:t>
            </w:r>
            <w:r w:rsidRPr="00F35946">
              <w:rPr>
                <w:rFonts w:asciiTheme="minorHAnsi" w:eastAsiaTheme="minorHAnsi" w:hAnsiTheme="minorHAnsi" w:cstheme="minorHAnsi"/>
                <w:b/>
                <w:lang w:eastAsia="en-US"/>
              </w:rPr>
              <w:t>research systems</w:t>
            </w:r>
            <w:r>
              <w:rPr>
                <w:rFonts w:asciiTheme="minorHAnsi" w:eastAsiaTheme="minorHAnsi" w:hAnsiTheme="minorHAnsi" w:cstheme="minorHAnsi"/>
                <w:lang w:eastAsia="en-US"/>
              </w:rPr>
              <w:t xml:space="preserve"> budget pressure identified for </w:t>
            </w:r>
            <w:r w:rsidRPr="00F35946">
              <w:rPr>
                <w:rFonts w:asciiTheme="minorHAnsi" w:eastAsiaTheme="minorHAnsi" w:hAnsiTheme="minorHAnsi" w:cstheme="minorHAnsi"/>
                <w:b/>
                <w:lang w:eastAsia="en-US"/>
              </w:rPr>
              <w:t>2019/20</w:t>
            </w:r>
            <w:r>
              <w:rPr>
                <w:rFonts w:asciiTheme="minorHAnsi" w:eastAsiaTheme="minorHAnsi" w:hAnsiTheme="minorHAnsi" w:cstheme="minorHAnsi"/>
                <w:lang w:eastAsia="en-US"/>
              </w:rPr>
              <w:t xml:space="preserve"> </w:t>
            </w:r>
            <w:r w:rsidR="00F35946">
              <w:rPr>
                <w:rFonts w:asciiTheme="minorHAnsi" w:eastAsiaTheme="minorHAnsi" w:hAnsiTheme="minorHAnsi" w:cstheme="minorHAnsi"/>
                <w:lang w:eastAsia="en-US"/>
              </w:rPr>
              <w:t xml:space="preserve">– business case being prepared. </w:t>
            </w:r>
          </w:p>
          <w:p w:rsidR="003C0061" w:rsidRPr="00052DF0" w:rsidRDefault="00F35946" w:rsidP="00950174">
            <w:pPr>
              <w:pStyle w:val="ListParagraph"/>
              <w:numPr>
                <w:ilvl w:val="0"/>
                <w:numId w:val="24"/>
              </w:numPr>
              <w:spacing w:after="200" w:line="276" w:lineRule="auto"/>
              <w:rPr>
                <w:rFonts w:asciiTheme="minorHAnsi" w:eastAsiaTheme="minorHAnsi" w:hAnsiTheme="minorHAnsi" w:cstheme="minorHAnsi"/>
                <w:lang w:eastAsia="en-US"/>
              </w:rPr>
            </w:pPr>
            <w:r w:rsidRPr="00F35946">
              <w:rPr>
                <w:rFonts w:asciiTheme="minorHAnsi" w:eastAsiaTheme="minorHAnsi" w:hAnsiTheme="minorHAnsi" w:cstheme="minorHAnsi"/>
                <w:b/>
                <w:lang w:eastAsia="en-US"/>
              </w:rPr>
              <w:t>Business planning for 2019/20</w:t>
            </w:r>
            <w:r>
              <w:rPr>
                <w:rFonts w:asciiTheme="minorHAnsi" w:eastAsiaTheme="minorHAnsi" w:hAnsiTheme="minorHAnsi" w:cstheme="minorHAnsi"/>
                <w:lang w:eastAsia="en-US"/>
              </w:rPr>
              <w:t xml:space="preserve"> has identified savings target of £600k. </w:t>
            </w:r>
            <w:proofErr w:type="spellStart"/>
            <w:r>
              <w:rPr>
                <w:rFonts w:asciiTheme="minorHAnsi" w:eastAsiaTheme="minorHAnsi" w:hAnsiTheme="minorHAnsi" w:cstheme="minorHAnsi"/>
                <w:lang w:eastAsia="en-US"/>
              </w:rPr>
              <w:t>Organisat</w:t>
            </w:r>
            <w:r w:rsidR="00D415BB">
              <w:rPr>
                <w:rFonts w:asciiTheme="minorHAnsi" w:eastAsiaTheme="minorHAnsi" w:hAnsiTheme="minorHAnsi" w:cstheme="minorHAnsi"/>
                <w:lang w:eastAsia="en-US"/>
              </w:rPr>
              <w:t>i</w:t>
            </w:r>
            <w:r>
              <w:rPr>
                <w:rFonts w:asciiTheme="minorHAnsi" w:eastAsiaTheme="minorHAnsi" w:hAnsiTheme="minorHAnsi" w:cstheme="minorHAnsi"/>
                <w:lang w:eastAsia="en-US"/>
              </w:rPr>
              <w:t>onal</w:t>
            </w:r>
            <w:proofErr w:type="spellEnd"/>
            <w:r>
              <w:rPr>
                <w:rFonts w:asciiTheme="minorHAnsi" w:eastAsiaTheme="minorHAnsi" w:hAnsiTheme="minorHAnsi" w:cstheme="minorHAnsi"/>
                <w:lang w:eastAsia="en-US"/>
              </w:rPr>
              <w:t xml:space="preserve"> change processes and vacancy control will achieve substantial proportion of requirement. Transition funding allocation confirmed by DHSC in advance of detailed request, later this year. </w:t>
            </w:r>
            <w:r w:rsidR="0009061E" w:rsidRPr="00052DF0">
              <w:rPr>
                <w:rFonts w:asciiTheme="minorHAnsi" w:eastAsiaTheme="minorHAnsi" w:hAnsiTheme="minorHAnsi" w:cstheme="minorHAnsi"/>
                <w:lang w:eastAsia="en-US"/>
              </w:rPr>
              <w:t xml:space="preserve"> </w:t>
            </w:r>
          </w:p>
          <w:p w:rsidR="002C0638" w:rsidRPr="00052DF0" w:rsidRDefault="00181165" w:rsidP="00950174">
            <w:pPr>
              <w:pStyle w:val="ListParagraph"/>
              <w:numPr>
                <w:ilvl w:val="0"/>
                <w:numId w:val="24"/>
              </w:numPr>
              <w:spacing w:after="200" w:line="276" w:lineRule="auto"/>
              <w:rPr>
                <w:rFonts w:asciiTheme="minorHAnsi" w:eastAsiaTheme="minorHAnsi" w:hAnsiTheme="minorHAnsi" w:cstheme="minorHAnsi"/>
                <w:lang w:eastAsia="en-US"/>
              </w:rPr>
            </w:pPr>
            <w:r w:rsidRPr="00052DF0">
              <w:rPr>
                <w:rFonts w:asciiTheme="minorHAnsi" w:eastAsiaTheme="minorHAnsi" w:hAnsiTheme="minorHAnsi" w:cstheme="minorHAnsi"/>
                <w:lang w:eastAsia="en-US"/>
              </w:rPr>
              <w:t>The HRA continue</w:t>
            </w:r>
            <w:r w:rsidR="00950174" w:rsidRPr="00052DF0">
              <w:rPr>
                <w:rFonts w:asciiTheme="minorHAnsi" w:eastAsiaTheme="minorHAnsi" w:hAnsiTheme="minorHAnsi" w:cstheme="minorHAnsi"/>
                <w:lang w:eastAsia="en-US"/>
              </w:rPr>
              <w:t>s</w:t>
            </w:r>
            <w:r w:rsidRPr="00052DF0">
              <w:rPr>
                <w:rFonts w:asciiTheme="minorHAnsi" w:eastAsiaTheme="minorHAnsi" w:hAnsiTheme="minorHAnsi" w:cstheme="minorHAnsi"/>
                <w:lang w:eastAsia="en-US"/>
              </w:rPr>
              <w:t xml:space="preserve"> to meet its regulatory requirements in paying invoices</w:t>
            </w:r>
            <w:r w:rsidR="00826FF2" w:rsidRPr="00052DF0">
              <w:rPr>
                <w:rFonts w:asciiTheme="minorHAnsi" w:eastAsiaTheme="minorHAnsi" w:hAnsiTheme="minorHAnsi" w:cstheme="minorHAnsi"/>
                <w:lang w:eastAsia="en-US"/>
              </w:rPr>
              <w:t xml:space="preserve"> </w:t>
            </w:r>
            <w:r w:rsidR="00950174" w:rsidRPr="00052DF0">
              <w:rPr>
                <w:rFonts w:asciiTheme="minorHAnsi" w:eastAsiaTheme="minorHAnsi" w:hAnsiTheme="minorHAnsi" w:cstheme="minorHAnsi"/>
                <w:lang w:eastAsia="en-US"/>
              </w:rPr>
              <w:t>quickly.</w:t>
            </w:r>
            <w:r w:rsidR="00FF2551" w:rsidRPr="00052DF0">
              <w:rPr>
                <w:rFonts w:asciiTheme="minorHAnsi" w:eastAsiaTheme="minorHAnsi" w:hAnsiTheme="minorHAnsi" w:cstheme="minorHAnsi"/>
                <w:lang w:eastAsia="en-US"/>
              </w:rPr>
              <w:t xml:space="preserve"> </w:t>
            </w: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AF00BB" w:rsidRPr="00DF3EE3" w:rsidRDefault="00210D21" w:rsidP="005B199F">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Default="00273775" w:rsidP="00933A84">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5</w:t>
            </w:r>
            <w:bookmarkStart w:id="0" w:name="_GoBack"/>
            <w:bookmarkEnd w:id="0"/>
            <w:r w:rsidR="00EB22E9">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E4497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4159BE"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Karen Williams</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826FF2" w:rsidP="00BA069C">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Director of Finance</w:t>
            </w:r>
            <w:r w:rsidR="00BA069C">
              <w:rPr>
                <w:rFonts w:asciiTheme="minorHAnsi" w:eastAsiaTheme="minorHAnsi" w:hAnsiTheme="minorHAnsi" w:cstheme="minorHAnsi"/>
                <w:lang w:eastAsia="en-US"/>
              </w:rPr>
              <w:t>,</w:t>
            </w:r>
            <w:r w:rsidR="00184229">
              <w:rPr>
                <w:rFonts w:asciiTheme="minorHAnsi" w:eastAsiaTheme="minorHAnsi" w:hAnsiTheme="minorHAnsi" w:cstheme="minorHAnsi"/>
                <w:lang w:eastAsia="en-US"/>
              </w:rPr>
              <w:t xml:space="preserve"> P</w:t>
            </w:r>
            <w:r>
              <w:rPr>
                <w:rFonts w:asciiTheme="minorHAnsi" w:eastAsiaTheme="minorHAnsi" w:hAnsiTheme="minorHAnsi" w:cstheme="minorHAnsi"/>
                <w:lang w:eastAsia="en-US"/>
              </w:rPr>
              <w:t>rocurement</w:t>
            </w:r>
            <w:r w:rsidR="00184229">
              <w:rPr>
                <w:rFonts w:asciiTheme="minorHAnsi" w:eastAsiaTheme="minorHAnsi" w:hAnsiTheme="minorHAnsi" w:cstheme="minorHAnsi"/>
                <w:lang w:eastAsia="en-US"/>
              </w:rPr>
              <w:t xml:space="preserve"> and E</w:t>
            </w:r>
            <w:r w:rsidR="00BA069C">
              <w:rPr>
                <w:rFonts w:asciiTheme="minorHAnsi" w:eastAsiaTheme="minorHAnsi" w:hAnsiTheme="minorHAnsi" w:cstheme="minorHAnsi"/>
                <w:lang w:eastAsia="en-US"/>
              </w:rPr>
              <w:t>states</w:t>
            </w:r>
          </w:p>
        </w:tc>
      </w:tr>
      <w:tr w:rsidR="00DF3EE3" w:rsidRPr="00DF3EE3" w:rsidTr="00DB6762">
        <w:tc>
          <w:tcPr>
            <w:tcW w:w="2628" w:type="dxa"/>
          </w:tcPr>
          <w:p w:rsidR="00DF3EE3" w:rsidRPr="00BD1346" w:rsidRDefault="00DF3EE3" w:rsidP="00DF3EE3">
            <w:pPr>
              <w:spacing w:after="200" w:line="276" w:lineRule="auto"/>
              <w:rPr>
                <w:rFonts w:asciiTheme="minorHAnsi" w:eastAsiaTheme="minorHAnsi" w:hAnsiTheme="minorHAnsi" w:cstheme="minorHAnsi"/>
                <w:b/>
                <w:lang w:eastAsia="en-US"/>
              </w:rPr>
            </w:pPr>
            <w:r w:rsidRPr="00BD1346">
              <w:rPr>
                <w:rFonts w:asciiTheme="minorHAnsi" w:eastAsiaTheme="minorHAnsi" w:hAnsiTheme="minorHAnsi" w:cstheme="minorHAnsi"/>
                <w:b/>
                <w:lang w:eastAsia="en-US"/>
              </w:rPr>
              <w:t>Date:</w:t>
            </w:r>
          </w:p>
        </w:tc>
        <w:tc>
          <w:tcPr>
            <w:tcW w:w="6320" w:type="dxa"/>
            <w:shd w:val="clear" w:color="auto" w:fill="auto"/>
          </w:tcPr>
          <w:p w:rsidR="00DF3EE3" w:rsidRPr="00BD1346" w:rsidRDefault="00904386" w:rsidP="002C39A0">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1</w:t>
            </w:r>
            <w:r w:rsidR="00D415BB">
              <w:rPr>
                <w:rFonts w:asciiTheme="minorHAnsi" w:eastAsiaTheme="minorHAnsi" w:hAnsiTheme="minorHAnsi" w:cstheme="minorHAnsi"/>
                <w:lang w:eastAsia="en-US"/>
              </w:rPr>
              <w:t>6</w:t>
            </w:r>
            <w:r w:rsidR="00184229" w:rsidRPr="00184229">
              <w:rPr>
                <w:rFonts w:asciiTheme="minorHAnsi" w:eastAsiaTheme="minorHAnsi" w:hAnsiTheme="minorHAnsi" w:cstheme="minorHAnsi"/>
                <w:vertAlign w:val="superscript"/>
                <w:lang w:eastAsia="en-US"/>
              </w:rPr>
              <w:t>th</w:t>
            </w:r>
            <w:r w:rsidR="00184229">
              <w:rPr>
                <w:rFonts w:asciiTheme="minorHAnsi" w:eastAsiaTheme="minorHAnsi" w:hAnsiTheme="minorHAnsi" w:cstheme="minorHAnsi"/>
                <w:lang w:eastAsia="en-US"/>
              </w:rPr>
              <w:t xml:space="preserve"> October 2018</w:t>
            </w:r>
          </w:p>
        </w:tc>
      </w:tr>
    </w:tbl>
    <w:p w:rsidR="00150CE4" w:rsidRDefault="00150CE4" w:rsidP="00AD76CF">
      <w:pPr>
        <w:rPr>
          <w:rFonts w:ascii="Arial" w:hAnsi="Arial" w:cs="Arial"/>
          <w:b/>
          <w:sz w:val="22"/>
          <w:szCs w:val="22"/>
        </w:rPr>
      </w:pPr>
    </w:p>
    <w:p w:rsidR="001677C5" w:rsidRDefault="001677C5">
      <w:pPr>
        <w:spacing w:after="200" w:line="276" w:lineRule="auto"/>
        <w:rPr>
          <w:rFonts w:ascii="Arial" w:hAnsi="Arial" w:cs="Arial"/>
          <w:b/>
          <w:sz w:val="22"/>
          <w:szCs w:val="22"/>
        </w:rPr>
      </w:pPr>
      <w:r>
        <w:rPr>
          <w:rFonts w:ascii="Arial" w:hAnsi="Arial" w:cs="Arial"/>
          <w:b/>
          <w:sz w:val="22"/>
          <w:szCs w:val="22"/>
        </w:rPr>
        <w:br w:type="page"/>
      </w:r>
    </w:p>
    <w:p w:rsidR="006C7396" w:rsidRDefault="006C7396" w:rsidP="006C7396">
      <w:pPr>
        <w:rPr>
          <w:rFonts w:ascii="Arial" w:hAnsi="Arial" w:cs="Arial"/>
          <w:b/>
          <w:sz w:val="22"/>
          <w:szCs w:val="22"/>
        </w:rPr>
      </w:pPr>
      <w:r w:rsidRPr="0044673F">
        <w:rPr>
          <w:rFonts w:ascii="Arial" w:hAnsi="Arial" w:cs="Arial"/>
          <w:b/>
          <w:sz w:val="22"/>
          <w:szCs w:val="22"/>
        </w:rPr>
        <w:lastRenderedPageBreak/>
        <w:t xml:space="preserve">Health Research Authority </w:t>
      </w:r>
      <w:r w:rsidR="00843AFB">
        <w:rPr>
          <w:rFonts w:ascii="Arial" w:hAnsi="Arial" w:cs="Arial"/>
          <w:b/>
          <w:sz w:val="22"/>
          <w:szCs w:val="22"/>
        </w:rPr>
        <w:t>Finance Report: 6 months ended</w:t>
      </w:r>
      <w:r w:rsidRPr="0044673F">
        <w:rPr>
          <w:rFonts w:ascii="Arial" w:hAnsi="Arial" w:cs="Arial"/>
          <w:b/>
          <w:sz w:val="22"/>
          <w:szCs w:val="22"/>
        </w:rPr>
        <w:t xml:space="preserve"> </w:t>
      </w:r>
      <w:r w:rsidR="00184229">
        <w:rPr>
          <w:rFonts w:ascii="Arial" w:hAnsi="Arial" w:cs="Arial"/>
          <w:b/>
          <w:sz w:val="22"/>
          <w:szCs w:val="22"/>
        </w:rPr>
        <w:t>30 September</w:t>
      </w:r>
      <w:r w:rsidR="003B588A">
        <w:rPr>
          <w:rFonts w:ascii="Arial" w:hAnsi="Arial" w:cs="Arial"/>
          <w:b/>
          <w:sz w:val="22"/>
          <w:szCs w:val="22"/>
        </w:rPr>
        <w:t xml:space="preserve"> 2018</w:t>
      </w:r>
    </w:p>
    <w:p w:rsidR="006C7396" w:rsidRDefault="006C7396" w:rsidP="00092A9E">
      <w:pPr>
        <w:rPr>
          <w:rFonts w:ascii="Arial" w:hAnsi="Arial" w:cs="Arial"/>
          <w:b/>
          <w:sz w:val="22"/>
          <w:szCs w:val="22"/>
        </w:rPr>
      </w:pPr>
    </w:p>
    <w:p w:rsidR="00092A9E" w:rsidRDefault="00092A9E" w:rsidP="00092A9E">
      <w:pPr>
        <w:rPr>
          <w:rFonts w:ascii="Arial" w:hAnsi="Arial" w:cs="Arial"/>
          <w:b/>
          <w:sz w:val="22"/>
          <w:szCs w:val="22"/>
        </w:rPr>
      </w:pPr>
      <w:r>
        <w:rPr>
          <w:rFonts w:ascii="Arial" w:hAnsi="Arial" w:cs="Arial"/>
          <w:b/>
          <w:sz w:val="22"/>
          <w:szCs w:val="22"/>
        </w:rPr>
        <w:t xml:space="preserve">Executive Summary </w:t>
      </w:r>
    </w:p>
    <w:p w:rsidR="00D1262E" w:rsidRPr="00D415BB" w:rsidRDefault="006C7396" w:rsidP="006C7396">
      <w:pPr>
        <w:pStyle w:val="ListParagraph"/>
        <w:numPr>
          <w:ilvl w:val="0"/>
          <w:numId w:val="2"/>
        </w:numPr>
        <w:spacing w:after="200" w:line="276" w:lineRule="auto"/>
        <w:rPr>
          <w:rFonts w:ascii="Arial" w:eastAsiaTheme="minorHAnsi" w:hAnsi="Arial" w:cs="Arial"/>
          <w:sz w:val="22"/>
          <w:szCs w:val="22"/>
          <w:lang w:eastAsia="en-US"/>
        </w:rPr>
      </w:pPr>
      <w:r w:rsidRPr="006C7396">
        <w:rPr>
          <w:rFonts w:ascii="Arial" w:eastAsiaTheme="minorHAnsi" w:hAnsi="Arial" w:cs="Arial"/>
          <w:sz w:val="22"/>
          <w:szCs w:val="22"/>
          <w:lang w:eastAsia="en-US"/>
        </w:rPr>
        <w:t>The HRA</w:t>
      </w:r>
      <w:r w:rsidR="00D07ECB">
        <w:rPr>
          <w:rFonts w:ascii="Arial" w:eastAsiaTheme="minorHAnsi" w:hAnsi="Arial" w:cs="Arial"/>
          <w:sz w:val="22"/>
          <w:szCs w:val="22"/>
          <w:lang w:eastAsia="en-US"/>
        </w:rPr>
        <w:t xml:space="preserve"> </w:t>
      </w:r>
      <w:r w:rsidR="00950174">
        <w:rPr>
          <w:rFonts w:ascii="Arial" w:eastAsiaTheme="minorHAnsi" w:hAnsi="Arial" w:cs="Arial"/>
          <w:sz w:val="22"/>
          <w:szCs w:val="22"/>
          <w:lang w:eastAsia="en-US"/>
        </w:rPr>
        <w:t>201</w:t>
      </w:r>
      <w:r w:rsidR="008D718A">
        <w:rPr>
          <w:rFonts w:ascii="Arial" w:eastAsiaTheme="minorHAnsi" w:hAnsi="Arial" w:cs="Arial"/>
          <w:sz w:val="22"/>
          <w:szCs w:val="22"/>
          <w:lang w:eastAsia="en-US"/>
        </w:rPr>
        <w:t>8</w:t>
      </w:r>
      <w:r w:rsidR="003B588A">
        <w:rPr>
          <w:rFonts w:ascii="Arial" w:eastAsiaTheme="minorHAnsi" w:hAnsi="Arial" w:cs="Arial"/>
          <w:sz w:val="22"/>
          <w:szCs w:val="22"/>
          <w:lang w:eastAsia="en-US"/>
        </w:rPr>
        <w:t>/19</w:t>
      </w:r>
      <w:r w:rsidR="00950174">
        <w:rPr>
          <w:rFonts w:ascii="Arial" w:eastAsiaTheme="minorHAnsi" w:hAnsi="Arial" w:cs="Arial"/>
          <w:sz w:val="22"/>
          <w:szCs w:val="22"/>
          <w:lang w:eastAsia="en-US"/>
        </w:rPr>
        <w:t xml:space="preserve"> </w:t>
      </w:r>
      <w:r w:rsidR="00D07ECB">
        <w:rPr>
          <w:rFonts w:ascii="Arial" w:eastAsiaTheme="minorHAnsi" w:hAnsi="Arial" w:cs="Arial"/>
          <w:sz w:val="22"/>
          <w:szCs w:val="22"/>
          <w:lang w:eastAsia="en-US"/>
        </w:rPr>
        <w:t xml:space="preserve">outturn </w:t>
      </w:r>
      <w:r w:rsidR="008D718A">
        <w:rPr>
          <w:rFonts w:ascii="Arial" w:eastAsiaTheme="minorHAnsi" w:hAnsi="Arial" w:cs="Arial"/>
          <w:sz w:val="22"/>
          <w:szCs w:val="22"/>
          <w:lang w:eastAsia="en-US"/>
        </w:rPr>
        <w:t xml:space="preserve">for the first </w:t>
      </w:r>
      <w:r w:rsidR="00184229">
        <w:rPr>
          <w:rFonts w:ascii="Arial" w:eastAsiaTheme="minorHAnsi" w:hAnsi="Arial" w:cs="Arial"/>
          <w:sz w:val="22"/>
          <w:szCs w:val="22"/>
          <w:lang w:eastAsia="en-US"/>
        </w:rPr>
        <w:t>6</w:t>
      </w:r>
      <w:r w:rsidR="008D718A">
        <w:rPr>
          <w:rFonts w:ascii="Arial" w:eastAsiaTheme="minorHAnsi" w:hAnsi="Arial" w:cs="Arial"/>
          <w:sz w:val="22"/>
          <w:szCs w:val="22"/>
          <w:lang w:eastAsia="en-US"/>
        </w:rPr>
        <w:t xml:space="preserve"> months of the year </w:t>
      </w:r>
      <w:r w:rsidR="00D07ECB">
        <w:rPr>
          <w:rFonts w:ascii="Arial" w:eastAsiaTheme="minorHAnsi" w:hAnsi="Arial" w:cs="Arial"/>
          <w:sz w:val="22"/>
          <w:szCs w:val="22"/>
          <w:lang w:eastAsia="en-US"/>
        </w:rPr>
        <w:t>was £</w:t>
      </w:r>
      <w:r w:rsidR="00A52BD1">
        <w:rPr>
          <w:rFonts w:ascii="Arial" w:eastAsiaTheme="minorHAnsi" w:hAnsi="Arial" w:cs="Arial"/>
          <w:sz w:val="22"/>
          <w:szCs w:val="22"/>
          <w:lang w:eastAsia="en-US"/>
        </w:rPr>
        <w:t>7,397</w:t>
      </w:r>
      <w:r w:rsidR="003B588A">
        <w:rPr>
          <w:rFonts w:ascii="Arial" w:eastAsiaTheme="minorHAnsi" w:hAnsi="Arial" w:cs="Arial"/>
          <w:sz w:val="22"/>
          <w:szCs w:val="22"/>
          <w:lang w:eastAsia="en-US"/>
        </w:rPr>
        <w:t>k</w:t>
      </w:r>
      <w:r w:rsidR="00D07ECB">
        <w:rPr>
          <w:rFonts w:ascii="Arial" w:eastAsiaTheme="minorHAnsi" w:hAnsi="Arial" w:cs="Arial"/>
          <w:sz w:val="22"/>
          <w:szCs w:val="22"/>
          <w:lang w:eastAsia="en-US"/>
        </w:rPr>
        <w:t xml:space="preserve"> (201</w:t>
      </w:r>
      <w:r w:rsidR="008D718A">
        <w:rPr>
          <w:rFonts w:ascii="Arial" w:eastAsiaTheme="minorHAnsi" w:hAnsi="Arial" w:cs="Arial"/>
          <w:sz w:val="22"/>
          <w:szCs w:val="22"/>
          <w:lang w:eastAsia="en-US"/>
        </w:rPr>
        <w:t>7</w:t>
      </w:r>
      <w:r w:rsidR="003B588A">
        <w:rPr>
          <w:rFonts w:ascii="Arial" w:eastAsiaTheme="minorHAnsi" w:hAnsi="Arial" w:cs="Arial"/>
          <w:sz w:val="22"/>
          <w:szCs w:val="22"/>
          <w:lang w:eastAsia="en-US"/>
        </w:rPr>
        <w:t>/18</w:t>
      </w:r>
      <w:r w:rsidR="00D07ECB">
        <w:rPr>
          <w:rFonts w:ascii="Arial" w:eastAsiaTheme="minorHAnsi" w:hAnsi="Arial" w:cs="Arial"/>
          <w:sz w:val="22"/>
          <w:szCs w:val="22"/>
          <w:lang w:eastAsia="en-US"/>
        </w:rPr>
        <w:t>: £</w:t>
      </w:r>
      <w:r w:rsidR="00A52BD1">
        <w:rPr>
          <w:rFonts w:ascii="Arial" w:eastAsiaTheme="minorHAnsi" w:hAnsi="Arial" w:cs="Arial"/>
          <w:sz w:val="22"/>
          <w:szCs w:val="22"/>
          <w:lang w:eastAsia="en-US"/>
        </w:rPr>
        <w:t>6,241</w:t>
      </w:r>
      <w:r w:rsidR="003B588A">
        <w:rPr>
          <w:rFonts w:ascii="Arial" w:eastAsiaTheme="minorHAnsi" w:hAnsi="Arial" w:cs="Arial"/>
          <w:sz w:val="22"/>
          <w:szCs w:val="22"/>
          <w:lang w:eastAsia="en-US"/>
        </w:rPr>
        <w:t>k</w:t>
      </w:r>
      <w:r w:rsidR="00D07ECB">
        <w:rPr>
          <w:rFonts w:ascii="Arial" w:eastAsiaTheme="minorHAnsi" w:hAnsi="Arial" w:cs="Arial"/>
          <w:sz w:val="22"/>
          <w:szCs w:val="22"/>
          <w:lang w:eastAsia="en-US"/>
        </w:rPr>
        <w:t>) and £</w:t>
      </w:r>
      <w:r w:rsidR="00BD6153">
        <w:rPr>
          <w:rFonts w:ascii="Arial" w:eastAsiaTheme="minorHAnsi" w:hAnsi="Arial" w:cs="Arial"/>
          <w:sz w:val="22"/>
          <w:szCs w:val="22"/>
          <w:lang w:eastAsia="en-US"/>
        </w:rPr>
        <w:t>320</w:t>
      </w:r>
      <w:r w:rsidR="003119AE" w:rsidRPr="0060429E">
        <w:rPr>
          <w:rFonts w:ascii="Arial" w:eastAsiaTheme="minorHAnsi" w:hAnsi="Arial" w:cs="Arial"/>
          <w:sz w:val="22"/>
          <w:szCs w:val="22"/>
          <w:lang w:eastAsia="en-US"/>
        </w:rPr>
        <w:t>k</w:t>
      </w:r>
      <w:r w:rsidR="008D718A" w:rsidRPr="0060429E">
        <w:rPr>
          <w:rFonts w:ascii="Arial" w:eastAsiaTheme="minorHAnsi" w:hAnsi="Arial" w:cs="Arial"/>
          <w:sz w:val="22"/>
          <w:szCs w:val="22"/>
          <w:lang w:eastAsia="en-US"/>
        </w:rPr>
        <w:t xml:space="preserve"> </w:t>
      </w:r>
      <w:r w:rsidR="00D07ECB" w:rsidRPr="0060429E">
        <w:rPr>
          <w:rFonts w:ascii="Arial" w:eastAsiaTheme="minorHAnsi" w:hAnsi="Arial" w:cs="Arial"/>
          <w:sz w:val="22"/>
          <w:szCs w:val="22"/>
          <w:lang w:eastAsia="en-US"/>
        </w:rPr>
        <w:t>(201</w:t>
      </w:r>
      <w:r w:rsidR="008D718A" w:rsidRPr="0060429E">
        <w:rPr>
          <w:rFonts w:ascii="Arial" w:eastAsiaTheme="minorHAnsi" w:hAnsi="Arial" w:cs="Arial"/>
          <w:sz w:val="22"/>
          <w:szCs w:val="22"/>
          <w:lang w:eastAsia="en-US"/>
        </w:rPr>
        <w:t>7</w:t>
      </w:r>
      <w:r w:rsidR="003B588A" w:rsidRPr="0060429E">
        <w:rPr>
          <w:rFonts w:ascii="Arial" w:eastAsiaTheme="minorHAnsi" w:hAnsi="Arial" w:cs="Arial"/>
          <w:sz w:val="22"/>
          <w:szCs w:val="22"/>
          <w:lang w:eastAsia="en-US"/>
        </w:rPr>
        <w:t>/18</w:t>
      </w:r>
      <w:r w:rsidR="00D07ECB" w:rsidRPr="0060429E">
        <w:rPr>
          <w:rFonts w:ascii="Arial" w:eastAsiaTheme="minorHAnsi" w:hAnsi="Arial" w:cs="Arial"/>
          <w:sz w:val="22"/>
          <w:szCs w:val="22"/>
          <w:lang w:eastAsia="en-US"/>
        </w:rPr>
        <w:t xml:space="preserve"> £</w:t>
      </w:r>
      <w:r w:rsidR="00BD6153">
        <w:rPr>
          <w:rFonts w:ascii="Arial" w:eastAsiaTheme="minorHAnsi" w:hAnsi="Arial" w:cs="Arial"/>
          <w:sz w:val="22"/>
          <w:szCs w:val="22"/>
          <w:lang w:eastAsia="en-US"/>
        </w:rPr>
        <w:t>35</w:t>
      </w:r>
      <w:r w:rsidR="00C53927" w:rsidRPr="0060429E">
        <w:rPr>
          <w:rFonts w:ascii="Arial" w:eastAsiaTheme="minorHAnsi" w:hAnsi="Arial" w:cs="Arial"/>
          <w:sz w:val="22"/>
          <w:szCs w:val="22"/>
          <w:lang w:eastAsia="en-US"/>
        </w:rPr>
        <w:t>1</w:t>
      </w:r>
      <w:r w:rsidR="003015EB" w:rsidRPr="0060429E">
        <w:rPr>
          <w:rFonts w:ascii="Arial" w:eastAsiaTheme="minorHAnsi" w:hAnsi="Arial" w:cs="Arial"/>
          <w:sz w:val="22"/>
          <w:szCs w:val="22"/>
          <w:lang w:eastAsia="en-US"/>
        </w:rPr>
        <w:t>k</w:t>
      </w:r>
      <w:r w:rsidR="00D07ECB" w:rsidRPr="0060429E">
        <w:rPr>
          <w:rFonts w:ascii="Arial" w:eastAsiaTheme="minorHAnsi" w:hAnsi="Arial" w:cs="Arial"/>
          <w:sz w:val="22"/>
          <w:szCs w:val="22"/>
          <w:lang w:eastAsia="en-US"/>
        </w:rPr>
        <w:t>) capital. On</w:t>
      </w:r>
      <w:r w:rsidR="00D07ECB">
        <w:rPr>
          <w:rFonts w:ascii="Arial" w:eastAsiaTheme="minorHAnsi" w:hAnsi="Arial" w:cs="Arial"/>
          <w:sz w:val="22"/>
          <w:szCs w:val="22"/>
          <w:lang w:eastAsia="en-US"/>
        </w:rPr>
        <w:t xml:space="preserve"> revenue expenditure</w:t>
      </w:r>
      <w:r w:rsidR="004C1D2E">
        <w:rPr>
          <w:rFonts w:ascii="Arial" w:eastAsiaTheme="minorHAnsi" w:hAnsi="Arial" w:cs="Arial"/>
          <w:sz w:val="22"/>
          <w:szCs w:val="22"/>
          <w:lang w:eastAsia="en-US"/>
        </w:rPr>
        <w:t xml:space="preserve"> th</w:t>
      </w:r>
      <w:r w:rsidR="00D07ECB">
        <w:rPr>
          <w:rFonts w:ascii="Arial" w:eastAsiaTheme="minorHAnsi" w:hAnsi="Arial" w:cs="Arial"/>
          <w:sz w:val="22"/>
          <w:szCs w:val="22"/>
          <w:lang w:eastAsia="en-US"/>
        </w:rPr>
        <w:t xml:space="preserve">is represented </w:t>
      </w:r>
      <w:proofErr w:type="gramStart"/>
      <w:r w:rsidR="00D07ECB">
        <w:rPr>
          <w:rFonts w:ascii="Arial" w:eastAsiaTheme="minorHAnsi" w:hAnsi="Arial" w:cs="Arial"/>
          <w:sz w:val="22"/>
          <w:szCs w:val="22"/>
          <w:lang w:eastAsia="en-US"/>
        </w:rPr>
        <w:t>a</w:t>
      </w:r>
      <w:r w:rsidR="0009061E">
        <w:rPr>
          <w:rFonts w:ascii="Arial" w:eastAsiaTheme="minorHAnsi" w:hAnsi="Arial" w:cs="Arial"/>
          <w:sz w:val="22"/>
          <w:szCs w:val="22"/>
          <w:lang w:eastAsia="en-US"/>
        </w:rPr>
        <w:t>n</w:t>
      </w:r>
      <w:r w:rsidR="0012160E">
        <w:rPr>
          <w:rFonts w:ascii="Arial" w:eastAsiaTheme="minorHAnsi" w:hAnsi="Arial" w:cs="Arial"/>
          <w:sz w:val="22"/>
          <w:szCs w:val="22"/>
          <w:lang w:eastAsia="en-US"/>
        </w:rPr>
        <w:t xml:space="preserve"> </w:t>
      </w:r>
      <w:r w:rsidR="00DC16AF">
        <w:rPr>
          <w:rFonts w:ascii="Arial" w:eastAsiaTheme="minorHAnsi" w:hAnsi="Arial" w:cs="Arial"/>
          <w:sz w:val="22"/>
          <w:szCs w:val="22"/>
          <w:lang w:eastAsia="en-US"/>
        </w:rPr>
        <w:t>underspend</w:t>
      </w:r>
      <w:proofErr w:type="gramEnd"/>
      <w:r w:rsidR="00DC16AF">
        <w:rPr>
          <w:rFonts w:ascii="Arial" w:eastAsiaTheme="minorHAnsi" w:hAnsi="Arial" w:cs="Arial"/>
          <w:sz w:val="22"/>
          <w:szCs w:val="22"/>
          <w:lang w:eastAsia="en-US"/>
        </w:rPr>
        <w:t xml:space="preserve"> of</w:t>
      </w:r>
      <w:r w:rsidR="00D07ECB">
        <w:rPr>
          <w:rFonts w:ascii="Arial" w:eastAsiaTheme="minorHAnsi" w:hAnsi="Arial" w:cs="Arial"/>
          <w:sz w:val="22"/>
          <w:szCs w:val="22"/>
          <w:lang w:eastAsia="en-US"/>
        </w:rPr>
        <w:t xml:space="preserve"> £</w:t>
      </w:r>
      <w:r w:rsidR="00A52BD1">
        <w:rPr>
          <w:rFonts w:ascii="Arial" w:eastAsiaTheme="minorHAnsi" w:hAnsi="Arial" w:cs="Arial"/>
          <w:sz w:val="22"/>
          <w:szCs w:val="22"/>
          <w:lang w:eastAsia="en-US"/>
        </w:rPr>
        <w:t>24</w:t>
      </w:r>
      <w:r w:rsidR="00D07ECB">
        <w:rPr>
          <w:rFonts w:ascii="Arial" w:eastAsiaTheme="minorHAnsi" w:hAnsi="Arial" w:cs="Arial"/>
          <w:sz w:val="22"/>
          <w:szCs w:val="22"/>
          <w:lang w:eastAsia="en-US"/>
        </w:rPr>
        <w:t>k</w:t>
      </w:r>
      <w:r w:rsidR="004C1D2E">
        <w:rPr>
          <w:rFonts w:ascii="Arial" w:eastAsiaTheme="minorHAnsi" w:hAnsi="Arial" w:cs="Arial"/>
          <w:sz w:val="22"/>
          <w:szCs w:val="22"/>
          <w:lang w:eastAsia="en-US"/>
        </w:rPr>
        <w:t>,</w:t>
      </w:r>
      <w:r w:rsidR="007C4AB8">
        <w:rPr>
          <w:rFonts w:ascii="Arial" w:eastAsiaTheme="minorHAnsi" w:hAnsi="Arial" w:cs="Arial"/>
          <w:sz w:val="22"/>
          <w:szCs w:val="22"/>
          <w:lang w:eastAsia="en-US"/>
        </w:rPr>
        <w:t xml:space="preserve"> </w:t>
      </w:r>
      <w:r w:rsidR="00A52BD1">
        <w:rPr>
          <w:rFonts w:ascii="Arial" w:eastAsiaTheme="minorHAnsi" w:hAnsi="Arial" w:cs="Arial"/>
          <w:sz w:val="22"/>
          <w:szCs w:val="22"/>
          <w:lang w:eastAsia="en-US"/>
        </w:rPr>
        <w:t>0.3</w:t>
      </w:r>
      <w:r w:rsidR="004C1D2E">
        <w:rPr>
          <w:rFonts w:ascii="Arial" w:eastAsiaTheme="minorHAnsi" w:hAnsi="Arial" w:cs="Arial"/>
          <w:sz w:val="22"/>
          <w:szCs w:val="22"/>
          <w:lang w:eastAsia="en-US"/>
        </w:rPr>
        <w:t>%</w:t>
      </w:r>
      <w:r w:rsidR="003B588A">
        <w:rPr>
          <w:rFonts w:ascii="Arial" w:eastAsiaTheme="minorHAnsi" w:hAnsi="Arial" w:cs="Arial"/>
          <w:sz w:val="22"/>
          <w:szCs w:val="22"/>
          <w:lang w:eastAsia="en-US"/>
        </w:rPr>
        <w:t xml:space="preserve"> (201</w:t>
      </w:r>
      <w:r w:rsidR="008D718A">
        <w:rPr>
          <w:rFonts w:ascii="Arial" w:eastAsiaTheme="minorHAnsi" w:hAnsi="Arial" w:cs="Arial"/>
          <w:sz w:val="22"/>
          <w:szCs w:val="22"/>
          <w:lang w:eastAsia="en-US"/>
        </w:rPr>
        <w:t>7</w:t>
      </w:r>
      <w:r w:rsidR="003B588A">
        <w:rPr>
          <w:rFonts w:ascii="Arial" w:eastAsiaTheme="minorHAnsi" w:hAnsi="Arial" w:cs="Arial"/>
          <w:sz w:val="22"/>
          <w:szCs w:val="22"/>
          <w:lang w:eastAsia="en-US"/>
        </w:rPr>
        <w:t>/18</w:t>
      </w:r>
      <w:r w:rsidR="00D07ECB">
        <w:rPr>
          <w:rFonts w:ascii="Arial" w:eastAsiaTheme="minorHAnsi" w:hAnsi="Arial" w:cs="Arial"/>
          <w:sz w:val="22"/>
          <w:szCs w:val="22"/>
          <w:lang w:eastAsia="en-US"/>
        </w:rPr>
        <w:t xml:space="preserve"> £</w:t>
      </w:r>
      <w:r w:rsidR="00A52BD1">
        <w:rPr>
          <w:rFonts w:ascii="Arial" w:eastAsiaTheme="minorHAnsi" w:hAnsi="Arial" w:cs="Arial"/>
          <w:sz w:val="22"/>
          <w:szCs w:val="22"/>
          <w:lang w:eastAsia="en-US"/>
        </w:rPr>
        <w:t>53</w:t>
      </w:r>
      <w:r w:rsidR="00D07ECB">
        <w:rPr>
          <w:rFonts w:ascii="Arial" w:eastAsiaTheme="minorHAnsi" w:hAnsi="Arial" w:cs="Arial"/>
          <w:sz w:val="22"/>
          <w:szCs w:val="22"/>
          <w:lang w:eastAsia="en-US"/>
        </w:rPr>
        <w:t>k</w:t>
      </w:r>
      <w:r w:rsidR="004C1D2E">
        <w:rPr>
          <w:rFonts w:ascii="Arial" w:eastAsiaTheme="minorHAnsi" w:hAnsi="Arial" w:cs="Arial"/>
          <w:sz w:val="22"/>
          <w:szCs w:val="22"/>
          <w:lang w:eastAsia="en-US"/>
        </w:rPr>
        <w:t xml:space="preserve">, </w:t>
      </w:r>
      <w:r w:rsidR="001D3B92">
        <w:rPr>
          <w:rFonts w:ascii="Arial" w:eastAsiaTheme="minorHAnsi" w:hAnsi="Arial" w:cs="Arial"/>
          <w:sz w:val="22"/>
          <w:szCs w:val="22"/>
          <w:lang w:eastAsia="en-US"/>
        </w:rPr>
        <w:t>0.8</w:t>
      </w:r>
      <w:r w:rsidR="004C1D2E">
        <w:rPr>
          <w:rFonts w:ascii="Arial" w:eastAsiaTheme="minorHAnsi" w:hAnsi="Arial" w:cs="Arial"/>
          <w:sz w:val="22"/>
          <w:szCs w:val="22"/>
          <w:lang w:eastAsia="en-US"/>
        </w:rPr>
        <w:t>%</w:t>
      </w:r>
      <w:r w:rsidR="00D07ECB">
        <w:rPr>
          <w:rFonts w:ascii="Arial" w:eastAsiaTheme="minorHAnsi" w:hAnsi="Arial" w:cs="Arial"/>
          <w:sz w:val="22"/>
          <w:szCs w:val="22"/>
          <w:lang w:eastAsia="en-US"/>
        </w:rPr>
        <w:t xml:space="preserve">) </w:t>
      </w:r>
      <w:r w:rsidR="004C1D2E" w:rsidRPr="0060429E">
        <w:rPr>
          <w:rFonts w:ascii="Arial" w:eastAsiaTheme="minorHAnsi" w:hAnsi="Arial" w:cs="Arial"/>
          <w:sz w:val="22"/>
          <w:szCs w:val="22"/>
          <w:lang w:eastAsia="en-US"/>
        </w:rPr>
        <w:t>and on capital expenditure a £</w:t>
      </w:r>
      <w:r w:rsidR="0060429E" w:rsidRPr="0060429E">
        <w:rPr>
          <w:rFonts w:ascii="Arial" w:eastAsiaTheme="minorHAnsi" w:hAnsi="Arial" w:cs="Arial"/>
          <w:sz w:val="22"/>
          <w:szCs w:val="22"/>
          <w:lang w:eastAsia="en-US"/>
        </w:rPr>
        <w:t>0</w:t>
      </w:r>
      <w:r w:rsidR="004C1D2E" w:rsidRPr="0060429E">
        <w:rPr>
          <w:rFonts w:ascii="Arial" w:eastAsiaTheme="minorHAnsi" w:hAnsi="Arial" w:cs="Arial"/>
          <w:sz w:val="22"/>
          <w:szCs w:val="22"/>
          <w:lang w:eastAsia="en-US"/>
        </w:rPr>
        <w:t xml:space="preserve">k, </w:t>
      </w:r>
      <w:r w:rsidR="003119AE" w:rsidRPr="0060429E">
        <w:rPr>
          <w:rFonts w:ascii="Arial" w:eastAsiaTheme="minorHAnsi" w:hAnsi="Arial" w:cs="Arial"/>
          <w:sz w:val="22"/>
          <w:szCs w:val="22"/>
          <w:lang w:eastAsia="en-US"/>
        </w:rPr>
        <w:t>0.</w:t>
      </w:r>
      <w:r w:rsidR="0060429E" w:rsidRPr="0060429E">
        <w:rPr>
          <w:rFonts w:ascii="Arial" w:eastAsiaTheme="minorHAnsi" w:hAnsi="Arial" w:cs="Arial"/>
          <w:sz w:val="22"/>
          <w:szCs w:val="22"/>
          <w:lang w:eastAsia="en-US"/>
        </w:rPr>
        <w:t>0</w:t>
      </w:r>
      <w:r w:rsidR="004C1D2E" w:rsidRPr="0060429E">
        <w:rPr>
          <w:rFonts w:ascii="Arial" w:eastAsiaTheme="minorHAnsi" w:hAnsi="Arial" w:cs="Arial"/>
          <w:sz w:val="22"/>
          <w:szCs w:val="22"/>
          <w:lang w:eastAsia="en-US"/>
        </w:rPr>
        <w:t>% unde</w:t>
      </w:r>
      <w:r w:rsidR="004C1D2E">
        <w:rPr>
          <w:rFonts w:ascii="Arial" w:eastAsiaTheme="minorHAnsi" w:hAnsi="Arial" w:cs="Arial"/>
          <w:sz w:val="22"/>
          <w:szCs w:val="22"/>
          <w:lang w:eastAsia="en-US"/>
        </w:rPr>
        <w:t>rspend (201</w:t>
      </w:r>
      <w:r w:rsidR="008D718A">
        <w:rPr>
          <w:rFonts w:ascii="Arial" w:eastAsiaTheme="minorHAnsi" w:hAnsi="Arial" w:cs="Arial"/>
          <w:sz w:val="22"/>
          <w:szCs w:val="22"/>
          <w:lang w:eastAsia="en-US"/>
        </w:rPr>
        <w:t>7</w:t>
      </w:r>
      <w:r w:rsidR="003B588A">
        <w:rPr>
          <w:rFonts w:ascii="Arial" w:eastAsiaTheme="minorHAnsi" w:hAnsi="Arial" w:cs="Arial"/>
          <w:sz w:val="22"/>
          <w:szCs w:val="22"/>
          <w:lang w:eastAsia="en-US"/>
        </w:rPr>
        <w:t>/18</w:t>
      </w:r>
      <w:r w:rsidR="004C1D2E">
        <w:rPr>
          <w:rFonts w:ascii="Arial" w:eastAsiaTheme="minorHAnsi" w:hAnsi="Arial" w:cs="Arial"/>
          <w:sz w:val="22"/>
          <w:szCs w:val="22"/>
          <w:lang w:eastAsia="en-US"/>
        </w:rPr>
        <w:t xml:space="preserve"> </w:t>
      </w:r>
      <w:r w:rsidR="004C1D2E" w:rsidRPr="00D415BB">
        <w:rPr>
          <w:rFonts w:ascii="Arial" w:eastAsiaTheme="minorHAnsi" w:hAnsi="Arial" w:cs="Arial"/>
          <w:sz w:val="22"/>
          <w:szCs w:val="22"/>
          <w:lang w:eastAsia="en-US"/>
        </w:rPr>
        <w:t>£</w:t>
      </w:r>
      <w:r w:rsidR="00BD6153" w:rsidRPr="00D415BB">
        <w:rPr>
          <w:rFonts w:ascii="Arial" w:eastAsiaTheme="minorHAnsi" w:hAnsi="Arial" w:cs="Arial"/>
          <w:sz w:val="22"/>
          <w:szCs w:val="22"/>
          <w:lang w:eastAsia="en-US"/>
        </w:rPr>
        <w:t>51</w:t>
      </w:r>
      <w:r w:rsidR="004C1D2E" w:rsidRPr="00D415BB">
        <w:rPr>
          <w:rFonts w:ascii="Arial" w:eastAsiaTheme="minorHAnsi" w:hAnsi="Arial" w:cs="Arial"/>
          <w:sz w:val="22"/>
          <w:szCs w:val="22"/>
          <w:lang w:eastAsia="en-US"/>
        </w:rPr>
        <w:t xml:space="preserve">k, </w:t>
      </w:r>
      <w:r w:rsidR="00BD6153" w:rsidRPr="00D415BB">
        <w:rPr>
          <w:rFonts w:ascii="Arial" w:eastAsiaTheme="minorHAnsi" w:hAnsi="Arial" w:cs="Arial"/>
          <w:sz w:val="22"/>
          <w:szCs w:val="22"/>
          <w:lang w:eastAsia="en-US"/>
        </w:rPr>
        <w:t>5.0</w:t>
      </w:r>
      <w:r w:rsidR="004C1D2E" w:rsidRPr="00D415BB">
        <w:rPr>
          <w:rFonts w:ascii="Arial" w:eastAsiaTheme="minorHAnsi" w:hAnsi="Arial" w:cs="Arial"/>
          <w:sz w:val="22"/>
          <w:szCs w:val="22"/>
          <w:lang w:eastAsia="en-US"/>
        </w:rPr>
        <w:t xml:space="preserve">%). </w:t>
      </w:r>
      <w:r w:rsidR="00FA0CFC" w:rsidRPr="00D415BB">
        <w:rPr>
          <w:rFonts w:ascii="Arial" w:eastAsiaTheme="minorHAnsi" w:hAnsi="Arial" w:cs="Arial"/>
          <w:sz w:val="22"/>
          <w:szCs w:val="22"/>
          <w:lang w:eastAsia="en-US"/>
        </w:rPr>
        <w:t xml:space="preserve"> </w:t>
      </w:r>
      <w:r w:rsidR="00D415BB">
        <w:rPr>
          <w:rFonts w:ascii="Arial" w:eastAsiaTheme="minorHAnsi" w:hAnsi="Arial" w:cs="Arial"/>
          <w:sz w:val="22"/>
          <w:szCs w:val="22"/>
          <w:lang w:eastAsia="en-US"/>
        </w:rPr>
        <w:t>Costs are greater than previous year due to investment in research system transformation programme £1.972m, annual commitment.)</w:t>
      </w:r>
    </w:p>
    <w:p w:rsidR="00E554BD" w:rsidRPr="00D415BB" w:rsidRDefault="0009061E" w:rsidP="00E554BD">
      <w:pPr>
        <w:pStyle w:val="ListParagraph"/>
        <w:numPr>
          <w:ilvl w:val="0"/>
          <w:numId w:val="2"/>
        </w:numPr>
        <w:spacing w:after="200" w:line="276" w:lineRule="auto"/>
        <w:rPr>
          <w:rFonts w:ascii="Arial" w:eastAsiaTheme="minorHAnsi" w:hAnsi="Arial" w:cs="Arial"/>
          <w:sz w:val="22"/>
          <w:szCs w:val="22"/>
          <w:lang w:eastAsia="en-US"/>
        </w:rPr>
      </w:pPr>
      <w:r w:rsidRPr="00D415BB">
        <w:rPr>
          <w:rFonts w:ascii="Arial" w:eastAsiaTheme="minorHAnsi" w:hAnsi="Arial" w:cs="Arial"/>
          <w:sz w:val="22"/>
          <w:szCs w:val="22"/>
          <w:lang w:eastAsia="en-US"/>
        </w:rPr>
        <w:t xml:space="preserve">Forecast </w:t>
      </w:r>
      <w:r w:rsidR="00D415BB">
        <w:rPr>
          <w:rFonts w:ascii="Arial" w:eastAsiaTheme="minorHAnsi" w:hAnsi="Arial" w:cs="Arial"/>
          <w:sz w:val="22"/>
          <w:szCs w:val="22"/>
          <w:lang w:eastAsia="en-US"/>
        </w:rPr>
        <w:t xml:space="preserve">business as usual </w:t>
      </w:r>
      <w:r w:rsidRPr="00D415BB">
        <w:rPr>
          <w:rFonts w:ascii="Arial" w:eastAsiaTheme="minorHAnsi" w:hAnsi="Arial" w:cs="Arial"/>
          <w:sz w:val="22"/>
          <w:szCs w:val="22"/>
          <w:lang w:eastAsia="en-US"/>
        </w:rPr>
        <w:t xml:space="preserve">outturn for the year </w:t>
      </w:r>
      <w:r w:rsidR="00F35892" w:rsidRPr="00D415BB">
        <w:rPr>
          <w:rFonts w:ascii="Arial" w:eastAsiaTheme="minorHAnsi" w:hAnsi="Arial" w:cs="Arial"/>
          <w:sz w:val="22"/>
          <w:szCs w:val="22"/>
          <w:lang w:eastAsia="en-US"/>
        </w:rPr>
        <w:t>is predicted to be</w:t>
      </w:r>
      <w:r w:rsidR="00D415BB" w:rsidRPr="00D415BB">
        <w:rPr>
          <w:rFonts w:ascii="Arial" w:eastAsiaTheme="minorHAnsi" w:hAnsi="Arial" w:cs="Arial"/>
          <w:sz w:val="22"/>
          <w:szCs w:val="22"/>
          <w:lang w:eastAsia="en-US"/>
        </w:rPr>
        <w:t xml:space="preserve"> in line with plans</w:t>
      </w:r>
      <w:r w:rsidR="00D415BB">
        <w:rPr>
          <w:rFonts w:ascii="Arial" w:eastAsiaTheme="minorHAnsi" w:hAnsi="Arial" w:cs="Arial"/>
          <w:sz w:val="22"/>
          <w:szCs w:val="22"/>
          <w:lang w:eastAsia="en-US"/>
        </w:rPr>
        <w:t xml:space="preserve">. </w:t>
      </w:r>
      <w:r w:rsidR="00D415BB" w:rsidRPr="00D415BB">
        <w:rPr>
          <w:rFonts w:ascii="Arial" w:eastAsiaTheme="minorHAnsi" w:hAnsi="Arial" w:cs="Arial"/>
          <w:sz w:val="22"/>
          <w:szCs w:val="22"/>
          <w:lang w:eastAsia="en-US"/>
        </w:rPr>
        <w:t>£250k budget pressure on research systems transform programme</w:t>
      </w:r>
      <w:r w:rsidR="00D415BB">
        <w:rPr>
          <w:rFonts w:ascii="Arial" w:eastAsiaTheme="minorHAnsi" w:hAnsi="Arial" w:cs="Arial"/>
          <w:sz w:val="22"/>
          <w:szCs w:val="22"/>
          <w:lang w:eastAsia="en-US"/>
        </w:rPr>
        <w:t xml:space="preserve"> has been identified (bringing total planned costs to £</w:t>
      </w:r>
      <w:r w:rsidR="007A7D58">
        <w:rPr>
          <w:rFonts w:ascii="Arial" w:eastAsiaTheme="minorHAnsi" w:hAnsi="Arial" w:cs="Arial"/>
          <w:sz w:val="22"/>
          <w:szCs w:val="22"/>
          <w:lang w:eastAsia="en-US"/>
        </w:rPr>
        <w:t>2,002k</w:t>
      </w:r>
      <w:r w:rsidR="00D415BB">
        <w:rPr>
          <w:rFonts w:ascii="Arial" w:eastAsiaTheme="minorHAnsi" w:hAnsi="Arial" w:cs="Arial"/>
          <w:sz w:val="22"/>
          <w:szCs w:val="22"/>
          <w:lang w:eastAsia="en-US"/>
        </w:rPr>
        <w:t>)</w:t>
      </w:r>
      <w:r w:rsidR="00D415BB" w:rsidRPr="00D415BB">
        <w:rPr>
          <w:rFonts w:ascii="Arial" w:eastAsiaTheme="minorHAnsi" w:hAnsi="Arial" w:cs="Arial"/>
          <w:sz w:val="22"/>
          <w:szCs w:val="22"/>
          <w:lang w:eastAsia="en-US"/>
        </w:rPr>
        <w:t xml:space="preserve">. </w:t>
      </w:r>
      <w:r w:rsidR="00172061" w:rsidRPr="00D415BB">
        <w:rPr>
          <w:rFonts w:ascii="Arial" w:eastAsiaTheme="minorHAnsi" w:hAnsi="Arial" w:cs="Arial"/>
          <w:sz w:val="22"/>
          <w:szCs w:val="22"/>
          <w:lang w:eastAsia="en-US"/>
        </w:rPr>
        <w:t xml:space="preserve">DHSC </w:t>
      </w:r>
      <w:r w:rsidR="00D415BB" w:rsidRPr="00D415BB">
        <w:rPr>
          <w:rFonts w:ascii="Arial" w:eastAsiaTheme="minorHAnsi" w:hAnsi="Arial" w:cs="Arial"/>
          <w:sz w:val="22"/>
          <w:szCs w:val="22"/>
          <w:lang w:eastAsia="en-US"/>
        </w:rPr>
        <w:t xml:space="preserve">has </w:t>
      </w:r>
      <w:r w:rsidR="00172061" w:rsidRPr="00D415BB">
        <w:rPr>
          <w:rFonts w:ascii="Arial" w:eastAsiaTheme="minorHAnsi" w:hAnsi="Arial" w:cs="Arial"/>
          <w:sz w:val="22"/>
          <w:szCs w:val="22"/>
          <w:lang w:eastAsia="en-US"/>
        </w:rPr>
        <w:t>agreed</w:t>
      </w:r>
      <w:r w:rsidR="005E3435" w:rsidRPr="00D415BB">
        <w:rPr>
          <w:rFonts w:ascii="Arial" w:eastAsiaTheme="minorHAnsi" w:hAnsi="Arial" w:cs="Arial"/>
          <w:sz w:val="22"/>
          <w:szCs w:val="22"/>
          <w:lang w:eastAsia="en-US"/>
        </w:rPr>
        <w:t xml:space="preserve"> additi</w:t>
      </w:r>
      <w:r w:rsidR="00D415BB" w:rsidRPr="00D415BB">
        <w:rPr>
          <w:rFonts w:ascii="Arial" w:eastAsiaTheme="minorHAnsi" w:hAnsi="Arial" w:cs="Arial"/>
          <w:sz w:val="22"/>
          <w:szCs w:val="22"/>
          <w:lang w:eastAsia="en-US"/>
        </w:rPr>
        <w:t xml:space="preserve">onal EU Exit </w:t>
      </w:r>
      <w:r w:rsidR="00D415BB">
        <w:rPr>
          <w:rFonts w:ascii="Arial" w:eastAsiaTheme="minorHAnsi" w:hAnsi="Arial" w:cs="Arial"/>
          <w:sz w:val="22"/>
          <w:szCs w:val="22"/>
          <w:lang w:eastAsia="en-US"/>
        </w:rPr>
        <w:t>funding</w:t>
      </w:r>
      <w:r w:rsidR="00172061" w:rsidRPr="00D415BB">
        <w:rPr>
          <w:rFonts w:ascii="Arial" w:eastAsiaTheme="minorHAnsi" w:hAnsi="Arial" w:cs="Arial"/>
          <w:sz w:val="22"/>
          <w:szCs w:val="22"/>
          <w:lang w:eastAsia="en-US"/>
        </w:rPr>
        <w:t xml:space="preserve"> of £250k </w:t>
      </w:r>
      <w:r w:rsidR="00D415BB">
        <w:rPr>
          <w:rFonts w:ascii="Arial" w:eastAsiaTheme="minorHAnsi" w:hAnsi="Arial" w:cs="Arial"/>
          <w:sz w:val="22"/>
          <w:szCs w:val="22"/>
          <w:lang w:eastAsia="en-US"/>
        </w:rPr>
        <w:t>due to direct link with clinical trials requirements</w:t>
      </w:r>
      <w:r w:rsidR="007A7D58">
        <w:rPr>
          <w:rFonts w:ascii="Arial" w:eastAsiaTheme="minorHAnsi" w:hAnsi="Arial" w:cs="Arial"/>
          <w:sz w:val="22"/>
          <w:szCs w:val="22"/>
          <w:lang w:eastAsia="en-US"/>
        </w:rPr>
        <w:t xml:space="preserve"> and future competiveness</w:t>
      </w:r>
      <w:r w:rsidR="00D415BB">
        <w:rPr>
          <w:rFonts w:ascii="Arial" w:eastAsiaTheme="minorHAnsi" w:hAnsi="Arial" w:cs="Arial"/>
          <w:sz w:val="22"/>
          <w:szCs w:val="22"/>
          <w:lang w:eastAsia="en-US"/>
        </w:rPr>
        <w:t xml:space="preserve">. </w:t>
      </w:r>
    </w:p>
    <w:p w:rsidR="0009061E" w:rsidRDefault="0009061E" w:rsidP="001D3B92">
      <w:pPr>
        <w:pStyle w:val="ListParagraph"/>
        <w:numPr>
          <w:ilvl w:val="0"/>
          <w:numId w:val="2"/>
        </w:num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Capital </w:t>
      </w:r>
      <w:r w:rsidR="00F35892">
        <w:rPr>
          <w:rFonts w:ascii="Arial" w:eastAsiaTheme="minorHAnsi" w:hAnsi="Arial" w:cs="Arial"/>
          <w:sz w:val="22"/>
          <w:szCs w:val="22"/>
          <w:lang w:eastAsia="en-US"/>
        </w:rPr>
        <w:t>expenditure is</w:t>
      </w:r>
      <w:r>
        <w:rPr>
          <w:rFonts w:ascii="Arial" w:eastAsiaTheme="minorHAnsi" w:hAnsi="Arial" w:cs="Arial"/>
          <w:sz w:val="22"/>
          <w:szCs w:val="22"/>
          <w:lang w:eastAsia="en-US"/>
        </w:rPr>
        <w:t xml:space="preserve"> in line with expectations</w:t>
      </w:r>
      <w:r w:rsidR="005E3435">
        <w:rPr>
          <w:rFonts w:ascii="Arial" w:eastAsiaTheme="minorHAnsi" w:hAnsi="Arial" w:cs="Arial"/>
          <w:sz w:val="22"/>
          <w:szCs w:val="22"/>
          <w:lang w:eastAsia="en-US"/>
        </w:rPr>
        <w:t xml:space="preserve"> and confirmed resource allocation by DHSC</w:t>
      </w:r>
      <w:r>
        <w:rPr>
          <w:rFonts w:ascii="Arial" w:eastAsiaTheme="minorHAnsi" w:hAnsi="Arial" w:cs="Arial"/>
          <w:sz w:val="22"/>
          <w:szCs w:val="22"/>
          <w:lang w:eastAsia="en-US"/>
        </w:rPr>
        <w:t xml:space="preserve">. The impact of the agile development approach on capital and revenue classification </w:t>
      </w:r>
      <w:r w:rsidR="00D415BB">
        <w:rPr>
          <w:rFonts w:ascii="Arial" w:eastAsiaTheme="minorHAnsi" w:hAnsi="Arial" w:cs="Arial"/>
          <w:sz w:val="22"/>
          <w:szCs w:val="22"/>
          <w:lang w:eastAsia="en-US"/>
        </w:rPr>
        <w:t xml:space="preserve">is being analysed. Discussions </w:t>
      </w:r>
      <w:r w:rsidR="00A72868">
        <w:rPr>
          <w:rFonts w:ascii="Arial" w:eastAsiaTheme="minorHAnsi" w:hAnsi="Arial" w:cs="Arial"/>
          <w:sz w:val="22"/>
          <w:szCs w:val="22"/>
          <w:lang w:eastAsia="en-US"/>
        </w:rPr>
        <w:t xml:space="preserve">with the auditors on classification </w:t>
      </w:r>
      <w:r w:rsidR="00D415BB">
        <w:rPr>
          <w:rFonts w:ascii="Arial" w:eastAsiaTheme="minorHAnsi" w:hAnsi="Arial" w:cs="Arial"/>
          <w:sz w:val="22"/>
          <w:szCs w:val="22"/>
          <w:lang w:eastAsia="en-US"/>
        </w:rPr>
        <w:t xml:space="preserve">have confirmed our approach and impact on capital / revenue allocations will be proposed by Qtr3. </w:t>
      </w:r>
      <w:r>
        <w:rPr>
          <w:rFonts w:ascii="Arial" w:eastAsiaTheme="minorHAnsi" w:hAnsi="Arial" w:cs="Arial"/>
          <w:sz w:val="22"/>
          <w:szCs w:val="22"/>
          <w:lang w:eastAsia="en-US"/>
        </w:rPr>
        <w:t xml:space="preserve"> </w:t>
      </w:r>
    </w:p>
    <w:p w:rsidR="00D415BB" w:rsidRDefault="00843AFB" w:rsidP="001D3B92">
      <w:pPr>
        <w:pStyle w:val="ListParagraph"/>
        <w:numPr>
          <w:ilvl w:val="0"/>
          <w:numId w:val="2"/>
        </w:num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Business case to fast track r</w:t>
      </w:r>
      <w:r w:rsidR="00D415BB">
        <w:rPr>
          <w:rFonts w:ascii="Arial" w:eastAsiaTheme="minorHAnsi" w:hAnsi="Arial" w:cs="Arial"/>
          <w:sz w:val="22"/>
          <w:szCs w:val="22"/>
          <w:lang w:eastAsia="en-US"/>
        </w:rPr>
        <w:t xml:space="preserve">esearch systems transformation programme </w:t>
      </w:r>
      <w:r>
        <w:rPr>
          <w:rFonts w:ascii="Arial" w:eastAsiaTheme="minorHAnsi" w:hAnsi="Arial" w:cs="Arial"/>
          <w:sz w:val="22"/>
          <w:szCs w:val="22"/>
          <w:lang w:eastAsia="en-US"/>
        </w:rPr>
        <w:t xml:space="preserve">is being prepared. </w:t>
      </w:r>
    </w:p>
    <w:p w:rsidR="000D2F24" w:rsidRPr="00195D4C" w:rsidRDefault="00B325BB" w:rsidP="00B62D6B">
      <w:pPr>
        <w:jc w:val="both"/>
        <w:rPr>
          <w:rFonts w:ascii="Arial" w:hAnsi="Arial" w:cs="Arial"/>
          <w:b/>
          <w:sz w:val="22"/>
          <w:szCs w:val="22"/>
        </w:rPr>
      </w:pPr>
      <w:r>
        <w:rPr>
          <w:rFonts w:ascii="Arial" w:hAnsi="Arial" w:cs="Arial"/>
          <w:b/>
          <w:sz w:val="22"/>
          <w:szCs w:val="22"/>
        </w:rPr>
        <w:t>Revenue f</w:t>
      </w:r>
      <w:r w:rsidR="00B62D6B">
        <w:rPr>
          <w:rFonts w:ascii="Arial" w:hAnsi="Arial" w:cs="Arial"/>
          <w:b/>
          <w:sz w:val="22"/>
          <w:szCs w:val="22"/>
        </w:rPr>
        <w:t xml:space="preserve">inancial performance </w:t>
      </w:r>
      <w:r w:rsidR="000D2F24">
        <w:rPr>
          <w:rFonts w:ascii="Arial" w:hAnsi="Arial" w:cs="Arial"/>
          <w:b/>
          <w:sz w:val="22"/>
          <w:szCs w:val="22"/>
        </w:rPr>
        <w:t>for</w:t>
      </w:r>
      <w:r w:rsidR="00B62D6B">
        <w:rPr>
          <w:rFonts w:ascii="Arial" w:hAnsi="Arial" w:cs="Arial"/>
          <w:b/>
          <w:sz w:val="22"/>
          <w:szCs w:val="22"/>
        </w:rPr>
        <w:t xml:space="preserve"> </w:t>
      </w:r>
      <w:r w:rsidR="000D2F24">
        <w:rPr>
          <w:rFonts w:ascii="Arial" w:hAnsi="Arial" w:cs="Arial"/>
          <w:b/>
          <w:sz w:val="22"/>
          <w:szCs w:val="22"/>
        </w:rPr>
        <w:t xml:space="preserve">the </w:t>
      </w:r>
      <w:r w:rsidR="00A52BD1">
        <w:rPr>
          <w:rFonts w:ascii="Arial" w:hAnsi="Arial" w:cs="Arial"/>
          <w:b/>
          <w:sz w:val="22"/>
          <w:szCs w:val="22"/>
        </w:rPr>
        <w:t>6</w:t>
      </w:r>
      <w:r w:rsidR="00C53927">
        <w:rPr>
          <w:rFonts w:ascii="Arial" w:hAnsi="Arial" w:cs="Arial"/>
          <w:b/>
          <w:sz w:val="22"/>
          <w:szCs w:val="22"/>
        </w:rPr>
        <w:t xml:space="preserve"> </w:t>
      </w:r>
      <w:proofErr w:type="spellStart"/>
      <w:r w:rsidR="00A4139A">
        <w:rPr>
          <w:rFonts w:ascii="Arial" w:hAnsi="Arial" w:cs="Arial"/>
          <w:b/>
          <w:sz w:val="22"/>
          <w:szCs w:val="22"/>
        </w:rPr>
        <w:t>mths</w:t>
      </w:r>
      <w:proofErr w:type="spellEnd"/>
      <w:r w:rsidR="000D2F24">
        <w:rPr>
          <w:rFonts w:ascii="Arial" w:hAnsi="Arial" w:cs="Arial"/>
          <w:b/>
          <w:sz w:val="22"/>
          <w:szCs w:val="22"/>
        </w:rPr>
        <w:t xml:space="preserve">-ended </w:t>
      </w:r>
      <w:r w:rsidR="00810820">
        <w:rPr>
          <w:rFonts w:ascii="Arial" w:hAnsi="Arial" w:cs="Arial"/>
          <w:b/>
          <w:sz w:val="22"/>
          <w:szCs w:val="22"/>
        </w:rPr>
        <w:t>3</w:t>
      </w:r>
      <w:r w:rsidR="00A52BD1">
        <w:rPr>
          <w:rFonts w:ascii="Arial" w:hAnsi="Arial" w:cs="Arial"/>
          <w:b/>
          <w:sz w:val="22"/>
          <w:szCs w:val="22"/>
        </w:rPr>
        <w:t>0 September</w:t>
      </w:r>
      <w:r w:rsidR="00736CB7">
        <w:rPr>
          <w:rFonts w:ascii="Arial" w:hAnsi="Arial" w:cs="Arial"/>
          <w:b/>
          <w:sz w:val="22"/>
          <w:szCs w:val="22"/>
        </w:rPr>
        <w:t xml:space="preserve"> </w:t>
      </w:r>
      <w:r w:rsidR="00B62D6B">
        <w:rPr>
          <w:rFonts w:ascii="Arial" w:hAnsi="Arial" w:cs="Arial"/>
          <w:b/>
          <w:sz w:val="22"/>
          <w:szCs w:val="22"/>
        </w:rPr>
        <w:t>201</w:t>
      </w:r>
      <w:r w:rsidR="003B588A">
        <w:rPr>
          <w:rFonts w:ascii="Arial" w:hAnsi="Arial" w:cs="Arial"/>
          <w:b/>
          <w:sz w:val="22"/>
          <w:szCs w:val="22"/>
        </w:rPr>
        <w:t>8</w:t>
      </w:r>
    </w:p>
    <w:tbl>
      <w:tblPr>
        <w:tblW w:w="9600" w:type="dxa"/>
        <w:tblInd w:w="93" w:type="dxa"/>
        <w:tblLook w:val="04A0" w:firstRow="1" w:lastRow="0" w:firstColumn="1" w:lastColumn="0" w:noHBand="0" w:noVBand="1"/>
      </w:tblPr>
      <w:tblGrid>
        <w:gridCol w:w="3582"/>
        <w:gridCol w:w="1460"/>
        <w:gridCol w:w="1140"/>
        <w:gridCol w:w="1140"/>
        <w:gridCol w:w="1050"/>
        <w:gridCol w:w="1228"/>
      </w:tblGrid>
      <w:tr w:rsidR="00A52BD1" w:rsidRPr="00A52BD1" w:rsidTr="00A52BD1">
        <w:trPr>
          <w:trHeight w:val="720"/>
        </w:trPr>
        <w:tc>
          <w:tcPr>
            <w:tcW w:w="3660" w:type="dxa"/>
            <w:tcBorders>
              <w:top w:val="nil"/>
              <w:left w:val="nil"/>
              <w:bottom w:val="nil"/>
              <w:right w:val="nil"/>
            </w:tcBorders>
            <w:shd w:val="clear" w:color="000000" w:fill="95B3D7"/>
            <w:vAlign w:val="center"/>
            <w:hideMark/>
          </w:tcPr>
          <w:p w:rsidR="00A52BD1" w:rsidRPr="00A52BD1" w:rsidRDefault="00A52BD1" w:rsidP="00A52BD1">
            <w:pPr>
              <w:jc w:val="center"/>
              <w:rPr>
                <w:rFonts w:ascii="Arial" w:hAnsi="Arial" w:cs="Arial"/>
                <w:b/>
                <w:bCs/>
                <w:color w:val="FFFFFF"/>
                <w:sz w:val="20"/>
                <w:szCs w:val="20"/>
              </w:rPr>
            </w:pPr>
            <w:r w:rsidRPr="00A52BD1">
              <w:rPr>
                <w:rFonts w:ascii="Arial" w:hAnsi="Arial" w:cs="Arial"/>
                <w:b/>
                <w:bCs/>
                <w:color w:val="FFFFFF"/>
                <w:sz w:val="20"/>
                <w:szCs w:val="20"/>
              </w:rPr>
              <w:t> </w:t>
            </w:r>
          </w:p>
        </w:tc>
        <w:tc>
          <w:tcPr>
            <w:tcW w:w="1460" w:type="dxa"/>
            <w:tcBorders>
              <w:top w:val="single" w:sz="8" w:space="0" w:color="FFFFFF"/>
              <w:left w:val="nil"/>
              <w:bottom w:val="nil"/>
              <w:right w:val="nil"/>
            </w:tcBorders>
            <w:shd w:val="clear" w:color="000000" w:fill="95B3D7"/>
            <w:vAlign w:val="center"/>
            <w:hideMark/>
          </w:tcPr>
          <w:p w:rsidR="00A52BD1" w:rsidRPr="00A52BD1" w:rsidRDefault="00A52BD1" w:rsidP="00A52BD1">
            <w:pPr>
              <w:jc w:val="center"/>
              <w:rPr>
                <w:rFonts w:ascii="Arial" w:hAnsi="Arial" w:cs="Arial"/>
                <w:b/>
                <w:bCs/>
                <w:color w:val="FFFFFF"/>
                <w:sz w:val="20"/>
                <w:szCs w:val="20"/>
              </w:rPr>
            </w:pPr>
            <w:r w:rsidRPr="00A52BD1">
              <w:rPr>
                <w:rFonts w:ascii="Arial" w:hAnsi="Arial" w:cs="Arial"/>
                <w:b/>
                <w:bCs/>
                <w:color w:val="FFFFFF"/>
                <w:sz w:val="20"/>
                <w:szCs w:val="20"/>
              </w:rPr>
              <w:t> </w:t>
            </w:r>
          </w:p>
        </w:tc>
        <w:tc>
          <w:tcPr>
            <w:tcW w:w="3300" w:type="dxa"/>
            <w:gridSpan w:val="3"/>
            <w:tcBorders>
              <w:top w:val="single" w:sz="8" w:space="0" w:color="FFFFFF"/>
              <w:left w:val="single" w:sz="8" w:space="0" w:color="FFFFFF"/>
              <w:bottom w:val="nil"/>
              <w:right w:val="single" w:sz="8" w:space="0" w:color="FFFFFF"/>
            </w:tcBorders>
            <w:shd w:val="clear" w:color="000000" w:fill="95B3D7"/>
            <w:vAlign w:val="center"/>
            <w:hideMark/>
          </w:tcPr>
          <w:p w:rsidR="00A52BD1" w:rsidRPr="00A52BD1" w:rsidRDefault="00A52BD1" w:rsidP="00A52BD1">
            <w:pPr>
              <w:jc w:val="center"/>
              <w:rPr>
                <w:rFonts w:ascii="Arial" w:hAnsi="Arial" w:cs="Arial"/>
                <w:b/>
                <w:bCs/>
                <w:color w:val="FFFFFF"/>
                <w:sz w:val="20"/>
                <w:szCs w:val="20"/>
              </w:rPr>
            </w:pPr>
            <w:r w:rsidRPr="00A52BD1">
              <w:rPr>
                <w:rFonts w:ascii="Arial" w:hAnsi="Arial" w:cs="Arial"/>
                <w:b/>
                <w:bCs/>
                <w:color w:val="FFFFFF"/>
                <w:sz w:val="20"/>
                <w:szCs w:val="20"/>
              </w:rPr>
              <w:t>6 Months ended 30 September 2018 (£'000)</w:t>
            </w:r>
          </w:p>
        </w:tc>
        <w:tc>
          <w:tcPr>
            <w:tcW w:w="1180" w:type="dxa"/>
            <w:tcBorders>
              <w:top w:val="nil"/>
              <w:left w:val="nil"/>
              <w:bottom w:val="nil"/>
              <w:right w:val="nil"/>
            </w:tcBorders>
            <w:shd w:val="clear" w:color="000000" w:fill="95B3D7"/>
            <w:noWrap/>
            <w:vAlign w:val="bottom"/>
            <w:hideMark/>
          </w:tcPr>
          <w:p w:rsidR="00A52BD1" w:rsidRPr="00A52BD1" w:rsidRDefault="00A52BD1" w:rsidP="00A52BD1">
            <w:pPr>
              <w:rPr>
                <w:rFonts w:ascii="Calibri" w:hAnsi="Calibri"/>
                <w:color w:val="000000"/>
                <w:sz w:val="22"/>
                <w:szCs w:val="22"/>
              </w:rPr>
            </w:pPr>
            <w:r w:rsidRPr="00A52BD1">
              <w:rPr>
                <w:rFonts w:ascii="Calibri" w:hAnsi="Calibri"/>
                <w:color w:val="000000"/>
                <w:sz w:val="22"/>
                <w:szCs w:val="22"/>
              </w:rPr>
              <w:t> </w:t>
            </w:r>
          </w:p>
        </w:tc>
      </w:tr>
      <w:tr w:rsidR="00A52BD1" w:rsidRPr="00A52BD1" w:rsidTr="00A52BD1">
        <w:trPr>
          <w:trHeight w:val="300"/>
        </w:trPr>
        <w:tc>
          <w:tcPr>
            <w:tcW w:w="3660" w:type="dxa"/>
            <w:tcBorders>
              <w:top w:val="nil"/>
              <w:left w:val="nil"/>
              <w:bottom w:val="nil"/>
              <w:right w:val="nil"/>
            </w:tcBorders>
            <w:shd w:val="clear" w:color="000000" w:fill="95B3D7"/>
            <w:vAlign w:val="center"/>
            <w:hideMark/>
          </w:tcPr>
          <w:p w:rsidR="00A52BD1" w:rsidRPr="00A52BD1" w:rsidRDefault="00A52BD1" w:rsidP="00A52BD1">
            <w:pPr>
              <w:jc w:val="center"/>
              <w:rPr>
                <w:rFonts w:ascii="Arial" w:hAnsi="Arial" w:cs="Arial"/>
                <w:b/>
                <w:bCs/>
                <w:color w:val="FFFFFF"/>
                <w:sz w:val="20"/>
                <w:szCs w:val="20"/>
              </w:rPr>
            </w:pPr>
            <w:r w:rsidRPr="00A52BD1">
              <w:rPr>
                <w:rFonts w:ascii="Arial" w:hAnsi="Arial" w:cs="Arial"/>
                <w:b/>
                <w:bCs/>
                <w:color w:val="FFFFFF"/>
                <w:sz w:val="20"/>
                <w:szCs w:val="20"/>
              </w:rPr>
              <w:t> </w:t>
            </w:r>
          </w:p>
        </w:tc>
        <w:tc>
          <w:tcPr>
            <w:tcW w:w="1460" w:type="dxa"/>
            <w:tcBorders>
              <w:top w:val="nil"/>
              <w:left w:val="nil"/>
              <w:bottom w:val="nil"/>
              <w:right w:val="nil"/>
            </w:tcBorders>
            <w:shd w:val="clear" w:color="000000" w:fill="95B3D7"/>
            <w:vAlign w:val="bottom"/>
            <w:hideMark/>
          </w:tcPr>
          <w:p w:rsidR="00A52BD1" w:rsidRPr="00A52BD1" w:rsidRDefault="00A52BD1" w:rsidP="00A52BD1">
            <w:pPr>
              <w:jc w:val="center"/>
              <w:rPr>
                <w:rFonts w:ascii="Arial" w:hAnsi="Arial" w:cs="Arial"/>
                <w:b/>
                <w:bCs/>
                <w:color w:val="FFFFFF"/>
                <w:sz w:val="20"/>
                <w:szCs w:val="20"/>
              </w:rPr>
            </w:pPr>
            <w:r w:rsidRPr="00A52BD1">
              <w:rPr>
                <w:rFonts w:ascii="Arial" w:hAnsi="Arial" w:cs="Arial"/>
                <w:b/>
                <w:bCs/>
                <w:color w:val="FFFFFF"/>
                <w:sz w:val="20"/>
                <w:szCs w:val="20"/>
              </w:rPr>
              <w:t>2018/19</w:t>
            </w:r>
          </w:p>
        </w:tc>
        <w:tc>
          <w:tcPr>
            <w:tcW w:w="1140" w:type="dxa"/>
            <w:tcBorders>
              <w:top w:val="nil"/>
              <w:left w:val="nil"/>
              <w:bottom w:val="nil"/>
              <w:right w:val="nil"/>
            </w:tcBorders>
            <w:shd w:val="clear" w:color="000000" w:fill="95B3D7"/>
            <w:vAlign w:val="center"/>
            <w:hideMark/>
          </w:tcPr>
          <w:p w:rsidR="00A52BD1" w:rsidRPr="00A52BD1" w:rsidRDefault="00A52BD1" w:rsidP="00A52BD1">
            <w:pPr>
              <w:jc w:val="center"/>
              <w:rPr>
                <w:rFonts w:ascii="Arial" w:hAnsi="Arial" w:cs="Arial"/>
                <w:b/>
                <w:bCs/>
                <w:color w:val="FFFFFF"/>
                <w:sz w:val="20"/>
                <w:szCs w:val="20"/>
              </w:rPr>
            </w:pPr>
            <w:r w:rsidRPr="00A52BD1">
              <w:rPr>
                <w:rFonts w:ascii="Arial" w:hAnsi="Arial" w:cs="Arial"/>
                <w:b/>
                <w:bCs/>
                <w:color w:val="FFFFFF"/>
                <w:sz w:val="20"/>
                <w:szCs w:val="20"/>
              </w:rPr>
              <w:t> </w:t>
            </w:r>
          </w:p>
        </w:tc>
        <w:tc>
          <w:tcPr>
            <w:tcW w:w="1140" w:type="dxa"/>
            <w:tcBorders>
              <w:top w:val="nil"/>
              <w:left w:val="nil"/>
              <w:bottom w:val="nil"/>
              <w:right w:val="nil"/>
            </w:tcBorders>
            <w:shd w:val="clear" w:color="000000" w:fill="95B3D7"/>
            <w:vAlign w:val="center"/>
            <w:hideMark/>
          </w:tcPr>
          <w:p w:rsidR="00A52BD1" w:rsidRPr="00A52BD1" w:rsidRDefault="00A52BD1" w:rsidP="00A52BD1">
            <w:pPr>
              <w:jc w:val="center"/>
              <w:rPr>
                <w:rFonts w:ascii="Arial" w:hAnsi="Arial" w:cs="Arial"/>
                <w:b/>
                <w:bCs/>
                <w:color w:val="FFFFFF"/>
                <w:sz w:val="20"/>
                <w:szCs w:val="20"/>
              </w:rPr>
            </w:pPr>
            <w:r w:rsidRPr="00A52BD1">
              <w:rPr>
                <w:rFonts w:ascii="Arial" w:hAnsi="Arial" w:cs="Arial"/>
                <w:b/>
                <w:bCs/>
                <w:color w:val="FFFFFF"/>
                <w:sz w:val="20"/>
                <w:szCs w:val="20"/>
              </w:rPr>
              <w:t> </w:t>
            </w:r>
          </w:p>
        </w:tc>
        <w:tc>
          <w:tcPr>
            <w:tcW w:w="1020" w:type="dxa"/>
            <w:tcBorders>
              <w:top w:val="nil"/>
              <w:left w:val="nil"/>
              <w:bottom w:val="nil"/>
              <w:right w:val="nil"/>
            </w:tcBorders>
            <w:shd w:val="clear" w:color="000000" w:fill="95B3D7"/>
            <w:vAlign w:val="center"/>
            <w:hideMark/>
          </w:tcPr>
          <w:p w:rsidR="00A52BD1" w:rsidRPr="00A52BD1" w:rsidRDefault="00A52BD1" w:rsidP="00A52BD1">
            <w:pPr>
              <w:jc w:val="center"/>
              <w:rPr>
                <w:rFonts w:ascii="Arial" w:hAnsi="Arial" w:cs="Arial"/>
                <w:b/>
                <w:bCs/>
                <w:color w:val="FFFFFF"/>
                <w:sz w:val="20"/>
                <w:szCs w:val="20"/>
              </w:rPr>
            </w:pPr>
            <w:r w:rsidRPr="00A52BD1">
              <w:rPr>
                <w:rFonts w:ascii="Arial" w:hAnsi="Arial" w:cs="Arial"/>
                <w:b/>
                <w:bCs/>
                <w:color w:val="FFFFFF"/>
                <w:sz w:val="20"/>
                <w:szCs w:val="20"/>
              </w:rPr>
              <w:t> </w:t>
            </w:r>
          </w:p>
        </w:tc>
        <w:tc>
          <w:tcPr>
            <w:tcW w:w="1180" w:type="dxa"/>
            <w:tcBorders>
              <w:top w:val="nil"/>
              <w:left w:val="nil"/>
              <w:bottom w:val="nil"/>
              <w:right w:val="nil"/>
            </w:tcBorders>
            <w:shd w:val="clear" w:color="000000" w:fill="95B3D7"/>
            <w:vAlign w:val="center"/>
            <w:hideMark/>
          </w:tcPr>
          <w:p w:rsidR="00A52BD1" w:rsidRPr="00A52BD1" w:rsidRDefault="00A52BD1" w:rsidP="00A52BD1">
            <w:pPr>
              <w:jc w:val="center"/>
              <w:rPr>
                <w:rFonts w:ascii="Arial" w:hAnsi="Arial" w:cs="Arial"/>
                <w:b/>
                <w:bCs/>
                <w:color w:val="FFFFFF"/>
                <w:sz w:val="20"/>
                <w:szCs w:val="20"/>
              </w:rPr>
            </w:pPr>
            <w:r w:rsidRPr="00A52BD1">
              <w:rPr>
                <w:rFonts w:ascii="Arial" w:hAnsi="Arial" w:cs="Arial"/>
                <w:b/>
                <w:bCs/>
                <w:color w:val="FFFFFF"/>
                <w:sz w:val="20"/>
                <w:szCs w:val="20"/>
              </w:rPr>
              <w:t> </w:t>
            </w:r>
          </w:p>
        </w:tc>
      </w:tr>
      <w:tr w:rsidR="00A52BD1" w:rsidRPr="00A52BD1" w:rsidTr="00A52BD1">
        <w:trPr>
          <w:trHeight w:val="945"/>
        </w:trPr>
        <w:tc>
          <w:tcPr>
            <w:tcW w:w="3660" w:type="dxa"/>
            <w:tcBorders>
              <w:top w:val="nil"/>
              <w:left w:val="nil"/>
              <w:bottom w:val="single" w:sz="8" w:space="0" w:color="CCCCCC"/>
              <w:right w:val="single" w:sz="8" w:space="0" w:color="CCCCCC"/>
            </w:tcBorders>
            <w:shd w:val="clear" w:color="000000" w:fill="95B3D7"/>
            <w:vAlign w:val="center"/>
            <w:hideMark/>
          </w:tcPr>
          <w:p w:rsidR="00A52BD1" w:rsidRPr="00A52BD1" w:rsidRDefault="00A52BD1" w:rsidP="00A52BD1">
            <w:pPr>
              <w:jc w:val="center"/>
              <w:rPr>
                <w:rFonts w:ascii="Arial" w:hAnsi="Arial" w:cs="Arial"/>
                <w:b/>
                <w:bCs/>
                <w:color w:val="FFFFFF"/>
                <w:sz w:val="20"/>
                <w:szCs w:val="20"/>
              </w:rPr>
            </w:pPr>
            <w:r w:rsidRPr="00A52BD1">
              <w:rPr>
                <w:rFonts w:ascii="Arial" w:hAnsi="Arial" w:cs="Arial"/>
                <w:b/>
                <w:bCs/>
                <w:color w:val="FFFFFF"/>
                <w:sz w:val="20"/>
                <w:szCs w:val="20"/>
              </w:rPr>
              <w:t>Income</w:t>
            </w:r>
          </w:p>
        </w:tc>
        <w:tc>
          <w:tcPr>
            <w:tcW w:w="1460" w:type="dxa"/>
            <w:tcBorders>
              <w:top w:val="nil"/>
              <w:left w:val="nil"/>
              <w:bottom w:val="nil"/>
              <w:right w:val="single" w:sz="8" w:space="0" w:color="55ACD3"/>
            </w:tcBorders>
            <w:shd w:val="clear" w:color="000000" w:fill="95B3D7"/>
            <w:vAlign w:val="center"/>
            <w:hideMark/>
          </w:tcPr>
          <w:p w:rsidR="00A52BD1" w:rsidRPr="00A52BD1" w:rsidRDefault="00A52BD1" w:rsidP="00A52BD1">
            <w:pPr>
              <w:rPr>
                <w:rFonts w:ascii="Arial" w:hAnsi="Arial" w:cs="Arial"/>
                <w:b/>
                <w:bCs/>
                <w:color w:val="FFFFFF"/>
                <w:sz w:val="20"/>
                <w:szCs w:val="20"/>
              </w:rPr>
            </w:pPr>
            <w:r w:rsidRPr="00A52BD1">
              <w:rPr>
                <w:rFonts w:ascii="Arial" w:hAnsi="Arial" w:cs="Arial"/>
                <w:b/>
                <w:bCs/>
                <w:color w:val="FFFFFF"/>
                <w:sz w:val="20"/>
                <w:szCs w:val="20"/>
              </w:rPr>
              <w:t>Latest Budget £'000</w:t>
            </w:r>
          </w:p>
        </w:tc>
        <w:tc>
          <w:tcPr>
            <w:tcW w:w="1140" w:type="dxa"/>
            <w:tcBorders>
              <w:top w:val="nil"/>
              <w:left w:val="nil"/>
              <w:bottom w:val="nil"/>
              <w:right w:val="single" w:sz="8" w:space="0" w:color="55ACD3"/>
            </w:tcBorders>
            <w:shd w:val="clear" w:color="000000" w:fill="95B3D7"/>
            <w:vAlign w:val="center"/>
            <w:hideMark/>
          </w:tcPr>
          <w:p w:rsidR="00A52BD1" w:rsidRPr="00A52BD1" w:rsidRDefault="00A52BD1" w:rsidP="00A52BD1">
            <w:pPr>
              <w:rPr>
                <w:rFonts w:ascii="Arial" w:hAnsi="Arial" w:cs="Arial"/>
                <w:b/>
                <w:bCs/>
                <w:color w:val="FFFFFF"/>
                <w:sz w:val="20"/>
                <w:szCs w:val="20"/>
              </w:rPr>
            </w:pPr>
            <w:r w:rsidRPr="00A52BD1">
              <w:rPr>
                <w:rFonts w:ascii="Arial" w:hAnsi="Arial" w:cs="Arial"/>
                <w:b/>
                <w:bCs/>
                <w:color w:val="FFFFFF"/>
                <w:sz w:val="20"/>
                <w:szCs w:val="20"/>
              </w:rPr>
              <w:t>Budget</w:t>
            </w:r>
          </w:p>
        </w:tc>
        <w:tc>
          <w:tcPr>
            <w:tcW w:w="1140" w:type="dxa"/>
            <w:tcBorders>
              <w:top w:val="nil"/>
              <w:left w:val="nil"/>
              <w:bottom w:val="nil"/>
              <w:right w:val="single" w:sz="8" w:space="0" w:color="55ACD3"/>
            </w:tcBorders>
            <w:shd w:val="clear" w:color="000000" w:fill="95B3D7"/>
            <w:vAlign w:val="center"/>
            <w:hideMark/>
          </w:tcPr>
          <w:p w:rsidR="00A52BD1" w:rsidRPr="00A52BD1" w:rsidRDefault="00A52BD1" w:rsidP="00A52BD1">
            <w:pPr>
              <w:rPr>
                <w:rFonts w:ascii="Arial" w:hAnsi="Arial" w:cs="Arial"/>
                <w:b/>
                <w:bCs/>
                <w:color w:val="FFFFFF"/>
                <w:sz w:val="20"/>
                <w:szCs w:val="20"/>
              </w:rPr>
            </w:pPr>
            <w:r w:rsidRPr="00A52BD1">
              <w:rPr>
                <w:rFonts w:ascii="Arial" w:hAnsi="Arial" w:cs="Arial"/>
                <w:b/>
                <w:bCs/>
                <w:color w:val="FFFFFF"/>
                <w:sz w:val="20"/>
                <w:szCs w:val="20"/>
              </w:rPr>
              <w:t>Actual</w:t>
            </w:r>
          </w:p>
        </w:tc>
        <w:tc>
          <w:tcPr>
            <w:tcW w:w="1020" w:type="dxa"/>
            <w:tcBorders>
              <w:top w:val="nil"/>
              <w:left w:val="nil"/>
              <w:bottom w:val="nil"/>
              <w:right w:val="nil"/>
            </w:tcBorders>
            <w:shd w:val="clear" w:color="000000" w:fill="95B3D7"/>
            <w:vAlign w:val="center"/>
            <w:hideMark/>
          </w:tcPr>
          <w:p w:rsidR="00A52BD1" w:rsidRPr="00A52BD1" w:rsidRDefault="00A52BD1" w:rsidP="00A52BD1">
            <w:pPr>
              <w:rPr>
                <w:rFonts w:ascii="Arial" w:hAnsi="Arial" w:cs="Arial"/>
                <w:b/>
                <w:bCs/>
                <w:color w:val="FFFFFF"/>
                <w:sz w:val="20"/>
                <w:szCs w:val="20"/>
              </w:rPr>
            </w:pPr>
            <w:r w:rsidRPr="00A52BD1">
              <w:rPr>
                <w:rFonts w:ascii="Arial" w:hAnsi="Arial" w:cs="Arial"/>
                <w:b/>
                <w:bCs/>
                <w:color w:val="FFFFFF"/>
                <w:sz w:val="20"/>
                <w:szCs w:val="20"/>
              </w:rPr>
              <w:t>Variance</w:t>
            </w:r>
          </w:p>
        </w:tc>
        <w:tc>
          <w:tcPr>
            <w:tcW w:w="1180" w:type="dxa"/>
            <w:tcBorders>
              <w:top w:val="nil"/>
              <w:left w:val="nil"/>
              <w:bottom w:val="nil"/>
              <w:right w:val="nil"/>
            </w:tcBorders>
            <w:shd w:val="clear" w:color="000000" w:fill="95B3D7"/>
            <w:vAlign w:val="center"/>
            <w:hideMark/>
          </w:tcPr>
          <w:p w:rsidR="00A52BD1" w:rsidRPr="00A52BD1" w:rsidRDefault="00A52BD1" w:rsidP="00A52BD1">
            <w:pPr>
              <w:rPr>
                <w:rFonts w:ascii="Arial" w:hAnsi="Arial" w:cs="Arial"/>
                <w:b/>
                <w:bCs/>
                <w:color w:val="FFFFFF"/>
                <w:sz w:val="20"/>
                <w:szCs w:val="20"/>
              </w:rPr>
            </w:pPr>
            <w:r w:rsidRPr="00A52BD1">
              <w:rPr>
                <w:rFonts w:ascii="Arial" w:hAnsi="Arial" w:cs="Arial"/>
                <w:b/>
                <w:bCs/>
                <w:color w:val="FFFFFF"/>
                <w:sz w:val="20"/>
                <w:szCs w:val="20"/>
              </w:rPr>
              <w:t>Variance%</w:t>
            </w:r>
          </w:p>
        </w:tc>
      </w:tr>
      <w:tr w:rsidR="00A52BD1" w:rsidRPr="00A52BD1" w:rsidTr="00A52BD1">
        <w:trPr>
          <w:trHeight w:val="300"/>
        </w:trPr>
        <w:tc>
          <w:tcPr>
            <w:tcW w:w="3660" w:type="dxa"/>
            <w:tcBorders>
              <w:top w:val="nil"/>
              <w:left w:val="single" w:sz="8" w:space="0" w:color="FFFFFF"/>
              <w:bottom w:val="single" w:sz="8" w:space="0" w:color="FFFFFF"/>
              <w:right w:val="single" w:sz="8" w:space="0" w:color="FFFFFF"/>
            </w:tcBorders>
            <w:shd w:val="clear" w:color="auto" w:fill="auto"/>
            <w:vAlign w:val="bottom"/>
            <w:hideMark/>
          </w:tcPr>
          <w:p w:rsidR="00A52BD1" w:rsidRPr="00A52BD1" w:rsidRDefault="00A52BD1" w:rsidP="00A52BD1">
            <w:pPr>
              <w:rPr>
                <w:rFonts w:ascii="Arial" w:hAnsi="Arial" w:cs="Arial"/>
                <w:color w:val="000000"/>
                <w:sz w:val="18"/>
                <w:szCs w:val="18"/>
              </w:rPr>
            </w:pPr>
            <w:r w:rsidRPr="00A52BD1">
              <w:rPr>
                <w:rFonts w:ascii="Arial" w:hAnsi="Arial" w:cs="Arial"/>
                <w:color w:val="000000"/>
                <w:sz w:val="18"/>
                <w:szCs w:val="18"/>
              </w:rPr>
              <w:t xml:space="preserve">Grant in Aid confirmed </w:t>
            </w:r>
            <w:proofErr w:type="spellStart"/>
            <w:r w:rsidRPr="00A52BD1">
              <w:rPr>
                <w:rFonts w:ascii="Arial" w:hAnsi="Arial" w:cs="Arial"/>
                <w:color w:val="000000"/>
                <w:sz w:val="18"/>
                <w:szCs w:val="18"/>
              </w:rPr>
              <w:t>inc</w:t>
            </w:r>
            <w:proofErr w:type="spellEnd"/>
            <w:r w:rsidRPr="00A52BD1">
              <w:rPr>
                <w:rFonts w:ascii="Arial" w:hAnsi="Arial" w:cs="Arial"/>
                <w:color w:val="000000"/>
                <w:sz w:val="18"/>
                <w:szCs w:val="18"/>
              </w:rPr>
              <w:t xml:space="preserve"> RS </w:t>
            </w:r>
            <w:proofErr w:type="spellStart"/>
            <w:r w:rsidRPr="00A52BD1">
              <w:rPr>
                <w:rFonts w:ascii="Arial" w:hAnsi="Arial" w:cs="Arial"/>
                <w:color w:val="000000"/>
                <w:sz w:val="18"/>
                <w:szCs w:val="18"/>
              </w:rPr>
              <w:t>Prog</w:t>
            </w:r>
            <w:proofErr w:type="spellEnd"/>
          </w:p>
        </w:tc>
        <w:tc>
          <w:tcPr>
            <w:tcW w:w="1460" w:type="dxa"/>
            <w:tcBorders>
              <w:top w:val="nil"/>
              <w:left w:val="nil"/>
              <w:bottom w:val="nil"/>
              <w:right w:val="nil"/>
            </w:tcBorders>
            <w:shd w:val="clear" w:color="auto" w:fill="auto"/>
            <w:noWrap/>
            <w:vAlign w:val="bottom"/>
            <w:hideMark/>
          </w:tcPr>
          <w:p w:rsidR="00A52BD1" w:rsidRPr="00A52BD1" w:rsidRDefault="00A52BD1" w:rsidP="00BF50E4">
            <w:pPr>
              <w:jc w:val="right"/>
              <w:rPr>
                <w:rFonts w:ascii="Calibri" w:hAnsi="Calibri"/>
                <w:color w:val="000000"/>
                <w:sz w:val="22"/>
                <w:szCs w:val="22"/>
              </w:rPr>
            </w:pPr>
            <w:r w:rsidRPr="00A52BD1">
              <w:rPr>
                <w:rFonts w:ascii="Calibri" w:hAnsi="Calibri"/>
                <w:color w:val="000000"/>
                <w:sz w:val="22"/>
                <w:szCs w:val="22"/>
              </w:rPr>
              <w:t>1</w:t>
            </w:r>
            <w:r w:rsidR="00BF50E4">
              <w:rPr>
                <w:rFonts w:ascii="Calibri" w:hAnsi="Calibri"/>
                <w:color w:val="000000"/>
                <w:sz w:val="22"/>
                <w:szCs w:val="22"/>
              </w:rPr>
              <w:t>4,23</w:t>
            </w:r>
            <w:r w:rsidRPr="00A52BD1">
              <w:rPr>
                <w:rFonts w:ascii="Calibri" w:hAnsi="Calibri"/>
                <w:color w:val="000000"/>
                <w:sz w:val="22"/>
                <w:szCs w:val="22"/>
              </w:rPr>
              <w:t>2</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6,829</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6,805</w:t>
            </w:r>
          </w:p>
        </w:tc>
        <w:tc>
          <w:tcPr>
            <w:tcW w:w="102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-24</w:t>
            </w:r>
          </w:p>
        </w:tc>
        <w:tc>
          <w:tcPr>
            <w:tcW w:w="118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-0.4%</w:t>
            </w:r>
          </w:p>
        </w:tc>
      </w:tr>
      <w:tr w:rsidR="00A52BD1" w:rsidRPr="00A52BD1" w:rsidTr="00A52BD1">
        <w:trPr>
          <w:trHeight w:val="300"/>
        </w:trPr>
        <w:tc>
          <w:tcPr>
            <w:tcW w:w="3660" w:type="dxa"/>
            <w:tcBorders>
              <w:top w:val="nil"/>
              <w:left w:val="single" w:sz="8" w:space="0" w:color="FFFFFF"/>
              <w:bottom w:val="single" w:sz="8" w:space="0" w:color="FFFFFF"/>
              <w:right w:val="single" w:sz="8" w:space="0" w:color="FFFFFF"/>
            </w:tcBorders>
            <w:shd w:val="clear" w:color="auto" w:fill="auto"/>
            <w:vAlign w:val="bottom"/>
            <w:hideMark/>
          </w:tcPr>
          <w:p w:rsidR="00A52BD1" w:rsidRPr="00A52BD1" w:rsidRDefault="00A52BD1" w:rsidP="00A52BD1">
            <w:pPr>
              <w:rPr>
                <w:rFonts w:ascii="Arial" w:hAnsi="Arial" w:cs="Arial"/>
                <w:color w:val="000000"/>
                <w:sz w:val="18"/>
                <w:szCs w:val="18"/>
              </w:rPr>
            </w:pPr>
            <w:r w:rsidRPr="00A52BD1">
              <w:rPr>
                <w:rFonts w:ascii="Arial" w:hAnsi="Arial" w:cs="Arial"/>
                <w:color w:val="000000"/>
                <w:sz w:val="18"/>
                <w:szCs w:val="18"/>
              </w:rPr>
              <w:t>HRA income</w:t>
            </w:r>
          </w:p>
        </w:tc>
        <w:tc>
          <w:tcPr>
            <w:tcW w:w="146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186</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141</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141</w:t>
            </w:r>
          </w:p>
        </w:tc>
        <w:tc>
          <w:tcPr>
            <w:tcW w:w="102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0</w:t>
            </w:r>
          </w:p>
        </w:tc>
        <w:tc>
          <w:tcPr>
            <w:tcW w:w="118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0.0%</w:t>
            </w:r>
          </w:p>
        </w:tc>
      </w:tr>
      <w:tr w:rsidR="00A52BD1" w:rsidRPr="00A52BD1" w:rsidTr="00A52BD1">
        <w:trPr>
          <w:trHeight w:val="300"/>
        </w:trPr>
        <w:tc>
          <w:tcPr>
            <w:tcW w:w="3660" w:type="dxa"/>
            <w:tcBorders>
              <w:top w:val="nil"/>
              <w:left w:val="single" w:sz="8" w:space="0" w:color="FFFFFF"/>
              <w:bottom w:val="nil"/>
              <w:right w:val="single" w:sz="8" w:space="0" w:color="FFFFFF"/>
            </w:tcBorders>
            <w:shd w:val="clear" w:color="auto" w:fill="auto"/>
            <w:vAlign w:val="bottom"/>
            <w:hideMark/>
          </w:tcPr>
          <w:p w:rsidR="00A52BD1" w:rsidRPr="00A52BD1" w:rsidRDefault="00A52BD1" w:rsidP="00A52BD1">
            <w:pPr>
              <w:rPr>
                <w:rFonts w:ascii="Arial" w:hAnsi="Arial" w:cs="Arial"/>
                <w:color w:val="000000"/>
                <w:sz w:val="18"/>
                <w:szCs w:val="18"/>
              </w:rPr>
            </w:pPr>
            <w:r w:rsidRPr="00A52BD1">
              <w:rPr>
                <w:rFonts w:ascii="Arial" w:hAnsi="Arial" w:cs="Arial"/>
                <w:color w:val="000000"/>
                <w:sz w:val="18"/>
                <w:szCs w:val="18"/>
              </w:rPr>
              <w:t>Non cash revenue resource limit</w:t>
            </w:r>
          </w:p>
        </w:tc>
        <w:tc>
          <w:tcPr>
            <w:tcW w:w="146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1,000</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427</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427</w:t>
            </w:r>
          </w:p>
        </w:tc>
        <w:tc>
          <w:tcPr>
            <w:tcW w:w="102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0</w:t>
            </w:r>
          </w:p>
        </w:tc>
        <w:tc>
          <w:tcPr>
            <w:tcW w:w="118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0.0%</w:t>
            </w:r>
          </w:p>
        </w:tc>
      </w:tr>
      <w:tr w:rsidR="00A52BD1" w:rsidRPr="00A52BD1" w:rsidTr="00A52BD1">
        <w:trPr>
          <w:trHeight w:val="300"/>
        </w:trPr>
        <w:tc>
          <w:tcPr>
            <w:tcW w:w="3660" w:type="dxa"/>
            <w:tcBorders>
              <w:top w:val="nil"/>
              <w:left w:val="single" w:sz="8" w:space="0" w:color="FFFFFF"/>
              <w:bottom w:val="nil"/>
              <w:right w:val="single" w:sz="8" w:space="0" w:color="FFFFFF"/>
            </w:tcBorders>
            <w:shd w:val="clear" w:color="000000" w:fill="365F91"/>
            <w:vAlign w:val="bottom"/>
            <w:hideMark/>
          </w:tcPr>
          <w:p w:rsidR="00A52BD1" w:rsidRPr="00A52BD1" w:rsidRDefault="00A52BD1" w:rsidP="00A52BD1">
            <w:pPr>
              <w:rPr>
                <w:rFonts w:ascii="Arial" w:hAnsi="Arial" w:cs="Arial"/>
                <w:b/>
                <w:bCs/>
                <w:color w:val="FFFFFF"/>
                <w:sz w:val="18"/>
                <w:szCs w:val="18"/>
              </w:rPr>
            </w:pPr>
            <w:r w:rsidRPr="00A52BD1">
              <w:rPr>
                <w:rFonts w:ascii="Arial" w:hAnsi="Arial" w:cs="Arial"/>
                <w:b/>
                <w:bCs/>
                <w:color w:val="FFFFFF"/>
                <w:sz w:val="18"/>
                <w:szCs w:val="18"/>
              </w:rPr>
              <w:t xml:space="preserve"> Total Income</w:t>
            </w:r>
          </w:p>
        </w:tc>
        <w:tc>
          <w:tcPr>
            <w:tcW w:w="1460" w:type="dxa"/>
            <w:tcBorders>
              <w:top w:val="nil"/>
              <w:left w:val="nil"/>
              <w:bottom w:val="nil"/>
              <w:right w:val="single" w:sz="8" w:space="0" w:color="FFFFFF"/>
            </w:tcBorders>
            <w:shd w:val="clear" w:color="000000" w:fill="365F91"/>
            <w:vAlign w:val="bottom"/>
            <w:hideMark/>
          </w:tcPr>
          <w:p w:rsidR="00A52BD1" w:rsidRPr="00A52BD1" w:rsidRDefault="00A52BD1" w:rsidP="00BF50E4">
            <w:pPr>
              <w:jc w:val="right"/>
              <w:rPr>
                <w:rFonts w:ascii="Arial" w:hAnsi="Arial" w:cs="Arial"/>
                <w:b/>
                <w:bCs/>
                <w:color w:val="FFFFFF"/>
                <w:sz w:val="18"/>
                <w:szCs w:val="18"/>
              </w:rPr>
            </w:pPr>
            <w:r w:rsidRPr="00A52BD1">
              <w:rPr>
                <w:rFonts w:ascii="Arial" w:hAnsi="Arial" w:cs="Arial"/>
                <w:b/>
                <w:bCs/>
                <w:color w:val="FFFFFF"/>
                <w:sz w:val="18"/>
                <w:szCs w:val="18"/>
              </w:rPr>
              <w:t>15,</w:t>
            </w:r>
            <w:r w:rsidR="00BF50E4">
              <w:rPr>
                <w:rFonts w:ascii="Arial" w:hAnsi="Arial" w:cs="Arial"/>
                <w:b/>
                <w:bCs/>
                <w:color w:val="FFFFFF"/>
                <w:sz w:val="18"/>
                <w:szCs w:val="18"/>
              </w:rPr>
              <w:t>41</w:t>
            </w:r>
            <w:r w:rsidRPr="00A52BD1">
              <w:rPr>
                <w:rFonts w:ascii="Arial" w:hAnsi="Arial" w:cs="Arial"/>
                <w:b/>
                <w:bCs/>
                <w:color w:val="FFFFFF"/>
                <w:sz w:val="18"/>
                <w:szCs w:val="18"/>
              </w:rPr>
              <w:t>8</w:t>
            </w:r>
          </w:p>
        </w:tc>
        <w:tc>
          <w:tcPr>
            <w:tcW w:w="1140" w:type="dxa"/>
            <w:tcBorders>
              <w:top w:val="nil"/>
              <w:left w:val="nil"/>
              <w:bottom w:val="nil"/>
              <w:right w:val="single" w:sz="8" w:space="0" w:color="FFFFFF"/>
            </w:tcBorders>
            <w:shd w:val="clear" w:color="000000" w:fill="365F91"/>
            <w:vAlign w:val="bottom"/>
            <w:hideMark/>
          </w:tcPr>
          <w:p w:rsidR="00A52BD1" w:rsidRPr="00A52BD1" w:rsidRDefault="00A52BD1" w:rsidP="00A52BD1">
            <w:pPr>
              <w:jc w:val="right"/>
              <w:rPr>
                <w:rFonts w:ascii="Arial" w:hAnsi="Arial" w:cs="Arial"/>
                <w:b/>
                <w:bCs/>
                <w:color w:val="FFFFFF"/>
                <w:sz w:val="18"/>
                <w:szCs w:val="18"/>
              </w:rPr>
            </w:pPr>
            <w:r w:rsidRPr="00A52BD1">
              <w:rPr>
                <w:rFonts w:ascii="Arial" w:hAnsi="Arial" w:cs="Arial"/>
                <w:b/>
                <w:bCs/>
                <w:color w:val="FFFFFF"/>
                <w:sz w:val="18"/>
                <w:szCs w:val="18"/>
              </w:rPr>
              <w:t>7,397</w:t>
            </w:r>
          </w:p>
        </w:tc>
        <w:tc>
          <w:tcPr>
            <w:tcW w:w="1140" w:type="dxa"/>
            <w:tcBorders>
              <w:top w:val="nil"/>
              <w:left w:val="nil"/>
              <w:bottom w:val="nil"/>
              <w:right w:val="single" w:sz="8" w:space="0" w:color="FFFFFF"/>
            </w:tcBorders>
            <w:shd w:val="clear" w:color="000000" w:fill="365F91"/>
            <w:vAlign w:val="bottom"/>
            <w:hideMark/>
          </w:tcPr>
          <w:p w:rsidR="00A52BD1" w:rsidRPr="00A52BD1" w:rsidRDefault="00A52BD1" w:rsidP="00A52BD1">
            <w:pPr>
              <w:jc w:val="right"/>
              <w:rPr>
                <w:rFonts w:ascii="Arial" w:hAnsi="Arial" w:cs="Arial"/>
                <w:b/>
                <w:bCs/>
                <w:color w:val="FFFFFF"/>
                <w:sz w:val="18"/>
                <w:szCs w:val="18"/>
              </w:rPr>
            </w:pPr>
            <w:r w:rsidRPr="00A52BD1">
              <w:rPr>
                <w:rFonts w:ascii="Arial" w:hAnsi="Arial" w:cs="Arial"/>
                <w:b/>
                <w:bCs/>
                <w:color w:val="FFFFFF"/>
                <w:sz w:val="18"/>
                <w:szCs w:val="18"/>
              </w:rPr>
              <w:t>7,373</w:t>
            </w:r>
          </w:p>
        </w:tc>
        <w:tc>
          <w:tcPr>
            <w:tcW w:w="1020" w:type="dxa"/>
            <w:tcBorders>
              <w:top w:val="nil"/>
              <w:left w:val="nil"/>
              <w:bottom w:val="nil"/>
              <w:right w:val="single" w:sz="8" w:space="0" w:color="FFFFFF"/>
            </w:tcBorders>
            <w:shd w:val="clear" w:color="000000" w:fill="365F91"/>
            <w:vAlign w:val="bottom"/>
            <w:hideMark/>
          </w:tcPr>
          <w:p w:rsidR="00A52BD1" w:rsidRPr="00A52BD1" w:rsidRDefault="00A52BD1" w:rsidP="00A52BD1">
            <w:pPr>
              <w:jc w:val="right"/>
              <w:rPr>
                <w:rFonts w:ascii="Arial" w:hAnsi="Arial" w:cs="Arial"/>
                <w:b/>
                <w:bCs/>
                <w:color w:val="FFFFFF"/>
                <w:sz w:val="18"/>
                <w:szCs w:val="18"/>
              </w:rPr>
            </w:pPr>
            <w:r w:rsidRPr="00A52BD1">
              <w:rPr>
                <w:rFonts w:ascii="Arial" w:hAnsi="Arial" w:cs="Arial"/>
                <w:b/>
                <w:bCs/>
                <w:color w:val="FFFFFF"/>
                <w:sz w:val="18"/>
                <w:szCs w:val="18"/>
              </w:rPr>
              <w:t>-24</w:t>
            </w:r>
          </w:p>
        </w:tc>
        <w:tc>
          <w:tcPr>
            <w:tcW w:w="1180" w:type="dxa"/>
            <w:tcBorders>
              <w:top w:val="nil"/>
              <w:left w:val="nil"/>
              <w:bottom w:val="nil"/>
              <w:right w:val="single" w:sz="8" w:space="0" w:color="FFFFFF"/>
            </w:tcBorders>
            <w:shd w:val="clear" w:color="000000" w:fill="365F91"/>
            <w:vAlign w:val="bottom"/>
            <w:hideMark/>
          </w:tcPr>
          <w:p w:rsidR="00A52BD1" w:rsidRPr="00A52BD1" w:rsidRDefault="00A52BD1" w:rsidP="00A52BD1">
            <w:pPr>
              <w:jc w:val="right"/>
              <w:rPr>
                <w:rFonts w:ascii="Arial" w:hAnsi="Arial" w:cs="Arial"/>
                <w:b/>
                <w:bCs/>
                <w:color w:val="FFFFFF"/>
                <w:sz w:val="18"/>
                <w:szCs w:val="18"/>
              </w:rPr>
            </w:pPr>
            <w:r w:rsidRPr="00A52BD1">
              <w:rPr>
                <w:rFonts w:ascii="Arial" w:hAnsi="Arial" w:cs="Arial"/>
                <w:b/>
                <w:bCs/>
                <w:color w:val="FFFFFF"/>
                <w:sz w:val="18"/>
                <w:szCs w:val="18"/>
              </w:rPr>
              <w:t>-0.3%</w:t>
            </w:r>
          </w:p>
        </w:tc>
      </w:tr>
      <w:tr w:rsidR="00A52BD1" w:rsidRPr="00A52BD1" w:rsidTr="00A52BD1">
        <w:trPr>
          <w:trHeight w:val="300"/>
        </w:trPr>
        <w:tc>
          <w:tcPr>
            <w:tcW w:w="3660" w:type="dxa"/>
            <w:tcBorders>
              <w:top w:val="nil"/>
              <w:left w:val="nil"/>
              <w:bottom w:val="single" w:sz="8" w:space="0" w:color="CCCCCC"/>
              <w:right w:val="single" w:sz="8" w:space="0" w:color="CCCCCC"/>
            </w:tcBorders>
            <w:shd w:val="clear" w:color="000000" w:fill="95B3D7"/>
            <w:vAlign w:val="center"/>
            <w:hideMark/>
          </w:tcPr>
          <w:p w:rsidR="00A52BD1" w:rsidRPr="00A52BD1" w:rsidRDefault="00A52BD1" w:rsidP="00A52BD1">
            <w:pPr>
              <w:jc w:val="center"/>
              <w:rPr>
                <w:rFonts w:ascii="Arial" w:hAnsi="Arial" w:cs="Arial"/>
                <w:b/>
                <w:bCs/>
                <w:color w:val="FFFFFF"/>
                <w:sz w:val="20"/>
                <w:szCs w:val="20"/>
              </w:rPr>
            </w:pPr>
            <w:r w:rsidRPr="00A52BD1">
              <w:rPr>
                <w:rFonts w:ascii="Arial" w:hAnsi="Arial" w:cs="Arial"/>
                <w:b/>
                <w:bCs/>
                <w:color w:val="FFFFFF"/>
                <w:sz w:val="20"/>
                <w:szCs w:val="20"/>
              </w:rPr>
              <w:t>Expenditure</w:t>
            </w:r>
          </w:p>
        </w:tc>
        <w:tc>
          <w:tcPr>
            <w:tcW w:w="1460" w:type="dxa"/>
            <w:tcBorders>
              <w:top w:val="nil"/>
              <w:left w:val="nil"/>
              <w:bottom w:val="nil"/>
              <w:right w:val="single" w:sz="8" w:space="0" w:color="55ACD3"/>
            </w:tcBorders>
            <w:shd w:val="clear" w:color="000000" w:fill="95B3D7"/>
            <w:vAlign w:val="center"/>
            <w:hideMark/>
          </w:tcPr>
          <w:p w:rsidR="00A52BD1" w:rsidRPr="00A52BD1" w:rsidRDefault="00A52BD1" w:rsidP="00A52BD1">
            <w:pPr>
              <w:rPr>
                <w:rFonts w:ascii="Arial" w:hAnsi="Arial" w:cs="Arial"/>
                <w:b/>
                <w:bCs/>
                <w:color w:val="FFFFFF"/>
                <w:sz w:val="20"/>
                <w:szCs w:val="20"/>
              </w:rPr>
            </w:pPr>
            <w:r w:rsidRPr="00A52BD1">
              <w:rPr>
                <w:rFonts w:ascii="Arial" w:hAnsi="Arial" w:cs="Arial"/>
                <w:b/>
                <w:bCs/>
                <w:color w:val="FFFFFF"/>
                <w:sz w:val="20"/>
                <w:szCs w:val="20"/>
              </w:rPr>
              <w:t>Latest Budget</w:t>
            </w:r>
          </w:p>
        </w:tc>
        <w:tc>
          <w:tcPr>
            <w:tcW w:w="1140" w:type="dxa"/>
            <w:tcBorders>
              <w:top w:val="nil"/>
              <w:left w:val="nil"/>
              <w:bottom w:val="nil"/>
              <w:right w:val="single" w:sz="8" w:space="0" w:color="55ACD3"/>
            </w:tcBorders>
            <w:shd w:val="clear" w:color="000000" w:fill="95B3D7"/>
            <w:vAlign w:val="center"/>
            <w:hideMark/>
          </w:tcPr>
          <w:p w:rsidR="00A52BD1" w:rsidRPr="00A52BD1" w:rsidRDefault="00A52BD1" w:rsidP="00A52BD1">
            <w:pPr>
              <w:rPr>
                <w:rFonts w:ascii="Arial" w:hAnsi="Arial" w:cs="Arial"/>
                <w:b/>
                <w:bCs/>
                <w:color w:val="FFFFFF"/>
                <w:sz w:val="20"/>
                <w:szCs w:val="20"/>
              </w:rPr>
            </w:pPr>
            <w:r w:rsidRPr="00A52BD1">
              <w:rPr>
                <w:rFonts w:ascii="Arial" w:hAnsi="Arial" w:cs="Arial"/>
                <w:b/>
                <w:bCs/>
                <w:color w:val="FFFFFF"/>
                <w:sz w:val="20"/>
                <w:szCs w:val="20"/>
              </w:rPr>
              <w:t>Budget</w:t>
            </w:r>
          </w:p>
        </w:tc>
        <w:tc>
          <w:tcPr>
            <w:tcW w:w="1140" w:type="dxa"/>
            <w:tcBorders>
              <w:top w:val="nil"/>
              <w:left w:val="nil"/>
              <w:bottom w:val="nil"/>
              <w:right w:val="single" w:sz="8" w:space="0" w:color="55ACD3"/>
            </w:tcBorders>
            <w:shd w:val="clear" w:color="000000" w:fill="95B3D7"/>
            <w:vAlign w:val="center"/>
            <w:hideMark/>
          </w:tcPr>
          <w:p w:rsidR="00A52BD1" w:rsidRPr="00A52BD1" w:rsidRDefault="00A52BD1" w:rsidP="00A52BD1">
            <w:pPr>
              <w:rPr>
                <w:rFonts w:ascii="Arial" w:hAnsi="Arial" w:cs="Arial"/>
                <w:b/>
                <w:bCs/>
                <w:color w:val="FFFFFF"/>
                <w:sz w:val="20"/>
                <w:szCs w:val="20"/>
              </w:rPr>
            </w:pPr>
            <w:r w:rsidRPr="00A52BD1">
              <w:rPr>
                <w:rFonts w:ascii="Arial" w:hAnsi="Arial" w:cs="Arial"/>
                <w:b/>
                <w:bCs/>
                <w:color w:val="FFFFFF"/>
                <w:sz w:val="20"/>
                <w:szCs w:val="20"/>
              </w:rPr>
              <w:t>Actual</w:t>
            </w:r>
          </w:p>
        </w:tc>
        <w:tc>
          <w:tcPr>
            <w:tcW w:w="1020" w:type="dxa"/>
            <w:tcBorders>
              <w:top w:val="nil"/>
              <w:left w:val="nil"/>
              <w:bottom w:val="nil"/>
              <w:right w:val="nil"/>
            </w:tcBorders>
            <w:shd w:val="clear" w:color="000000" w:fill="95B3D7"/>
            <w:vAlign w:val="center"/>
            <w:hideMark/>
          </w:tcPr>
          <w:p w:rsidR="00A52BD1" w:rsidRPr="00A52BD1" w:rsidRDefault="00A52BD1" w:rsidP="00A52BD1">
            <w:pPr>
              <w:rPr>
                <w:rFonts w:ascii="Arial" w:hAnsi="Arial" w:cs="Arial"/>
                <w:b/>
                <w:bCs/>
                <w:color w:val="FFFFFF"/>
                <w:sz w:val="20"/>
                <w:szCs w:val="20"/>
              </w:rPr>
            </w:pPr>
            <w:r w:rsidRPr="00A52BD1">
              <w:rPr>
                <w:rFonts w:ascii="Arial" w:hAnsi="Arial" w:cs="Arial"/>
                <w:b/>
                <w:bCs/>
                <w:color w:val="FFFFFF"/>
                <w:sz w:val="20"/>
                <w:szCs w:val="20"/>
              </w:rPr>
              <w:t>Variance</w:t>
            </w:r>
          </w:p>
        </w:tc>
        <w:tc>
          <w:tcPr>
            <w:tcW w:w="1180" w:type="dxa"/>
            <w:tcBorders>
              <w:top w:val="nil"/>
              <w:left w:val="nil"/>
              <w:bottom w:val="nil"/>
              <w:right w:val="nil"/>
            </w:tcBorders>
            <w:shd w:val="clear" w:color="000000" w:fill="95B3D7"/>
            <w:vAlign w:val="center"/>
            <w:hideMark/>
          </w:tcPr>
          <w:p w:rsidR="00A52BD1" w:rsidRPr="00A52BD1" w:rsidRDefault="00A52BD1" w:rsidP="00A52BD1">
            <w:pPr>
              <w:rPr>
                <w:rFonts w:ascii="Arial" w:hAnsi="Arial" w:cs="Arial"/>
                <w:b/>
                <w:bCs/>
                <w:color w:val="FFFFFF"/>
                <w:sz w:val="20"/>
                <w:szCs w:val="20"/>
              </w:rPr>
            </w:pPr>
            <w:r w:rsidRPr="00A52BD1">
              <w:rPr>
                <w:rFonts w:ascii="Arial" w:hAnsi="Arial" w:cs="Arial"/>
                <w:b/>
                <w:bCs/>
                <w:color w:val="FFFFFF"/>
                <w:sz w:val="20"/>
                <w:szCs w:val="20"/>
              </w:rPr>
              <w:t>Variance</w:t>
            </w:r>
          </w:p>
        </w:tc>
      </w:tr>
      <w:tr w:rsidR="00A52BD1" w:rsidRPr="00A52BD1" w:rsidTr="00A52BD1">
        <w:trPr>
          <w:trHeight w:val="300"/>
        </w:trPr>
        <w:tc>
          <w:tcPr>
            <w:tcW w:w="3660" w:type="dxa"/>
            <w:tcBorders>
              <w:top w:val="nil"/>
              <w:left w:val="single" w:sz="8" w:space="0" w:color="FFFFFF"/>
              <w:bottom w:val="single" w:sz="8" w:space="0" w:color="FFFFFF"/>
              <w:right w:val="single" w:sz="8" w:space="0" w:color="FFFFFF"/>
            </w:tcBorders>
            <w:shd w:val="clear" w:color="auto" w:fill="auto"/>
            <w:vAlign w:val="bottom"/>
            <w:hideMark/>
          </w:tcPr>
          <w:p w:rsidR="00A52BD1" w:rsidRPr="00A52BD1" w:rsidRDefault="00A52BD1" w:rsidP="00A52BD1">
            <w:pPr>
              <w:rPr>
                <w:rFonts w:ascii="Arial" w:hAnsi="Arial" w:cs="Arial"/>
                <w:color w:val="000000"/>
                <w:sz w:val="18"/>
                <w:szCs w:val="18"/>
              </w:rPr>
            </w:pPr>
            <w:r w:rsidRPr="00A52BD1">
              <w:rPr>
                <w:rFonts w:ascii="Arial" w:hAnsi="Arial" w:cs="Arial"/>
                <w:color w:val="000000"/>
                <w:sz w:val="18"/>
                <w:szCs w:val="18"/>
              </w:rPr>
              <w:t>Approvals - Operational</w:t>
            </w:r>
          </w:p>
        </w:tc>
        <w:tc>
          <w:tcPr>
            <w:tcW w:w="146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5,193</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2,552</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2,552</w:t>
            </w:r>
          </w:p>
        </w:tc>
        <w:tc>
          <w:tcPr>
            <w:tcW w:w="102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1</w:t>
            </w:r>
          </w:p>
        </w:tc>
        <w:tc>
          <w:tcPr>
            <w:tcW w:w="118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0.0%</w:t>
            </w:r>
          </w:p>
        </w:tc>
      </w:tr>
      <w:tr w:rsidR="00A52BD1" w:rsidRPr="00A52BD1" w:rsidTr="00A52BD1">
        <w:trPr>
          <w:trHeight w:val="300"/>
        </w:trPr>
        <w:tc>
          <w:tcPr>
            <w:tcW w:w="3660" w:type="dxa"/>
            <w:tcBorders>
              <w:top w:val="nil"/>
              <w:left w:val="single" w:sz="8" w:space="0" w:color="FFFFFF"/>
              <w:bottom w:val="single" w:sz="8" w:space="0" w:color="FFFFFF"/>
              <w:right w:val="single" w:sz="8" w:space="0" w:color="FFFFFF"/>
            </w:tcBorders>
            <w:shd w:val="clear" w:color="auto" w:fill="auto"/>
            <w:vAlign w:val="bottom"/>
            <w:hideMark/>
          </w:tcPr>
          <w:p w:rsidR="00A52BD1" w:rsidRPr="00A52BD1" w:rsidRDefault="00A52BD1" w:rsidP="00A52BD1">
            <w:pPr>
              <w:rPr>
                <w:rFonts w:ascii="Arial" w:hAnsi="Arial" w:cs="Arial"/>
                <w:color w:val="000000"/>
                <w:sz w:val="18"/>
                <w:szCs w:val="18"/>
              </w:rPr>
            </w:pPr>
            <w:r w:rsidRPr="00A52BD1">
              <w:rPr>
                <w:rFonts w:ascii="Arial" w:hAnsi="Arial" w:cs="Arial"/>
                <w:color w:val="000000"/>
                <w:sz w:val="18"/>
                <w:szCs w:val="18"/>
              </w:rPr>
              <w:t>Approvals - Programme and Guidance</w:t>
            </w:r>
          </w:p>
        </w:tc>
        <w:tc>
          <w:tcPr>
            <w:tcW w:w="146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801</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395</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384</w:t>
            </w:r>
          </w:p>
        </w:tc>
        <w:tc>
          <w:tcPr>
            <w:tcW w:w="102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-11</w:t>
            </w:r>
          </w:p>
        </w:tc>
        <w:tc>
          <w:tcPr>
            <w:tcW w:w="118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-2.8%</w:t>
            </w:r>
          </w:p>
        </w:tc>
      </w:tr>
      <w:tr w:rsidR="00A52BD1" w:rsidRPr="00A52BD1" w:rsidTr="00A52BD1">
        <w:trPr>
          <w:trHeight w:val="300"/>
        </w:trPr>
        <w:tc>
          <w:tcPr>
            <w:tcW w:w="3660" w:type="dxa"/>
            <w:tcBorders>
              <w:top w:val="nil"/>
              <w:left w:val="single" w:sz="8" w:space="0" w:color="FFFFFF"/>
              <w:bottom w:val="single" w:sz="8" w:space="0" w:color="FFFFFF"/>
              <w:right w:val="single" w:sz="8" w:space="0" w:color="FFFFFF"/>
            </w:tcBorders>
            <w:shd w:val="clear" w:color="auto" w:fill="auto"/>
            <w:vAlign w:val="bottom"/>
            <w:hideMark/>
          </w:tcPr>
          <w:p w:rsidR="00A52BD1" w:rsidRPr="00A52BD1" w:rsidRDefault="00A52BD1" w:rsidP="00A52BD1">
            <w:pPr>
              <w:rPr>
                <w:rFonts w:ascii="Arial" w:hAnsi="Arial" w:cs="Arial"/>
                <w:color w:val="000000"/>
                <w:sz w:val="18"/>
                <w:szCs w:val="18"/>
              </w:rPr>
            </w:pPr>
            <w:r w:rsidRPr="00A52BD1">
              <w:rPr>
                <w:rFonts w:ascii="Arial" w:hAnsi="Arial" w:cs="Arial"/>
                <w:color w:val="000000"/>
                <w:sz w:val="18"/>
                <w:szCs w:val="18"/>
              </w:rPr>
              <w:t>Approvals - Member Support</w:t>
            </w:r>
          </w:p>
        </w:tc>
        <w:tc>
          <w:tcPr>
            <w:tcW w:w="146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552</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277</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281</w:t>
            </w:r>
          </w:p>
        </w:tc>
        <w:tc>
          <w:tcPr>
            <w:tcW w:w="102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4</w:t>
            </w:r>
          </w:p>
        </w:tc>
        <w:tc>
          <w:tcPr>
            <w:tcW w:w="118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1.4%</w:t>
            </w:r>
          </w:p>
        </w:tc>
      </w:tr>
      <w:tr w:rsidR="00A52BD1" w:rsidRPr="00A52BD1" w:rsidTr="00A52BD1">
        <w:trPr>
          <w:trHeight w:val="300"/>
        </w:trPr>
        <w:tc>
          <w:tcPr>
            <w:tcW w:w="3660" w:type="dxa"/>
            <w:tcBorders>
              <w:top w:val="nil"/>
              <w:left w:val="single" w:sz="8" w:space="0" w:color="FFFFFF"/>
              <w:bottom w:val="single" w:sz="8" w:space="0" w:color="FFFFFF"/>
              <w:right w:val="single" w:sz="8" w:space="0" w:color="FFFFFF"/>
            </w:tcBorders>
            <w:shd w:val="clear" w:color="auto" w:fill="auto"/>
            <w:vAlign w:val="bottom"/>
            <w:hideMark/>
          </w:tcPr>
          <w:p w:rsidR="00A52BD1" w:rsidRPr="00A52BD1" w:rsidRDefault="00A52BD1" w:rsidP="00A52BD1">
            <w:pPr>
              <w:rPr>
                <w:rFonts w:ascii="Arial" w:hAnsi="Arial" w:cs="Arial"/>
                <w:color w:val="000000"/>
                <w:sz w:val="18"/>
                <w:szCs w:val="18"/>
              </w:rPr>
            </w:pPr>
            <w:r w:rsidRPr="00A52BD1">
              <w:rPr>
                <w:rFonts w:ascii="Arial" w:hAnsi="Arial" w:cs="Arial"/>
                <w:color w:val="000000"/>
                <w:sz w:val="18"/>
                <w:szCs w:val="18"/>
              </w:rPr>
              <w:t>Research systems</w:t>
            </w:r>
          </w:p>
        </w:tc>
        <w:tc>
          <w:tcPr>
            <w:tcW w:w="146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926</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455</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453</w:t>
            </w:r>
          </w:p>
        </w:tc>
        <w:tc>
          <w:tcPr>
            <w:tcW w:w="102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-2</w:t>
            </w:r>
          </w:p>
        </w:tc>
        <w:tc>
          <w:tcPr>
            <w:tcW w:w="118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-0.4%</w:t>
            </w:r>
          </w:p>
        </w:tc>
      </w:tr>
      <w:tr w:rsidR="00A52BD1" w:rsidRPr="00A52BD1" w:rsidTr="00A52BD1">
        <w:trPr>
          <w:trHeight w:val="300"/>
        </w:trPr>
        <w:tc>
          <w:tcPr>
            <w:tcW w:w="3660" w:type="dxa"/>
            <w:tcBorders>
              <w:top w:val="nil"/>
              <w:left w:val="single" w:sz="8" w:space="0" w:color="FFFFFF"/>
              <w:bottom w:val="single" w:sz="8" w:space="0" w:color="FFFFFF"/>
              <w:right w:val="single" w:sz="8" w:space="0" w:color="FFFFFF"/>
            </w:tcBorders>
            <w:shd w:val="clear" w:color="auto" w:fill="auto"/>
            <w:vAlign w:val="bottom"/>
            <w:hideMark/>
          </w:tcPr>
          <w:p w:rsidR="00A52BD1" w:rsidRPr="00A52BD1" w:rsidRDefault="00A52BD1" w:rsidP="00A52BD1">
            <w:pPr>
              <w:rPr>
                <w:rFonts w:ascii="Arial" w:hAnsi="Arial" w:cs="Arial"/>
                <w:color w:val="000000"/>
                <w:sz w:val="18"/>
                <w:szCs w:val="18"/>
              </w:rPr>
            </w:pPr>
            <w:r w:rsidRPr="00A52BD1">
              <w:rPr>
                <w:rFonts w:ascii="Arial" w:hAnsi="Arial" w:cs="Arial"/>
                <w:color w:val="000000"/>
                <w:sz w:val="18"/>
                <w:szCs w:val="18"/>
              </w:rPr>
              <w:t>Confidentiality Advisory Service</w:t>
            </w:r>
          </w:p>
        </w:tc>
        <w:tc>
          <w:tcPr>
            <w:tcW w:w="146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211</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99</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94</w:t>
            </w:r>
          </w:p>
        </w:tc>
        <w:tc>
          <w:tcPr>
            <w:tcW w:w="102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-5</w:t>
            </w:r>
          </w:p>
        </w:tc>
        <w:tc>
          <w:tcPr>
            <w:tcW w:w="118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-5.1%</w:t>
            </w:r>
          </w:p>
        </w:tc>
      </w:tr>
      <w:tr w:rsidR="00A52BD1" w:rsidRPr="00A52BD1" w:rsidTr="00A52BD1">
        <w:trPr>
          <w:trHeight w:val="300"/>
        </w:trPr>
        <w:tc>
          <w:tcPr>
            <w:tcW w:w="3660" w:type="dxa"/>
            <w:tcBorders>
              <w:top w:val="nil"/>
              <w:left w:val="single" w:sz="8" w:space="0" w:color="FFFFFF"/>
              <w:bottom w:val="single" w:sz="8" w:space="0" w:color="FFFFFF"/>
              <w:right w:val="single" w:sz="8" w:space="0" w:color="FFFFFF"/>
            </w:tcBorders>
            <w:shd w:val="clear" w:color="000000" w:fill="365F91"/>
            <w:vAlign w:val="bottom"/>
            <w:hideMark/>
          </w:tcPr>
          <w:p w:rsidR="00A52BD1" w:rsidRPr="00A52BD1" w:rsidRDefault="00A52BD1" w:rsidP="00A52BD1">
            <w:pPr>
              <w:rPr>
                <w:rFonts w:ascii="Arial" w:hAnsi="Arial" w:cs="Arial"/>
                <w:color w:val="FFFFFF"/>
                <w:sz w:val="18"/>
                <w:szCs w:val="18"/>
              </w:rPr>
            </w:pPr>
            <w:r w:rsidRPr="00A52BD1">
              <w:rPr>
                <w:rFonts w:ascii="Arial" w:hAnsi="Arial" w:cs="Arial"/>
                <w:color w:val="FFFFFF"/>
                <w:sz w:val="18"/>
                <w:szCs w:val="18"/>
              </w:rPr>
              <w:t>Total Services Expenditure</w:t>
            </w:r>
          </w:p>
        </w:tc>
        <w:tc>
          <w:tcPr>
            <w:tcW w:w="1460" w:type="dxa"/>
            <w:tcBorders>
              <w:top w:val="nil"/>
              <w:left w:val="nil"/>
              <w:bottom w:val="nil"/>
              <w:right w:val="nil"/>
            </w:tcBorders>
            <w:shd w:val="clear" w:color="000000" w:fill="365F91"/>
            <w:noWrap/>
            <w:vAlign w:val="bottom"/>
            <w:hideMark/>
          </w:tcPr>
          <w:p w:rsidR="00A52BD1" w:rsidRPr="00A52BD1" w:rsidRDefault="00A52BD1" w:rsidP="00A52BD1">
            <w:pPr>
              <w:jc w:val="right"/>
              <w:rPr>
                <w:rFonts w:ascii="Calibri" w:hAnsi="Calibri"/>
                <w:color w:val="FFFFFF"/>
                <w:sz w:val="22"/>
                <w:szCs w:val="22"/>
              </w:rPr>
            </w:pPr>
            <w:r w:rsidRPr="00A52BD1">
              <w:rPr>
                <w:rFonts w:ascii="Calibri" w:hAnsi="Calibri"/>
                <w:color w:val="FFFFFF"/>
                <w:sz w:val="22"/>
                <w:szCs w:val="22"/>
              </w:rPr>
              <w:t>7,684</w:t>
            </w:r>
          </w:p>
        </w:tc>
        <w:tc>
          <w:tcPr>
            <w:tcW w:w="1140" w:type="dxa"/>
            <w:tcBorders>
              <w:top w:val="nil"/>
              <w:left w:val="nil"/>
              <w:bottom w:val="nil"/>
              <w:right w:val="nil"/>
            </w:tcBorders>
            <w:shd w:val="clear" w:color="000000" w:fill="365F91"/>
            <w:noWrap/>
            <w:vAlign w:val="bottom"/>
            <w:hideMark/>
          </w:tcPr>
          <w:p w:rsidR="00A52BD1" w:rsidRPr="00A52BD1" w:rsidRDefault="00A52BD1" w:rsidP="00A52BD1">
            <w:pPr>
              <w:jc w:val="right"/>
              <w:rPr>
                <w:rFonts w:ascii="Calibri" w:hAnsi="Calibri"/>
                <w:color w:val="FFFFFF"/>
                <w:sz w:val="22"/>
                <w:szCs w:val="22"/>
              </w:rPr>
            </w:pPr>
            <w:r w:rsidRPr="00A52BD1">
              <w:rPr>
                <w:rFonts w:ascii="Calibri" w:hAnsi="Calibri"/>
                <w:color w:val="FFFFFF"/>
                <w:sz w:val="22"/>
                <w:szCs w:val="22"/>
              </w:rPr>
              <w:t>3,777</w:t>
            </w:r>
          </w:p>
        </w:tc>
        <w:tc>
          <w:tcPr>
            <w:tcW w:w="1140" w:type="dxa"/>
            <w:tcBorders>
              <w:top w:val="nil"/>
              <w:left w:val="nil"/>
              <w:bottom w:val="nil"/>
              <w:right w:val="nil"/>
            </w:tcBorders>
            <w:shd w:val="clear" w:color="000000" w:fill="365F91"/>
            <w:noWrap/>
            <w:vAlign w:val="bottom"/>
            <w:hideMark/>
          </w:tcPr>
          <w:p w:rsidR="00A52BD1" w:rsidRPr="00A52BD1" w:rsidRDefault="00A52BD1" w:rsidP="00A52BD1">
            <w:pPr>
              <w:jc w:val="right"/>
              <w:rPr>
                <w:rFonts w:ascii="Calibri" w:hAnsi="Calibri"/>
                <w:color w:val="FFFFFF"/>
                <w:sz w:val="22"/>
                <w:szCs w:val="22"/>
              </w:rPr>
            </w:pPr>
            <w:r w:rsidRPr="00A52BD1">
              <w:rPr>
                <w:rFonts w:ascii="Calibri" w:hAnsi="Calibri"/>
                <w:color w:val="FFFFFF"/>
                <w:sz w:val="22"/>
                <w:szCs w:val="22"/>
              </w:rPr>
              <w:t>3,763</w:t>
            </w:r>
          </w:p>
        </w:tc>
        <w:tc>
          <w:tcPr>
            <w:tcW w:w="1020" w:type="dxa"/>
            <w:tcBorders>
              <w:top w:val="nil"/>
              <w:left w:val="nil"/>
              <w:bottom w:val="nil"/>
              <w:right w:val="nil"/>
            </w:tcBorders>
            <w:shd w:val="clear" w:color="000000" w:fill="365F91"/>
            <w:noWrap/>
            <w:vAlign w:val="bottom"/>
            <w:hideMark/>
          </w:tcPr>
          <w:p w:rsidR="00A52BD1" w:rsidRPr="00A52BD1" w:rsidRDefault="00A52BD1" w:rsidP="00A52BD1">
            <w:pPr>
              <w:jc w:val="right"/>
              <w:rPr>
                <w:rFonts w:ascii="Calibri" w:hAnsi="Calibri"/>
                <w:color w:val="FFFFFF"/>
                <w:sz w:val="22"/>
                <w:szCs w:val="22"/>
              </w:rPr>
            </w:pPr>
            <w:r w:rsidRPr="00A52BD1">
              <w:rPr>
                <w:rFonts w:ascii="Calibri" w:hAnsi="Calibri"/>
                <w:color w:val="FFFFFF"/>
                <w:sz w:val="22"/>
                <w:szCs w:val="22"/>
              </w:rPr>
              <w:t>-13</w:t>
            </w:r>
          </w:p>
        </w:tc>
        <w:tc>
          <w:tcPr>
            <w:tcW w:w="1180" w:type="dxa"/>
            <w:tcBorders>
              <w:top w:val="nil"/>
              <w:left w:val="nil"/>
              <w:bottom w:val="nil"/>
              <w:right w:val="nil"/>
            </w:tcBorders>
            <w:shd w:val="clear" w:color="000000" w:fill="365F91"/>
            <w:noWrap/>
            <w:vAlign w:val="bottom"/>
            <w:hideMark/>
          </w:tcPr>
          <w:p w:rsidR="00A52BD1" w:rsidRPr="00A52BD1" w:rsidRDefault="00A52BD1" w:rsidP="00A52BD1">
            <w:pPr>
              <w:jc w:val="right"/>
              <w:rPr>
                <w:rFonts w:ascii="Calibri" w:hAnsi="Calibri"/>
                <w:color w:val="FFFFFF"/>
                <w:sz w:val="22"/>
                <w:szCs w:val="22"/>
              </w:rPr>
            </w:pPr>
            <w:r w:rsidRPr="00A52BD1">
              <w:rPr>
                <w:rFonts w:ascii="Calibri" w:hAnsi="Calibri"/>
                <w:color w:val="FFFFFF"/>
                <w:sz w:val="22"/>
                <w:szCs w:val="22"/>
              </w:rPr>
              <w:t>-0.4%</w:t>
            </w:r>
          </w:p>
        </w:tc>
      </w:tr>
      <w:tr w:rsidR="00A52BD1" w:rsidRPr="00A52BD1" w:rsidTr="00A52BD1">
        <w:trPr>
          <w:trHeight w:val="300"/>
        </w:trPr>
        <w:tc>
          <w:tcPr>
            <w:tcW w:w="3660" w:type="dxa"/>
            <w:tcBorders>
              <w:top w:val="nil"/>
              <w:left w:val="single" w:sz="8" w:space="0" w:color="FFFFFF"/>
              <w:bottom w:val="single" w:sz="8" w:space="0" w:color="FFFFFF"/>
              <w:right w:val="single" w:sz="8" w:space="0" w:color="FFFFFF"/>
            </w:tcBorders>
            <w:shd w:val="clear" w:color="auto" w:fill="auto"/>
            <w:vAlign w:val="bottom"/>
            <w:hideMark/>
          </w:tcPr>
          <w:p w:rsidR="00A52BD1" w:rsidRPr="00A52BD1" w:rsidRDefault="00A52BD1" w:rsidP="00A52BD1">
            <w:pPr>
              <w:rPr>
                <w:rFonts w:ascii="Arial" w:hAnsi="Arial" w:cs="Arial"/>
                <w:color w:val="000000"/>
                <w:sz w:val="18"/>
                <w:szCs w:val="18"/>
              </w:rPr>
            </w:pPr>
            <w:r w:rsidRPr="00A52BD1">
              <w:rPr>
                <w:rFonts w:ascii="Arial" w:hAnsi="Arial" w:cs="Arial"/>
                <w:color w:val="000000"/>
                <w:sz w:val="18"/>
                <w:szCs w:val="18"/>
              </w:rPr>
              <w:t>Chief Exec and Board</w:t>
            </w:r>
          </w:p>
        </w:tc>
        <w:tc>
          <w:tcPr>
            <w:tcW w:w="146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339</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200</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200</w:t>
            </w:r>
          </w:p>
        </w:tc>
        <w:tc>
          <w:tcPr>
            <w:tcW w:w="1020" w:type="dxa"/>
            <w:tcBorders>
              <w:top w:val="nil"/>
              <w:left w:val="nil"/>
              <w:bottom w:val="nil"/>
              <w:right w:val="nil"/>
            </w:tcBorders>
            <w:shd w:val="clear" w:color="auto" w:fill="auto"/>
            <w:noWrap/>
            <w:vAlign w:val="bottom"/>
            <w:hideMark/>
          </w:tcPr>
          <w:p w:rsidR="00A52BD1" w:rsidRPr="00A52BD1" w:rsidRDefault="00BF50E4" w:rsidP="00A52BD1">
            <w:pPr>
              <w:jc w:val="right"/>
              <w:rPr>
                <w:rFonts w:ascii="Calibri" w:hAnsi="Calibri"/>
                <w:color w:val="000000"/>
                <w:sz w:val="22"/>
                <w:szCs w:val="22"/>
              </w:rPr>
            </w:pPr>
            <w:r>
              <w:rPr>
                <w:rFonts w:ascii="Calibri" w:hAnsi="Calibri"/>
                <w:color w:val="000000"/>
                <w:sz w:val="22"/>
                <w:szCs w:val="22"/>
              </w:rPr>
              <w:t>0</w:t>
            </w:r>
          </w:p>
        </w:tc>
        <w:tc>
          <w:tcPr>
            <w:tcW w:w="118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-0.3%</w:t>
            </w:r>
          </w:p>
        </w:tc>
      </w:tr>
      <w:tr w:rsidR="00A52BD1" w:rsidRPr="00A52BD1" w:rsidTr="00A52BD1">
        <w:trPr>
          <w:trHeight w:val="300"/>
        </w:trPr>
        <w:tc>
          <w:tcPr>
            <w:tcW w:w="3660" w:type="dxa"/>
            <w:tcBorders>
              <w:top w:val="nil"/>
              <w:left w:val="single" w:sz="8" w:space="0" w:color="FFFFFF"/>
              <w:bottom w:val="single" w:sz="8" w:space="0" w:color="FFFFFF"/>
              <w:right w:val="single" w:sz="8" w:space="0" w:color="FFFFFF"/>
            </w:tcBorders>
            <w:shd w:val="clear" w:color="auto" w:fill="auto"/>
            <w:vAlign w:val="bottom"/>
            <w:hideMark/>
          </w:tcPr>
          <w:p w:rsidR="00A52BD1" w:rsidRPr="00A52BD1" w:rsidRDefault="00A52BD1" w:rsidP="00A52BD1">
            <w:pPr>
              <w:rPr>
                <w:rFonts w:ascii="Arial" w:hAnsi="Arial" w:cs="Arial"/>
                <w:color w:val="000000"/>
                <w:sz w:val="18"/>
                <w:szCs w:val="18"/>
              </w:rPr>
            </w:pPr>
            <w:r w:rsidRPr="00A52BD1">
              <w:rPr>
                <w:rFonts w:ascii="Arial" w:hAnsi="Arial" w:cs="Arial"/>
                <w:color w:val="000000"/>
                <w:sz w:val="18"/>
                <w:szCs w:val="18"/>
              </w:rPr>
              <w:t>Policy</w:t>
            </w:r>
          </w:p>
        </w:tc>
        <w:tc>
          <w:tcPr>
            <w:tcW w:w="146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461</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215</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213</w:t>
            </w:r>
          </w:p>
        </w:tc>
        <w:tc>
          <w:tcPr>
            <w:tcW w:w="102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-2</w:t>
            </w:r>
          </w:p>
        </w:tc>
        <w:tc>
          <w:tcPr>
            <w:tcW w:w="118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-1.0%</w:t>
            </w:r>
          </w:p>
        </w:tc>
      </w:tr>
      <w:tr w:rsidR="00A52BD1" w:rsidRPr="00A52BD1" w:rsidTr="00A52BD1">
        <w:trPr>
          <w:trHeight w:val="300"/>
        </w:trPr>
        <w:tc>
          <w:tcPr>
            <w:tcW w:w="3660" w:type="dxa"/>
            <w:tcBorders>
              <w:top w:val="nil"/>
              <w:left w:val="single" w:sz="8" w:space="0" w:color="FFFFFF"/>
              <w:bottom w:val="single" w:sz="8" w:space="0" w:color="FFFFFF"/>
              <w:right w:val="single" w:sz="8" w:space="0" w:color="FFFFFF"/>
            </w:tcBorders>
            <w:shd w:val="clear" w:color="auto" w:fill="auto"/>
            <w:vAlign w:val="bottom"/>
            <w:hideMark/>
          </w:tcPr>
          <w:p w:rsidR="00A52BD1" w:rsidRPr="00A52BD1" w:rsidRDefault="00A52BD1" w:rsidP="00A52BD1">
            <w:pPr>
              <w:rPr>
                <w:rFonts w:ascii="Arial" w:hAnsi="Arial" w:cs="Arial"/>
                <w:color w:val="000000"/>
                <w:sz w:val="18"/>
                <w:szCs w:val="18"/>
              </w:rPr>
            </w:pPr>
            <w:r w:rsidRPr="00A52BD1">
              <w:rPr>
                <w:rFonts w:ascii="Arial" w:hAnsi="Arial" w:cs="Arial"/>
                <w:color w:val="000000"/>
                <w:sz w:val="18"/>
                <w:szCs w:val="18"/>
              </w:rPr>
              <w:t xml:space="preserve">Governance ( </w:t>
            </w:r>
            <w:proofErr w:type="spellStart"/>
            <w:r w:rsidRPr="00A52BD1">
              <w:rPr>
                <w:rFonts w:ascii="Arial" w:hAnsi="Arial" w:cs="Arial"/>
                <w:color w:val="000000"/>
                <w:sz w:val="18"/>
                <w:szCs w:val="18"/>
              </w:rPr>
              <w:t>inc.</w:t>
            </w:r>
            <w:proofErr w:type="spellEnd"/>
            <w:r w:rsidRPr="00A52BD1">
              <w:rPr>
                <w:rFonts w:ascii="Arial" w:hAnsi="Arial" w:cs="Arial"/>
                <w:color w:val="000000"/>
                <w:sz w:val="18"/>
                <w:szCs w:val="18"/>
              </w:rPr>
              <w:t xml:space="preserve"> Quality)</w:t>
            </w:r>
          </w:p>
        </w:tc>
        <w:tc>
          <w:tcPr>
            <w:tcW w:w="146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331</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179</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177</w:t>
            </w:r>
          </w:p>
        </w:tc>
        <w:tc>
          <w:tcPr>
            <w:tcW w:w="1020" w:type="dxa"/>
            <w:tcBorders>
              <w:top w:val="nil"/>
              <w:left w:val="nil"/>
              <w:bottom w:val="nil"/>
              <w:right w:val="nil"/>
            </w:tcBorders>
            <w:shd w:val="clear" w:color="auto" w:fill="auto"/>
            <w:noWrap/>
            <w:vAlign w:val="bottom"/>
            <w:hideMark/>
          </w:tcPr>
          <w:p w:rsidR="00A52BD1" w:rsidRPr="00A52BD1" w:rsidRDefault="00BF50E4" w:rsidP="00A52BD1">
            <w:pPr>
              <w:jc w:val="right"/>
              <w:rPr>
                <w:rFonts w:ascii="Calibri" w:hAnsi="Calibri"/>
                <w:color w:val="000000"/>
                <w:sz w:val="22"/>
                <w:szCs w:val="22"/>
              </w:rPr>
            </w:pPr>
            <w:r>
              <w:rPr>
                <w:rFonts w:ascii="Calibri" w:hAnsi="Calibri"/>
                <w:color w:val="000000"/>
                <w:sz w:val="22"/>
                <w:szCs w:val="22"/>
              </w:rPr>
              <w:t>-2</w:t>
            </w:r>
          </w:p>
        </w:tc>
        <w:tc>
          <w:tcPr>
            <w:tcW w:w="118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-0.8%</w:t>
            </w:r>
          </w:p>
        </w:tc>
      </w:tr>
      <w:tr w:rsidR="00A52BD1" w:rsidRPr="00A52BD1" w:rsidTr="00A52BD1">
        <w:trPr>
          <w:trHeight w:val="300"/>
        </w:trPr>
        <w:tc>
          <w:tcPr>
            <w:tcW w:w="3660" w:type="dxa"/>
            <w:tcBorders>
              <w:top w:val="nil"/>
              <w:left w:val="single" w:sz="8" w:space="0" w:color="FFFFFF"/>
              <w:bottom w:val="single" w:sz="8" w:space="0" w:color="FFFFFF"/>
              <w:right w:val="single" w:sz="8" w:space="0" w:color="FFFFFF"/>
            </w:tcBorders>
            <w:shd w:val="clear" w:color="auto" w:fill="auto"/>
            <w:vAlign w:val="bottom"/>
            <w:hideMark/>
          </w:tcPr>
          <w:p w:rsidR="00A52BD1" w:rsidRPr="00A52BD1" w:rsidRDefault="00A52BD1" w:rsidP="00A52BD1">
            <w:pPr>
              <w:rPr>
                <w:rFonts w:ascii="Arial" w:hAnsi="Arial" w:cs="Arial"/>
                <w:color w:val="000000"/>
                <w:sz w:val="18"/>
                <w:szCs w:val="18"/>
              </w:rPr>
            </w:pPr>
            <w:r w:rsidRPr="00A52BD1">
              <w:rPr>
                <w:rFonts w:ascii="Arial" w:hAnsi="Arial" w:cs="Arial"/>
                <w:color w:val="000000"/>
                <w:sz w:val="18"/>
                <w:szCs w:val="18"/>
              </w:rPr>
              <w:t>Training</w:t>
            </w:r>
          </w:p>
        </w:tc>
        <w:tc>
          <w:tcPr>
            <w:tcW w:w="146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453</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245</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241</w:t>
            </w:r>
          </w:p>
        </w:tc>
        <w:tc>
          <w:tcPr>
            <w:tcW w:w="1020" w:type="dxa"/>
            <w:tcBorders>
              <w:top w:val="nil"/>
              <w:left w:val="nil"/>
              <w:bottom w:val="nil"/>
              <w:right w:val="nil"/>
            </w:tcBorders>
            <w:shd w:val="clear" w:color="auto" w:fill="auto"/>
            <w:noWrap/>
            <w:vAlign w:val="bottom"/>
            <w:hideMark/>
          </w:tcPr>
          <w:p w:rsidR="00A52BD1" w:rsidRPr="00A52BD1" w:rsidRDefault="00BF50E4" w:rsidP="00A52BD1">
            <w:pPr>
              <w:jc w:val="right"/>
              <w:rPr>
                <w:rFonts w:ascii="Calibri" w:hAnsi="Calibri"/>
                <w:color w:val="000000"/>
                <w:sz w:val="22"/>
                <w:szCs w:val="22"/>
              </w:rPr>
            </w:pPr>
            <w:r>
              <w:rPr>
                <w:rFonts w:ascii="Calibri" w:hAnsi="Calibri"/>
                <w:color w:val="000000"/>
                <w:sz w:val="22"/>
                <w:szCs w:val="22"/>
              </w:rPr>
              <w:t>-4</w:t>
            </w:r>
          </w:p>
        </w:tc>
        <w:tc>
          <w:tcPr>
            <w:tcW w:w="118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-1.9%</w:t>
            </w:r>
          </w:p>
        </w:tc>
      </w:tr>
      <w:tr w:rsidR="00A52BD1" w:rsidRPr="00A52BD1" w:rsidTr="00A52BD1">
        <w:trPr>
          <w:trHeight w:val="288"/>
        </w:trPr>
        <w:tc>
          <w:tcPr>
            <w:tcW w:w="3660" w:type="dxa"/>
            <w:tcBorders>
              <w:top w:val="nil"/>
              <w:left w:val="single" w:sz="8" w:space="0" w:color="FFFFFF"/>
              <w:bottom w:val="nil"/>
              <w:right w:val="single" w:sz="8" w:space="0" w:color="FFFFFF"/>
            </w:tcBorders>
            <w:shd w:val="clear" w:color="auto" w:fill="auto"/>
            <w:vAlign w:val="bottom"/>
            <w:hideMark/>
          </w:tcPr>
          <w:p w:rsidR="00A52BD1" w:rsidRPr="00A52BD1" w:rsidRDefault="00A52BD1" w:rsidP="00A52BD1">
            <w:pPr>
              <w:rPr>
                <w:rFonts w:ascii="Arial" w:hAnsi="Arial" w:cs="Arial"/>
                <w:color w:val="000000"/>
                <w:sz w:val="18"/>
                <w:szCs w:val="18"/>
              </w:rPr>
            </w:pPr>
            <w:r w:rsidRPr="00A52BD1">
              <w:rPr>
                <w:rFonts w:ascii="Arial" w:hAnsi="Arial" w:cs="Arial"/>
                <w:color w:val="000000"/>
                <w:sz w:val="18"/>
                <w:szCs w:val="18"/>
              </w:rPr>
              <w:t xml:space="preserve">Corporate Services ( </w:t>
            </w:r>
            <w:proofErr w:type="spellStart"/>
            <w:r w:rsidRPr="00A52BD1">
              <w:rPr>
                <w:rFonts w:ascii="Arial" w:hAnsi="Arial" w:cs="Arial"/>
                <w:color w:val="000000"/>
                <w:sz w:val="18"/>
                <w:szCs w:val="18"/>
              </w:rPr>
              <w:t>inc</w:t>
            </w:r>
            <w:proofErr w:type="spellEnd"/>
            <w:r w:rsidRPr="00A52BD1">
              <w:rPr>
                <w:rFonts w:ascii="Arial" w:hAnsi="Arial" w:cs="Arial"/>
                <w:color w:val="000000"/>
                <w:sz w:val="18"/>
                <w:szCs w:val="18"/>
              </w:rPr>
              <w:t xml:space="preserve"> IT Services)</w:t>
            </w:r>
          </w:p>
        </w:tc>
        <w:tc>
          <w:tcPr>
            <w:tcW w:w="146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1,263</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634</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629</w:t>
            </w:r>
          </w:p>
        </w:tc>
        <w:tc>
          <w:tcPr>
            <w:tcW w:w="102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-5</w:t>
            </w:r>
          </w:p>
        </w:tc>
        <w:tc>
          <w:tcPr>
            <w:tcW w:w="118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-0.8%</w:t>
            </w:r>
          </w:p>
        </w:tc>
      </w:tr>
      <w:tr w:rsidR="00A52BD1" w:rsidRPr="00A52BD1" w:rsidTr="00A52BD1">
        <w:trPr>
          <w:trHeight w:val="288"/>
        </w:trPr>
        <w:tc>
          <w:tcPr>
            <w:tcW w:w="3660" w:type="dxa"/>
            <w:tcBorders>
              <w:top w:val="nil"/>
              <w:left w:val="single" w:sz="8" w:space="0" w:color="FFFFFF"/>
              <w:bottom w:val="nil"/>
              <w:right w:val="single" w:sz="8" w:space="0" w:color="FFFFFF"/>
            </w:tcBorders>
            <w:shd w:val="clear" w:color="auto" w:fill="auto"/>
            <w:vAlign w:val="bottom"/>
            <w:hideMark/>
          </w:tcPr>
          <w:p w:rsidR="00A52BD1" w:rsidRPr="00A52BD1" w:rsidRDefault="00A52BD1" w:rsidP="00A52BD1">
            <w:pPr>
              <w:rPr>
                <w:rFonts w:ascii="Arial" w:hAnsi="Arial" w:cs="Arial"/>
                <w:color w:val="000000"/>
                <w:sz w:val="18"/>
                <w:szCs w:val="18"/>
              </w:rPr>
            </w:pPr>
            <w:r w:rsidRPr="00A52BD1">
              <w:rPr>
                <w:rFonts w:ascii="Arial" w:hAnsi="Arial" w:cs="Arial"/>
                <w:color w:val="000000"/>
                <w:sz w:val="18"/>
                <w:szCs w:val="18"/>
              </w:rPr>
              <w:t>Transformation</w:t>
            </w:r>
          </w:p>
        </w:tc>
        <w:tc>
          <w:tcPr>
            <w:tcW w:w="1460" w:type="dxa"/>
            <w:tcBorders>
              <w:top w:val="nil"/>
              <w:left w:val="nil"/>
              <w:bottom w:val="nil"/>
              <w:right w:val="nil"/>
            </w:tcBorders>
            <w:shd w:val="clear" w:color="auto" w:fill="auto"/>
            <w:noWrap/>
            <w:vAlign w:val="bottom"/>
            <w:hideMark/>
          </w:tcPr>
          <w:p w:rsidR="00A52BD1" w:rsidRPr="00A52BD1" w:rsidRDefault="00A52BD1" w:rsidP="00BF50E4">
            <w:pPr>
              <w:jc w:val="right"/>
              <w:rPr>
                <w:rFonts w:ascii="Calibri" w:hAnsi="Calibri"/>
                <w:color w:val="000000"/>
                <w:sz w:val="22"/>
                <w:szCs w:val="22"/>
              </w:rPr>
            </w:pPr>
            <w:r w:rsidRPr="00A52BD1">
              <w:rPr>
                <w:rFonts w:ascii="Calibri" w:hAnsi="Calibri"/>
                <w:color w:val="000000"/>
                <w:sz w:val="22"/>
                <w:szCs w:val="22"/>
              </w:rPr>
              <w:t>2,</w:t>
            </w:r>
            <w:r w:rsidR="00BF50E4">
              <w:rPr>
                <w:rFonts w:ascii="Calibri" w:hAnsi="Calibri"/>
                <w:color w:val="000000"/>
                <w:sz w:val="22"/>
                <w:szCs w:val="22"/>
              </w:rPr>
              <w:t>25</w:t>
            </w:r>
            <w:r w:rsidRPr="00A52BD1">
              <w:rPr>
                <w:rFonts w:ascii="Calibri" w:hAnsi="Calibri"/>
                <w:color w:val="000000"/>
                <w:sz w:val="22"/>
                <w:szCs w:val="22"/>
              </w:rPr>
              <w:t>7</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853</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859</w:t>
            </w:r>
          </w:p>
        </w:tc>
        <w:tc>
          <w:tcPr>
            <w:tcW w:w="102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6</w:t>
            </w:r>
          </w:p>
        </w:tc>
        <w:tc>
          <w:tcPr>
            <w:tcW w:w="118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0.7%</w:t>
            </w:r>
          </w:p>
        </w:tc>
      </w:tr>
      <w:tr w:rsidR="00A52BD1" w:rsidRPr="00A52BD1" w:rsidTr="00A52BD1">
        <w:trPr>
          <w:trHeight w:val="288"/>
        </w:trPr>
        <w:tc>
          <w:tcPr>
            <w:tcW w:w="3660" w:type="dxa"/>
            <w:tcBorders>
              <w:top w:val="nil"/>
              <w:left w:val="single" w:sz="8" w:space="0" w:color="FFFFFF"/>
              <w:bottom w:val="nil"/>
              <w:right w:val="single" w:sz="8" w:space="0" w:color="FFFFFF"/>
            </w:tcBorders>
            <w:shd w:val="clear" w:color="auto" w:fill="auto"/>
            <w:vAlign w:val="bottom"/>
            <w:hideMark/>
          </w:tcPr>
          <w:p w:rsidR="00A52BD1" w:rsidRPr="00A52BD1" w:rsidRDefault="00A52BD1" w:rsidP="00A52BD1">
            <w:pPr>
              <w:rPr>
                <w:rFonts w:ascii="Arial" w:hAnsi="Arial" w:cs="Arial"/>
                <w:color w:val="000000"/>
                <w:sz w:val="18"/>
                <w:szCs w:val="18"/>
              </w:rPr>
            </w:pPr>
            <w:r w:rsidRPr="00A52BD1">
              <w:rPr>
                <w:rFonts w:ascii="Arial" w:hAnsi="Arial" w:cs="Arial"/>
                <w:color w:val="000000"/>
                <w:sz w:val="18"/>
                <w:szCs w:val="18"/>
              </w:rPr>
              <w:t>Premises</w:t>
            </w:r>
          </w:p>
        </w:tc>
        <w:tc>
          <w:tcPr>
            <w:tcW w:w="146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846</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551</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552</w:t>
            </w:r>
          </w:p>
        </w:tc>
        <w:tc>
          <w:tcPr>
            <w:tcW w:w="1020" w:type="dxa"/>
            <w:tcBorders>
              <w:top w:val="nil"/>
              <w:left w:val="nil"/>
              <w:bottom w:val="nil"/>
              <w:right w:val="nil"/>
            </w:tcBorders>
            <w:shd w:val="clear" w:color="auto" w:fill="auto"/>
            <w:noWrap/>
            <w:vAlign w:val="bottom"/>
            <w:hideMark/>
          </w:tcPr>
          <w:p w:rsidR="00A52BD1" w:rsidRPr="00A52BD1" w:rsidRDefault="00BF50E4" w:rsidP="00A52BD1">
            <w:pPr>
              <w:jc w:val="right"/>
              <w:rPr>
                <w:rFonts w:ascii="Calibri" w:hAnsi="Calibri"/>
                <w:color w:val="000000"/>
                <w:sz w:val="22"/>
                <w:szCs w:val="22"/>
              </w:rPr>
            </w:pPr>
            <w:r>
              <w:rPr>
                <w:rFonts w:ascii="Calibri" w:hAnsi="Calibri"/>
                <w:color w:val="000000"/>
                <w:sz w:val="22"/>
                <w:szCs w:val="22"/>
              </w:rPr>
              <w:t>1</w:t>
            </w:r>
          </w:p>
        </w:tc>
        <w:tc>
          <w:tcPr>
            <w:tcW w:w="118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0.3%</w:t>
            </w:r>
          </w:p>
        </w:tc>
      </w:tr>
      <w:tr w:rsidR="00A52BD1" w:rsidRPr="00A52BD1" w:rsidTr="00A52BD1">
        <w:trPr>
          <w:trHeight w:val="288"/>
        </w:trPr>
        <w:tc>
          <w:tcPr>
            <w:tcW w:w="3660" w:type="dxa"/>
            <w:tcBorders>
              <w:top w:val="nil"/>
              <w:left w:val="single" w:sz="8" w:space="0" w:color="FFFFFF"/>
              <w:bottom w:val="nil"/>
              <w:right w:val="single" w:sz="8" w:space="0" w:color="FFFFFF"/>
            </w:tcBorders>
            <w:shd w:val="clear" w:color="auto" w:fill="auto"/>
            <w:vAlign w:val="bottom"/>
            <w:hideMark/>
          </w:tcPr>
          <w:p w:rsidR="00A52BD1" w:rsidRPr="00A52BD1" w:rsidRDefault="00A52BD1" w:rsidP="00A52BD1">
            <w:pPr>
              <w:rPr>
                <w:rFonts w:ascii="Arial" w:hAnsi="Arial" w:cs="Arial"/>
                <w:color w:val="000000"/>
                <w:sz w:val="18"/>
                <w:szCs w:val="18"/>
              </w:rPr>
            </w:pPr>
            <w:r w:rsidRPr="00A52BD1">
              <w:rPr>
                <w:rFonts w:ascii="Arial" w:hAnsi="Arial" w:cs="Arial"/>
                <w:color w:val="000000"/>
                <w:sz w:val="18"/>
                <w:szCs w:val="18"/>
              </w:rPr>
              <w:t xml:space="preserve">Finance, Procurement &amp; Estates </w:t>
            </w:r>
          </w:p>
        </w:tc>
        <w:tc>
          <w:tcPr>
            <w:tcW w:w="146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715</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316</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311</w:t>
            </w:r>
          </w:p>
        </w:tc>
        <w:tc>
          <w:tcPr>
            <w:tcW w:w="102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-5</w:t>
            </w:r>
          </w:p>
        </w:tc>
        <w:tc>
          <w:tcPr>
            <w:tcW w:w="118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-1.6%</w:t>
            </w:r>
          </w:p>
        </w:tc>
      </w:tr>
      <w:tr w:rsidR="00A52BD1" w:rsidRPr="00A52BD1" w:rsidTr="00A52BD1">
        <w:trPr>
          <w:trHeight w:val="288"/>
        </w:trPr>
        <w:tc>
          <w:tcPr>
            <w:tcW w:w="3660" w:type="dxa"/>
            <w:tcBorders>
              <w:top w:val="nil"/>
              <w:left w:val="single" w:sz="8" w:space="0" w:color="FFFFFF"/>
              <w:bottom w:val="nil"/>
              <w:right w:val="single" w:sz="8" w:space="0" w:color="FFFFFF"/>
            </w:tcBorders>
            <w:shd w:val="clear" w:color="auto" w:fill="auto"/>
            <w:vAlign w:val="bottom"/>
            <w:hideMark/>
          </w:tcPr>
          <w:p w:rsidR="00A52BD1" w:rsidRPr="00A52BD1" w:rsidRDefault="00A52BD1" w:rsidP="00A52BD1">
            <w:pPr>
              <w:rPr>
                <w:rFonts w:ascii="Arial" w:hAnsi="Arial" w:cs="Arial"/>
                <w:color w:val="000000"/>
                <w:sz w:val="18"/>
                <w:szCs w:val="18"/>
              </w:rPr>
            </w:pPr>
            <w:r w:rsidRPr="00A52BD1">
              <w:rPr>
                <w:rFonts w:ascii="Arial" w:hAnsi="Arial" w:cs="Arial"/>
                <w:color w:val="000000"/>
                <w:sz w:val="18"/>
                <w:szCs w:val="18"/>
              </w:rPr>
              <w:t>Reserves</w:t>
            </w:r>
          </w:p>
        </w:tc>
        <w:tc>
          <w:tcPr>
            <w:tcW w:w="146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68</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0</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0</w:t>
            </w:r>
          </w:p>
        </w:tc>
        <w:tc>
          <w:tcPr>
            <w:tcW w:w="102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0</w:t>
            </w:r>
          </w:p>
        </w:tc>
        <w:tc>
          <w:tcPr>
            <w:tcW w:w="118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0.0%</w:t>
            </w:r>
          </w:p>
        </w:tc>
      </w:tr>
      <w:tr w:rsidR="00A52BD1" w:rsidRPr="00A52BD1" w:rsidTr="00A52BD1">
        <w:trPr>
          <w:trHeight w:val="288"/>
        </w:trPr>
        <w:tc>
          <w:tcPr>
            <w:tcW w:w="3660" w:type="dxa"/>
            <w:tcBorders>
              <w:top w:val="nil"/>
              <w:left w:val="single" w:sz="8" w:space="0" w:color="FFFFFF"/>
              <w:bottom w:val="nil"/>
              <w:right w:val="single" w:sz="8" w:space="0" w:color="FFFFFF"/>
            </w:tcBorders>
            <w:shd w:val="clear" w:color="auto" w:fill="auto"/>
            <w:vAlign w:val="bottom"/>
            <w:hideMark/>
          </w:tcPr>
          <w:p w:rsidR="00A52BD1" w:rsidRPr="00A52BD1" w:rsidRDefault="00A52BD1" w:rsidP="00A52BD1">
            <w:pPr>
              <w:rPr>
                <w:rFonts w:ascii="Arial" w:hAnsi="Arial" w:cs="Arial"/>
                <w:color w:val="000000"/>
                <w:sz w:val="18"/>
                <w:szCs w:val="18"/>
              </w:rPr>
            </w:pPr>
            <w:r w:rsidRPr="00A52BD1">
              <w:rPr>
                <w:rFonts w:ascii="Arial" w:hAnsi="Arial" w:cs="Arial"/>
                <w:color w:val="000000"/>
                <w:sz w:val="18"/>
                <w:szCs w:val="18"/>
              </w:rPr>
              <w:t>Depreciation</w:t>
            </w:r>
          </w:p>
        </w:tc>
        <w:tc>
          <w:tcPr>
            <w:tcW w:w="146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1,000</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427</w:t>
            </w:r>
          </w:p>
        </w:tc>
        <w:tc>
          <w:tcPr>
            <w:tcW w:w="114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427</w:t>
            </w:r>
          </w:p>
        </w:tc>
        <w:tc>
          <w:tcPr>
            <w:tcW w:w="102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0</w:t>
            </w:r>
          </w:p>
        </w:tc>
        <w:tc>
          <w:tcPr>
            <w:tcW w:w="1180" w:type="dxa"/>
            <w:tcBorders>
              <w:top w:val="nil"/>
              <w:left w:val="nil"/>
              <w:bottom w:val="nil"/>
              <w:right w:val="nil"/>
            </w:tcBorders>
            <w:shd w:val="clear" w:color="auto" w:fill="auto"/>
            <w:noWrap/>
            <w:vAlign w:val="bottom"/>
            <w:hideMark/>
          </w:tcPr>
          <w:p w:rsidR="00A52BD1" w:rsidRPr="00A52BD1" w:rsidRDefault="00A52BD1" w:rsidP="00A52BD1">
            <w:pPr>
              <w:jc w:val="right"/>
              <w:rPr>
                <w:rFonts w:ascii="Calibri" w:hAnsi="Calibri"/>
                <w:color w:val="000000"/>
                <w:sz w:val="22"/>
                <w:szCs w:val="22"/>
              </w:rPr>
            </w:pPr>
            <w:r w:rsidRPr="00A52BD1">
              <w:rPr>
                <w:rFonts w:ascii="Calibri" w:hAnsi="Calibri"/>
                <w:color w:val="000000"/>
                <w:sz w:val="22"/>
                <w:szCs w:val="22"/>
              </w:rPr>
              <w:t>0.0%</w:t>
            </w:r>
          </w:p>
        </w:tc>
      </w:tr>
      <w:tr w:rsidR="00A52BD1" w:rsidRPr="00A52BD1" w:rsidTr="00A52BD1">
        <w:trPr>
          <w:trHeight w:val="288"/>
        </w:trPr>
        <w:tc>
          <w:tcPr>
            <w:tcW w:w="3660" w:type="dxa"/>
            <w:tcBorders>
              <w:top w:val="nil"/>
              <w:left w:val="single" w:sz="8" w:space="0" w:color="FFFFFF"/>
              <w:bottom w:val="nil"/>
              <w:right w:val="single" w:sz="8" w:space="0" w:color="FFFFFF"/>
            </w:tcBorders>
            <w:shd w:val="clear" w:color="000000" w:fill="365F91"/>
            <w:vAlign w:val="bottom"/>
            <w:hideMark/>
          </w:tcPr>
          <w:p w:rsidR="00A52BD1" w:rsidRPr="00A52BD1" w:rsidRDefault="00A52BD1" w:rsidP="00A52BD1">
            <w:pPr>
              <w:rPr>
                <w:rFonts w:ascii="Arial" w:hAnsi="Arial" w:cs="Arial"/>
                <w:b/>
                <w:bCs/>
                <w:color w:val="FFFFFF"/>
                <w:sz w:val="18"/>
                <w:szCs w:val="18"/>
              </w:rPr>
            </w:pPr>
            <w:r w:rsidRPr="00A52BD1">
              <w:rPr>
                <w:rFonts w:ascii="Arial" w:hAnsi="Arial" w:cs="Arial"/>
                <w:b/>
                <w:bCs/>
                <w:color w:val="FFFFFF"/>
                <w:sz w:val="18"/>
                <w:szCs w:val="18"/>
              </w:rPr>
              <w:t xml:space="preserve"> Total Expenditure</w:t>
            </w:r>
          </w:p>
        </w:tc>
        <w:tc>
          <w:tcPr>
            <w:tcW w:w="1460" w:type="dxa"/>
            <w:tcBorders>
              <w:top w:val="nil"/>
              <w:left w:val="nil"/>
              <w:bottom w:val="nil"/>
              <w:right w:val="single" w:sz="8" w:space="0" w:color="FFFFFF"/>
            </w:tcBorders>
            <w:shd w:val="clear" w:color="000000" w:fill="365F91"/>
            <w:vAlign w:val="bottom"/>
            <w:hideMark/>
          </w:tcPr>
          <w:p w:rsidR="00A52BD1" w:rsidRPr="00A52BD1" w:rsidRDefault="00BF50E4" w:rsidP="00A52BD1">
            <w:pPr>
              <w:jc w:val="right"/>
              <w:rPr>
                <w:rFonts w:ascii="Arial" w:hAnsi="Arial" w:cs="Arial"/>
                <w:b/>
                <w:bCs/>
                <w:color w:val="FFFFFF"/>
                <w:sz w:val="18"/>
                <w:szCs w:val="18"/>
              </w:rPr>
            </w:pPr>
            <w:r>
              <w:rPr>
                <w:rFonts w:ascii="Arial" w:hAnsi="Arial" w:cs="Arial"/>
                <w:b/>
                <w:bCs/>
                <w:color w:val="FFFFFF"/>
                <w:sz w:val="18"/>
                <w:szCs w:val="18"/>
              </w:rPr>
              <w:t>15,41</w:t>
            </w:r>
            <w:r w:rsidR="00A52BD1" w:rsidRPr="00A52BD1">
              <w:rPr>
                <w:rFonts w:ascii="Arial" w:hAnsi="Arial" w:cs="Arial"/>
                <w:b/>
                <w:bCs/>
                <w:color w:val="FFFFFF"/>
                <w:sz w:val="18"/>
                <w:szCs w:val="18"/>
              </w:rPr>
              <w:t>8</w:t>
            </w:r>
          </w:p>
        </w:tc>
        <w:tc>
          <w:tcPr>
            <w:tcW w:w="1140" w:type="dxa"/>
            <w:tcBorders>
              <w:top w:val="nil"/>
              <w:left w:val="nil"/>
              <w:bottom w:val="nil"/>
              <w:right w:val="single" w:sz="8" w:space="0" w:color="FFFFFF"/>
            </w:tcBorders>
            <w:shd w:val="clear" w:color="000000" w:fill="365F91"/>
            <w:vAlign w:val="bottom"/>
            <w:hideMark/>
          </w:tcPr>
          <w:p w:rsidR="00A52BD1" w:rsidRPr="00A52BD1" w:rsidRDefault="00A52BD1" w:rsidP="00A52BD1">
            <w:pPr>
              <w:jc w:val="right"/>
              <w:rPr>
                <w:rFonts w:ascii="Arial" w:hAnsi="Arial" w:cs="Arial"/>
                <w:b/>
                <w:bCs/>
                <w:color w:val="FFFFFF"/>
                <w:sz w:val="18"/>
                <w:szCs w:val="18"/>
              </w:rPr>
            </w:pPr>
            <w:r w:rsidRPr="00A52BD1">
              <w:rPr>
                <w:rFonts w:ascii="Arial" w:hAnsi="Arial" w:cs="Arial"/>
                <w:b/>
                <w:bCs/>
                <w:color w:val="FFFFFF"/>
                <w:sz w:val="18"/>
                <w:szCs w:val="18"/>
              </w:rPr>
              <w:t>7,397</w:t>
            </w:r>
          </w:p>
        </w:tc>
        <w:tc>
          <w:tcPr>
            <w:tcW w:w="1140" w:type="dxa"/>
            <w:tcBorders>
              <w:top w:val="nil"/>
              <w:left w:val="nil"/>
              <w:bottom w:val="nil"/>
              <w:right w:val="single" w:sz="8" w:space="0" w:color="FFFFFF"/>
            </w:tcBorders>
            <w:shd w:val="clear" w:color="000000" w:fill="365F91"/>
            <w:vAlign w:val="bottom"/>
            <w:hideMark/>
          </w:tcPr>
          <w:p w:rsidR="00A52BD1" w:rsidRPr="00A52BD1" w:rsidRDefault="00A52BD1" w:rsidP="00A52BD1">
            <w:pPr>
              <w:jc w:val="right"/>
              <w:rPr>
                <w:rFonts w:ascii="Arial" w:hAnsi="Arial" w:cs="Arial"/>
                <w:b/>
                <w:bCs/>
                <w:color w:val="FFFFFF"/>
                <w:sz w:val="18"/>
                <w:szCs w:val="18"/>
              </w:rPr>
            </w:pPr>
            <w:r w:rsidRPr="00A52BD1">
              <w:rPr>
                <w:rFonts w:ascii="Arial" w:hAnsi="Arial" w:cs="Arial"/>
                <w:b/>
                <w:bCs/>
                <w:color w:val="FFFFFF"/>
                <w:sz w:val="18"/>
                <w:szCs w:val="18"/>
              </w:rPr>
              <w:t>7,373</w:t>
            </w:r>
          </w:p>
        </w:tc>
        <w:tc>
          <w:tcPr>
            <w:tcW w:w="1020" w:type="dxa"/>
            <w:tcBorders>
              <w:top w:val="nil"/>
              <w:left w:val="nil"/>
              <w:bottom w:val="nil"/>
              <w:right w:val="single" w:sz="8" w:space="0" w:color="FFFFFF"/>
            </w:tcBorders>
            <w:shd w:val="clear" w:color="000000" w:fill="365F91"/>
            <w:vAlign w:val="bottom"/>
            <w:hideMark/>
          </w:tcPr>
          <w:p w:rsidR="00A52BD1" w:rsidRPr="00A52BD1" w:rsidRDefault="00A52BD1" w:rsidP="00A52BD1">
            <w:pPr>
              <w:jc w:val="right"/>
              <w:rPr>
                <w:rFonts w:ascii="Arial" w:hAnsi="Arial" w:cs="Arial"/>
                <w:b/>
                <w:bCs/>
                <w:color w:val="FFFFFF"/>
                <w:sz w:val="18"/>
                <w:szCs w:val="18"/>
              </w:rPr>
            </w:pPr>
            <w:r w:rsidRPr="00A52BD1">
              <w:rPr>
                <w:rFonts w:ascii="Arial" w:hAnsi="Arial" w:cs="Arial"/>
                <w:b/>
                <w:bCs/>
                <w:color w:val="FFFFFF"/>
                <w:sz w:val="18"/>
                <w:szCs w:val="18"/>
              </w:rPr>
              <w:t>-24</w:t>
            </w:r>
          </w:p>
        </w:tc>
        <w:tc>
          <w:tcPr>
            <w:tcW w:w="1180" w:type="dxa"/>
            <w:tcBorders>
              <w:top w:val="nil"/>
              <w:left w:val="nil"/>
              <w:bottom w:val="nil"/>
              <w:right w:val="single" w:sz="8" w:space="0" w:color="FFFFFF"/>
            </w:tcBorders>
            <w:shd w:val="clear" w:color="000000" w:fill="365F91"/>
            <w:vAlign w:val="bottom"/>
            <w:hideMark/>
          </w:tcPr>
          <w:p w:rsidR="00A52BD1" w:rsidRPr="00A52BD1" w:rsidRDefault="00A52BD1" w:rsidP="00A52BD1">
            <w:pPr>
              <w:jc w:val="right"/>
              <w:rPr>
                <w:rFonts w:ascii="Arial" w:hAnsi="Arial" w:cs="Arial"/>
                <w:b/>
                <w:bCs/>
                <w:color w:val="FFFFFF"/>
                <w:sz w:val="18"/>
                <w:szCs w:val="18"/>
              </w:rPr>
            </w:pPr>
            <w:r w:rsidRPr="00A52BD1">
              <w:rPr>
                <w:rFonts w:ascii="Arial" w:hAnsi="Arial" w:cs="Arial"/>
                <w:b/>
                <w:bCs/>
                <w:color w:val="FFFFFF"/>
                <w:sz w:val="18"/>
                <w:szCs w:val="18"/>
              </w:rPr>
              <w:t>-0.3%</w:t>
            </w:r>
          </w:p>
        </w:tc>
      </w:tr>
      <w:tr w:rsidR="00A52BD1" w:rsidRPr="00A52BD1" w:rsidTr="00A52BD1">
        <w:trPr>
          <w:trHeight w:val="288"/>
        </w:trPr>
        <w:tc>
          <w:tcPr>
            <w:tcW w:w="3660" w:type="dxa"/>
            <w:tcBorders>
              <w:top w:val="nil"/>
              <w:left w:val="single" w:sz="8" w:space="0" w:color="FFFFFF"/>
              <w:bottom w:val="nil"/>
              <w:right w:val="single" w:sz="8" w:space="0" w:color="FFFFFF"/>
            </w:tcBorders>
            <w:shd w:val="clear" w:color="000000" w:fill="365F91"/>
            <w:vAlign w:val="bottom"/>
            <w:hideMark/>
          </w:tcPr>
          <w:p w:rsidR="00A52BD1" w:rsidRPr="00A52BD1" w:rsidRDefault="00A52BD1" w:rsidP="00A52BD1">
            <w:pPr>
              <w:rPr>
                <w:rFonts w:ascii="Arial" w:hAnsi="Arial" w:cs="Arial"/>
                <w:b/>
                <w:bCs/>
                <w:color w:val="FFFFFF"/>
                <w:sz w:val="18"/>
                <w:szCs w:val="18"/>
              </w:rPr>
            </w:pPr>
            <w:r w:rsidRPr="00A52BD1">
              <w:rPr>
                <w:rFonts w:ascii="Arial" w:hAnsi="Arial" w:cs="Arial"/>
                <w:b/>
                <w:bCs/>
                <w:color w:val="FFFFFF"/>
                <w:sz w:val="18"/>
                <w:szCs w:val="18"/>
              </w:rPr>
              <w:t>Surplus /Deficit</w:t>
            </w:r>
          </w:p>
        </w:tc>
        <w:tc>
          <w:tcPr>
            <w:tcW w:w="1460" w:type="dxa"/>
            <w:tcBorders>
              <w:top w:val="nil"/>
              <w:left w:val="nil"/>
              <w:bottom w:val="nil"/>
              <w:right w:val="single" w:sz="8" w:space="0" w:color="FFFFFF"/>
            </w:tcBorders>
            <w:shd w:val="clear" w:color="000000" w:fill="365F91"/>
            <w:vAlign w:val="bottom"/>
            <w:hideMark/>
          </w:tcPr>
          <w:p w:rsidR="00A52BD1" w:rsidRPr="00A52BD1" w:rsidRDefault="00A52BD1" w:rsidP="00A52BD1">
            <w:pPr>
              <w:jc w:val="right"/>
              <w:rPr>
                <w:rFonts w:ascii="Arial" w:hAnsi="Arial" w:cs="Arial"/>
                <w:b/>
                <w:bCs/>
                <w:color w:val="FFFFFF"/>
                <w:sz w:val="18"/>
                <w:szCs w:val="18"/>
              </w:rPr>
            </w:pPr>
            <w:r w:rsidRPr="00A52BD1">
              <w:rPr>
                <w:rFonts w:ascii="Arial" w:hAnsi="Arial" w:cs="Arial"/>
                <w:b/>
                <w:bCs/>
                <w:color w:val="FFFFFF"/>
                <w:sz w:val="18"/>
                <w:szCs w:val="18"/>
              </w:rPr>
              <w:t>-0</w:t>
            </w:r>
          </w:p>
        </w:tc>
        <w:tc>
          <w:tcPr>
            <w:tcW w:w="1140" w:type="dxa"/>
            <w:tcBorders>
              <w:top w:val="nil"/>
              <w:left w:val="nil"/>
              <w:bottom w:val="nil"/>
              <w:right w:val="single" w:sz="8" w:space="0" w:color="FFFFFF"/>
            </w:tcBorders>
            <w:shd w:val="clear" w:color="000000" w:fill="365F91"/>
            <w:vAlign w:val="bottom"/>
            <w:hideMark/>
          </w:tcPr>
          <w:p w:rsidR="00A52BD1" w:rsidRPr="00A52BD1" w:rsidRDefault="00A52BD1" w:rsidP="00A52BD1">
            <w:pPr>
              <w:jc w:val="right"/>
              <w:rPr>
                <w:rFonts w:ascii="Arial" w:hAnsi="Arial" w:cs="Arial"/>
                <w:b/>
                <w:bCs/>
                <w:color w:val="FFFFFF"/>
                <w:sz w:val="18"/>
                <w:szCs w:val="18"/>
              </w:rPr>
            </w:pPr>
            <w:r w:rsidRPr="00A52BD1">
              <w:rPr>
                <w:rFonts w:ascii="Arial" w:hAnsi="Arial" w:cs="Arial"/>
                <w:b/>
                <w:bCs/>
                <w:color w:val="FFFFFF"/>
                <w:sz w:val="18"/>
                <w:szCs w:val="18"/>
              </w:rPr>
              <w:t>0</w:t>
            </w:r>
          </w:p>
        </w:tc>
        <w:tc>
          <w:tcPr>
            <w:tcW w:w="1140" w:type="dxa"/>
            <w:tcBorders>
              <w:top w:val="nil"/>
              <w:left w:val="nil"/>
              <w:bottom w:val="nil"/>
              <w:right w:val="single" w:sz="8" w:space="0" w:color="FFFFFF"/>
            </w:tcBorders>
            <w:shd w:val="clear" w:color="000000" w:fill="365F91"/>
            <w:vAlign w:val="bottom"/>
            <w:hideMark/>
          </w:tcPr>
          <w:p w:rsidR="00A52BD1" w:rsidRPr="00A52BD1" w:rsidRDefault="00A52BD1" w:rsidP="00A52BD1">
            <w:pPr>
              <w:jc w:val="right"/>
              <w:rPr>
                <w:rFonts w:ascii="Arial" w:hAnsi="Arial" w:cs="Arial"/>
                <w:b/>
                <w:bCs/>
                <w:color w:val="FFFFFF"/>
                <w:sz w:val="18"/>
                <w:szCs w:val="18"/>
              </w:rPr>
            </w:pPr>
            <w:r w:rsidRPr="00A52BD1">
              <w:rPr>
                <w:rFonts w:ascii="Arial" w:hAnsi="Arial" w:cs="Arial"/>
                <w:b/>
                <w:bCs/>
                <w:color w:val="FFFFFF"/>
                <w:sz w:val="18"/>
                <w:szCs w:val="18"/>
              </w:rPr>
              <w:t>0</w:t>
            </w:r>
          </w:p>
        </w:tc>
        <w:tc>
          <w:tcPr>
            <w:tcW w:w="1020" w:type="dxa"/>
            <w:tcBorders>
              <w:top w:val="nil"/>
              <w:left w:val="nil"/>
              <w:bottom w:val="nil"/>
              <w:right w:val="single" w:sz="8" w:space="0" w:color="FFFFFF"/>
            </w:tcBorders>
            <w:shd w:val="clear" w:color="000000" w:fill="365F91"/>
            <w:vAlign w:val="bottom"/>
            <w:hideMark/>
          </w:tcPr>
          <w:p w:rsidR="00A52BD1" w:rsidRPr="00A52BD1" w:rsidRDefault="00A52BD1" w:rsidP="00A52BD1">
            <w:pPr>
              <w:jc w:val="right"/>
              <w:rPr>
                <w:rFonts w:ascii="Arial" w:hAnsi="Arial" w:cs="Arial"/>
                <w:b/>
                <w:bCs/>
                <w:color w:val="FFFFFF"/>
                <w:sz w:val="18"/>
                <w:szCs w:val="18"/>
              </w:rPr>
            </w:pPr>
            <w:r w:rsidRPr="00A52BD1">
              <w:rPr>
                <w:rFonts w:ascii="Arial" w:hAnsi="Arial" w:cs="Arial"/>
                <w:b/>
                <w:bCs/>
                <w:color w:val="FFFFFF"/>
                <w:sz w:val="18"/>
                <w:szCs w:val="18"/>
              </w:rPr>
              <w:t>0</w:t>
            </w:r>
          </w:p>
        </w:tc>
        <w:tc>
          <w:tcPr>
            <w:tcW w:w="1180" w:type="dxa"/>
            <w:tcBorders>
              <w:top w:val="nil"/>
              <w:left w:val="nil"/>
              <w:bottom w:val="nil"/>
              <w:right w:val="single" w:sz="8" w:space="0" w:color="FFFFFF"/>
            </w:tcBorders>
            <w:shd w:val="clear" w:color="000000" w:fill="365F91"/>
            <w:vAlign w:val="bottom"/>
            <w:hideMark/>
          </w:tcPr>
          <w:p w:rsidR="00A52BD1" w:rsidRPr="00A52BD1" w:rsidRDefault="00A52BD1" w:rsidP="00A52BD1">
            <w:pPr>
              <w:jc w:val="right"/>
              <w:rPr>
                <w:rFonts w:ascii="Arial" w:hAnsi="Arial" w:cs="Arial"/>
                <w:b/>
                <w:bCs/>
                <w:color w:val="FFFFFF"/>
                <w:sz w:val="18"/>
                <w:szCs w:val="18"/>
              </w:rPr>
            </w:pPr>
            <w:r w:rsidRPr="00A52BD1">
              <w:rPr>
                <w:rFonts w:ascii="Arial" w:hAnsi="Arial" w:cs="Arial"/>
                <w:b/>
                <w:bCs/>
                <w:color w:val="FFFFFF"/>
                <w:sz w:val="18"/>
                <w:szCs w:val="18"/>
              </w:rPr>
              <w:t> </w:t>
            </w:r>
          </w:p>
        </w:tc>
      </w:tr>
    </w:tbl>
    <w:p w:rsidR="001B0417" w:rsidRDefault="00CD5079" w:rsidP="007C5117">
      <w:pPr>
        <w:spacing w:after="200" w:line="276" w:lineRule="auto"/>
        <w:rPr>
          <w:rFonts w:ascii="Arial" w:hAnsi="Arial" w:cs="Arial"/>
          <w:b/>
          <w:sz w:val="22"/>
          <w:szCs w:val="22"/>
        </w:rPr>
      </w:pPr>
      <w:r>
        <w:rPr>
          <w:rFonts w:ascii="Arial" w:hAnsi="Arial" w:cs="Arial"/>
          <w:b/>
          <w:sz w:val="22"/>
          <w:szCs w:val="22"/>
        </w:rPr>
        <w:br w:type="page"/>
      </w:r>
      <w:r w:rsidR="00E87F9E">
        <w:rPr>
          <w:rFonts w:ascii="Arial" w:hAnsi="Arial" w:cs="Arial"/>
          <w:b/>
          <w:sz w:val="22"/>
          <w:szCs w:val="22"/>
        </w:rPr>
        <w:lastRenderedPageBreak/>
        <w:t>H</w:t>
      </w:r>
      <w:r w:rsidR="00F5159E">
        <w:rPr>
          <w:rFonts w:ascii="Arial" w:hAnsi="Arial" w:cs="Arial"/>
          <w:b/>
          <w:sz w:val="22"/>
          <w:szCs w:val="22"/>
        </w:rPr>
        <w:t>ighlight</w:t>
      </w:r>
      <w:r w:rsidR="00E87F9E">
        <w:rPr>
          <w:rFonts w:ascii="Arial" w:hAnsi="Arial" w:cs="Arial"/>
          <w:b/>
          <w:sz w:val="22"/>
          <w:szCs w:val="22"/>
        </w:rPr>
        <w:t xml:space="preserve"> report</w:t>
      </w:r>
      <w:r w:rsidR="001B0417">
        <w:rPr>
          <w:rFonts w:ascii="Arial" w:hAnsi="Arial" w:cs="Arial"/>
          <w:b/>
          <w:sz w:val="22"/>
          <w:szCs w:val="22"/>
        </w:rPr>
        <w:t>:</w:t>
      </w:r>
    </w:p>
    <w:p w:rsidR="003A2BEF" w:rsidRDefault="003A2BEF" w:rsidP="007C5117">
      <w:pPr>
        <w:spacing w:after="200" w:line="276" w:lineRule="auto"/>
        <w:rPr>
          <w:rFonts w:ascii="Arial" w:hAnsi="Arial" w:cs="Arial"/>
          <w:b/>
          <w:sz w:val="22"/>
          <w:szCs w:val="22"/>
        </w:rPr>
      </w:pPr>
      <w:r>
        <w:rPr>
          <w:rFonts w:ascii="Arial" w:hAnsi="Arial" w:cs="Arial"/>
          <w:b/>
          <w:sz w:val="22"/>
          <w:szCs w:val="22"/>
        </w:rPr>
        <w:t>Overall</w:t>
      </w:r>
    </w:p>
    <w:p w:rsidR="003A2BEF" w:rsidRDefault="003A2BEF" w:rsidP="007C5117">
      <w:pPr>
        <w:spacing w:after="200" w:line="276" w:lineRule="auto"/>
        <w:rPr>
          <w:rFonts w:ascii="Arial" w:hAnsi="Arial" w:cs="Arial"/>
          <w:sz w:val="22"/>
          <w:szCs w:val="22"/>
        </w:rPr>
      </w:pPr>
      <w:r w:rsidRPr="00E87F9E">
        <w:rPr>
          <w:rFonts w:ascii="Arial" w:hAnsi="Arial" w:cs="Arial"/>
          <w:b/>
          <w:sz w:val="22"/>
          <w:szCs w:val="22"/>
        </w:rPr>
        <w:t>No significant issues</w:t>
      </w:r>
      <w:r w:rsidRPr="003A2BEF">
        <w:rPr>
          <w:rFonts w:ascii="Arial" w:hAnsi="Arial" w:cs="Arial"/>
          <w:sz w:val="22"/>
          <w:szCs w:val="22"/>
        </w:rPr>
        <w:t xml:space="preserve"> </w:t>
      </w:r>
      <w:r w:rsidR="00455FF2">
        <w:rPr>
          <w:rFonts w:ascii="Arial" w:hAnsi="Arial" w:cs="Arial"/>
          <w:sz w:val="22"/>
          <w:szCs w:val="22"/>
        </w:rPr>
        <w:t>on</w:t>
      </w:r>
      <w:r w:rsidR="00E554BD">
        <w:rPr>
          <w:rFonts w:ascii="Arial" w:hAnsi="Arial" w:cs="Arial"/>
          <w:sz w:val="22"/>
          <w:szCs w:val="22"/>
        </w:rPr>
        <w:t xml:space="preserve"> business as usual activities</w:t>
      </w:r>
      <w:r w:rsidRPr="003A2BEF">
        <w:rPr>
          <w:rFonts w:ascii="Arial" w:hAnsi="Arial" w:cs="Arial"/>
          <w:sz w:val="22"/>
          <w:szCs w:val="22"/>
        </w:rPr>
        <w:t xml:space="preserve"> </w:t>
      </w:r>
      <w:r w:rsidR="00F35892">
        <w:rPr>
          <w:rFonts w:ascii="Arial" w:hAnsi="Arial" w:cs="Arial"/>
          <w:sz w:val="22"/>
          <w:szCs w:val="22"/>
        </w:rPr>
        <w:t>to report</w:t>
      </w:r>
      <w:r w:rsidRPr="003A2BEF">
        <w:rPr>
          <w:rFonts w:ascii="Arial" w:hAnsi="Arial" w:cs="Arial"/>
          <w:sz w:val="22"/>
          <w:szCs w:val="22"/>
        </w:rPr>
        <w:t>.</w:t>
      </w:r>
      <w:r w:rsidR="00455FF2">
        <w:rPr>
          <w:rFonts w:ascii="Arial" w:hAnsi="Arial" w:cs="Arial"/>
          <w:sz w:val="22"/>
          <w:szCs w:val="22"/>
        </w:rPr>
        <w:t xml:space="preserve"> </w:t>
      </w:r>
      <w:r w:rsidR="00031CF6">
        <w:rPr>
          <w:rFonts w:ascii="Arial" w:hAnsi="Arial" w:cs="Arial"/>
          <w:sz w:val="22"/>
          <w:szCs w:val="22"/>
        </w:rPr>
        <w:t>S</w:t>
      </w:r>
      <w:r w:rsidR="00455FF2">
        <w:rPr>
          <w:rFonts w:ascii="Arial" w:hAnsi="Arial" w:cs="Arial"/>
          <w:sz w:val="22"/>
          <w:szCs w:val="22"/>
        </w:rPr>
        <w:t xml:space="preserve">alary costs </w:t>
      </w:r>
      <w:r w:rsidR="00F35892">
        <w:rPr>
          <w:rFonts w:ascii="Arial" w:hAnsi="Arial" w:cs="Arial"/>
          <w:sz w:val="22"/>
          <w:szCs w:val="22"/>
        </w:rPr>
        <w:t>continue to track slightly</w:t>
      </w:r>
      <w:r w:rsidR="00455FF2">
        <w:rPr>
          <w:rFonts w:ascii="Arial" w:hAnsi="Arial" w:cs="Arial"/>
          <w:sz w:val="22"/>
          <w:szCs w:val="22"/>
        </w:rPr>
        <w:t xml:space="preserve"> below </w:t>
      </w:r>
      <w:r w:rsidR="00F35892">
        <w:rPr>
          <w:rFonts w:ascii="Arial" w:hAnsi="Arial" w:cs="Arial"/>
          <w:sz w:val="22"/>
          <w:szCs w:val="22"/>
        </w:rPr>
        <w:t>budget</w:t>
      </w:r>
      <w:r w:rsidR="000A1033">
        <w:rPr>
          <w:rFonts w:ascii="Arial" w:hAnsi="Arial" w:cs="Arial"/>
          <w:sz w:val="22"/>
          <w:szCs w:val="22"/>
        </w:rPr>
        <w:t xml:space="preserve"> </w:t>
      </w:r>
      <w:r w:rsidR="00455FF2">
        <w:rPr>
          <w:rFonts w:ascii="Arial" w:hAnsi="Arial" w:cs="Arial"/>
          <w:sz w:val="22"/>
          <w:szCs w:val="22"/>
        </w:rPr>
        <w:t>and no significant additional pressures id</w:t>
      </w:r>
      <w:r w:rsidR="000A1033">
        <w:rPr>
          <w:rFonts w:ascii="Arial" w:hAnsi="Arial" w:cs="Arial"/>
          <w:sz w:val="22"/>
          <w:szCs w:val="22"/>
        </w:rPr>
        <w:t>entified on non-pay activities</w:t>
      </w:r>
      <w:r w:rsidR="007A7D58">
        <w:rPr>
          <w:rFonts w:ascii="Arial" w:hAnsi="Arial" w:cs="Arial"/>
          <w:sz w:val="22"/>
          <w:szCs w:val="22"/>
        </w:rPr>
        <w:t xml:space="preserve"> (except transformation costs (below))</w:t>
      </w:r>
      <w:r w:rsidR="00CD5079">
        <w:rPr>
          <w:rFonts w:ascii="Arial" w:hAnsi="Arial" w:cs="Arial"/>
          <w:sz w:val="22"/>
          <w:szCs w:val="22"/>
        </w:rPr>
        <w:t xml:space="preserve">. HRA continues to </w:t>
      </w:r>
      <w:r w:rsidR="00D83E02">
        <w:rPr>
          <w:rFonts w:ascii="Arial" w:hAnsi="Arial" w:cs="Arial"/>
          <w:sz w:val="22"/>
          <w:szCs w:val="22"/>
        </w:rPr>
        <w:t>predict a balanced budget for the year</w:t>
      </w:r>
      <w:r w:rsidR="00CD5079">
        <w:rPr>
          <w:rFonts w:ascii="Arial" w:hAnsi="Arial" w:cs="Arial"/>
          <w:sz w:val="22"/>
          <w:szCs w:val="22"/>
        </w:rPr>
        <w:t xml:space="preserve"> with any permanent savings </w:t>
      </w:r>
      <w:r w:rsidR="0063120F">
        <w:rPr>
          <w:rFonts w:ascii="Arial" w:hAnsi="Arial" w:cs="Arial"/>
          <w:sz w:val="22"/>
          <w:szCs w:val="22"/>
        </w:rPr>
        <w:t>achieved</w:t>
      </w:r>
      <w:r w:rsidR="00CD5079">
        <w:rPr>
          <w:rFonts w:ascii="Arial" w:hAnsi="Arial" w:cs="Arial"/>
          <w:sz w:val="22"/>
          <w:szCs w:val="22"/>
        </w:rPr>
        <w:t xml:space="preserve"> reallocated to fund transformation programme and Brexit related budget pressures. </w:t>
      </w:r>
      <w:r w:rsidR="00D83E02">
        <w:rPr>
          <w:rFonts w:ascii="Arial" w:hAnsi="Arial" w:cs="Arial"/>
          <w:sz w:val="22"/>
          <w:szCs w:val="22"/>
        </w:rPr>
        <w:t xml:space="preserve"> </w:t>
      </w:r>
    </w:p>
    <w:p w:rsidR="00CD5079" w:rsidRDefault="00F932A5" w:rsidP="007C5117">
      <w:pPr>
        <w:spacing w:after="200" w:line="276" w:lineRule="auto"/>
        <w:rPr>
          <w:rFonts w:ascii="Arial" w:hAnsi="Arial" w:cs="Arial"/>
          <w:sz w:val="22"/>
          <w:szCs w:val="22"/>
        </w:rPr>
      </w:pPr>
      <w:r w:rsidRPr="00F932A5">
        <w:rPr>
          <w:rFonts w:ascii="Arial" w:hAnsi="Arial" w:cs="Arial"/>
          <w:b/>
          <w:sz w:val="22"/>
          <w:szCs w:val="22"/>
        </w:rPr>
        <w:t>Transformation costs</w:t>
      </w:r>
      <w:r>
        <w:rPr>
          <w:rFonts w:ascii="Arial" w:hAnsi="Arial" w:cs="Arial"/>
          <w:sz w:val="22"/>
          <w:szCs w:val="22"/>
        </w:rPr>
        <w:t xml:space="preserve"> include research sy</w:t>
      </w:r>
      <w:r w:rsidR="00BF50E4">
        <w:rPr>
          <w:rFonts w:ascii="Arial" w:hAnsi="Arial" w:cs="Arial"/>
          <w:sz w:val="22"/>
          <w:szCs w:val="22"/>
        </w:rPr>
        <w:t>stems replacement programme £2,002</w:t>
      </w:r>
      <w:r>
        <w:rPr>
          <w:rFonts w:ascii="Arial" w:hAnsi="Arial" w:cs="Arial"/>
          <w:sz w:val="22"/>
          <w:szCs w:val="22"/>
        </w:rPr>
        <w:t xml:space="preserve">k, future services programme (to replace our </w:t>
      </w:r>
      <w:r w:rsidR="00CF2146">
        <w:rPr>
          <w:rFonts w:ascii="Arial" w:hAnsi="Arial" w:cs="Arial"/>
          <w:sz w:val="22"/>
          <w:szCs w:val="22"/>
        </w:rPr>
        <w:t>pc infrastructure and support</w:t>
      </w:r>
      <w:r>
        <w:rPr>
          <w:rFonts w:ascii="Arial" w:hAnsi="Arial" w:cs="Arial"/>
          <w:sz w:val="22"/>
          <w:szCs w:val="22"/>
        </w:rPr>
        <w:t xml:space="preserve"> contract) £192k and service improvement programme activity £</w:t>
      </w:r>
      <w:r w:rsidR="000A1033">
        <w:rPr>
          <w:rFonts w:ascii="Arial" w:hAnsi="Arial" w:cs="Arial"/>
          <w:sz w:val="22"/>
          <w:szCs w:val="22"/>
        </w:rPr>
        <w:t>63</w:t>
      </w:r>
      <w:r>
        <w:rPr>
          <w:rFonts w:ascii="Arial" w:hAnsi="Arial" w:cs="Arial"/>
          <w:sz w:val="22"/>
          <w:szCs w:val="22"/>
        </w:rPr>
        <w:t xml:space="preserve">k. </w:t>
      </w:r>
      <w:r w:rsidR="00BF50E4">
        <w:rPr>
          <w:rFonts w:ascii="Arial" w:hAnsi="Arial" w:cs="Arial"/>
          <w:sz w:val="22"/>
          <w:szCs w:val="22"/>
        </w:rPr>
        <w:t xml:space="preserve">Expenditure includes additional budget pressures relating to EU Exit £250k anticipated to be incurred November to February 2019. Business case is being prepared in relation to transformation plans for 2019/20. </w:t>
      </w:r>
    </w:p>
    <w:p w:rsidR="00455FF2" w:rsidRPr="009D5B01" w:rsidRDefault="009D5B01" w:rsidP="007C5117">
      <w:pPr>
        <w:spacing w:after="200" w:line="276" w:lineRule="auto"/>
        <w:rPr>
          <w:rFonts w:ascii="Arial" w:hAnsi="Arial" w:cs="Arial"/>
          <w:i/>
          <w:sz w:val="22"/>
          <w:szCs w:val="22"/>
        </w:rPr>
      </w:pPr>
      <w:r>
        <w:rPr>
          <w:rFonts w:ascii="Arial" w:hAnsi="Arial" w:cs="Arial"/>
          <w:b/>
          <w:sz w:val="22"/>
          <w:szCs w:val="22"/>
        </w:rPr>
        <w:t xml:space="preserve">Savings plan </w:t>
      </w:r>
      <w:r w:rsidRPr="009D5B01">
        <w:rPr>
          <w:rFonts w:ascii="Arial" w:hAnsi="Arial" w:cs="Arial"/>
          <w:i/>
          <w:sz w:val="22"/>
          <w:szCs w:val="22"/>
        </w:rPr>
        <w:t xml:space="preserve">– </w:t>
      </w:r>
      <w:r w:rsidR="00F35892">
        <w:rPr>
          <w:rFonts w:ascii="Arial" w:hAnsi="Arial" w:cs="Arial"/>
          <w:sz w:val="22"/>
          <w:szCs w:val="22"/>
        </w:rPr>
        <w:t>balanced budget has been achieved through reassessment of reserves requirements</w:t>
      </w:r>
      <w:r w:rsidR="00031CF6">
        <w:rPr>
          <w:rFonts w:ascii="Arial" w:hAnsi="Arial" w:cs="Arial"/>
          <w:sz w:val="22"/>
          <w:szCs w:val="22"/>
        </w:rPr>
        <w:t>, (for example, reallocation of future service programme funds to Windows 10 upgrade) as well as identified permanent savings (for example</w:t>
      </w:r>
      <w:r w:rsidR="00F35892">
        <w:rPr>
          <w:rFonts w:ascii="Arial" w:hAnsi="Arial" w:cs="Arial"/>
          <w:sz w:val="22"/>
          <w:szCs w:val="22"/>
        </w:rPr>
        <w:t xml:space="preserve"> Skipton House reduced rent</w:t>
      </w:r>
      <w:r w:rsidR="00031CF6">
        <w:rPr>
          <w:rFonts w:ascii="Arial" w:hAnsi="Arial" w:cs="Arial"/>
          <w:sz w:val="22"/>
          <w:szCs w:val="22"/>
        </w:rPr>
        <w:t xml:space="preserve"> and savings on photocopier costs)</w:t>
      </w:r>
      <w:r w:rsidR="00F35892">
        <w:rPr>
          <w:rFonts w:ascii="Arial" w:hAnsi="Arial" w:cs="Arial"/>
          <w:sz w:val="22"/>
          <w:szCs w:val="22"/>
        </w:rPr>
        <w:t xml:space="preserve">. </w:t>
      </w:r>
      <w:r w:rsidRPr="009D5B01">
        <w:rPr>
          <w:rFonts w:ascii="Arial" w:hAnsi="Arial" w:cs="Arial"/>
          <w:i/>
          <w:sz w:val="22"/>
          <w:szCs w:val="22"/>
        </w:rPr>
        <w:t xml:space="preserve"> </w:t>
      </w:r>
      <w:r w:rsidR="00455FF2" w:rsidRPr="009D5B01">
        <w:rPr>
          <w:rFonts w:ascii="Arial" w:hAnsi="Arial" w:cs="Arial"/>
          <w:i/>
          <w:sz w:val="22"/>
          <w:szCs w:val="22"/>
        </w:rPr>
        <w:t xml:space="preserve">  </w:t>
      </w:r>
    </w:p>
    <w:p w:rsidR="00A946A5" w:rsidRPr="00A946A5" w:rsidRDefault="00A946A5" w:rsidP="007C5117">
      <w:pPr>
        <w:spacing w:after="200" w:line="276" w:lineRule="auto"/>
        <w:rPr>
          <w:rFonts w:ascii="Arial" w:hAnsi="Arial" w:cs="Arial"/>
          <w:b/>
          <w:sz w:val="22"/>
          <w:szCs w:val="22"/>
        </w:rPr>
      </w:pPr>
      <w:r w:rsidRPr="00A946A5">
        <w:rPr>
          <w:rFonts w:ascii="Arial" w:hAnsi="Arial" w:cs="Arial"/>
          <w:b/>
          <w:sz w:val="22"/>
          <w:szCs w:val="22"/>
        </w:rPr>
        <w:t>Key variances:</w:t>
      </w:r>
    </w:p>
    <w:p w:rsidR="002B32BC" w:rsidRDefault="00A94983" w:rsidP="007C5117">
      <w:pPr>
        <w:spacing w:after="200" w:line="276" w:lineRule="auto"/>
        <w:rPr>
          <w:rFonts w:ascii="Arial" w:hAnsi="Arial" w:cs="Arial"/>
          <w:sz w:val="22"/>
          <w:szCs w:val="22"/>
        </w:rPr>
      </w:pPr>
      <w:r>
        <w:rPr>
          <w:rFonts w:ascii="Arial" w:hAnsi="Arial" w:cs="Arial"/>
          <w:b/>
          <w:sz w:val="22"/>
          <w:szCs w:val="22"/>
        </w:rPr>
        <w:t>Approvals – Programme and Guidance</w:t>
      </w:r>
      <w:r w:rsidR="00A946A5" w:rsidRPr="00A946A5">
        <w:rPr>
          <w:rFonts w:ascii="Arial" w:hAnsi="Arial" w:cs="Arial"/>
          <w:b/>
          <w:sz w:val="22"/>
          <w:szCs w:val="22"/>
        </w:rPr>
        <w:t>:</w:t>
      </w:r>
      <w:r w:rsidR="00A946A5">
        <w:rPr>
          <w:rFonts w:ascii="Arial" w:hAnsi="Arial" w:cs="Arial"/>
          <w:sz w:val="22"/>
          <w:szCs w:val="22"/>
        </w:rPr>
        <w:t xml:space="preserve"> £</w:t>
      </w:r>
      <w:r w:rsidR="00BF50E4">
        <w:rPr>
          <w:rFonts w:ascii="Arial" w:hAnsi="Arial" w:cs="Arial"/>
          <w:sz w:val="22"/>
          <w:szCs w:val="22"/>
        </w:rPr>
        <w:t>11</w:t>
      </w:r>
      <w:r w:rsidR="00A946A5">
        <w:rPr>
          <w:rFonts w:ascii="Arial" w:hAnsi="Arial" w:cs="Arial"/>
          <w:sz w:val="22"/>
          <w:szCs w:val="22"/>
        </w:rPr>
        <w:t xml:space="preserve">k, </w:t>
      </w:r>
      <w:r>
        <w:rPr>
          <w:rFonts w:ascii="Arial" w:hAnsi="Arial" w:cs="Arial"/>
          <w:sz w:val="22"/>
          <w:szCs w:val="22"/>
        </w:rPr>
        <w:t>2.8</w:t>
      </w:r>
      <w:r w:rsidR="00A946A5">
        <w:rPr>
          <w:rFonts w:ascii="Arial" w:hAnsi="Arial" w:cs="Arial"/>
          <w:sz w:val="22"/>
          <w:szCs w:val="22"/>
        </w:rPr>
        <w:t xml:space="preserve">%. </w:t>
      </w:r>
      <w:r w:rsidR="00031CF6">
        <w:rPr>
          <w:rFonts w:ascii="Arial" w:hAnsi="Arial" w:cs="Arial"/>
          <w:sz w:val="22"/>
          <w:szCs w:val="22"/>
        </w:rPr>
        <w:t>Current</w:t>
      </w:r>
      <w:r>
        <w:rPr>
          <w:rFonts w:ascii="Arial" w:hAnsi="Arial" w:cs="Arial"/>
          <w:sz w:val="22"/>
          <w:szCs w:val="22"/>
        </w:rPr>
        <w:t xml:space="preserve"> underspend relates to travel costs (£7k) and pay costs</w:t>
      </w:r>
      <w:r w:rsidR="00031CF6">
        <w:rPr>
          <w:rFonts w:ascii="Arial" w:hAnsi="Arial" w:cs="Arial"/>
          <w:sz w:val="22"/>
          <w:szCs w:val="22"/>
        </w:rPr>
        <w:t xml:space="preserve">.  </w:t>
      </w:r>
      <w:r>
        <w:rPr>
          <w:rFonts w:ascii="Arial" w:hAnsi="Arial" w:cs="Arial"/>
          <w:sz w:val="22"/>
          <w:szCs w:val="22"/>
        </w:rPr>
        <w:t xml:space="preserve">The travel budgets are currently being reviewed for re-allocation. Any in year </w:t>
      </w:r>
      <w:r w:rsidR="00BF50E4">
        <w:rPr>
          <w:rFonts w:ascii="Arial" w:hAnsi="Arial" w:cs="Arial"/>
          <w:sz w:val="22"/>
          <w:szCs w:val="22"/>
        </w:rPr>
        <w:t>permanent</w:t>
      </w:r>
      <w:r>
        <w:rPr>
          <w:rFonts w:ascii="Arial" w:hAnsi="Arial" w:cs="Arial"/>
          <w:sz w:val="22"/>
          <w:szCs w:val="22"/>
        </w:rPr>
        <w:t xml:space="preserve"> savings</w:t>
      </w:r>
      <w:r w:rsidR="002B32BC">
        <w:rPr>
          <w:rFonts w:ascii="Arial" w:hAnsi="Arial" w:cs="Arial"/>
          <w:sz w:val="22"/>
          <w:szCs w:val="22"/>
        </w:rPr>
        <w:t xml:space="preserve"> will be refl</w:t>
      </w:r>
      <w:r w:rsidR="003D3D7D">
        <w:rPr>
          <w:rFonts w:ascii="Arial" w:hAnsi="Arial" w:cs="Arial"/>
          <w:sz w:val="22"/>
          <w:szCs w:val="22"/>
        </w:rPr>
        <w:t>ected in the forecast outturn</w:t>
      </w:r>
      <w:r w:rsidR="002B32BC">
        <w:rPr>
          <w:rFonts w:ascii="Arial" w:hAnsi="Arial" w:cs="Arial"/>
          <w:sz w:val="22"/>
          <w:szCs w:val="22"/>
        </w:rPr>
        <w:t>.</w:t>
      </w:r>
    </w:p>
    <w:p w:rsidR="00A946A5" w:rsidRDefault="00A94983" w:rsidP="007C5117">
      <w:pPr>
        <w:spacing w:after="200" w:line="276" w:lineRule="auto"/>
        <w:rPr>
          <w:rFonts w:ascii="Arial" w:hAnsi="Arial" w:cs="Arial"/>
          <w:sz w:val="22"/>
          <w:szCs w:val="22"/>
        </w:rPr>
      </w:pPr>
      <w:r>
        <w:rPr>
          <w:rFonts w:ascii="Arial" w:hAnsi="Arial" w:cs="Arial"/>
          <w:b/>
          <w:sz w:val="22"/>
          <w:szCs w:val="22"/>
        </w:rPr>
        <w:t>Transformation</w:t>
      </w:r>
      <w:r w:rsidR="00A946A5" w:rsidRPr="00A946A5">
        <w:rPr>
          <w:rFonts w:ascii="Arial" w:hAnsi="Arial" w:cs="Arial"/>
          <w:b/>
          <w:sz w:val="22"/>
          <w:szCs w:val="22"/>
        </w:rPr>
        <w:t>:</w:t>
      </w:r>
      <w:r w:rsidR="002A56A3">
        <w:rPr>
          <w:rFonts w:ascii="Arial" w:hAnsi="Arial" w:cs="Arial"/>
          <w:sz w:val="22"/>
          <w:szCs w:val="22"/>
        </w:rPr>
        <w:t xml:space="preserve"> £</w:t>
      </w:r>
      <w:r>
        <w:rPr>
          <w:rFonts w:ascii="Arial" w:hAnsi="Arial" w:cs="Arial"/>
          <w:sz w:val="22"/>
          <w:szCs w:val="22"/>
        </w:rPr>
        <w:t>6</w:t>
      </w:r>
      <w:r w:rsidR="002A56A3">
        <w:rPr>
          <w:rFonts w:ascii="Arial" w:hAnsi="Arial" w:cs="Arial"/>
          <w:sz w:val="22"/>
          <w:szCs w:val="22"/>
        </w:rPr>
        <w:t xml:space="preserve">k, </w:t>
      </w:r>
      <w:r>
        <w:rPr>
          <w:rFonts w:ascii="Arial" w:hAnsi="Arial" w:cs="Arial"/>
          <w:sz w:val="22"/>
          <w:szCs w:val="22"/>
        </w:rPr>
        <w:t>0.7</w:t>
      </w:r>
      <w:r w:rsidR="002B32BC">
        <w:rPr>
          <w:rFonts w:ascii="Arial" w:hAnsi="Arial" w:cs="Arial"/>
          <w:sz w:val="22"/>
          <w:szCs w:val="22"/>
        </w:rPr>
        <w:t xml:space="preserve">%. Overspend </w:t>
      </w:r>
      <w:r w:rsidR="00107AC8">
        <w:rPr>
          <w:rFonts w:ascii="Arial" w:hAnsi="Arial" w:cs="Arial"/>
          <w:sz w:val="22"/>
          <w:szCs w:val="22"/>
        </w:rPr>
        <w:t>is</w:t>
      </w:r>
      <w:r w:rsidR="002B32BC">
        <w:rPr>
          <w:rFonts w:ascii="Arial" w:hAnsi="Arial" w:cs="Arial"/>
          <w:sz w:val="22"/>
          <w:szCs w:val="22"/>
        </w:rPr>
        <w:t xml:space="preserve"> due to increased </w:t>
      </w:r>
      <w:r>
        <w:rPr>
          <w:rFonts w:ascii="Arial" w:hAnsi="Arial" w:cs="Arial"/>
          <w:sz w:val="22"/>
          <w:szCs w:val="22"/>
        </w:rPr>
        <w:t>travel costs above profiled budget of £4k and pay costs to date £2k higher than budget. These</w:t>
      </w:r>
      <w:r w:rsidR="00107AC8">
        <w:rPr>
          <w:rFonts w:ascii="Arial" w:hAnsi="Arial" w:cs="Arial"/>
          <w:sz w:val="22"/>
          <w:szCs w:val="22"/>
        </w:rPr>
        <w:t xml:space="preserve"> cost pressure</w:t>
      </w:r>
      <w:r>
        <w:rPr>
          <w:rFonts w:ascii="Arial" w:hAnsi="Arial" w:cs="Arial"/>
          <w:sz w:val="22"/>
          <w:szCs w:val="22"/>
        </w:rPr>
        <w:t>s are</w:t>
      </w:r>
      <w:r w:rsidR="00107AC8">
        <w:rPr>
          <w:rFonts w:ascii="Arial" w:hAnsi="Arial" w:cs="Arial"/>
          <w:sz w:val="22"/>
          <w:szCs w:val="22"/>
        </w:rPr>
        <w:t xml:space="preserve"> being revie</w:t>
      </w:r>
      <w:r>
        <w:rPr>
          <w:rFonts w:ascii="Arial" w:hAnsi="Arial" w:cs="Arial"/>
          <w:sz w:val="22"/>
          <w:szCs w:val="22"/>
        </w:rPr>
        <w:t>wed and will be managed within the overall Transformation budget for 2018/19</w:t>
      </w:r>
      <w:r w:rsidR="00107AC8">
        <w:rPr>
          <w:rFonts w:ascii="Arial" w:hAnsi="Arial" w:cs="Arial"/>
          <w:sz w:val="22"/>
          <w:szCs w:val="22"/>
        </w:rPr>
        <w:t>.</w:t>
      </w:r>
    </w:p>
    <w:p w:rsidR="00644946" w:rsidRPr="00E87F9E" w:rsidRDefault="00644946" w:rsidP="00644946">
      <w:pPr>
        <w:spacing w:after="200" w:line="276" w:lineRule="auto"/>
        <w:rPr>
          <w:rFonts w:ascii="Arial" w:hAnsi="Arial" w:cs="Arial"/>
          <w:b/>
          <w:sz w:val="22"/>
          <w:szCs w:val="22"/>
        </w:rPr>
      </w:pPr>
      <w:r>
        <w:rPr>
          <w:rFonts w:ascii="Arial" w:hAnsi="Arial" w:cs="Arial"/>
          <w:b/>
          <w:sz w:val="22"/>
          <w:szCs w:val="22"/>
        </w:rPr>
        <w:t>2018</w:t>
      </w:r>
      <w:r w:rsidR="003B588A">
        <w:rPr>
          <w:rFonts w:ascii="Arial" w:hAnsi="Arial" w:cs="Arial"/>
          <w:b/>
          <w:sz w:val="22"/>
          <w:szCs w:val="22"/>
        </w:rPr>
        <w:t>/19</w:t>
      </w:r>
      <w:r>
        <w:rPr>
          <w:rFonts w:ascii="Arial" w:hAnsi="Arial" w:cs="Arial"/>
          <w:b/>
          <w:sz w:val="22"/>
          <w:szCs w:val="22"/>
        </w:rPr>
        <w:t>: financial r</w:t>
      </w:r>
      <w:r w:rsidRPr="00E87F9E">
        <w:rPr>
          <w:rFonts w:ascii="Arial" w:hAnsi="Arial" w:cs="Arial"/>
          <w:b/>
          <w:sz w:val="22"/>
          <w:szCs w:val="22"/>
        </w:rPr>
        <w:t>isks:</w:t>
      </w:r>
    </w:p>
    <w:p w:rsidR="003B588A" w:rsidRPr="003B588A" w:rsidRDefault="00BF50E4" w:rsidP="006F7BBA">
      <w:pPr>
        <w:pStyle w:val="ListParagraph"/>
        <w:numPr>
          <w:ilvl w:val="0"/>
          <w:numId w:val="40"/>
        </w:numPr>
        <w:spacing w:after="200" w:line="276" w:lineRule="auto"/>
        <w:rPr>
          <w:rFonts w:ascii="Arial" w:hAnsi="Arial" w:cs="Arial"/>
          <w:sz w:val="22"/>
          <w:szCs w:val="22"/>
        </w:rPr>
      </w:pPr>
      <w:r>
        <w:rPr>
          <w:rFonts w:ascii="Arial" w:hAnsi="Arial" w:cs="Arial"/>
          <w:b/>
          <w:sz w:val="22"/>
          <w:szCs w:val="22"/>
        </w:rPr>
        <w:t>EU Exit related activity (including UK wide systems work and i</w:t>
      </w:r>
      <w:r w:rsidR="009C621C">
        <w:rPr>
          <w:rFonts w:ascii="Arial" w:hAnsi="Arial" w:cs="Arial"/>
          <w:b/>
          <w:sz w:val="22"/>
          <w:szCs w:val="22"/>
        </w:rPr>
        <w:t>nteroperability</w:t>
      </w:r>
      <w:r>
        <w:rPr>
          <w:rFonts w:ascii="Arial" w:hAnsi="Arial" w:cs="Arial"/>
          <w:b/>
          <w:sz w:val="22"/>
          <w:szCs w:val="22"/>
        </w:rPr>
        <w:t xml:space="preserve">). </w:t>
      </w:r>
      <w:r w:rsidRPr="00BF50E4">
        <w:rPr>
          <w:rFonts w:ascii="Arial" w:hAnsi="Arial" w:cs="Arial"/>
          <w:sz w:val="22"/>
          <w:szCs w:val="22"/>
        </w:rPr>
        <w:t>Options analysis and business case being compiled.</w:t>
      </w:r>
      <w:r w:rsidR="00506486">
        <w:rPr>
          <w:rFonts w:ascii="Arial" w:hAnsi="Arial" w:cs="Arial"/>
          <w:b/>
          <w:sz w:val="22"/>
          <w:szCs w:val="22"/>
        </w:rPr>
        <w:t xml:space="preserve"> </w:t>
      </w:r>
      <w:r w:rsidR="009C621C">
        <w:rPr>
          <w:rFonts w:ascii="Arial" w:hAnsi="Arial" w:cs="Arial"/>
          <w:sz w:val="22"/>
          <w:szCs w:val="22"/>
        </w:rPr>
        <w:t>There is a risk that available resources (financial and people) are not sufficient to meet external</w:t>
      </w:r>
      <w:r w:rsidR="00240842">
        <w:rPr>
          <w:rFonts w:ascii="Arial" w:hAnsi="Arial" w:cs="Arial"/>
          <w:sz w:val="22"/>
          <w:szCs w:val="22"/>
        </w:rPr>
        <w:t>ly determined</w:t>
      </w:r>
      <w:r w:rsidR="009C621C">
        <w:rPr>
          <w:rFonts w:ascii="Arial" w:hAnsi="Arial" w:cs="Arial"/>
          <w:sz w:val="22"/>
          <w:szCs w:val="22"/>
        </w:rPr>
        <w:t xml:space="preserve"> requirements. </w:t>
      </w:r>
      <w:r w:rsidR="003B588A">
        <w:rPr>
          <w:rFonts w:ascii="Arial" w:hAnsi="Arial" w:cs="Arial"/>
          <w:sz w:val="22"/>
          <w:szCs w:val="22"/>
        </w:rPr>
        <w:t xml:space="preserve"> </w:t>
      </w:r>
      <w:r w:rsidR="006F7BBA">
        <w:rPr>
          <w:rFonts w:ascii="Arial" w:hAnsi="Arial" w:cs="Arial"/>
          <w:sz w:val="22"/>
          <w:szCs w:val="22"/>
        </w:rPr>
        <w:t>A</w:t>
      </w:r>
      <w:r w:rsidR="00506486">
        <w:rPr>
          <w:rFonts w:ascii="Arial" w:hAnsi="Arial" w:cs="Arial"/>
          <w:sz w:val="22"/>
          <w:szCs w:val="22"/>
        </w:rPr>
        <w:t>n outline</w:t>
      </w:r>
      <w:r w:rsidR="00455FF2">
        <w:rPr>
          <w:rFonts w:ascii="Arial" w:hAnsi="Arial" w:cs="Arial"/>
          <w:sz w:val="22"/>
          <w:szCs w:val="22"/>
        </w:rPr>
        <w:t xml:space="preserve"> bid for 2019/20 Brexit funding</w:t>
      </w:r>
      <w:r w:rsidR="009C621C">
        <w:rPr>
          <w:rFonts w:ascii="Arial" w:hAnsi="Arial" w:cs="Arial"/>
          <w:sz w:val="22"/>
          <w:szCs w:val="22"/>
        </w:rPr>
        <w:t xml:space="preserve"> has been </w:t>
      </w:r>
      <w:r w:rsidR="00506486">
        <w:rPr>
          <w:rFonts w:ascii="Arial" w:hAnsi="Arial" w:cs="Arial"/>
          <w:sz w:val="22"/>
          <w:szCs w:val="22"/>
        </w:rPr>
        <w:t xml:space="preserve">submitted. </w:t>
      </w:r>
      <w:r w:rsidR="006F7BBA">
        <w:rPr>
          <w:rFonts w:ascii="Arial" w:hAnsi="Arial" w:cs="Arial"/>
          <w:sz w:val="22"/>
          <w:szCs w:val="22"/>
        </w:rPr>
        <w:t xml:space="preserve"> </w:t>
      </w:r>
      <w:r w:rsidR="006F7BBA" w:rsidRPr="003B588A">
        <w:rPr>
          <w:rFonts w:ascii="Arial" w:hAnsi="Arial" w:cs="Arial"/>
          <w:sz w:val="22"/>
          <w:szCs w:val="22"/>
        </w:rPr>
        <w:t xml:space="preserve"> </w:t>
      </w:r>
    </w:p>
    <w:p w:rsidR="00C91E8F" w:rsidRPr="006F7BBA" w:rsidRDefault="00455FF2" w:rsidP="00C91E8F">
      <w:pPr>
        <w:pStyle w:val="ListParagraph"/>
        <w:numPr>
          <w:ilvl w:val="0"/>
          <w:numId w:val="40"/>
        </w:numPr>
        <w:spacing w:after="200" w:line="276" w:lineRule="auto"/>
        <w:rPr>
          <w:rFonts w:ascii="Arial" w:hAnsi="Arial" w:cs="Arial"/>
          <w:sz w:val="22"/>
          <w:szCs w:val="22"/>
        </w:rPr>
      </w:pPr>
      <w:r w:rsidRPr="006F7BBA">
        <w:rPr>
          <w:rFonts w:ascii="Arial" w:hAnsi="Arial" w:cs="Arial"/>
          <w:b/>
          <w:sz w:val="22"/>
          <w:szCs w:val="22"/>
        </w:rPr>
        <w:t>Organisational and technological s</w:t>
      </w:r>
      <w:r w:rsidR="003B588A" w:rsidRPr="006F7BBA">
        <w:rPr>
          <w:rFonts w:ascii="Arial" w:hAnsi="Arial" w:cs="Arial"/>
          <w:b/>
          <w:sz w:val="22"/>
          <w:szCs w:val="22"/>
        </w:rPr>
        <w:t>ystem</w:t>
      </w:r>
      <w:r w:rsidRPr="006F7BBA">
        <w:rPr>
          <w:rFonts w:ascii="Arial" w:hAnsi="Arial" w:cs="Arial"/>
          <w:b/>
          <w:sz w:val="22"/>
          <w:szCs w:val="22"/>
        </w:rPr>
        <w:t>s</w:t>
      </w:r>
      <w:r w:rsidR="003B588A" w:rsidRPr="006F7BBA">
        <w:rPr>
          <w:rFonts w:ascii="Arial" w:hAnsi="Arial" w:cs="Arial"/>
          <w:b/>
          <w:sz w:val="22"/>
          <w:szCs w:val="22"/>
        </w:rPr>
        <w:t xml:space="preserve"> change</w:t>
      </w:r>
      <w:r w:rsidRPr="006F7BBA">
        <w:rPr>
          <w:rFonts w:ascii="Arial" w:hAnsi="Arial" w:cs="Arial"/>
          <w:b/>
          <w:sz w:val="22"/>
          <w:szCs w:val="22"/>
        </w:rPr>
        <w:t>s</w:t>
      </w:r>
      <w:r w:rsidR="003B588A" w:rsidRPr="006F7BBA">
        <w:rPr>
          <w:rFonts w:ascii="Arial" w:hAnsi="Arial" w:cs="Arial"/>
          <w:b/>
          <w:sz w:val="22"/>
          <w:szCs w:val="22"/>
        </w:rPr>
        <w:t xml:space="preserve"> need to create </w:t>
      </w:r>
      <w:r w:rsidR="00C91E8F" w:rsidRPr="006F7BBA">
        <w:rPr>
          <w:rFonts w:ascii="Arial" w:hAnsi="Arial" w:cs="Arial"/>
          <w:b/>
          <w:sz w:val="22"/>
          <w:szCs w:val="22"/>
        </w:rPr>
        <w:t>£600k (</w:t>
      </w:r>
      <w:proofErr w:type="spellStart"/>
      <w:r w:rsidR="00C91E8F" w:rsidRPr="006F7BBA">
        <w:rPr>
          <w:rFonts w:ascii="Arial" w:hAnsi="Arial" w:cs="Arial"/>
          <w:b/>
          <w:sz w:val="22"/>
          <w:szCs w:val="22"/>
        </w:rPr>
        <w:t>approx</w:t>
      </w:r>
      <w:proofErr w:type="spellEnd"/>
      <w:r w:rsidR="00C91E8F" w:rsidRPr="006F7BBA">
        <w:rPr>
          <w:rFonts w:ascii="Arial" w:hAnsi="Arial" w:cs="Arial"/>
          <w:b/>
          <w:sz w:val="22"/>
          <w:szCs w:val="22"/>
        </w:rPr>
        <w:t xml:space="preserve"> 5%) </w:t>
      </w:r>
      <w:r w:rsidR="003B588A" w:rsidRPr="006F7BBA">
        <w:rPr>
          <w:rFonts w:ascii="Arial" w:hAnsi="Arial" w:cs="Arial"/>
          <w:b/>
          <w:sz w:val="22"/>
          <w:szCs w:val="22"/>
        </w:rPr>
        <w:t>economies</w:t>
      </w:r>
      <w:r w:rsidR="003B588A" w:rsidRPr="006F7BBA">
        <w:rPr>
          <w:rFonts w:ascii="Arial" w:hAnsi="Arial" w:cs="Arial"/>
          <w:sz w:val="22"/>
          <w:szCs w:val="22"/>
        </w:rPr>
        <w:t xml:space="preserve"> to meet spending review requirements </w:t>
      </w:r>
      <w:r w:rsidR="00C91E8F" w:rsidRPr="006F7BBA">
        <w:rPr>
          <w:rFonts w:ascii="Arial" w:hAnsi="Arial" w:cs="Arial"/>
          <w:sz w:val="22"/>
          <w:szCs w:val="22"/>
        </w:rPr>
        <w:t xml:space="preserve">in 2019/20 </w:t>
      </w:r>
      <w:r w:rsidR="003B588A" w:rsidRPr="006F7BBA">
        <w:rPr>
          <w:rFonts w:ascii="Arial" w:hAnsi="Arial" w:cs="Arial"/>
          <w:sz w:val="22"/>
          <w:szCs w:val="22"/>
        </w:rPr>
        <w:t>and</w:t>
      </w:r>
      <w:r w:rsidRPr="006F7BBA">
        <w:rPr>
          <w:rFonts w:ascii="Arial" w:hAnsi="Arial" w:cs="Arial"/>
          <w:sz w:val="22"/>
          <w:szCs w:val="22"/>
        </w:rPr>
        <w:t xml:space="preserve"> </w:t>
      </w:r>
      <w:r w:rsidR="00C91E8F" w:rsidRPr="006F7BBA">
        <w:rPr>
          <w:rFonts w:ascii="Arial" w:hAnsi="Arial" w:cs="Arial"/>
          <w:sz w:val="22"/>
          <w:szCs w:val="22"/>
        </w:rPr>
        <w:t xml:space="preserve">provide </w:t>
      </w:r>
      <w:r w:rsidRPr="006F7BBA">
        <w:rPr>
          <w:rFonts w:ascii="Arial" w:hAnsi="Arial" w:cs="Arial"/>
          <w:sz w:val="22"/>
          <w:szCs w:val="22"/>
        </w:rPr>
        <w:t>funds to support</w:t>
      </w:r>
      <w:r w:rsidR="003B588A" w:rsidRPr="006F7BBA">
        <w:rPr>
          <w:rFonts w:ascii="Arial" w:hAnsi="Arial" w:cs="Arial"/>
          <w:sz w:val="22"/>
          <w:szCs w:val="22"/>
        </w:rPr>
        <w:t xml:space="preserve"> policy </w:t>
      </w:r>
      <w:r w:rsidRPr="006F7BBA">
        <w:rPr>
          <w:rFonts w:ascii="Arial" w:hAnsi="Arial" w:cs="Arial"/>
          <w:sz w:val="22"/>
          <w:szCs w:val="22"/>
        </w:rPr>
        <w:t>and external engagement strategic objectives</w:t>
      </w:r>
      <w:r w:rsidR="003B588A" w:rsidRPr="006F7BBA">
        <w:rPr>
          <w:rFonts w:ascii="Arial" w:hAnsi="Arial" w:cs="Arial"/>
          <w:sz w:val="22"/>
          <w:szCs w:val="22"/>
        </w:rPr>
        <w:t xml:space="preserve">. </w:t>
      </w:r>
      <w:r w:rsidR="00D56123" w:rsidRPr="006F7BBA">
        <w:rPr>
          <w:rFonts w:ascii="Arial" w:hAnsi="Arial" w:cs="Arial"/>
          <w:sz w:val="22"/>
          <w:szCs w:val="22"/>
        </w:rPr>
        <w:t xml:space="preserve">2017/18 </w:t>
      </w:r>
      <w:r w:rsidR="00176649" w:rsidRPr="006F7BBA">
        <w:rPr>
          <w:rFonts w:ascii="Arial" w:hAnsi="Arial" w:cs="Arial"/>
          <w:sz w:val="22"/>
          <w:szCs w:val="22"/>
        </w:rPr>
        <w:t xml:space="preserve">savings </w:t>
      </w:r>
      <w:r w:rsidR="00D56123" w:rsidRPr="006F7BBA">
        <w:rPr>
          <w:rFonts w:ascii="Arial" w:hAnsi="Arial" w:cs="Arial"/>
          <w:sz w:val="22"/>
          <w:szCs w:val="22"/>
        </w:rPr>
        <w:t xml:space="preserve">initiatives </w:t>
      </w:r>
      <w:r w:rsidR="0063120F" w:rsidRPr="006F7BBA">
        <w:rPr>
          <w:rFonts w:ascii="Arial" w:hAnsi="Arial" w:cs="Arial"/>
          <w:sz w:val="22"/>
          <w:szCs w:val="22"/>
        </w:rPr>
        <w:t xml:space="preserve">achieved </w:t>
      </w:r>
      <w:r w:rsidR="006F7BBA" w:rsidRPr="006F7BBA">
        <w:rPr>
          <w:rFonts w:ascii="Arial" w:hAnsi="Arial" w:cs="Arial"/>
          <w:sz w:val="22"/>
          <w:szCs w:val="22"/>
        </w:rPr>
        <w:t xml:space="preserve">£300k reduction in our fixed cost base. Our transformation programme seeks to streamline our service and reduce our cost base in real terms. </w:t>
      </w:r>
      <w:r w:rsidR="007A7D58">
        <w:rPr>
          <w:rFonts w:ascii="Arial" w:hAnsi="Arial" w:cs="Arial"/>
          <w:sz w:val="22"/>
          <w:szCs w:val="22"/>
        </w:rPr>
        <w:t>75</w:t>
      </w:r>
      <w:r w:rsidR="006F7BBA" w:rsidRPr="006F7BBA">
        <w:rPr>
          <w:rFonts w:ascii="Arial" w:hAnsi="Arial" w:cs="Arial"/>
          <w:sz w:val="22"/>
          <w:szCs w:val="22"/>
        </w:rPr>
        <w:t xml:space="preserve">% required economies have been identified to date. </w:t>
      </w:r>
    </w:p>
    <w:p w:rsidR="007D4817" w:rsidRPr="00C91E8F" w:rsidRDefault="007D4817" w:rsidP="00736D5A">
      <w:pPr>
        <w:pStyle w:val="ListParagraph"/>
        <w:numPr>
          <w:ilvl w:val="0"/>
          <w:numId w:val="40"/>
        </w:numPr>
        <w:spacing w:after="200" w:line="276" w:lineRule="auto"/>
        <w:rPr>
          <w:rFonts w:ascii="Arial" w:hAnsi="Arial" w:cs="Arial"/>
          <w:b/>
          <w:sz w:val="22"/>
          <w:szCs w:val="22"/>
        </w:rPr>
      </w:pPr>
      <w:r w:rsidRPr="00C91E8F">
        <w:rPr>
          <w:rFonts w:ascii="Arial" w:hAnsi="Arial" w:cs="Arial"/>
          <w:b/>
          <w:sz w:val="22"/>
          <w:szCs w:val="22"/>
        </w:rPr>
        <w:br w:type="page"/>
      </w:r>
    </w:p>
    <w:p w:rsidR="00FF2551" w:rsidRPr="00471EAB" w:rsidRDefault="0050664B" w:rsidP="007C5117">
      <w:pPr>
        <w:spacing w:after="200" w:line="276" w:lineRule="auto"/>
        <w:rPr>
          <w:rFonts w:ascii="Arial" w:hAnsi="Arial" w:cs="Arial"/>
          <w:b/>
          <w:sz w:val="22"/>
          <w:szCs w:val="22"/>
        </w:rPr>
      </w:pPr>
      <w:r>
        <w:rPr>
          <w:rFonts w:ascii="Arial" w:hAnsi="Arial" w:cs="Arial"/>
          <w:b/>
          <w:sz w:val="22"/>
          <w:szCs w:val="22"/>
        </w:rPr>
        <w:lastRenderedPageBreak/>
        <w:t>Staff</w:t>
      </w:r>
      <w:r w:rsidR="00891562">
        <w:rPr>
          <w:rFonts w:ascii="Arial" w:hAnsi="Arial" w:cs="Arial"/>
          <w:b/>
          <w:sz w:val="22"/>
          <w:szCs w:val="22"/>
        </w:rPr>
        <w:t xml:space="preserve"> costs </w:t>
      </w:r>
      <w:r>
        <w:rPr>
          <w:rFonts w:ascii="Arial" w:hAnsi="Arial" w:cs="Arial"/>
          <w:b/>
          <w:sz w:val="22"/>
          <w:szCs w:val="22"/>
        </w:rPr>
        <w:t>(</w:t>
      </w:r>
      <w:r w:rsidR="009E68F8">
        <w:rPr>
          <w:rFonts w:ascii="Arial" w:hAnsi="Arial" w:cs="Arial"/>
          <w:b/>
          <w:sz w:val="22"/>
          <w:szCs w:val="22"/>
        </w:rPr>
        <w:t>6</w:t>
      </w:r>
      <w:r>
        <w:rPr>
          <w:rFonts w:ascii="Arial" w:hAnsi="Arial" w:cs="Arial"/>
          <w:b/>
          <w:sz w:val="22"/>
          <w:szCs w:val="22"/>
        </w:rPr>
        <w:t xml:space="preserve"> </w:t>
      </w:r>
      <w:proofErr w:type="spellStart"/>
      <w:r>
        <w:rPr>
          <w:rFonts w:ascii="Arial" w:hAnsi="Arial" w:cs="Arial"/>
          <w:b/>
          <w:sz w:val="22"/>
          <w:szCs w:val="22"/>
        </w:rPr>
        <w:t>mths</w:t>
      </w:r>
      <w:proofErr w:type="spellEnd"/>
      <w:r w:rsidR="000D2F24">
        <w:rPr>
          <w:rFonts w:ascii="Arial" w:hAnsi="Arial" w:cs="Arial"/>
          <w:b/>
          <w:sz w:val="22"/>
          <w:szCs w:val="22"/>
        </w:rPr>
        <w:t>-ended 3</w:t>
      </w:r>
      <w:r w:rsidR="009E68F8">
        <w:rPr>
          <w:rFonts w:ascii="Arial" w:hAnsi="Arial" w:cs="Arial"/>
          <w:b/>
          <w:sz w:val="22"/>
          <w:szCs w:val="22"/>
        </w:rPr>
        <w:t>0 September</w:t>
      </w:r>
      <w:r w:rsidR="000D2F24">
        <w:rPr>
          <w:rFonts w:ascii="Arial" w:hAnsi="Arial" w:cs="Arial"/>
          <w:b/>
          <w:sz w:val="22"/>
          <w:szCs w:val="22"/>
        </w:rPr>
        <w:t xml:space="preserve"> 201</w:t>
      </w:r>
      <w:r w:rsidR="003B588A">
        <w:rPr>
          <w:rFonts w:ascii="Arial" w:hAnsi="Arial" w:cs="Arial"/>
          <w:b/>
          <w:sz w:val="22"/>
          <w:szCs w:val="22"/>
        </w:rPr>
        <w:t>8</w:t>
      </w:r>
      <w:r>
        <w:rPr>
          <w:rFonts w:ascii="Arial" w:hAnsi="Arial" w:cs="Arial"/>
          <w:b/>
          <w:sz w:val="22"/>
          <w:szCs w:val="22"/>
        </w:rPr>
        <w:t>)</w:t>
      </w:r>
    </w:p>
    <w:p w:rsidR="00644946" w:rsidRDefault="009E68F8" w:rsidP="0043174B">
      <w:pPr>
        <w:spacing w:after="200" w:line="276" w:lineRule="auto"/>
        <w:rPr>
          <w:rFonts w:ascii="Arial" w:hAnsi="Arial" w:cs="Arial"/>
          <w:sz w:val="22"/>
          <w:szCs w:val="22"/>
        </w:rPr>
      </w:pPr>
      <w:r w:rsidRPr="009E68F8">
        <w:rPr>
          <w:noProof/>
        </w:rPr>
        <w:drawing>
          <wp:inline distT="0" distB="0" distL="0" distR="0" wp14:anchorId="59AEFF53" wp14:editId="2985E8F2">
            <wp:extent cx="6357620" cy="3786287"/>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7620" cy="3786287"/>
                    </a:xfrm>
                    <a:prstGeom prst="rect">
                      <a:avLst/>
                    </a:prstGeom>
                    <a:noFill/>
                    <a:ln>
                      <a:noFill/>
                    </a:ln>
                  </pic:spPr>
                </pic:pic>
              </a:graphicData>
            </a:graphic>
          </wp:inline>
        </w:drawing>
      </w:r>
    </w:p>
    <w:p w:rsidR="00DC3F3F" w:rsidRPr="0063120F" w:rsidRDefault="00691DEA" w:rsidP="0043174B">
      <w:pPr>
        <w:spacing w:after="200" w:line="276" w:lineRule="auto"/>
        <w:rPr>
          <w:rFonts w:ascii="Arial" w:hAnsi="Arial" w:cs="Arial"/>
          <w:sz w:val="22"/>
          <w:szCs w:val="22"/>
        </w:rPr>
      </w:pPr>
      <w:r w:rsidRPr="00691DEA">
        <w:rPr>
          <w:rFonts w:ascii="Arial" w:hAnsi="Arial" w:cs="Arial"/>
          <w:b/>
          <w:sz w:val="22"/>
          <w:szCs w:val="22"/>
        </w:rPr>
        <w:t xml:space="preserve">Approvals: </w:t>
      </w:r>
      <w:r w:rsidR="00DC3F3F" w:rsidRPr="0063120F">
        <w:rPr>
          <w:rFonts w:ascii="Arial" w:hAnsi="Arial" w:cs="Arial"/>
          <w:sz w:val="22"/>
          <w:szCs w:val="22"/>
        </w:rPr>
        <w:t>Investment in f</w:t>
      </w:r>
      <w:r w:rsidR="00F35892" w:rsidRPr="0063120F">
        <w:rPr>
          <w:rFonts w:ascii="Arial" w:hAnsi="Arial" w:cs="Arial"/>
          <w:sz w:val="22"/>
          <w:szCs w:val="22"/>
        </w:rPr>
        <w:t>lexible</w:t>
      </w:r>
      <w:r w:rsidR="0075647E" w:rsidRPr="0063120F">
        <w:rPr>
          <w:rFonts w:ascii="Arial" w:hAnsi="Arial" w:cs="Arial"/>
          <w:sz w:val="22"/>
          <w:szCs w:val="22"/>
        </w:rPr>
        <w:t xml:space="preserve"> admin support </w:t>
      </w:r>
      <w:r w:rsidR="00F35892" w:rsidRPr="0063120F">
        <w:rPr>
          <w:rFonts w:ascii="Arial" w:hAnsi="Arial" w:cs="Arial"/>
          <w:sz w:val="22"/>
          <w:szCs w:val="22"/>
        </w:rPr>
        <w:t xml:space="preserve">to create capacity in our delivery teams </w:t>
      </w:r>
      <w:r w:rsidR="00DC3F3F" w:rsidRPr="0063120F">
        <w:rPr>
          <w:rFonts w:ascii="Arial" w:hAnsi="Arial" w:cs="Arial"/>
          <w:sz w:val="22"/>
          <w:szCs w:val="22"/>
        </w:rPr>
        <w:t xml:space="preserve">has freed up experienced resource to drive forward </w:t>
      </w:r>
      <w:r w:rsidR="00F35892" w:rsidRPr="0063120F">
        <w:rPr>
          <w:rFonts w:ascii="Arial" w:hAnsi="Arial" w:cs="Arial"/>
          <w:sz w:val="22"/>
          <w:szCs w:val="22"/>
        </w:rPr>
        <w:t>our service improvement prog</w:t>
      </w:r>
      <w:r w:rsidR="00154A27">
        <w:rPr>
          <w:rFonts w:ascii="Arial" w:hAnsi="Arial" w:cs="Arial"/>
          <w:sz w:val="22"/>
          <w:szCs w:val="22"/>
        </w:rPr>
        <w:t>r</w:t>
      </w:r>
      <w:r w:rsidR="00F35892" w:rsidRPr="0063120F">
        <w:rPr>
          <w:rFonts w:ascii="Arial" w:hAnsi="Arial" w:cs="Arial"/>
          <w:sz w:val="22"/>
          <w:szCs w:val="22"/>
        </w:rPr>
        <w:t>amme</w:t>
      </w:r>
      <w:r w:rsidR="00DC3F3F" w:rsidRPr="0063120F">
        <w:rPr>
          <w:rFonts w:ascii="Arial" w:hAnsi="Arial" w:cs="Arial"/>
          <w:sz w:val="22"/>
          <w:szCs w:val="22"/>
        </w:rPr>
        <w:t xml:space="preserve">. Tight controls remain in place over the tactical use of agency staff </w:t>
      </w:r>
      <w:r w:rsidR="00154A27">
        <w:rPr>
          <w:rFonts w:ascii="Arial" w:hAnsi="Arial" w:cs="Arial"/>
          <w:sz w:val="22"/>
          <w:szCs w:val="22"/>
        </w:rPr>
        <w:t>to ensure financial targets are achieved. This</w:t>
      </w:r>
      <w:r w:rsidR="00DC3F3F" w:rsidRPr="0063120F">
        <w:rPr>
          <w:rFonts w:ascii="Arial" w:hAnsi="Arial" w:cs="Arial"/>
          <w:sz w:val="22"/>
          <w:szCs w:val="22"/>
        </w:rPr>
        <w:t xml:space="preserve"> includ</w:t>
      </w:r>
      <w:r w:rsidR="00154A27">
        <w:rPr>
          <w:rFonts w:ascii="Arial" w:hAnsi="Arial" w:cs="Arial"/>
          <w:sz w:val="22"/>
          <w:szCs w:val="22"/>
        </w:rPr>
        <w:t>e</w:t>
      </w:r>
      <w:r>
        <w:rPr>
          <w:rFonts w:ascii="Arial" w:hAnsi="Arial" w:cs="Arial"/>
          <w:sz w:val="22"/>
          <w:szCs w:val="22"/>
        </w:rPr>
        <w:t>s</w:t>
      </w:r>
      <w:r w:rsidR="00DC3F3F" w:rsidRPr="0063120F">
        <w:rPr>
          <w:rFonts w:ascii="Arial" w:hAnsi="Arial" w:cs="Arial"/>
          <w:sz w:val="22"/>
          <w:szCs w:val="22"/>
        </w:rPr>
        <w:t xml:space="preserve"> approval of all contingent labour by a panel of senior managers who consider a variety of factors including, strategic priorities and risk assessment, </w:t>
      </w:r>
      <w:r>
        <w:rPr>
          <w:rFonts w:ascii="Arial" w:hAnsi="Arial" w:cs="Arial"/>
          <w:sz w:val="22"/>
          <w:szCs w:val="22"/>
        </w:rPr>
        <w:t xml:space="preserve">financial indicators and </w:t>
      </w:r>
      <w:r w:rsidR="00DC3F3F" w:rsidRPr="0063120F">
        <w:rPr>
          <w:rFonts w:ascii="Arial" w:hAnsi="Arial" w:cs="Arial"/>
          <w:sz w:val="22"/>
          <w:szCs w:val="22"/>
        </w:rPr>
        <w:t>operational performance</w:t>
      </w:r>
      <w:r>
        <w:rPr>
          <w:rFonts w:ascii="Arial" w:hAnsi="Arial" w:cs="Arial"/>
          <w:sz w:val="22"/>
          <w:szCs w:val="22"/>
        </w:rPr>
        <w:t>.</w:t>
      </w:r>
      <w:r w:rsidR="00DC3F3F" w:rsidRPr="0063120F">
        <w:rPr>
          <w:rFonts w:ascii="Arial" w:hAnsi="Arial" w:cs="Arial"/>
          <w:sz w:val="22"/>
          <w:szCs w:val="22"/>
        </w:rPr>
        <w:t xml:space="preserve"> </w:t>
      </w:r>
    </w:p>
    <w:p w:rsidR="00891562" w:rsidRDefault="007315DF" w:rsidP="007C5117">
      <w:pPr>
        <w:spacing w:after="200" w:line="276" w:lineRule="auto"/>
        <w:rPr>
          <w:rFonts w:ascii="Arial" w:hAnsi="Arial" w:cs="Arial"/>
          <w:b/>
          <w:sz w:val="22"/>
          <w:szCs w:val="22"/>
        </w:rPr>
      </w:pPr>
      <w:r>
        <w:rPr>
          <w:rFonts w:ascii="Arial" w:hAnsi="Arial" w:cs="Arial"/>
          <w:b/>
          <w:sz w:val="22"/>
          <w:szCs w:val="22"/>
        </w:rPr>
        <w:t>Non-staff costs</w:t>
      </w:r>
    </w:p>
    <w:p w:rsidR="00D56123" w:rsidRDefault="007315DF" w:rsidP="007C5117">
      <w:pPr>
        <w:spacing w:after="200" w:line="276" w:lineRule="auto"/>
        <w:rPr>
          <w:rFonts w:ascii="Arial" w:hAnsi="Arial" w:cs="Arial"/>
          <w:sz w:val="22"/>
          <w:szCs w:val="22"/>
        </w:rPr>
      </w:pPr>
      <w:r w:rsidRPr="00535185">
        <w:rPr>
          <w:rFonts w:ascii="Arial" w:hAnsi="Arial" w:cs="Arial"/>
          <w:b/>
          <w:sz w:val="22"/>
          <w:szCs w:val="22"/>
        </w:rPr>
        <w:t>No significant variances</w:t>
      </w:r>
      <w:r w:rsidRPr="007315DF">
        <w:rPr>
          <w:rFonts w:ascii="Arial" w:hAnsi="Arial" w:cs="Arial"/>
          <w:sz w:val="22"/>
          <w:szCs w:val="22"/>
        </w:rPr>
        <w:t xml:space="preserve"> to report at this stage of the year</w:t>
      </w:r>
      <w:r>
        <w:rPr>
          <w:rFonts w:ascii="Arial" w:hAnsi="Arial" w:cs="Arial"/>
          <w:sz w:val="22"/>
          <w:szCs w:val="22"/>
        </w:rPr>
        <w:t xml:space="preserve">. Our refined approach to finance business partnering has been implemented to enable the right level of focus on costs / activity </w:t>
      </w:r>
      <w:r w:rsidR="00D56123">
        <w:rPr>
          <w:rFonts w:ascii="Arial" w:hAnsi="Arial" w:cs="Arial"/>
          <w:sz w:val="22"/>
          <w:szCs w:val="22"/>
        </w:rPr>
        <w:t xml:space="preserve">proportionate to </w:t>
      </w:r>
      <w:r>
        <w:rPr>
          <w:rFonts w:ascii="Arial" w:hAnsi="Arial" w:cs="Arial"/>
          <w:sz w:val="22"/>
          <w:szCs w:val="22"/>
        </w:rPr>
        <w:t xml:space="preserve">our internal assessment of risk.  </w:t>
      </w:r>
    </w:p>
    <w:p w:rsidR="007315DF" w:rsidRPr="007315DF" w:rsidRDefault="00D56123" w:rsidP="007C5117">
      <w:pPr>
        <w:spacing w:after="200" w:line="276" w:lineRule="auto"/>
        <w:rPr>
          <w:rFonts w:ascii="Arial" w:hAnsi="Arial" w:cs="Arial"/>
          <w:sz w:val="22"/>
          <w:szCs w:val="22"/>
        </w:rPr>
      </w:pPr>
      <w:r w:rsidRPr="00D56123">
        <w:rPr>
          <w:rFonts w:ascii="Arial" w:hAnsi="Arial" w:cs="Arial"/>
          <w:b/>
          <w:sz w:val="22"/>
          <w:szCs w:val="22"/>
        </w:rPr>
        <w:t>Estates related costs</w:t>
      </w:r>
      <w:r w:rsidR="00506486">
        <w:rPr>
          <w:rFonts w:ascii="Arial" w:hAnsi="Arial" w:cs="Arial"/>
          <w:b/>
          <w:sz w:val="22"/>
          <w:szCs w:val="22"/>
        </w:rPr>
        <w:t>:</w:t>
      </w:r>
      <w:r>
        <w:rPr>
          <w:rFonts w:ascii="Arial" w:hAnsi="Arial" w:cs="Arial"/>
          <w:sz w:val="22"/>
          <w:szCs w:val="22"/>
        </w:rPr>
        <w:t xml:space="preserve"> Cost sharing arrangements for SKH with NHS BSA continue to help mitigate the costs of our London office </w:t>
      </w:r>
      <w:r w:rsidR="00CF4B28">
        <w:rPr>
          <w:rFonts w:ascii="Arial" w:hAnsi="Arial" w:cs="Arial"/>
          <w:sz w:val="22"/>
          <w:szCs w:val="22"/>
        </w:rPr>
        <w:t>(£72k/annum)</w:t>
      </w:r>
      <w:r w:rsidR="00DC3F3F">
        <w:rPr>
          <w:rFonts w:ascii="Arial" w:hAnsi="Arial" w:cs="Arial"/>
          <w:sz w:val="22"/>
          <w:szCs w:val="22"/>
        </w:rPr>
        <w:t xml:space="preserve"> </w:t>
      </w:r>
      <w:r w:rsidR="00506486">
        <w:rPr>
          <w:rFonts w:ascii="Arial" w:hAnsi="Arial" w:cs="Arial"/>
          <w:sz w:val="22"/>
          <w:szCs w:val="22"/>
        </w:rPr>
        <w:t xml:space="preserve">and plans are progressing to share 6-8 desks in Manchester with </w:t>
      </w:r>
      <w:r w:rsidR="00ED591B">
        <w:rPr>
          <w:rFonts w:ascii="Arial" w:hAnsi="Arial" w:cs="Arial"/>
          <w:sz w:val="22"/>
          <w:szCs w:val="22"/>
        </w:rPr>
        <w:t xml:space="preserve">another government agency. </w:t>
      </w:r>
      <w:r w:rsidR="00CF4B28">
        <w:rPr>
          <w:rFonts w:ascii="Arial" w:hAnsi="Arial" w:cs="Arial"/>
          <w:sz w:val="22"/>
          <w:szCs w:val="22"/>
        </w:rPr>
        <w:t xml:space="preserve"> </w:t>
      </w:r>
    </w:p>
    <w:p w:rsidR="00D56123" w:rsidRPr="00D56123" w:rsidRDefault="00D56123" w:rsidP="00455FF2">
      <w:pPr>
        <w:spacing w:after="200" w:line="276" w:lineRule="auto"/>
        <w:rPr>
          <w:rFonts w:ascii="Arial" w:hAnsi="Arial" w:cs="Arial"/>
          <w:b/>
          <w:sz w:val="22"/>
          <w:szCs w:val="22"/>
        </w:rPr>
      </w:pPr>
      <w:r w:rsidRPr="00D56123">
        <w:rPr>
          <w:rFonts w:ascii="Arial" w:hAnsi="Arial" w:cs="Arial"/>
          <w:b/>
          <w:sz w:val="22"/>
          <w:szCs w:val="22"/>
        </w:rPr>
        <w:t>Reserves</w:t>
      </w:r>
    </w:p>
    <w:p w:rsidR="00151DD3" w:rsidRDefault="00691DEA" w:rsidP="00455FF2">
      <w:pPr>
        <w:spacing w:after="200" w:line="276" w:lineRule="auto"/>
        <w:rPr>
          <w:rFonts w:ascii="Arial" w:hAnsi="Arial" w:cs="Arial"/>
          <w:sz w:val="22"/>
          <w:szCs w:val="22"/>
        </w:rPr>
      </w:pPr>
      <w:r>
        <w:rPr>
          <w:rFonts w:ascii="Arial" w:hAnsi="Arial" w:cs="Arial"/>
          <w:sz w:val="22"/>
          <w:szCs w:val="22"/>
        </w:rPr>
        <w:t>Our</w:t>
      </w:r>
      <w:r w:rsidR="00D56123">
        <w:rPr>
          <w:rFonts w:ascii="Arial" w:hAnsi="Arial" w:cs="Arial"/>
          <w:sz w:val="22"/>
          <w:szCs w:val="22"/>
        </w:rPr>
        <w:t xml:space="preserve"> </w:t>
      </w:r>
      <w:r w:rsidR="007A7D58">
        <w:rPr>
          <w:rFonts w:ascii="Arial" w:hAnsi="Arial" w:cs="Arial"/>
          <w:sz w:val="22"/>
          <w:szCs w:val="22"/>
        </w:rPr>
        <w:t xml:space="preserve">committed </w:t>
      </w:r>
      <w:r w:rsidR="00455FF2" w:rsidRPr="004D46E5">
        <w:rPr>
          <w:rFonts w:ascii="Arial" w:hAnsi="Arial" w:cs="Arial"/>
          <w:b/>
          <w:sz w:val="22"/>
          <w:szCs w:val="22"/>
        </w:rPr>
        <w:t>GIA funded reserves</w:t>
      </w:r>
      <w:r w:rsidR="00455FF2">
        <w:rPr>
          <w:rFonts w:ascii="Arial" w:hAnsi="Arial" w:cs="Arial"/>
          <w:sz w:val="22"/>
          <w:szCs w:val="22"/>
        </w:rPr>
        <w:t xml:space="preserve"> programme </w:t>
      </w:r>
      <w:r w:rsidR="009D5B01">
        <w:rPr>
          <w:rFonts w:ascii="Arial" w:hAnsi="Arial" w:cs="Arial"/>
          <w:sz w:val="22"/>
          <w:szCs w:val="22"/>
        </w:rPr>
        <w:t>have been revised to</w:t>
      </w:r>
      <w:r w:rsidR="00D56123">
        <w:rPr>
          <w:rFonts w:ascii="Arial" w:hAnsi="Arial" w:cs="Arial"/>
          <w:sz w:val="22"/>
          <w:szCs w:val="22"/>
        </w:rPr>
        <w:t xml:space="preserve"> </w:t>
      </w:r>
      <w:r w:rsidR="00455FF2" w:rsidRPr="004D46E5">
        <w:rPr>
          <w:rFonts w:ascii="Arial" w:hAnsi="Arial" w:cs="Arial"/>
          <w:b/>
          <w:sz w:val="22"/>
          <w:szCs w:val="22"/>
        </w:rPr>
        <w:t>£</w:t>
      </w:r>
      <w:r w:rsidR="00DC3F3F">
        <w:rPr>
          <w:rFonts w:ascii="Arial" w:hAnsi="Arial" w:cs="Arial"/>
          <w:b/>
          <w:sz w:val="22"/>
          <w:szCs w:val="22"/>
        </w:rPr>
        <w:t>3</w:t>
      </w:r>
      <w:r w:rsidR="007A7D58">
        <w:rPr>
          <w:rFonts w:ascii="Arial" w:hAnsi="Arial" w:cs="Arial"/>
          <w:b/>
          <w:sz w:val="22"/>
          <w:szCs w:val="22"/>
        </w:rPr>
        <w:t>2</w:t>
      </w:r>
      <w:r w:rsidR="00DC3F3F">
        <w:rPr>
          <w:rFonts w:ascii="Arial" w:hAnsi="Arial" w:cs="Arial"/>
          <w:b/>
          <w:sz w:val="22"/>
          <w:szCs w:val="22"/>
        </w:rPr>
        <w:t>3</w:t>
      </w:r>
      <w:r w:rsidR="00455FF2" w:rsidRPr="004D46E5">
        <w:rPr>
          <w:rFonts w:ascii="Arial" w:hAnsi="Arial" w:cs="Arial"/>
          <w:b/>
          <w:sz w:val="22"/>
          <w:szCs w:val="22"/>
        </w:rPr>
        <w:t>k</w:t>
      </w:r>
      <w:r w:rsidR="009D5B01">
        <w:rPr>
          <w:rFonts w:ascii="Arial" w:hAnsi="Arial" w:cs="Arial"/>
          <w:b/>
          <w:sz w:val="22"/>
          <w:szCs w:val="22"/>
        </w:rPr>
        <w:t xml:space="preserve"> based on current knowledge. </w:t>
      </w:r>
      <w:r w:rsidR="00D56123">
        <w:rPr>
          <w:rFonts w:ascii="Arial" w:hAnsi="Arial" w:cs="Arial"/>
          <w:sz w:val="22"/>
          <w:szCs w:val="22"/>
        </w:rPr>
        <w:t>This is in addition, to o</w:t>
      </w:r>
      <w:r w:rsidR="00455FF2">
        <w:rPr>
          <w:rFonts w:ascii="Arial" w:hAnsi="Arial" w:cs="Arial"/>
          <w:sz w:val="22"/>
          <w:szCs w:val="22"/>
        </w:rPr>
        <w:t xml:space="preserve">ur </w:t>
      </w:r>
      <w:r w:rsidR="00D56123">
        <w:rPr>
          <w:rFonts w:ascii="Arial" w:hAnsi="Arial" w:cs="Arial"/>
          <w:sz w:val="22"/>
          <w:szCs w:val="22"/>
        </w:rPr>
        <w:t xml:space="preserve">fully funded </w:t>
      </w:r>
      <w:r w:rsidR="00455FF2" w:rsidRPr="004D46E5">
        <w:rPr>
          <w:rFonts w:ascii="Arial" w:hAnsi="Arial" w:cs="Arial"/>
          <w:b/>
          <w:sz w:val="22"/>
          <w:szCs w:val="22"/>
        </w:rPr>
        <w:t>RS transformation programme</w:t>
      </w:r>
      <w:r w:rsidR="00D56123">
        <w:rPr>
          <w:rFonts w:ascii="Arial" w:hAnsi="Arial" w:cs="Arial"/>
          <w:b/>
          <w:sz w:val="22"/>
          <w:szCs w:val="22"/>
        </w:rPr>
        <w:t>,</w:t>
      </w:r>
      <w:r w:rsidR="00455FF2" w:rsidRPr="004D46E5">
        <w:rPr>
          <w:rFonts w:ascii="Arial" w:hAnsi="Arial" w:cs="Arial"/>
          <w:b/>
          <w:sz w:val="22"/>
          <w:szCs w:val="22"/>
        </w:rPr>
        <w:t xml:space="preserve"> £</w:t>
      </w:r>
      <w:r w:rsidR="00506486">
        <w:rPr>
          <w:rFonts w:ascii="Arial" w:hAnsi="Arial" w:cs="Arial"/>
          <w:b/>
          <w:sz w:val="22"/>
          <w:szCs w:val="22"/>
        </w:rPr>
        <w:t>2</w:t>
      </w:r>
      <w:r w:rsidR="00455FF2" w:rsidRPr="004D46E5">
        <w:rPr>
          <w:rFonts w:ascii="Arial" w:hAnsi="Arial" w:cs="Arial"/>
          <w:b/>
          <w:sz w:val="22"/>
          <w:szCs w:val="22"/>
        </w:rPr>
        <w:t>,</w:t>
      </w:r>
      <w:r w:rsidR="00506486">
        <w:rPr>
          <w:rFonts w:ascii="Arial" w:hAnsi="Arial" w:cs="Arial"/>
          <w:b/>
          <w:sz w:val="22"/>
          <w:szCs w:val="22"/>
        </w:rPr>
        <w:t>002</w:t>
      </w:r>
      <w:r w:rsidR="00455FF2" w:rsidRPr="004D46E5">
        <w:rPr>
          <w:rFonts w:ascii="Arial" w:hAnsi="Arial" w:cs="Arial"/>
          <w:b/>
          <w:sz w:val="22"/>
          <w:szCs w:val="22"/>
        </w:rPr>
        <w:t>k</w:t>
      </w:r>
      <w:r w:rsidR="00455FF2">
        <w:rPr>
          <w:rFonts w:ascii="Arial" w:hAnsi="Arial" w:cs="Arial"/>
          <w:sz w:val="22"/>
          <w:szCs w:val="22"/>
        </w:rPr>
        <w:t xml:space="preserve"> </w:t>
      </w:r>
      <w:r w:rsidR="00D56123">
        <w:rPr>
          <w:rFonts w:ascii="Arial" w:hAnsi="Arial" w:cs="Arial"/>
          <w:sz w:val="22"/>
          <w:szCs w:val="22"/>
        </w:rPr>
        <w:t>(</w:t>
      </w:r>
      <w:r w:rsidR="00455FF2">
        <w:rPr>
          <w:rFonts w:ascii="Arial" w:hAnsi="Arial" w:cs="Arial"/>
          <w:sz w:val="22"/>
          <w:szCs w:val="22"/>
        </w:rPr>
        <w:t>funded by DHSC Research funding and Brexit funding</w:t>
      </w:r>
      <w:r w:rsidR="00151DD3">
        <w:rPr>
          <w:rFonts w:ascii="Arial" w:hAnsi="Arial" w:cs="Arial"/>
          <w:sz w:val="22"/>
          <w:szCs w:val="22"/>
        </w:rPr>
        <w:t>)</w:t>
      </w:r>
      <w:r w:rsidR="00455FF2">
        <w:rPr>
          <w:rFonts w:ascii="Arial" w:hAnsi="Arial" w:cs="Arial"/>
          <w:sz w:val="22"/>
          <w:szCs w:val="22"/>
        </w:rPr>
        <w:t xml:space="preserve">. </w:t>
      </w:r>
    </w:p>
    <w:p w:rsidR="00730EE3" w:rsidRDefault="007A7D58" w:rsidP="00455FF2">
      <w:pPr>
        <w:spacing w:after="200" w:line="276" w:lineRule="auto"/>
        <w:rPr>
          <w:rFonts w:ascii="Arial" w:hAnsi="Arial" w:cs="Arial"/>
          <w:sz w:val="22"/>
          <w:szCs w:val="22"/>
        </w:rPr>
      </w:pPr>
      <w:r>
        <w:rPr>
          <w:rFonts w:ascii="Arial" w:hAnsi="Arial" w:cs="Arial"/>
          <w:sz w:val="22"/>
          <w:szCs w:val="22"/>
        </w:rPr>
        <w:t xml:space="preserve">£68k reserves funding remains available to be allocated giving a balance of £48k to be invested in the </w:t>
      </w:r>
      <w:r w:rsidR="004E7A7E">
        <w:rPr>
          <w:rFonts w:ascii="Arial" w:hAnsi="Arial" w:cs="Arial"/>
          <w:sz w:val="22"/>
          <w:szCs w:val="22"/>
        </w:rPr>
        <w:t>remaining</w:t>
      </w:r>
      <w:r>
        <w:rPr>
          <w:rFonts w:ascii="Arial" w:hAnsi="Arial" w:cs="Arial"/>
          <w:sz w:val="22"/>
          <w:szCs w:val="22"/>
        </w:rPr>
        <w:t xml:space="preserve"> 6 months of the year. </w:t>
      </w:r>
      <w:r w:rsidR="00455FF2">
        <w:rPr>
          <w:rFonts w:ascii="Arial" w:hAnsi="Arial" w:cs="Arial"/>
          <w:sz w:val="22"/>
          <w:szCs w:val="22"/>
        </w:rPr>
        <w:t xml:space="preserve">Our financial plan is currently </w:t>
      </w:r>
      <w:r>
        <w:rPr>
          <w:rFonts w:ascii="Arial" w:hAnsi="Arial" w:cs="Arial"/>
          <w:sz w:val="22"/>
          <w:szCs w:val="22"/>
        </w:rPr>
        <w:t>funded and SLT are reviewing strategic requirements</w:t>
      </w:r>
      <w:r w:rsidR="00DC3F3F">
        <w:rPr>
          <w:rFonts w:ascii="Arial" w:hAnsi="Arial" w:cs="Arial"/>
          <w:sz w:val="22"/>
          <w:szCs w:val="22"/>
        </w:rPr>
        <w:t xml:space="preserve"> </w:t>
      </w:r>
      <w:r>
        <w:rPr>
          <w:rFonts w:ascii="Arial" w:hAnsi="Arial" w:cs="Arial"/>
          <w:sz w:val="22"/>
          <w:szCs w:val="22"/>
        </w:rPr>
        <w:t xml:space="preserve">to ensure we meet our business plan objectives and support the current organisational change processes. </w:t>
      </w:r>
      <w:r w:rsidR="00730EE3">
        <w:rPr>
          <w:rFonts w:ascii="Arial" w:hAnsi="Arial" w:cs="Arial"/>
          <w:sz w:val="22"/>
          <w:szCs w:val="22"/>
        </w:rPr>
        <w:t xml:space="preserve"> </w:t>
      </w:r>
    </w:p>
    <w:p w:rsidR="00506486" w:rsidRDefault="00506486" w:rsidP="00455FF2">
      <w:pPr>
        <w:spacing w:after="200" w:line="276" w:lineRule="auto"/>
        <w:rPr>
          <w:rFonts w:ascii="Arial" w:hAnsi="Arial" w:cs="Arial"/>
          <w:sz w:val="22"/>
          <w:szCs w:val="22"/>
        </w:rPr>
      </w:pPr>
    </w:p>
    <w:p w:rsidR="00506486" w:rsidRDefault="00506486" w:rsidP="00455FF2">
      <w:pPr>
        <w:spacing w:after="200" w:line="276" w:lineRule="auto"/>
        <w:rPr>
          <w:rFonts w:ascii="Arial" w:hAnsi="Arial" w:cs="Arial"/>
          <w:sz w:val="22"/>
          <w:szCs w:val="22"/>
        </w:rPr>
      </w:pPr>
    </w:p>
    <w:tbl>
      <w:tblPr>
        <w:tblStyle w:val="TableGrid"/>
        <w:tblW w:w="4162" w:type="pct"/>
        <w:tblLook w:val="04A0" w:firstRow="1" w:lastRow="0" w:firstColumn="1" w:lastColumn="0" w:noHBand="0" w:noVBand="1"/>
      </w:tblPr>
      <w:tblGrid>
        <w:gridCol w:w="5070"/>
        <w:gridCol w:w="1722"/>
        <w:gridCol w:w="1722"/>
      </w:tblGrid>
      <w:tr w:rsidR="007A7D58" w:rsidRPr="006B19F1" w:rsidTr="007A7D58">
        <w:trPr>
          <w:trHeight w:val="227"/>
        </w:trPr>
        <w:tc>
          <w:tcPr>
            <w:tcW w:w="2977" w:type="pct"/>
            <w:shd w:val="clear" w:color="auto" w:fill="548DD4" w:themeFill="text2" w:themeFillTint="99"/>
          </w:tcPr>
          <w:p w:rsidR="007A7D58" w:rsidRPr="00151DD3" w:rsidRDefault="007A7D58" w:rsidP="00151DD3">
            <w:pPr>
              <w:spacing w:after="200" w:line="276" w:lineRule="auto"/>
              <w:rPr>
                <w:rFonts w:asciiTheme="minorHAnsi" w:hAnsiTheme="minorHAnsi" w:cs="Arial"/>
                <w:b/>
                <w:color w:val="FFFFFF" w:themeColor="background1"/>
                <w:sz w:val="22"/>
                <w:szCs w:val="22"/>
              </w:rPr>
            </w:pPr>
            <w:r w:rsidRPr="00151DD3">
              <w:rPr>
                <w:rFonts w:asciiTheme="minorHAnsi" w:hAnsiTheme="minorHAnsi" w:cs="Arial"/>
                <w:b/>
                <w:color w:val="FFFFFF" w:themeColor="background1"/>
                <w:sz w:val="22"/>
                <w:szCs w:val="22"/>
              </w:rPr>
              <w:lastRenderedPageBreak/>
              <w:t>Programme</w:t>
            </w:r>
          </w:p>
        </w:tc>
        <w:tc>
          <w:tcPr>
            <w:tcW w:w="1011" w:type="pct"/>
            <w:shd w:val="clear" w:color="auto" w:fill="548DD4" w:themeFill="text2" w:themeFillTint="99"/>
          </w:tcPr>
          <w:p w:rsidR="007A7D58" w:rsidRPr="00151DD3" w:rsidRDefault="007A7D58" w:rsidP="00151DD3">
            <w:pPr>
              <w:spacing w:after="200" w:line="276" w:lineRule="auto"/>
              <w:jc w:val="right"/>
              <w:rPr>
                <w:rFonts w:asciiTheme="minorHAnsi" w:hAnsiTheme="minorHAnsi" w:cs="Arial"/>
                <w:b/>
                <w:color w:val="FFFFFF" w:themeColor="background1"/>
                <w:sz w:val="22"/>
                <w:szCs w:val="22"/>
              </w:rPr>
            </w:pPr>
            <w:r w:rsidRPr="00151DD3">
              <w:rPr>
                <w:rFonts w:asciiTheme="minorHAnsi" w:hAnsiTheme="minorHAnsi" w:cs="Arial"/>
                <w:b/>
                <w:color w:val="FFFFFF" w:themeColor="background1"/>
                <w:sz w:val="22"/>
                <w:szCs w:val="22"/>
              </w:rPr>
              <w:t>Requested</w:t>
            </w:r>
          </w:p>
          <w:p w:rsidR="007A7D58" w:rsidRPr="00151DD3" w:rsidRDefault="007A7D58" w:rsidP="00151DD3">
            <w:pPr>
              <w:spacing w:after="200" w:line="276" w:lineRule="auto"/>
              <w:jc w:val="right"/>
              <w:rPr>
                <w:rFonts w:asciiTheme="minorHAnsi" w:hAnsiTheme="minorHAnsi" w:cs="Arial"/>
                <w:b/>
                <w:color w:val="FFFFFF" w:themeColor="background1"/>
                <w:sz w:val="22"/>
                <w:szCs w:val="22"/>
              </w:rPr>
            </w:pPr>
            <w:r w:rsidRPr="00151DD3">
              <w:rPr>
                <w:rFonts w:asciiTheme="minorHAnsi" w:hAnsiTheme="minorHAnsi" w:cs="Arial"/>
                <w:b/>
                <w:color w:val="FFFFFF" w:themeColor="background1"/>
                <w:sz w:val="22"/>
                <w:szCs w:val="22"/>
              </w:rPr>
              <w:t>£000</w:t>
            </w:r>
          </w:p>
        </w:tc>
        <w:tc>
          <w:tcPr>
            <w:tcW w:w="1011" w:type="pct"/>
            <w:shd w:val="clear" w:color="auto" w:fill="548DD4" w:themeFill="text2" w:themeFillTint="99"/>
          </w:tcPr>
          <w:p w:rsidR="007A7D58" w:rsidRPr="00151DD3" w:rsidRDefault="007A7D58" w:rsidP="00151DD3">
            <w:pPr>
              <w:spacing w:after="200" w:line="276" w:lineRule="auto"/>
              <w:jc w:val="right"/>
              <w:rPr>
                <w:rFonts w:asciiTheme="minorHAnsi" w:hAnsiTheme="minorHAnsi" w:cs="Arial"/>
                <w:b/>
                <w:color w:val="FFFFFF" w:themeColor="background1"/>
                <w:sz w:val="22"/>
                <w:szCs w:val="22"/>
              </w:rPr>
            </w:pPr>
            <w:r w:rsidRPr="00151DD3">
              <w:rPr>
                <w:rFonts w:asciiTheme="minorHAnsi" w:hAnsiTheme="minorHAnsi" w:cs="Arial"/>
                <w:b/>
                <w:color w:val="FFFFFF" w:themeColor="background1"/>
                <w:sz w:val="22"/>
                <w:szCs w:val="22"/>
              </w:rPr>
              <w:t xml:space="preserve">Committed </w:t>
            </w:r>
          </w:p>
          <w:p w:rsidR="007A7D58" w:rsidRPr="00151DD3" w:rsidRDefault="007A7D58" w:rsidP="00151DD3">
            <w:pPr>
              <w:spacing w:after="200" w:line="276" w:lineRule="auto"/>
              <w:jc w:val="right"/>
              <w:rPr>
                <w:rFonts w:asciiTheme="minorHAnsi" w:hAnsiTheme="minorHAnsi" w:cs="Arial"/>
                <w:b/>
                <w:color w:val="FFFFFF" w:themeColor="background1"/>
                <w:sz w:val="22"/>
                <w:szCs w:val="22"/>
              </w:rPr>
            </w:pPr>
            <w:r w:rsidRPr="00151DD3">
              <w:rPr>
                <w:rFonts w:asciiTheme="minorHAnsi" w:hAnsiTheme="minorHAnsi" w:cs="Arial"/>
                <w:b/>
                <w:color w:val="FFFFFF" w:themeColor="background1"/>
                <w:sz w:val="22"/>
                <w:szCs w:val="22"/>
              </w:rPr>
              <w:t>£000</w:t>
            </w:r>
          </w:p>
        </w:tc>
      </w:tr>
      <w:tr w:rsidR="007A7D58" w:rsidTr="007A7D58">
        <w:trPr>
          <w:trHeight w:val="511"/>
        </w:trPr>
        <w:tc>
          <w:tcPr>
            <w:tcW w:w="2977" w:type="pct"/>
          </w:tcPr>
          <w:p w:rsidR="007A7D58" w:rsidRPr="00151DD3" w:rsidRDefault="007A7D58" w:rsidP="001368BE">
            <w:pPr>
              <w:spacing w:after="200" w:line="276" w:lineRule="auto"/>
              <w:rPr>
                <w:rFonts w:asciiTheme="minorHAnsi" w:hAnsiTheme="minorHAnsi" w:cs="Arial"/>
                <w:sz w:val="22"/>
                <w:szCs w:val="22"/>
              </w:rPr>
            </w:pPr>
            <w:r w:rsidRPr="00151DD3">
              <w:rPr>
                <w:rFonts w:asciiTheme="minorHAnsi" w:hAnsiTheme="minorHAnsi" w:cs="Arial"/>
                <w:sz w:val="22"/>
                <w:szCs w:val="22"/>
              </w:rPr>
              <w:t>Future services programme</w:t>
            </w:r>
            <w:r>
              <w:rPr>
                <w:rFonts w:asciiTheme="minorHAnsi" w:hAnsiTheme="minorHAnsi" w:cs="Arial"/>
                <w:sz w:val="22"/>
                <w:szCs w:val="22"/>
              </w:rPr>
              <w:t xml:space="preserve"> ( </w:t>
            </w:r>
            <w:proofErr w:type="spellStart"/>
            <w:r>
              <w:rPr>
                <w:rFonts w:asciiTheme="minorHAnsi" w:hAnsiTheme="minorHAnsi" w:cs="Arial"/>
                <w:sz w:val="22"/>
                <w:szCs w:val="22"/>
              </w:rPr>
              <w:t>incl</w:t>
            </w:r>
            <w:proofErr w:type="spellEnd"/>
            <w:r>
              <w:rPr>
                <w:rFonts w:asciiTheme="minorHAnsi" w:hAnsiTheme="minorHAnsi" w:cs="Arial"/>
                <w:sz w:val="22"/>
                <w:szCs w:val="22"/>
              </w:rPr>
              <w:t xml:space="preserve"> Win 10) (1)</w:t>
            </w:r>
          </w:p>
        </w:tc>
        <w:tc>
          <w:tcPr>
            <w:tcW w:w="1011" w:type="pct"/>
          </w:tcPr>
          <w:p w:rsidR="007A7D58" w:rsidRPr="00151DD3" w:rsidRDefault="007A7D58" w:rsidP="00151DD3">
            <w:pPr>
              <w:spacing w:after="200" w:line="276" w:lineRule="auto"/>
              <w:jc w:val="right"/>
              <w:rPr>
                <w:rFonts w:asciiTheme="minorHAnsi" w:hAnsiTheme="minorHAnsi" w:cs="Arial"/>
                <w:sz w:val="22"/>
                <w:szCs w:val="22"/>
              </w:rPr>
            </w:pPr>
            <w:r>
              <w:rPr>
                <w:rFonts w:asciiTheme="minorHAnsi" w:hAnsiTheme="minorHAnsi" w:cs="Arial"/>
                <w:sz w:val="22"/>
                <w:szCs w:val="22"/>
              </w:rPr>
              <w:t>212</w:t>
            </w:r>
          </w:p>
        </w:tc>
        <w:tc>
          <w:tcPr>
            <w:tcW w:w="1011" w:type="pct"/>
          </w:tcPr>
          <w:p w:rsidR="007A7D58" w:rsidRPr="00151DD3" w:rsidRDefault="007A7D58" w:rsidP="00151DD3">
            <w:pPr>
              <w:spacing w:after="200" w:line="276" w:lineRule="auto"/>
              <w:jc w:val="right"/>
              <w:rPr>
                <w:rFonts w:asciiTheme="minorHAnsi" w:hAnsiTheme="minorHAnsi" w:cs="Arial"/>
                <w:sz w:val="22"/>
                <w:szCs w:val="22"/>
              </w:rPr>
            </w:pPr>
            <w:r>
              <w:rPr>
                <w:rFonts w:asciiTheme="minorHAnsi" w:hAnsiTheme="minorHAnsi" w:cs="Arial"/>
                <w:sz w:val="22"/>
                <w:szCs w:val="22"/>
              </w:rPr>
              <w:t>212</w:t>
            </w:r>
          </w:p>
        </w:tc>
      </w:tr>
      <w:tr w:rsidR="007A7D58" w:rsidTr="007A7D58">
        <w:trPr>
          <w:trHeight w:val="227"/>
        </w:trPr>
        <w:tc>
          <w:tcPr>
            <w:tcW w:w="2977" w:type="pct"/>
          </w:tcPr>
          <w:p w:rsidR="007A7D58" w:rsidRPr="00151DD3" w:rsidRDefault="007A7D58" w:rsidP="00151DD3">
            <w:pPr>
              <w:spacing w:after="200" w:line="276" w:lineRule="auto"/>
              <w:rPr>
                <w:rFonts w:asciiTheme="minorHAnsi" w:hAnsiTheme="minorHAnsi" w:cs="Arial"/>
                <w:sz w:val="22"/>
                <w:szCs w:val="22"/>
              </w:rPr>
            </w:pPr>
            <w:r w:rsidRPr="00151DD3">
              <w:rPr>
                <w:rFonts w:asciiTheme="minorHAnsi" w:hAnsiTheme="minorHAnsi" w:cs="Arial"/>
                <w:sz w:val="22"/>
                <w:szCs w:val="22"/>
              </w:rPr>
              <w:t>Service improvement programme</w:t>
            </w:r>
          </w:p>
        </w:tc>
        <w:tc>
          <w:tcPr>
            <w:tcW w:w="1011" w:type="pct"/>
          </w:tcPr>
          <w:p w:rsidR="007A7D58" w:rsidRPr="00151DD3" w:rsidRDefault="007A7D58"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40</w:t>
            </w:r>
          </w:p>
        </w:tc>
        <w:tc>
          <w:tcPr>
            <w:tcW w:w="1011" w:type="pct"/>
          </w:tcPr>
          <w:p w:rsidR="007A7D58" w:rsidRPr="00151DD3" w:rsidRDefault="007A7D58"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40</w:t>
            </w:r>
          </w:p>
        </w:tc>
      </w:tr>
      <w:tr w:rsidR="007A7D58" w:rsidTr="007A7D58">
        <w:trPr>
          <w:trHeight w:val="227"/>
        </w:trPr>
        <w:tc>
          <w:tcPr>
            <w:tcW w:w="2977" w:type="pct"/>
          </w:tcPr>
          <w:p w:rsidR="007A7D58" w:rsidRPr="00151DD3" w:rsidRDefault="007A7D58" w:rsidP="00151DD3">
            <w:pPr>
              <w:spacing w:after="200" w:line="276" w:lineRule="auto"/>
              <w:rPr>
                <w:rFonts w:asciiTheme="minorHAnsi" w:hAnsiTheme="minorHAnsi" w:cs="Arial"/>
                <w:sz w:val="22"/>
                <w:szCs w:val="22"/>
              </w:rPr>
            </w:pPr>
            <w:r w:rsidRPr="00151DD3">
              <w:rPr>
                <w:rFonts w:asciiTheme="minorHAnsi" w:hAnsiTheme="minorHAnsi" w:cs="Arial"/>
                <w:sz w:val="22"/>
                <w:szCs w:val="22"/>
              </w:rPr>
              <w:t>PIER additional capacity</w:t>
            </w:r>
          </w:p>
        </w:tc>
        <w:tc>
          <w:tcPr>
            <w:tcW w:w="1011" w:type="pct"/>
          </w:tcPr>
          <w:p w:rsidR="007A7D58" w:rsidRPr="00151DD3" w:rsidRDefault="007A7D58" w:rsidP="00151DD3">
            <w:pPr>
              <w:spacing w:after="200" w:line="276" w:lineRule="auto"/>
              <w:jc w:val="right"/>
              <w:rPr>
                <w:rFonts w:asciiTheme="minorHAnsi" w:hAnsiTheme="minorHAnsi" w:cs="Arial"/>
                <w:sz w:val="22"/>
                <w:szCs w:val="22"/>
              </w:rPr>
            </w:pPr>
            <w:r>
              <w:rPr>
                <w:rFonts w:asciiTheme="minorHAnsi" w:hAnsiTheme="minorHAnsi" w:cs="Arial"/>
                <w:sz w:val="22"/>
                <w:szCs w:val="22"/>
              </w:rPr>
              <w:t>2</w:t>
            </w:r>
            <w:r w:rsidRPr="00151DD3">
              <w:rPr>
                <w:rFonts w:asciiTheme="minorHAnsi" w:hAnsiTheme="minorHAnsi" w:cs="Arial"/>
                <w:sz w:val="22"/>
                <w:szCs w:val="22"/>
              </w:rPr>
              <w:t>3</w:t>
            </w:r>
          </w:p>
        </w:tc>
        <w:tc>
          <w:tcPr>
            <w:tcW w:w="1011" w:type="pct"/>
          </w:tcPr>
          <w:p w:rsidR="007A7D58" w:rsidRPr="00151DD3" w:rsidRDefault="007A7D58" w:rsidP="00151DD3">
            <w:pPr>
              <w:spacing w:after="200" w:line="276" w:lineRule="auto"/>
              <w:jc w:val="right"/>
              <w:rPr>
                <w:rFonts w:asciiTheme="minorHAnsi" w:hAnsiTheme="minorHAnsi" w:cs="Arial"/>
                <w:sz w:val="22"/>
                <w:szCs w:val="22"/>
              </w:rPr>
            </w:pPr>
            <w:r>
              <w:rPr>
                <w:rFonts w:asciiTheme="minorHAnsi" w:hAnsiTheme="minorHAnsi" w:cs="Arial"/>
                <w:sz w:val="22"/>
                <w:szCs w:val="22"/>
              </w:rPr>
              <w:t>23</w:t>
            </w:r>
          </w:p>
        </w:tc>
      </w:tr>
      <w:tr w:rsidR="007A7D58" w:rsidTr="007A7D58">
        <w:trPr>
          <w:trHeight w:val="227"/>
        </w:trPr>
        <w:tc>
          <w:tcPr>
            <w:tcW w:w="2977" w:type="pct"/>
          </w:tcPr>
          <w:p w:rsidR="007A7D58" w:rsidRPr="00151DD3" w:rsidRDefault="007A7D58" w:rsidP="00151DD3">
            <w:pPr>
              <w:spacing w:after="200" w:line="276" w:lineRule="auto"/>
              <w:rPr>
                <w:rFonts w:asciiTheme="minorHAnsi" w:hAnsiTheme="minorHAnsi" w:cs="Arial"/>
                <w:sz w:val="22"/>
                <w:szCs w:val="22"/>
              </w:rPr>
            </w:pPr>
            <w:r w:rsidRPr="00151DD3">
              <w:rPr>
                <w:rFonts w:asciiTheme="minorHAnsi" w:hAnsiTheme="minorHAnsi" w:cs="Arial"/>
                <w:sz w:val="22"/>
                <w:szCs w:val="22"/>
              </w:rPr>
              <w:t>Website development</w:t>
            </w:r>
          </w:p>
        </w:tc>
        <w:tc>
          <w:tcPr>
            <w:tcW w:w="1011" w:type="pct"/>
          </w:tcPr>
          <w:p w:rsidR="007A7D58" w:rsidRPr="00151DD3" w:rsidRDefault="007A7D58"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8</w:t>
            </w:r>
          </w:p>
        </w:tc>
        <w:tc>
          <w:tcPr>
            <w:tcW w:w="1011" w:type="pct"/>
          </w:tcPr>
          <w:p w:rsidR="007A7D58" w:rsidRPr="00151DD3" w:rsidRDefault="007A7D58"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8</w:t>
            </w:r>
          </w:p>
        </w:tc>
      </w:tr>
      <w:tr w:rsidR="007A7D58" w:rsidTr="007A7D58">
        <w:trPr>
          <w:trHeight w:val="227"/>
        </w:trPr>
        <w:tc>
          <w:tcPr>
            <w:tcW w:w="2977" w:type="pct"/>
          </w:tcPr>
          <w:p w:rsidR="007A7D58" w:rsidRPr="00151DD3" w:rsidRDefault="007A7D58" w:rsidP="00632BED">
            <w:pPr>
              <w:spacing w:after="200" w:line="276" w:lineRule="auto"/>
              <w:rPr>
                <w:rFonts w:asciiTheme="minorHAnsi" w:hAnsiTheme="minorHAnsi" w:cs="Arial"/>
                <w:sz w:val="22"/>
                <w:szCs w:val="22"/>
              </w:rPr>
            </w:pPr>
            <w:r w:rsidRPr="00151DD3">
              <w:rPr>
                <w:rFonts w:asciiTheme="minorHAnsi" w:hAnsiTheme="minorHAnsi" w:cs="Arial"/>
                <w:sz w:val="22"/>
                <w:szCs w:val="22"/>
              </w:rPr>
              <w:t>EU clinical trials (</w:t>
            </w:r>
            <w:r>
              <w:rPr>
                <w:rFonts w:asciiTheme="minorHAnsi" w:hAnsiTheme="minorHAnsi" w:cs="Arial"/>
                <w:sz w:val="22"/>
                <w:szCs w:val="22"/>
              </w:rPr>
              <w:t>2</w:t>
            </w:r>
            <w:r w:rsidRPr="00151DD3">
              <w:rPr>
                <w:rFonts w:asciiTheme="minorHAnsi" w:hAnsiTheme="minorHAnsi" w:cs="Arial"/>
                <w:sz w:val="22"/>
                <w:szCs w:val="22"/>
              </w:rPr>
              <w:t>)</w:t>
            </w:r>
          </w:p>
        </w:tc>
        <w:tc>
          <w:tcPr>
            <w:tcW w:w="1011" w:type="pct"/>
          </w:tcPr>
          <w:p w:rsidR="007A7D58" w:rsidRPr="00151DD3" w:rsidRDefault="007A7D58" w:rsidP="00151DD3">
            <w:pPr>
              <w:spacing w:after="200" w:line="276" w:lineRule="auto"/>
              <w:jc w:val="right"/>
              <w:rPr>
                <w:rFonts w:asciiTheme="minorHAnsi" w:hAnsiTheme="minorHAnsi" w:cs="Arial"/>
                <w:sz w:val="22"/>
                <w:szCs w:val="22"/>
              </w:rPr>
            </w:pPr>
            <w:r>
              <w:rPr>
                <w:rFonts w:asciiTheme="minorHAnsi" w:hAnsiTheme="minorHAnsi" w:cs="Arial"/>
                <w:sz w:val="22"/>
                <w:szCs w:val="22"/>
              </w:rPr>
              <w:t>20</w:t>
            </w:r>
          </w:p>
        </w:tc>
        <w:tc>
          <w:tcPr>
            <w:tcW w:w="1011" w:type="pct"/>
          </w:tcPr>
          <w:p w:rsidR="007A7D58" w:rsidRPr="00151DD3" w:rsidRDefault="007A7D58"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0</w:t>
            </w:r>
          </w:p>
        </w:tc>
      </w:tr>
      <w:tr w:rsidR="007A7D58" w:rsidTr="007A7D58">
        <w:trPr>
          <w:trHeight w:val="227"/>
        </w:trPr>
        <w:tc>
          <w:tcPr>
            <w:tcW w:w="2977" w:type="pct"/>
            <w:tcBorders>
              <w:bottom w:val="single" w:sz="4" w:space="0" w:color="auto"/>
            </w:tcBorders>
          </w:tcPr>
          <w:p w:rsidR="007A7D58" w:rsidRPr="00151DD3" w:rsidRDefault="007A7D58" w:rsidP="00151DD3">
            <w:pPr>
              <w:spacing w:after="200" w:line="276" w:lineRule="auto"/>
              <w:rPr>
                <w:rFonts w:asciiTheme="minorHAnsi" w:hAnsiTheme="minorHAnsi" w:cs="Arial"/>
                <w:sz w:val="22"/>
                <w:szCs w:val="22"/>
              </w:rPr>
            </w:pPr>
            <w:r>
              <w:rPr>
                <w:rFonts w:asciiTheme="minorHAnsi" w:hAnsiTheme="minorHAnsi" w:cs="Arial"/>
                <w:sz w:val="22"/>
                <w:szCs w:val="22"/>
              </w:rPr>
              <w:t xml:space="preserve">Chief Executive recruitment </w:t>
            </w:r>
          </w:p>
        </w:tc>
        <w:tc>
          <w:tcPr>
            <w:tcW w:w="1011" w:type="pct"/>
            <w:tcBorders>
              <w:bottom w:val="single" w:sz="4" w:space="0" w:color="auto"/>
            </w:tcBorders>
          </w:tcPr>
          <w:p w:rsidR="007A7D58" w:rsidRPr="00151DD3" w:rsidRDefault="007A7D58" w:rsidP="00151DD3">
            <w:pPr>
              <w:spacing w:after="200" w:line="276" w:lineRule="auto"/>
              <w:jc w:val="right"/>
              <w:rPr>
                <w:rFonts w:asciiTheme="minorHAnsi" w:hAnsiTheme="minorHAnsi" w:cs="Arial"/>
                <w:sz w:val="22"/>
                <w:szCs w:val="22"/>
              </w:rPr>
            </w:pPr>
            <w:r>
              <w:rPr>
                <w:rFonts w:asciiTheme="minorHAnsi" w:hAnsiTheme="minorHAnsi" w:cs="Arial"/>
                <w:sz w:val="22"/>
                <w:szCs w:val="22"/>
              </w:rPr>
              <w:t>40</w:t>
            </w:r>
          </w:p>
        </w:tc>
        <w:tc>
          <w:tcPr>
            <w:tcW w:w="1011" w:type="pct"/>
            <w:tcBorders>
              <w:bottom w:val="single" w:sz="4" w:space="0" w:color="auto"/>
            </w:tcBorders>
          </w:tcPr>
          <w:p w:rsidR="007A7D58" w:rsidRPr="00151DD3" w:rsidRDefault="007A7D58" w:rsidP="00151DD3">
            <w:pPr>
              <w:spacing w:after="200" w:line="276" w:lineRule="auto"/>
              <w:jc w:val="right"/>
              <w:rPr>
                <w:rFonts w:asciiTheme="minorHAnsi" w:hAnsiTheme="minorHAnsi" w:cs="Arial"/>
                <w:sz w:val="22"/>
                <w:szCs w:val="22"/>
              </w:rPr>
            </w:pPr>
            <w:r>
              <w:rPr>
                <w:rFonts w:asciiTheme="minorHAnsi" w:hAnsiTheme="minorHAnsi" w:cs="Arial"/>
                <w:sz w:val="22"/>
                <w:szCs w:val="22"/>
              </w:rPr>
              <w:t>40</w:t>
            </w:r>
          </w:p>
        </w:tc>
      </w:tr>
      <w:tr w:rsidR="007A7D58" w:rsidTr="007A7D58">
        <w:trPr>
          <w:trHeight w:val="227"/>
        </w:trPr>
        <w:tc>
          <w:tcPr>
            <w:tcW w:w="2977" w:type="pct"/>
            <w:shd w:val="clear" w:color="auto" w:fill="8DB3E2" w:themeFill="text2" w:themeFillTint="66"/>
          </w:tcPr>
          <w:p w:rsidR="007A7D58" w:rsidRPr="00151DD3" w:rsidRDefault="007A7D58" w:rsidP="00151DD3">
            <w:pPr>
              <w:spacing w:after="200" w:line="276" w:lineRule="auto"/>
              <w:rPr>
                <w:rFonts w:asciiTheme="minorHAnsi" w:hAnsiTheme="minorHAnsi" w:cs="Arial"/>
                <w:b/>
                <w:sz w:val="22"/>
                <w:szCs w:val="22"/>
              </w:rPr>
            </w:pPr>
            <w:r w:rsidRPr="00151DD3">
              <w:rPr>
                <w:rFonts w:asciiTheme="minorHAnsi" w:hAnsiTheme="minorHAnsi" w:cs="Arial"/>
                <w:b/>
                <w:sz w:val="22"/>
                <w:szCs w:val="22"/>
              </w:rPr>
              <w:t>Totals</w:t>
            </w:r>
          </w:p>
        </w:tc>
        <w:tc>
          <w:tcPr>
            <w:tcW w:w="1011" w:type="pct"/>
            <w:shd w:val="clear" w:color="auto" w:fill="8DB3E2" w:themeFill="text2" w:themeFillTint="66"/>
          </w:tcPr>
          <w:p w:rsidR="007A7D58" w:rsidRPr="00151DD3" w:rsidRDefault="007A7D58" w:rsidP="006F304D">
            <w:pPr>
              <w:spacing w:after="200" w:line="276" w:lineRule="auto"/>
              <w:jc w:val="right"/>
              <w:rPr>
                <w:rFonts w:asciiTheme="minorHAnsi" w:hAnsiTheme="minorHAnsi" w:cs="Arial"/>
                <w:b/>
                <w:sz w:val="22"/>
                <w:szCs w:val="22"/>
              </w:rPr>
            </w:pPr>
            <w:r>
              <w:rPr>
                <w:rFonts w:asciiTheme="minorHAnsi" w:hAnsiTheme="minorHAnsi" w:cs="Arial"/>
                <w:b/>
                <w:sz w:val="22"/>
                <w:szCs w:val="22"/>
              </w:rPr>
              <w:t>343</w:t>
            </w:r>
          </w:p>
        </w:tc>
        <w:tc>
          <w:tcPr>
            <w:tcW w:w="1011" w:type="pct"/>
            <w:shd w:val="clear" w:color="auto" w:fill="8DB3E2" w:themeFill="text2" w:themeFillTint="66"/>
          </w:tcPr>
          <w:p w:rsidR="007A7D58" w:rsidRPr="00151DD3" w:rsidRDefault="007A7D58" w:rsidP="001368BE">
            <w:pPr>
              <w:spacing w:after="200" w:line="276" w:lineRule="auto"/>
              <w:jc w:val="right"/>
              <w:rPr>
                <w:rFonts w:asciiTheme="minorHAnsi" w:hAnsiTheme="minorHAnsi" w:cs="Arial"/>
                <w:b/>
                <w:sz w:val="22"/>
                <w:szCs w:val="22"/>
              </w:rPr>
            </w:pPr>
            <w:r>
              <w:rPr>
                <w:rFonts w:asciiTheme="minorHAnsi" w:hAnsiTheme="minorHAnsi" w:cs="Arial"/>
                <w:b/>
                <w:sz w:val="22"/>
                <w:szCs w:val="22"/>
              </w:rPr>
              <w:t>323</w:t>
            </w:r>
          </w:p>
        </w:tc>
      </w:tr>
      <w:tr w:rsidR="007A7D58" w:rsidTr="007A7D58">
        <w:trPr>
          <w:trHeight w:val="227"/>
        </w:trPr>
        <w:tc>
          <w:tcPr>
            <w:tcW w:w="2977" w:type="pct"/>
            <w:tcBorders>
              <w:bottom w:val="single" w:sz="4" w:space="0" w:color="auto"/>
            </w:tcBorders>
          </w:tcPr>
          <w:p w:rsidR="007A7D58" w:rsidRPr="00151DD3" w:rsidRDefault="007A7D58" w:rsidP="00151DD3">
            <w:pPr>
              <w:spacing w:after="200" w:line="276" w:lineRule="auto"/>
              <w:rPr>
                <w:rFonts w:asciiTheme="minorHAnsi" w:hAnsiTheme="minorHAnsi" w:cs="Arial"/>
                <w:b/>
                <w:sz w:val="22"/>
                <w:szCs w:val="22"/>
              </w:rPr>
            </w:pPr>
            <w:r w:rsidRPr="00151DD3">
              <w:rPr>
                <w:rFonts w:asciiTheme="minorHAnsi" w:hAnsiTheme="minorHAnsi" w:cs="Arial"/>
                <w:b/>
                <w:sz w:val="22"/>
                <w:szCs w:val="22"/>
              </w:rPr>
              <w:t>Released to ledger</w:t>
            </w:r>
          </w:p>
        </w:tc>
        <w:tc>
          <w:tcPr>
            <w:tcW w:w="1011" w:type="pct"/>
            <w:tcBorders>
              <w:bottom w:val="single" w:sz="4" w:space="0" w:color="auto"/>
            </w:tcBorders>
          </w:tcPr>
          <w:p w:rsidR="007A7D58" w:rsidRPr="00151DD3" w:rsidRDefault="007A7D58" w:rsidP="006F304D">
            <w:pPr>
              <w:spacing w:after="200" w:line="276" w:lineRule="auto"/>
              <w:jc w:val="right"/>
              <w:rPr>
                <w:rFonts w:asciiTheme="minorHAnsi" w:hAnsiTheme="minorHAnsi" w:cs="Arial"/>
                <w:b/>
                <w:sz w:val="22"/>
                <w:szCs w:val="22"/>
              </w:rPr>
            </w:pPr>
            <w:r w:rsidRPr="00151DD3">
              <w:rPr>
                <w:rFonts w:asciiTheme="minorHAnsi" w:hAnsiTheme="minorHAnsi" w:cs="Arial"/>
                <w:b/>
                <w:sz w:val="22"/>
                <w:szCs w:val="22"/>
              </w:rPr>
              <w:t>(</w:t>
            </w:r>
            <w:r>
              <w:rPr>
                <w:rFonts w:asciiTheme="minorHAnsi" w:hAnsiTheme="minorHAnsi" w:cs="Arial"/>
                <w:b/>
                <w:sz w:val="22"/>
                <w:szCs w:val="22"/>
              </w:rPr>
              <w:t>303</w:t>
            </w:r>
            <w:r w:rsidRPr="00151DD3">
              <w:rPr>
                <w:rFonts w:asciiTheme="minorHAnsi" w:hAnsiTheme="minorHAnsi" w:cs="Arial"/>
                <w:b/>
                <w:sz w:val="22"/>
                <w:szCs w:val="22"/>
              </w:rPr>
              <w:t>)</w:t>
            </w:r>
          </w:p>
        </w:tc>
        <w:tc>
          <w:tcPr>
            <w:tcW w:w="1011" w:type="pct"/>
            <w:tcBorders>
              <w:bottom w:val="single" w:sz="4" w:space="0" w:color="auto"/>
            </w:tcBorders>
          </w:tcPr>
          <w:p w:rsidR="007A7D58" w:rsidRPr="00151DD3" w:rsidRDefault="007A7D58" w:rsidP="00E86E88">
            <w:pPr>
              <w:spacing w:after="200" w:line="276" w:lineRule="auto"/>
              <w:jc w:val="right"/>
              <w:rPr>
                <w:rFonts w:asciiTheme="minorHAnsi" w:hAnsiTheme="minorHAnsi" w:cs="Arial"/>
                <w:b/>
                <w:sz w:val="22"/>
                <w:szCs w:val="22"/>
              </w:rPr>
            </w:pPr>
            <w:r>
              <w:rPr>
                <w:rFonts w:asciiTheme="minorHAnsi" w:hAnsiTheme="minorHAnsi" w:cs="Arial"/>
                <w:b/>
                <w:sz w:val="22"/>
                <w:szCs w:val="22"/>
              </w:rPr>
              <w:t>(303</w:t>
            </w:r>
            <w:r w:rsidRPr="00151DD3">
              <w:rPr>
                <w:rFonts w:asciiTheme="minorHAnsi" w:hAnsiTheme="minorHAnsi" w:cs="Arial"/>
                <w:b/>
                <w:sz w:val="22"/>
                <w:szCs w:val="22"/>
              </w:rPr>
              <w:t>)</w:t>
            </w:r>
          </w:p>
        </w:tc>
      </w:tr>
      <w:tr w:rsidR="007A7D58" w:rsidTr="007A7D58">
        <w:trPr>
          <w:trHeight w:val="227"/>
        </w:trPr>
        <w:tc>
          <w:tcPr>
            <w:tcW w:w="2977" w:type="pct"/>
            <w:shd w:val="clear" w:color="auto" w:fill="FFFFFF" w:themeFill="background1"/>
          </w:tcPr>
          <w:p w:rsidR="007A7D58" w:rsidRPr="00151DD3" w:rsidRDefault="007A7D58" w:rsidP="00151DD3">
            <w:pPr>
              <w:spacing w:after="200" w:line="276" w:lineRule="auto"/>
              <w:rPr>
                <w:rFonts w:asciiTheme="minorHAnsi" w:hAnsiTheme="minorHAnsi" w:cs="Arial"/>
                <w:b/>
                <w:sz w:val="22"/>
                <w:szCs w:val="22"/>
              </w:rPr>
            </w:pPr>
            <w:r>
              <w:rPr>
                <w:rFonts w:asciiTheme="minorHAnsi" w:hAnsiTheme="minorHAnsi" w:cs="Arial"/>
                <w:b/>
                <w:sz w:val="22"/>
                <w:szCs w:val="22"/>
              </w:rPr>
              <w:t>Reserves available</w:t>
            </w:r>
          </w:p>
        </w:tc>
        <w:tc>
          <w:tcPr>
            <w:tcW w:w="1011" w:type="pct"/>
            <w:shd w:val="clear" w:color="auto" w:fill="FFFFFF" w:themeFill="background1"/>
          </w:tcPr>
          <w:p w:rsidR="007A7D58" w:rsidRDefault="007A7D58" w:rsidP="006F304D">
            <w:pPr>
              <w:spacing w:after="200" w:line="276" w:lineRule="auto"/>
              <w:jc w:val="right"/>
              <w:rPr>
                <w:rFonts w:asciiTheme="minorHAnsi" w:hAnsiTheme="minorHAnsi" w:cs="Arial"/>
                <w:b/>
                <w:sz w:val="22"/>
                <w:szCs w:val="22"/>
              </w:rPr>
            </w:pPr>
            <w:r>
              <w:rPr>
                <w:rFonts w:asciiTheme="minorHAnsi" w:hAnsiTheme="minorHAnsi" w:cs="Arial"/>
                <w:b/>
                <w:sz w:val="22"/>
                <w:szCs w:val="22"/>
              </w:rPr>
              <w:t>68</w:t>
            </w:r>
          </w:p>
        </w:tc>
        <w:tc>
          <w:tcPr>
            <w:tcW w:w="1011" w:type="pct"/>
            <w:shd w:val="clear" w:color="auto" w:fill="FFFFFF" w:themeFill="background1"/>
          </w:tcPr>
          <w:p w:rsidR="007A7D58" w:rsidRDefault="007A7D58" w:rsidP="00151DD3">
            <w:pPr>
              <w:spacing w:after="200" w:line="276" w:lineRule="auto"/>
              <w:jc w:val="right"/>
              <w:rPr>
                <w:rFonts w:asciiTheme="minorHAnsi" w:hAnsiTheme="minorHAnsi" w:cs="Arial"/>
                <w:b/>
                <w:sz w:val="22"/>
                <w:szCs w:val="22"/>
              </w:rPr>
            </w:pPr>
            <w:r>
              <w:rPr>
                <w:rFonts w:asciiTheme="minorHAnsi" w:hAnsiTheme="minorHAnsi" w:cs="Arial"/>
                <w:b/>
                <w:sz w:val="22"/>
                <w:szCs w:val="22"/>
              </w:rPr>
              <w:t>20</w:t>
            </w:r>
          </w:p>
        </w:tc>
      </w:tr>
      <w:tr w:rsidR="007A7D58" w:rsidTr="007A7D58">
        <w:trPr>
          <w:trHeight w:val="227"/>
        </w:trPr>
        <w:tc>
          <w:tcPr>
            <w:tcW w:w="2977" w:type="pct"/>
            <w:shd w:val="clear" w:color="auto" w:fill="8DB3E2" w:themeFill="text2" w:themeFillTint="66"/>
          </w:tcPr>
          <w:p w:rsidR="007A7D58" w:rsidRPr="00151DD3" w:rsidRDefault="007A7D58" w:rsidP="004E7A7E">
            <w:pPr>
              <w:spacing w:after="200" w:line="276" w:lineRule="auto"/>
              <w:rPr>
                <w:rFonts w:asciiTheme="minorHAnsi" w:hAnsiTheme="minorHAnsi" w:cs="Arial"/>
                <w:b/>
                <w:sz w:val="22"/>
                <w:szCs w:val="22"/>
              </w:rPr>
            </w:pPr>
            <w:r w:rsidRPr="00151DD3">
              <w:rPr>
                <w:rFonts w:asciiTheme="minorHAnsi" w:hAnsiTheme="minorHAnsi" w:cs="Arial"/>
                <w:b/>
                <w:sz w:val="22"/>
                <w:szCs w:val="22"/>
              </w:rPr>
              <w:t xml:space="preserve">Funding </w:t>
            </w:r>
            <w:r>
              <w:rPr>
                <w:rFonts w:asciiTheme="minorHAnsi" w:hAnsiTheme="minorHAnsi" w:cs="Arial"/>
                <w:b/>
                <w:sz w:val="22"/>
                <w:szCs w:val="22"/>
              </w:rPr>
              <w:t>available</w:t>
            </w:r>
          </w:p>
        </w:tc>
        <w:tc>
          <w:tcPr>
            <w:tcW w:w="1011" w:type="pct"/>
            <w:shd w:val="clear" w:color="auto" w:fill="8DB3E2" w:themeFill="text2" w:themeFillTint="66"/>
          </w:tcPr>
          <w:p w:rsidR="007A7D58" w:rsidRPr="00151DD3" w:rsidRDefault="007A7D58" w:rsidP="006F304D">
            <w:pPr>
              <w:spacing w:after="200" w:line="276" w:lineRule="auto"/>
              <w:jc w:val="right"/>
              <w:rPr>
                <w:rFonts w:asciiTheme="minorHAnsi" w:hAnsiTheme="minorHAnsi" w:cs="Arial"/>
                <w:b/>
                <w:sz w:val="22"/>
                <w:szCs w:val="22"/>
              </w:rPr>
            </w:pPr>
          </w:p>
        </w:tc>
        <w:tc>
          <w:tcPr>
            <w:tcW w:w="1011" w:type="pct"/>
            <w:shd w:val="clear" w:color="auto" w:fill="8DB3E2" w:themeFill="text2" w:themeFillTint="66"/>
          </w:tcPr>
          <w:p w:rsidR="007A7D58" w:rsidRPr="00151DD3" w:rsidRDefault="004E7A7E" w:rsidP="00151DD3">
            <w:pPr>
              <w:spacing w:after="200" w:line="276" w:lineRule="auto"/>
              <w:jc w:val="right"/>
              <w:rPr>
                <w:rFonts w:asciiTheme="minorHAnsi" w:hAnsiTheme="minorHAnsi" w:cs="Arial"/>
                <w:b/>
                <w:sz w:val="22"/>
                <w:szCs w:val="22"/>
              </w:rPr>
            </w:pPr>
            <w:r>
              <w:rPr>
                <w:rFonts w:asciiTheme="minorHAnsi" w:hAnsiTheme="minorHAnsi" w:cs="Arial"/>
                <w:b/>
                <w:sz w:val="22"/>
                <w:szCs w:val="22"/>
              </w:rPr>
              <w:t>48</w:t>
            </w:r>
          </w:p>
        </w:tc>
      </w:tr>
    </w:tbl>
    <w:p w:rsidR="00ED2E3E" w:rsidRPr="00ED2E3E" w:rsidRDefault="00ED2E3E" w:rsidP="00ED2E3E">
      <w:pPr>
        <w:pStyle w:val="ListParagraph"/>
        <w:spacing w:after="200" w:line="276" w:lineRule="auto"/>
        <w:rPr>
          <w:rFonts w:ascii="Arial" w:hAnsi="Arial" w:cs="Arial"/>
          <w:sz w:val="22"/>
          <w:szCs w:val="22"/>
        </w:rPr>
      </w:pPr>
    </w:p>
    <w:p w:rsidR="00455FF2" w:rsidRPr="009E68F8" w:rsidRDefault="00455FF2" w:rsidP="00455FF2">
      <w:pPr>
        <w:pStyle w:val="ListParagraph"/>
        <w:numPr>
          <w:ilvl w:val="0"/>
          <w:numId w:val="42"/>
        </w:numPr>
        <w:spacing w:after="200" w:line="276" w:lineRule="auto"/>
        <w:rPr>
          <w:rFonts w:ascii="Arial" w:hAnsi="Arial" w:cs="Arial"/>
          <w:sz w:val="22"/>
          <w:szCs w:val="22"/>
          <w:highlight w:val="yellow"/>
        </w:rPr>
      </w:pPr>
      <w:r w:rsidRPr="00A87E86">
        <w:rPr>
          <w:rFonts w:ascii="Arial" w:hAnsi="Arial" w:cs="Arial"/>
          <w:b/>
          <w:sz w:val="22"/>
          <w:szCs w:val="22"/>
        </w:rPr>
        <w:t>Future Services Programme:</w:t>
      </w:r>
      <w:r w:rsidRPr="00A87E86">
        <w:rPr>
          <w:rFonts w:ascii="Arial" w:hAnsi="Arial" w:cs="Arial"/>
          <w:sz w:val="22"/>
          <w:szCs w:val="22"/>
        </w:rPr>
        <w:t xml:space="preserve"> £</w:t>
      </w:r>
      <w:r w:rsidR="00E82711">
        <w:rPr>
          <w:rFonts w:ascii="Arial" w:hAnsi="Arial" w:cs="Arial"/>
          <w:sz w:val="22"/>
          <w:szCs w:val="22"/>
        </w:rPr>
        <w:t>192</w:t>
      </w:r>
      <w:r w:rsidRPr="00A87E86">
        <w:rPr>
          <w:rFonts w:ascii="Arial" w:hAnsi="Arial" w:cs="Arial"/>
          <w:sz w:val="22"/>
          <w:szCs w:val="22"/>
        </w:rPr>
        <w:t xml:space="preserve">k is our </w:t>
      </w:r>
      <w:r w:rsidR="00E82711">
        <w:rPr>
          <w:rFonts w:ascii="Arial" w:hAnsi="Arial" w:cs="Arial"/>
          <w:sz w:val="22"/>
          <w:szCs w:val="22"/>
        </w:rPr>
        <w:t xml:space="preserve">agreed </w:t>
      </w:r>
      <w:r w:rsidRPr="00A87E86">
        <w:rPr>
          <w:rFonts w:ascii="Arial" w:hAnsi="Arial" w:cs="Arial"/>
          <w:sz w:val="22"/>
          <w:szCs w:val="22"/>
        </w:rPr>
        <w:t xml:space="preserve">commitment to the programme for </w:t>
      </w:r>
      <w:r w:rsidR="00151DD3">
        <w:rPr>
          <w:rFonts w:ascii="Arial" w:hAnsi="Arial" w:cs="Arial"/>
          <w:sz w:val="22"/>
          <w:szCs w:val="22"/>
        </w:rPr>
        <w:t>2018/19</w:t>
      </w:r>
      <w:r w:rsidR="00A95D10">
        <w:rPr>
          <w:rFonts w:ascii="Arial" w:hAnsi="Arial" w:cs="Arial"/>
          <w:sz w:val="22"/>
          <w:szCs w:val="22"/>
        </w:rPr>
        <w:t xml:space="preserve">. Challenges in delivery (business case delays, governance) have impacted on pace of change. External review </w:t>
      </w:r>
      <w:r w:rsidR="004E7A7E">
        <w:rPr>
          <w:rFonts w:ascii="Arial" w:hAnsi="Arial" w:cs="Arial"/>
          <w:sz w:val="22"/>
          <w:szCs w:val="22"/>
        </w:rPr>
        <w:t xml:space="preserve">has been </w:t>
      </w:r>
      <w:r w:rsidR="00A95D10">
        <w:rPr>
          <w:rFonts w:ascii="Arial" w:hAnsi="Arial" w:cs="Arial"/>
          <w:sz w:val="22"/>
          <w:szCs w:val="22"/>
        </w:rPr>
        <w:t>commissioned to manage risk. Win10 investment – roll out of new operating system and Microsoft 365 – key to support our people</w:t>
      </w:r>
      <w:r w:rsidR="004E7A7E">
        <w:rPr>
          <w:rFonts w:ascii="Arial" w:hAnsi="Arial" w:cs="Arial"/>
          <w:sz w:val="22"/>
          <w:szCs w:val="22"/>
        </w:rPr>
        <w:t xml:space="preserve"> particularly a flexible and mobile approach to working</w:t>
      </w:r>
      <w:r w:rsidR="00A95D10">
        <w:rPr>
          <w:rFonts w:ascii="Arial" w:hAnsi="Arial" w:cs="Arial"/>
          <w:sz w:val="22"/>
          <w:szCs w:val="22"/>
        </w:rPr>
        <w:t xml:space="preserve">. Atos have performed two day workshop to identify road map and confirm costs. </w:t>
      </w:r>
      <w:r w:rsidR="004E7A7E">
        <w:rPr>
          <w:rFonts w:ascii="Arial" w:hAnsi="Arial" w:cs="Arial"/>
          <w:sz w:val="22"/>
          <w:szCs w:val="22"/>
        </w:rPr>
        <w:t>Detailed programme is</w:t>
      </w:r>
      <w:r w:rsidR="00A95D10">
        <w:rPr>
          <w:rFonts w:ascii="Arial" w:hAnsi="Arial" w:cs="Arial"/>
          <w:sz w:val="22"/>
          <w:szCs w:val="22"/>
        </w:rPr>
        <w:t xml:space="preserve"> being prepared</w:t>
      </w:r>
      <w:r w:rsidR="004E7A7E">
        <w:rPr>
          <w:rFonts w:ascii="Arial" w:hAnsi="Arial" w:cs="Arial"/>
          <w:sz w:val="22"/>
          <w:szCs w:val="22"/>
        </w:rPr>
        <w:t xml:space="preserve"> and will be discussed at ITESGB in November</w:t>
      </w:r>
      <w:r w:rsidR="00A95D10">
        <w:rPr>
          <w:rFonts w:ascii="Arial" w:hAnsi="Arial" w:cs="Arial"/>
          <w:sz w:val="22"/>
          <w:szCs w:val="22"/>
        </w:rPr>
        <w:t xml:space="preserve">. </w:t>
      </w:r>
    </w:p>
    <w:p w:rsidR="00455FF2" w:rsidRDefault="00455FF2" w:rsidP="00455FF2">
      <w:pPr>
        <w:pStyle w:val="ListParagraph"/>
        <w:numPr>
          <w:ilvl w:val="0"/>
          <w:numId w:val="42"/>
        </w:numPr>
        <w:spacing w:after="200" w:line="276" w:lineRule="auto"/>
        <w:rPr>
          <w:rFonts w:ascii="Arial" w:hAnsi="Arial" w:cs="Arial"/>
          <w:sz w:val="22"/>
          <w:szCs w:val="22"/>
        </w:rPr>
      </w:pPr>
      <w:r>
        <w:rPr>
          <w:rFonts w:ascii="Arial" w:hAnsi="Arial" w:cs="Arial"/>
          <w:b/>
          <w:sz w:val="22"/>
          <w:szCs w:val="22"/>
        </w:rPr>
        <w:t>EU clinical trials:</w:t>
      </w:r>
      <w:r>
        <w:rPr>
          <w:rFonts w:ascii="Arial" w:hAnsi="Arial" w:cs="Arial"/>
          <w:sz w:val="22"/>
          <w:szCs w:val="22"/>
        </w:rPr>
        <w:t xml:space="preserve"> </w:t>
      </w:r>
      <w:r w:rsidR="00632BED">
        <w:rPr>
          <w:rFonts w:ascii="Arial" w:hAnsi="Arial" w:cs="Arial"/>
          <w:sz w:val="22"/>
          <w:szCs w:val="22"/>
        </w:rPr>
        <w:t xml:space="preserve">There is </w:t>
      </w:r>
      <w:r w:rsidR="002801F4">
        <w:rPr>
          <w:rFonts w:ascii="Arial" w:hAnsi="Arial" w:cs="Arial"/>
          <w:sz w:val="22"/>
          <w:szCs w:val="22"/>
        </w:rPr>
        <w:t xml:space="preserve">an identified need to invest in our preparedness for EU clinical trials </w:t>
      </w:r>
      <w:r>
        <w:rPr>
          <w:rFonts w:ascii="Arial" w:hAnsi="Arial" w:cs="Arial"/>
          <w:sz w:val="22"/>
          <w:szCs w:val="22"/>
        </w:rPr>
        <w:t xml:space="preserve">and align with partners. Investment in RS systems development capacity, as well as changes proposed in the Approvals </w:t>
      </w:r>
      <w:proofErr w:type="gramStart"/>
      <w:r>
        <w:rPr>
          <w:rFonts w:ascii="Arial" w:hAnsi="Arial" w:cs="Arial"/>
          <w:sz w:val="22"/>
          <w:szCs w:val="22"/>
        </w:rPr>
        <w:t>te</w:t>
      </w:r>
      <w:r w:rsidR="00151DD3">
        <w:rPr>
          <w:rFonts w:ascii="Arial" w:hAnsi="Arial" w:cs="Arial"/>
          <w:sz w:val="22"/>
          <w:szCs w:val="22"/>
        </w:rPr>
        <w:t>am,</w:t>
      </w:r>
      <w:proofErr w:type="gramEnd"/>
      <w:r w:rsidR="00151DD3">
        <w:rPr>
          <w:rFonts w:ascii="Arial" w:hAnsi="Arial" w:cs="Arial"/>
          <w:sz w:val="22"/>
          <w:szCs w:val="22"/>
        </w:rPr>
        <w:t xml:space="preserve"> go some way to address this however more </w:t>
      </w:r>
      <w:r w:rsidR="002801F4">
        <w:rPr>
          <w:rFonts w:ascii="Arial" w:hAnsi="Arial" w:cs="Arial"/>
          <w:sz w:val="22"/>
          <w:szCs w:val="22"/>
        </w:rPr>
        <w:t>will</w:t>
      </w:r>
      <w:r w:rsidR="00151DD3">
        <w:rPr>
          <w:rFonts w:ascii="Arial" w:hAnsi="Arial" w:cs="Arial"/>
          <w:sz w:val="22"/>
          <w:szCs w:val="22"/>
        </w:rPr>
        <w:t xml:space="preserve"> be required.</w:t>
      </w:r>
      <w:r w:rsidR="002801F4">
        <w:rPr>
          <w:rFonts w:ascii="Arial" w:hAnsi="Arial" w:cs="Arial"/>
          <w:sz w:val="22"/>
          <w:szCs w:val="22"/>
        </w:rPr>
        <w:t xml:space="preserve"> Requirements will be finalised in the </w:t>
      </w:r>
      <w:proofErr w:type="gramStart"/>
      <w:r w:rsidR="002801F4">
        <w:rPr>
          <w:rFonts w:ascii="Arial" w:hAnsi="Arial" w:cs="Arial"/>
          <w:sz w:val="22"/>
          <w:szCs w:val="22"/>
        </w:rPr>
        <w:t>Autumn</w:t>
      </w:r>
      <w:proofErr w:type="gramEnd"/>
      <w:r w:rsidR="002801F4">
        <w:rPr>
          <w:rFonts w:ascii="Arial" w:hAnsi="Arial" w:cs="Arial"/>
          <w:sz w:val="22"/>
          <w:szCs w:val="22"/>
        </w:rPr>
        <w:t xml:space="preserve">. </w:t>
      </w:r>
      <w:r w:rsidR="00151DD3">
        <w:rPr>
          <w:rFonts w:ascii="Arial" w:hAnsi="Arial" w:cs="Arial"/>
          <w:sz w:val="22"/>
          <w:szCs w:val="22"/>
        </w:rPr>
        <w:t xml:space="preserve"> </w:t>
      </w:r>
    </w:p>
    <w:p w:rsidR="00757721" w:rsidRDefault="00195D4C" w:rsidP="006E30B3">
      <w:pPr>
        <w:spacing w:after="200" w:line="276" w:lineRule="auto"/>
        <w:rPr>
          <w:rFonts w:ascii="Arial" w:hAnsi="Arial" w:cs="Arial"/>
          <w:b/>
          <w:sz w:val="22"/>
          <w:szCs w:val="22"/>
        </w:rPr>
      </w:pPr>
      <w:r>
        <w:rPr>
          <w:rFonts w:ascii="Arial" w:hAnsi="Arial" w:cs="Arial"/>
          <w:b/>
          <w:sz w:val="22"/>
          <w:szCs w:val="22"/>
        </w:rPr>
        <w:t>Capital expenditure</w:t>
      </w:r>
    </w:p>
    <w:p w:rsidR="000A4438" w:rsidRPr="008654B1" w:rsidRDefault="000A4438" w:rsidP="000A4438">
      <w:pPr>
        <w:spacing w:after="200" w:line="276" w:lineRule="auto"/>
        <w:rPr>
          <w:rFonts w:ascii="Arial" w:hAnsi="Arial" w:cs="Arial"/>
          <w:sz w:val="22"/>
          <w:szCs w:val="22"/>
        </w:rPr>
      </w:pPr>
      <w:r>
        <w:rPr>
          <w:rFonts w:ascii="Arial" w:hAnsi="Arial" w:cs="Arial"/>
          <w:sz w:val="22"/>
          <w:szCs w:val="22"/>
        </w:rPr>
        <w:t xml:space="preserve">Capital expenditure is tracking expectations with no variance on plans at this stage. </w:t>
      </w:r>
      <w:r w:rsidRPr="008654B1">
        <w:rPr>
          <w:rFonts w:ascii="Arial" w:hAnsi="Arial" w:cs="Arial"/>
          <w:sz w:val="22"/>
          <w:szCs w:val="22"/>
        </w:rPr>
        <w:t xml:space="preserve">Confirmation of our capital GIA allocation </w:t>
      </w:r>
      <w:r>
        <w:rPr>
          <w:rFonts w:ascii="Arial" w:hAnsi="Arial" w:cs="Arial"/>
          <w:sz w:val="22"/>
          <w:szCs w:val="22"/>
        </w:rPr>
        <w:t>has</w:t>
      </w:r>
      <w:r w:rsidRPr="008654B1">
        <w:rPr>
          <w:rFonts w:ascii="Arial" w:hAnsi="Arial" w:cs="Arial"/>
          <w:sz w:val="22"/>
          <w:szCs w:val="22"/>
        </w:rPr>
        <w:t xml:space="preserve"> be</w:t>
      </w:r>
      <w:r>
        <w:rPr>
          <w:rFonts w:ascii="Arial" w:hAnsi="Arial" w:cs="Arial"/>
          <w:sz w:val="22"/>
          <w:szCs w:val="22"/>
        </w:rPr>
        <w:t>en</w:t>
      </w:r>
      <w:r w:rsidRPr="008654B1">
        <w:rPr>
          <w:rFonts w:ascii="Arial" w:hAnsi="Arial" w:cs="Arial"/>
          <w:sz w:val="22"/>
          <w:szCs w:val="22"/>
        </w:rPr>
        <w:t xml:space="preserve"> received from DHSC finance for 2018/19</w:t>
      </w:r>
      <w:r>
        <w:rPr>
          <w:rFonts w:ascii="Arial" w:hAnsi="Arial" w:cs="Arial"/>
          <w:sz w:val="22"/>
          <w:szCs w:val="22"/>
        </w:rPr>
        <w:t xml:space="preserve"> and is in line with anticipated budget</w:t>
      </w:r>
      <w:r w:rsidRPr="008654B1">
        <w:rPr>
          <w:rFonts w:ascii="Arial" w:hAnsi="Arial" w:cs="Arial"/>
          <w:sz w:val="22"/>
          <w:szCs w:val="22"/>
        </w:rPr>
        <w:t xml:space="preserve">.  </w:t>
      </w:r>
    </w:p>
    <w:p w:rsidR="000A4438" w:rsidRPr="008654B1" w:rsidRDefault="000A4438" w:rsidP="000A4438">
      <w:pPr>
        <w:spacing w:after="200" w:line="276" w:lineRule="auto"/>
        <w:rPr>
          <w:rFonts w:ascii="Arial" w:hAnsi="Arial" w:cs="Arial"/>
          <w:sz w:val="22"/>
          <w:szCs w:val="22"/>
        </w:rPr>
      </w:pPr>
      <w:r w:rsidRPr="008654B1">
        <w:rPr>
          <w:rFonts w:ascii="Arial" w:hAnsi="Arial" w:cs="Arial"/>
          <w:sz w:val="22"/>
          <w:szCs w:val="22"/>
        </w:rPr>
        <w:t>Investment in IRAS and HARP developments are in line with the budget, reflecting activity supporting the 28</w:t>
      </w:r>
      <w:r w:rsidRPr="008654B1">
        <w:rPr>
          <w:rFonts w:ascii="Arial" w:hAnsi="Arial" w:cs="Arial"/>
          <w:sz w:val="22"/>
          <w:szCs w:val="22"/>
          <w:vertAlign w:val="superscript"/>
        </w:rPr>
        <w:t>th</w:t>
      </w:r>
      <w:r w:rsidRPr="008654B1">
        <w:rPr>
          <w:rFonts w:ascii="Arial" w:hAnsi="Arial" w:cs="Arial"/>
          <w:sz w:val="22"/>
          <w:szCs w:val="22"/>
        </w:rPr>
        <w:t xml:space="preserve"> June IRAS release and discovery work for migration for new IRAS.  </w:t>
      </w:r>
      <w:r w:rsidR="00257827">
        <w:rPr>
          <w:rFonts w:ascii="Arial" w:hAnsi="Arial" w:cs="Arial"/>
          <w:sz w:val="22"/>
          <w:szCs w:val="22"/>
        </w:rPr>
        <w:t xml:space="preserve">Initial discussions have been held with our auditors regarding </w:t>
      </w:r>
      <w:r w:rsidR="00A72868">
        <w:rPr>
          <w:rFonts w:ascii="Arial" w:hAnsi="Arial" w:cs="Arial"/>
          <w:sz w:val="22"/>
          <w:szCs w:val="22"/>
        </w:rPr>
        <w:t xml:space="preserve">the accounting treatment of the </w:t>
      </w:r>
      <w:r w:rsidR="00257827">
        <w:rPr>
          <w:rFonts w:ascii="Arial" w:hAnsi="Arial" w:cs="Arial"/>
          <w:sz w:val="22"/>
          <w:szCs w:val="22"/>
        </w:rPr>
        <w:t>costs associated with development of the</w:t>
      </w:r>
      <w:r w:rsidR="00BD6153">
        <w:rPr>
          <w:rFonts w:ascii="Arial" w:hAnsi="Arial" w:cs="Arial"/>
          <w:sz w:val="22"/>
          <w:szCs w:val="22"/>
        </w:rPr>
        <w:t xml:space="preserve"> new IRA</w:t>
      </w:r>
      <w:r w:rsidR="00A72868">
        <w:rPr>
          <w:rFonts w:ascii="Arial" w:hAnsi="Arial" w:cs="Arial"/>
          <w:sz w:val="22"/>
          <w:szCs w:val="22"/>
        </w:rPr>
        <w:t>S</w:t>
      </w:r>
      <w:r w:rsidR="00BD6153">
        <w:rPr>
          <w:rFonts w:ascii="Arial" w:hAnsi="Arial" w:cs="Arial"/>
          <w:sz w:val="22"/>
          <w:szCs w:val="22"/>
        </w:rPr>
        <w:t>.  Work to determine</w:t>
      </w:r>
      <w:r w:rsidR="00257827">
        <w:rPr>
          <w:rFonts w:ascii="Arial" w:hAnsi="Arial" w:cs="Arial"/>
          <w:sz w:val="22"/>
          <w:szCs w:val="22"/>
        </w:rPr>
        <w:t xml:space="preserve"> the </w:t>
      </w:r>
      <w:r w:rsidR="00A72868">
        <w:rPr>
          <w:rFonts w:ascii="Arial" w:hAnsi="Arial" w:cs="Arial"/>
          <w:sz w:val="22"/>
          <w:szCs w:val="22"/>
        </w:rPr>
        <w:t xml:space="preserve">classification of costs </w:t>
      </w:r>
      <w:r w:rsidR="00BD6153">
        <w:rPr>
          <w:rFonts w:ascii="Arial" w:hAnsi="Arial" w:cs="Arial"/>
          <w:sz w:val="22"/>
          <w:szCs w:val="22"/>
        </w:rPr>
        <w:t>will be explored over the next few months.</w:t>
      </w:r>
    </w:p>
    <w:p w:rsidR="000A4438" w:rsidRPr="008654B1" w:rsidRDefault="000A4438" w:rsidP="000A4438">
      <w:pPr>
        <w:spacing w:after="200" w:line="276" w:lineRule="auto"/>
        <w:rPr>
          <w:rFonts w:ascii="Arial" w:hAnsi="Arial" w:cs="Arial"/>
          <w:sz w:val="22"/>
          <w:szCs w:val="22"/>
        </w:rPr>
      </w:pPr>
      <w:r w:rsidRPr="008654B1">
        <w:rPr>
          <w:rFonts w:ascii="Arial" w:hAnsi="Arial" w:cs="Arial"/>
          <w:sz w:val="22"/>
          <w:szCs w:val="22"/>
        </w:rPr>
        <w:t xml:space="preserve">There has been provision made within the programme for the implementation of the Future Services Programme, the CRM system, and also additional laptops that will be required for the roll out of Windows 10. </w:t>
      </w:r>
    </w:p>
    <w:p w:rsidR="00ED591B" w:rsidRPr="00757721" w:rsidRDefault="00BD6153" w:rsidP="006E30B3">
      <w:pPr>
        <w:spacing w:after="200" w:line="276" w:lineRule="auto"/>
        <w:rPr>
          <w:noProof/>
        </w:rPr>
      </w:pPr>
      <w:r w:rsidRPr="00BD6153">
        <w:rPr>
          <w:noProof/>
        </w:rPr>
        <w:lastRenderedPageBreak/>
        <w:drawing>
          <wp:inline distT="0" distB="0" distL="0" distR="0" wp14:anchorId="6FF9F1C0" wp14:editId="62BC4CA8">
            <wp:extent cx="5279390" cy="2734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9390" cy="2734310"/>
                    </a:xfrm>
                    <a:prstGeom prst="rect">
                      <a:avLst/>
                    </a:prstGeom>
                    <a:noFill/>
                    <a:ln>
                      <a:noFill/>
                    </a:ln>
                  </pic:spPr>
                </pic:pic>
              </a:graphicData>
            </a:graphic>
          </wp:inline>
        </w:drawing>
      </w:r>
    </w:p>
    <w:p w:rsidR="00DD6897" w:rsidRDefault="00192D07" w:rsidP="00951DD0">
      <w:pPr>
        <w:pStyle w:val="ListParagraph"/>
        <w:spacing w:line="276" w:lineRule="auto"/>
        <w:ind w:left="0"/>
        <w:rPr>
          <w:rFonts w:ascii="Arial" w:hAnsi="Arial" w:cs="Arial"/>
          <w:b/>
          <w:sz w:val="22"/>
          <w:szCs w:val="22"/>
        </w:rPr>
      </w:pPr>
      <w:r w:rsidRPr="008654B1">
        <w:rPr>
          <w:rFonts w:ascii="Arial" w:hAnsi="Arial" w:cs="Arial"/>
          <w:b/>
          <w:sz w:val="22"/>
          <w:szCs w:val="22"/>
        </w:rPr>
        <w:t>B</w:t>
      </w:r>
      <w:r w:rsidR="00DD6897" w:rsidRPr="008654B1">
        <w:rPr>
          <w:rFonts w:ascii="Arial" w:hAnsi="Arial" w:cs="Arial"/>
          <w:b/>
          <w:sz w:val="22"/>
          <w:szCs w:val="22"/>
        </w:rPr>
        <w:t>etter payments performance</w:t>
      </w:r>
      <w:r w:rsidR="00996C5F">
        <w:rPr>
          <w:rFonts w:ascii="Arial" w:hAnsi="Arial" w:cs="Arial"/>
          <w:b/>
          <w:sz w:val="22"/>
          <w:szCs w:val="22"/>
        </w:rPr>
        <w:t xml:space="preserve"> </w:t>
      </w:r>
    </w:p>
    <w:p w:rsidR="0035681C" w:rsidRDefault="0035681C" w:rsidP="00951DD0">
      <w:pPr>
        <w:pStyle w:val="ListParagraph"/>
        <w:spacing w:line="276" w:lineRule="auto"/>
        <w:ind w:left="0"/>
        <w:rPr>
          <w:rFonts w:ascii="Arial" w:hAnsi="Arial" w:cs="Arial"/>
          <w:sz w:val="22"/>
          <w:szCs w:val="22"/>
        </w:rPr>
      </w:pPr>
      <w:r>
        <w:rPr>
          <w:rFonts w:ascii="Arial" w:hAnsi="Arial" w:cs="Arial"/>
          <w:sz w:val="22"/>
          <w:szCs w:val="22"/>
        </w:rPr>
        <w:t>The HRA has continued to meet the duty to pay 95% of invoices in 30 days, also maintaining the internal stretched target of paying 60% of suppliers in 10 days.</w:t>
      </w:r>
      <w:r w:rsidR="00643F97">
        <w:rPr>
          <w:rFonts w:ascii="Arial" w:hAnsi="Arial" w:cs="Arial"/>
          <w:sz w:val="22"/>
          <w:szCs w:val="22"/>
        </w:rPr>
        <w:t xml:space="preserve">  </w:t>
      </w:r>
    </w:p>
    <w:p w:rsidR="00CF2146" w:rsidRPr="0035681C" w:rsidRDefault="00CF2146" w:rsidP="00951DD0">
      <w:pPr>
        <w:pStyle w:val="ListParagraph"/>
        <w:spacing w:line="276" w:lineRule="auto"/>
        <w:ind w:left="0"/>
        <w:rPr>
          <w:rFonts w:ascii="Arial" w:hAnsi="Arial" w:cs="Arial"/>
          <w:sz w:val="22"/>
          <w:szCs w:val="22"/>
        </w:rPr>
      </w:pPr>
    </w:p>
    <w:p w:rsidR="0035681C" w:rsidRDefault="0035681C" w:rsidP="00951DD0">
      <w:pPr>
        <w:pStyle w:val="ListParagraph"/>
        <w:spacing w:line="276" w:lineRule="auto"/>
        <w:ind w:left="0"/>
        <w:rPr>
          <w:rFonts w:ascii="Arial" w:hAnsi="Arial" w:cs="Arial"/>
          <w:b/>
          <w:sz w:val="22"/>
          <w:szCs w:val="22"/>
        </w:rPr>
      </w:pPr>
    </w:p>
    <w:tbl>
      <w:tblPr>
        <w:tblW w:w="5218" w:type="dxa"/>
        <w:jc w:val="center"/>
        <w:tblInd w:w="-398" w:type="dxa"/>
        <w:tblLook w:val="04A0" w:firstRow="1" w:lastRow="0" w:firstColumn="1" w:lastColumn="0" w:noHBand="0" w:noVBand="1"/>
      </w:tblPr>
      <w:tblGrid>
        <w:gridCol w:w="2916"/>
        <w:gridCol w:w="982"/>
        <w:gridCol w:w="1320"/>
      </w:tblGrid>
      <w:tr w:rsidR="00736CB7" w:rsidRPr="00236B2E" w:rsidTr="00C80EBC">
        <w:trPr>
          <w:trHeight w:val="537"/>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36CB7" w:rsidRPr="00236B2E" w:rsidRDefault="00736CB7" w:rsidP="00655157">
            <w:pPr>
              <w:rPr>
                <w:rFonts w:ascii="Calibri" w:hAnsi="Calibri" w:cs="Calibri"/>
                <w:color w:val="000000"/>
              </w:rPr>
            </w:pPr>
            <w:r w:rsidRPr="00236B2E">
              <w:rPr>
                <w:rFonts w:ascii="Calibri" w:hAnsi="Calibri" w:cs="Calibri"/>
                <w:color w:val="000000"/>
              </w:rPr>
              <w:t> </w:t>
            </w:r>
          </w:p>
        </w:tc>
        <w:tc>
          <w:tcPr>
            <w:tcW w:w="982"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736CB7" w:rsidRPr="00C80EBC" w:rsidRDefault="00736CB7" w:rsidP="00655157">
            <w:pPr>
              <w:rPr>
                <w:rFonts w:ascii="Calibri" w:hAnsi="Calibri" w:cs="Calibri"/>
                <w:b/>
                <w:color w:val="FFFFFF" w:themeColor="background1"/>
                <w:sz w:val="22"/>
                <w:szCs w:val="22"/>
              </w:rPr>
            </w:pPr>
            <w:r w:rsidRPr="00C80EBC">
              <w:rPr>
                <w:rFonts w:ascii="Calibri" w:hAnsi="Calibri" w:cs="Calibri"/>
                <w:b/>
                <w:color w:val="FFFFFF" w:themeColor="background1"/>
                <w:sz w:val="22"/>
                <w:szCs w:val="22"/>
              </w:rPr>
              <w:t>Number</w:t>
            </w:r>
          </w:p>
        </w:tc>
        <w:tc>
          <w:tcPr>
            <w:tcW w:w="1320"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736CB7" w:rsidRPr="00C80EBC" w:rsidRDefault="00736CB7" w:rsidP="00C80EBC">
            <w:pPr>
              <w:jc w:val="right"/>
              <w:rPr>
                <w:rFonts w:ascii="Calibri" w:hAnsi="Calibri" w:cs="Calibri"/>
                <w:b/>
                <w:color w:val="FFFFFF" w:themeColor="background1"/>
                <w:sz w:val="22"/>
                <w:szCs w:val="22"/>
              </w:rPr>
            </w:pPr>
            <w:r w:rsidRPr="00C80EBC">
              <w:rPr>
                <w:rFonts w:ascii="Calibri" w:hAnsi="Calibri" w:cs="Calibri"/>
                <w:b/>
                <w:color w:val="FFFFFF" w:themeColor="background1"/>
                <w:sz w:val="22"/>
                <w:szCs w:val="22"/>
              </w:rPr>
              <w:t>Value (£)</w:t>
            </w:r>
          </w:p>
        </w:tc>
      </w:tr>
      <w:tr w:rsidR="00707D4B"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707D4B" w:rsidRDefault="00707D4B" w:rsidP="00707D4B">
            <w:pPr>
              <w:rPr>
                <w:rFonts w:ascii="Calibri" w:hAnsi="Calibri" w:cs="Calibri"/>
                <w:b/>
                <w:bCs/>
                <w:color w:val="000000"/>
                <w:sz w:val="22"/>
                <w:szCs w:val="22"/>
              </w:rPr>
            </w:pPr>
            <w:r>
              <w:rPr>
                <w:rFonts w:ascii="Calibri" w:hAnsi="Calibri" w:cs="Calibri"/>
                <w:b/>
                <w:bCs/>
                <w:color w:val="000000"/>
                <w:sz w:val="22"/>
                <w:szCs w:val="22"/>
              </w:rPr>
              <w:t>Benchmark</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707D4B" w:rsidRPr="00C80EBC" w:rsidRDefault="00707D4B" w:rsidP="006E30B3">
            <w:pPr>
              <w:jc w:val="right"/>
              <w:rPr>
                <w:rFonts w:ascii="Calibri" w:hAnsi="Calibri" w:cs="Calibri"/>
                <w:b/>
                <w:sz w:val="22"/>
                <w:szCs w:val="22"/>
              </w:rPr>
            </w:pPr>
            <w:r w:rsidRPr="00C80EBC">
              <w:rPr>
                <w:rFonts w:ascii="Calibri" w:hAnsi="Calibri" w:cs="Calibri"/>
                <w:b/>
                <w:sz w:val="22"/>
                <w:szCs w:val="22"/>
              </w:rPr>
              <w:t>95%</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707D4B" w:rsidRPr="00C80EBC" w:rsidRDefault="00707D4B" w:rsidP="006E30B3">
            <w:pPr>
              <w:jc w:val="right"/>
              <w:rPr>
                <w:rFonts w:ascii="Calibri" w:hAnsi="Calibri" w:cs="Calibri"/>
                <w:b/>
                <w:sz w:val="22"/>
                <w:szCs w:val="22"/>
              </w:rPr>
            </w:pPr>
            <w:r w:rsidRPr="00C80EBC">
              <w:rPr>
                <w:rFonts w:ascii="Calibri" w:hAnsi="Calibri" w:cs="Calibri"/>
                <w:b/>
                <w:sz w:val="22"/>
                <w:szCs w:val="22"/>
              </w:rPr>
              <w:t>95%</w:t>
            </w:r>
          </w:p>
        </w:tc>
      </w:tr>
      <w:tr w:rsidR="008623B1"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23B1" w:rsidRPr="008654B1" w:rsidRDefault="008623B1" w:rsidP="00707D4B">
            <w:pPr>
              <w:rPr>
                <w:rFonts w:ascii="Calibri" w:hAnsi="Calibri" w:cs="Calibri"/>
                <w:b/>
                <w:bCs/>
                <w:color w:val="000000"/>
                <w:sz w:val="22"/>
                <w:szCs w:val="22"/>
              </w:rPr>
            </w:pPr>
            <w:r w:rsidRPr="008654B1">
              <w:rPr>
                <w:rFonts w:ascii="Calibri" w:hAnsi="Calibri" w:cs="Calibri"/>
                <w:b/>
                <w:bCs/>
                <w:color w:val="000000"/>
                <w:sz w:val="22"/>
                <w:szCs w:val="22"/>
              </w:rPr>
              <w:t>2018/19</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8623B1" w:rsidRPr="008654B1" w:rsidRDefault="008623B1" w:rsidP="006E30B3">
            <w:pPr>
              <w:jc w:val="right"/>
              <w:rPr>
                <w:rFonts w:ascii="Calibri" w:hAnsi="Calibri" w:cs="Calibri"/>
                <w:b/>
                <w:sz w:val="22"/>
                <w:szCs w:val="22"/>
              </w:rPr>
            </w:pPr>
            <w:r w:rsidRPr="008654B1">
              <w:rPr>
                <w:rFonts w:ascii="Calibri" w:hAnsi="Calibri" w:cs="Calibri"/>
                <w:b/>
                <w:sz w:val="22"/>
                <w:szCs w:val="22"/>
              </w:rPr>
              <w:t>99%</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8623B1" w:rsidRPr="008654B1" w:rsidRDefault="008623B1" w:rsidP="006E30B3">
            <w:pPr>
              <w:jc w:val="right"/>
              <w:rPr>
                <w:rFonts w:ascii="Calibri" w:hAnsi="Calibri" w:cs="Calibri"/>
                <w:b/>
                <w:sz w:val="22"/>
                <w:szCs w:val="22"/>
              </w:rPr>
            </w:pPr>
            <w:r w:rsidRPr="008654B1">
              <w:rPr>
                <w:rFonts w:ascii="Calibri" w:hAnsi="Calibri" w:cs="Calibri"/>
                <w:b/>
                <w:sz w:val="22"/>
                <w:szCs w:val="22"/>
              </w:rPr>
              <w:t>100%</w:t>
            </w:r>
          </w:p>
        </w:tc>
      </w:tr>
      <w:tr w:rsidR="004A71FD"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71FD" w:rsidRDefault="004A71FD" w:rsidP="00707D4B">
            <w:pPr>
              <w:rPr>
                <w:rFonts w:ascii="Calibri" w:hAnsi="Calibri" w:cs="Calibri"/>
                <w:b/>
                <w:bCs/>
                <w:color w:val="000000"/>
                <w:sz w:val="22"/>
                <w:szCs w:val="22"/>
              </w:rPr>
            </w:pPr>
            <w:r>
              <w:rPr>
                <w:rFonts w:ascii="Calibri" w:hAnsi="Calibri" w:cs="Calibri"/>
                <w:b/>
                <w:bCs/>
                <w:color w:val="000000"/>
                <w:sz w:val="22"/>
                <w:szCs w:val="22"/>
              </w:rPr>
              <w:t>2017/18</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4A71FD" w:rsidRPr="00C80EBC" w:rsidRDefault="00126C0D" w:rsidP="006E30B3">
            <w:pPr>
              <w:jc w:val="right"/>
              <w:rPr>
                <w:rFonts w:ascii="Calibri" w:hAnsi="Calibri" w:cs="Calibri"/>
                <w:b/>
                <w:sz w:val="22"/>
                <w:szCs w:val="22"/>
              </w:rPr>
            </w:pPr>
            <w:r>
              <w:rPr>
                <w:rFonts w:ascii="Calibri" w:hAnsi="Calibri" w:cs="Calibri"/>
                <w:b/>
                <w:sz w:val="22"/>
                <w:szCs w:val="22"/>
              </w:rPr>
              <w:t>98%</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4A71FD" w:rsidRPr="00C80EBC" w:rsidRDefault="00126C0D" w:rsidP="006E30B3">
            <w:pPr>
              <w:jc w:val="right"/>
              <w:rPr>
                <w:rFonts w:ascii="Calibri" w:hAnsi="Calibri" w:cs="Calibri"/>
                <w:b/>
                <w:sz w:val="22"/>
                <w:szCs w:val="22"/>
              </w:rPr>
            </w:pPr>
            <w:r>
              <w:rPr>
                <w:rFonts w:ascii="Calibri" w:hAnsi="Calibri" w:cs="Calibri"/>
                <w:b/>
                <w:sz w:val="22"/>
                <w:szCs w:val="22"/>
              </w:rPr>
              <w:t>98%</w:t>
            </w:r>
          </w:p>
        </w:tc>
      </w:tr>
      <w:tr w:rsidR="00736CB7"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36CB7" w:rsidRPr="00236B2E" w:rsidRDefault="00707D4B" w:rsidP="00707D4B">
            <w:pPr>
              <w:rPr>
                <w:rFonts w:ascii="Calibri" w:hAnsi="Calibri" w:cs="Calibri"/>
                <w:b/>
                <w:bCs/>
                <w:color w:val="000000"/>
                <w:sz w:val="22"/>
                <w:szCs w:val="22"/>
              </w:rPr>
            </w:pPr>
            <w:r>
              <w:rPr>
                <w:rFonts w:ascii="Calibri" w:hAnsi="Calibri" w:cs="Calibri"/>
                <w:b/>
                <w:bCs/>
                <w:color w:val="000000"/>
                <w:sz w:val="22"/>
                <w:szCs w:val="22"/>
              </w:rPr>
              <w:t>2016/17</w:t>
            </w:r>
            <w:r w:rsidR="00736CB7" w:rsidRPr="00236B2E">
              <w:rPr>
                <w:rFonts w:ascii="Calibri" w:hAnsi="Calibri" w:cs="Calibri"/>
                <w:b/>
                <w:bCs/>
                <w:color w:val="000000"/>
                <w:sz w:val="22"/>
                <w:szCs w:val="22"/>
              </w:rPr>
              <w:t xml:space="preserve"> </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736CB7" w:rsidRPr="00C80EBC" w:rsidRDefault="00482FAD" w:rsidP="006E30B3">
            <w:pPr>
              <w:jc w:val="right"/>
              <w:rPr>
                <w:rFonts w:ascii="Calibri" w:hAnsi="Calibri" w:cs="Calibri"/>
                <w:b/>
                <w:sz w:val="22"/>
                <w:szCs w:val="22"/>
              </w:rPr>
            </w:pPr>
            <w:r w:rsidRPr="00C80EBC">
              <w:rPr>
                <w:rFonts w:ascii="Calibri" w:hAnsi="Calibri" w:cs="Calibri"/>
                <w:b/>
                <w:sz w:val="22"/>
                <w:szCs w:val="22"/>
              </w:rPr>
              <w:t>98%</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736CB7" w:rsidRPr="00C80EBC" w:rsidRDefault="00482FAD" w:rsidP="006E30B3">
            <w:pPr>
              <w:jc w:val="right"/>
              <w:rPr>
                <w:rFonts w:ascii="Calibri" w:hAnsi="Calibri" w:cs="Calibri"/>
                <w:b/>
                <w:sz w:val="22"/>
                <w:szCs w:val="22"/>
              </w:rPr>
            </w:pPr>
            <w:r w:rsidRPr="00C80EBC">
              <w:rPr>
                <w:rFonts w:ascii="Calibri" w:hAnsi="Calibri" w:cs="Calibri"/>
                <w:b/>
                <w:sz w:val="22"/>
                <w:szCs w:val="22"/>
              </w:rPr>
              <w:t>98%</w:t>
            </w:r>
          </w:p>
        </w:tc>
      </w:tr>
    </w:tbl>
    <w:p w:rsidR="004D4BF4" w:rsidRDefault="004D4BF4" w:rsidP="00DD6897">
      <w:pPr>
        <w:rPr>
          <w:rFonts w:ascii="Arial" w:hAnsi="Arial" w:cs="Arial"/>
          <w:sz w:val="22"/>
          <w:szCs w:val="22"/>
        </w:rPr>
      </w:pPr>
    </w:p>
    <w:p w:rsidR="000A4438" w:rsidRDefault="000A4438" w:rsidP="0028079F">
      <w:pPr>
        <w:jc w:val="both"/>
        <w:rPr>
          <w:rFonts w:ascii="Arial" w:hAnsi="Arial" w:cs="Arial"/>
          <w:b/>
          <w:sz w:val="22"/>
          <w:szCs w:val="22"/>
        </w:rPr>
      </w:pPr>
    </w:p>
    <w:p w:rsidR="0028079F" w:rsidRPr="00106232" w:rsidRDefault="0028079F" w:rsidP="0028079F">
      <w:pPr>
        <w:jc w:val="both"/>
        <w:rPr>
          <w:rFonts w:ascii="Arial" w:hAnsi="Arial" w:cs="Arial"/>
          <w:b/>
          <w:sz w:val="22"/>
          <w:szCs w:val="22"/>
        </w:rPr>
      </w:pPr>
      <w:r w:rsidRPr="00106232">
        <w:rPr>
          <w:rFonts w:ascii="Arial" w:hAnsi="Arial" w:cs="Arial"/>
          <w:b/>
          <w:sz w:val="22"/>
          <w:szCs w:val="22"/>
        </w:rPr>
        <w:t>Recommendations</w:t>
      </w:r>
    </w:p>
    <w:p w:rsidR="00192D07" w:rsidRDefault="005E3435" w:rsidP="00192D07">
      <w:pPr>
        <w:overflowPunct w:val="0"/>
        <w:autoSpaceDE w:val="0"/>
        <w:autoSpaceDN w:val="0"/>
        <w:adjustRightInd w:val="0"/>
        <w:textAlignment w:val="baseline"/>
        <w:rPr>
          <w:rFonts w:ascii="Arial" w:hAnsi="Arial" w:cs="Arial"/>
          <w:sz w:val="22"/>
          <w:szCs w:val="22"/>
        </w:rPr>
      </w:pPr>
      <w:r>
        <w:rPr>
          <w:rFonts w:ascii="Arial" w:hAnsi="Arial" w:cs="Arial"/>
          <w:sz w:val="22"/>
          <w:szCs w:val="22"/>
        </w:rPr>
        <w:t>The Board</w:t>
      </w:r>
      <w:r w:rsidR="00D211BF" w:rsidRPr="00106232">
        <w:rPr>
          <w:rFonts w:ascii="Arial" w:hAnsi="Arial" w:cs="Arial"/>
          <w:sz w:val="22"/>
          <w:szCs w:val="22"/>
        </w:rPr>
        <w:t xml:space="preserve"> </w:t>
      </w:r>
      <w:r w:rsidR="00DF39E7" w:rsidRPr="00106232">
        <w:rPr>
          <w:rFonts w:ascii="Arial" w:hAnsi="Arial" w:cs="Arial"/>
          <w:sz w:val="22"/>
          <w:szCs w:val="22"/>
        </w:rPr>
        <w:t xml:space="preserve">is asked to </w:t>
      </w:r>
      <w:r w:rsidR="004A32AC">
        <w:rPr>
          <w:rFonts w:ascii="Arial" w:hAnsi="Arial" w:cs="Arial"/>
          <w:sz w:val="22"/>
          <w:szCs w:val="22"/>
        </w:rPr>
        <w:t>review and approve</w:t>
      </w:r>
      <w:r w:rsidR="001C4432" w:rsidRPr="00106232">
        <w:rPr>
          <w:rFonts w:ascii="Arial" w:hAnsi="Arial" w:cs="Arial"/>
          <w:sz w:val="22"/>
          <w:szCs w:val="22"/>
        </w:rPr>
        <w:t xml:space="preserve"> </w:t>
      </w:r>
      <w:r w:rsidR="00B40EA9" w:rsidRPr="00106232">
        <w:rPr>
          <w:rFonts w:ascii="Arial" w:hAnsi="Arial" w:cs="Arial"/>
          <w:sz w:val="22"/>
          <w:szCs w:val="22"/>
        </w:rPr>
        <w:t xml:space="preserve">the </w:t>
      </w:r>
      <w:r w:rsidR="004A71FD">
        <w:rPr>
          <w:rFonts w:ascii="Arial" w:hAnsi="Arial" w:cs="Arial"/>
          <w:sz w:val="22"/>
          <w:szCs w:val="22"/>
        </w:rPr>
        <w:t xml:space="preserve">finance report for the </w:t>
      </w:r>
      <w:r w:rsidR="009E68F8">
        <w:rPr>
          <w:rFonts w:ascii="Arial" w:hAnsi="Arial" w:cs="Arial"/>
          <w:sz w:val="22"/>
          <w:szCs w:val="22"/>
        </w:rPr>
        <w:t>6</w:t>
      </w:r>
      <w:r w:rsidR="00CF2146">
        <w:rPr>
          <w:rFonts w:ascii="Arial" w:hAnsi="Arial" w:cs="Arial"/>
          <w:sz w:val="22"/>
          <w:szCs w:val="22"/>
        </w:rPr>
        <w:t xml:space="preserve"> </w:t>
      </w:r>
      <w:r w:rsidR="004A71FD">
        <w:rPr>
          <w:rFonts w:ascii="Arial" w:hAnsi="Arial" w:cs="Arial"/>
          <w:sz w:val="22"/>
          <w:szCs w:val="22"/>
        </w:rPr>
        <w:t xml:space="preserve">months </w:t>
      </w:r>
      <w:r w:rsidR="00FD5EB4">
        <w:rPr>
          <w:rFonts w:ascii="Arial" w:hAnsi="Arial" w:cs="Arial"/>
          <w:sz w:val="22"/>
          <w:szCs w:val="22"/>
        </w:rPr>
        <w:t>to</w:t>
      </w:r>
      <w:r w:rsidR="00804976">
        <w:rPr>
          <w:rFonts w:ascii="Arial" w:hAnsi="Arial" w:cs="Arial"/>
          <w:sz w:val="22"/>
          <w:szCs w:val="22"/>
        </w:rPr>
        <w:t xml:space="preserve"> 3</w:t>
      </w:r>
      <w:r w:rsidR="009E68F8">
        <w:rPr>
          <w:rFonts w:ascii="Arial" w:hAnsi="Arial" w:cs="Arial"/>
          <w:sz w:val="22"/>
          <w:szCs w:val="22"/>
        </w:rPr>
        <w:t>0 September</w:t>
      </w:r>
      <w:r w:rsidR="00804976">
        <w:rPr>
          <w:rFonts w:ascii="Arial" w:hAnsi="Arial" w:cs="Arial"/>
          <w:sz w:val="22"/>
          <w:szCs w:val="22"/>
        </w:rPr>
        <w:t xml:space="preserve"> 2018.</w:t>
      </w:r>
      <w:r w:rsidR="00FD5EB4">
        <w:rPr>
          <w:rFonts w:ascii="Arial" w:hAnsi="Arial" w:cs="Arial"/>
          <w:sz w:val="22"/>
          <w:szCs w:val="22"/>
        </w:rPr>
        <w:t xml:space="preserve"> </w:t>
      </w:r>
    </w:p>
    <w:p w:rsidR="00CC740F" w:rsidRDefault="00CC740F" w:rsidP="00B40EA9">
      <w:pPr>
        <w:spacing w:line="276" w:lineRule="auto"/>
        <w:rPr>
          <w:rFonts w:ascii="Arial" w:hAnsi="Arial" w:cs="Arial"/>
          <w:b/>
          <w:sz w:val="22"/>
          <w:szCs w:val="22"/>
        </w:rPr>
      </w:pPr>
    </w:p>
    <w:p w:rsidR="00B40EA9" w:rsidRPr="00B40EA9" w:rsidRDefault="000A4438" w:rsidP="00B40EA9">
      <w:pPr>
        <w:spacing w:line="276" w:lineRule="auto"/>
        <w:rPr>
          <w:rFonts w:ascii="Arial" w:hAnsi="Arial" w:cs="Arial"/>
          <w:b/>
          <w:sz w:val="22"/>
          <w:szCs w:val="22"/>
        </w:rPr>
      </w:pPr>
      <w:r>
        <w:rPr>
          <w:rFonts w:ascii="Arial" w:hAnsi="Arial" w:cs="Arial"/>
          <w:b/>
          <w:sz w:val="22"/>
          <w:szCs w:val="22"/>
        </w:rPr>
        <w:t xml:space="preserve">Sylvia Hazard and </w:t>
      </w:r>
      <w:r w:rsidR="00192D07">
        <w:rPr>
          <w:rFonts w:ascii="Arial" w:hAnsi="Arial" w:cs="Arial"/>
          <w:b/>
          <w:sz w:val="22"/>
          <w:szCs w:val="22"/>
        </w:rPr>
        <w:t>Karen Williams</w:t>
      </w:r>
    </w:p>
    <w:p w:rsidR="00B40EA9" w:rsidRPr="00B40EA9" w:rsidRDefault="000A4438" w:rsidP="00B40EA9">
      <w:pPr>
        <w:spacing w:line="276" w:lineRule="auto"/>
        <w:rPr>
          <w:rFonts w:ascii="Arial" w:hAnsi="Arial" w:cs="Arial"/>
          <w:b/>
          <w:sz w:val="22"/>
          <w:szCs w:val="22"/>
        </w:rPr>
      </w:pPr>
      <w:r>
        <w:rPr>
          <w:rFonts w:ascii="Arial" w:hAnsi="Arial" w:cs="Arial"/>
          <w:b/>
          <w:sz w:val="22"/>
          <w:szCs w:val="22"/>
        </w:rPr>
        <w:t xml:space="preserve">Deputy Director of Finance and </w:t>
      </w:r>
      <w:r w:rsidR="0004137A">
        <w:rPr>
          <w:rFonts w:ascii="Arial" w:hAnsi="Arial" w:cs="Arial"/>
          <w:b/>
          <w:sz w:val="22"/>
          <w:szCs w:val="22"/>
        </w:rPr>
        <w:t xml:space="preserve">Director of </w:t>
      </w:r>
      <w:r w:rsidR="00B40EA9" w:rsidRPr="00B40EA9">
        <w:rPr>
          <w:rFonts w:ascii="Arial" w:hAnsi="Arial" w:cs="Arial"/>
          <w:b/>
          <w:sz w:val="22"/>
          <w:szCs w:val="22"/>
        </w:rPr>
        <w:t>Finance</w:t>
      </w:r>
      <w:r w:rsidR="00B34A94">
        <w:rPr>
          <w:rFonts w:ascii="Arial" w:hAnsi="Arial" w:cs="Arial"/>
          <w:b/>
          <w:sz w:val="22"/>
          <w:szCs w:val="22"/>
        </w:rPr>
        <w:t xml:space="preserve">, </w:t>
      </w:r>
      <w:r w:rsidR="00E73495">
        <w:rPr>
          <w:rFonts w:ascii="Arial" w:hAnsi="Arial" w:cs="Arial"/>
          <w:b/>
          <w:sz w:val="22"/>
          <w:szCs w:val="22"/>
        </w:rPr>
        <w:t>Procurement</w:t>
      </w:r>
      <w:r w:rsidR="00B34A94">
        <w:rPr>
          <w:rFonts w:ascii="Arial" w:hAnsi="Arial" w:cs="Arial"/>
          <w:b/>
          <w:sz w:val="22"/>
          <w:szCs w:val="22"/>
        </w:rPr>
        <w:t xml:space="preserve"> and Estates</w:t>
      </w:r>
    </w:p>
    <w:p w:rsidR="008568A2" w:rsidRDefault="000A1033" w:rsidP="00804976">
      <w:pPr>
        <w:spacing w:line="276" w:lineRule="auto"/>
        <w:rPr>
          <w:rFonts w:ascii="Arial" w:hAnsi="Arial" w:cs="Arial"/>
          <w:b/>
          <w:sz w:val="22"/>
          <w:szCs w:val="22"/>
        </w:rPr>
      </w:pPr>
      <w:r>
        <w:rPr>
          <w:rFonts w:ascii="Arial" w:hAnsi="Arial" w:cs="Arial"/>
          <w:b/>
          <w:sz w:val="22"/>
          <w:szCs w:val="22"/>
        </w:rPr>
        <w:t>1</w:t>
      </w:r>
      <w:r w:rsidR="009E68F8">
        <w:rPr>
          <w:rFonts w:ascii="Arial" w:hAnsi="Arial" w:cs="Arial"/>
          <w:b/>
          <w:sz w:val="22"/>
          <w:szCs w:val="22"/>
        </w:rPr>
        <w:t>2 October</w:t>
      </w:r>
      <w:r w:rsidR="00804976">
        <w:rPr>
          <w:rFonts w:ascii="Arial" w:hAnsi="Arial" w:cs="Arial"/>
          <w:b/>
          <w:sz w:val="22"/>
          <w:szCs w:val="22"/>
        </w:rPr>
        <w:t xml:space="preserve"> 2018</w:t>
      </w:r>
    </w:p>
    <w:p w:rsidR="001D646D" w:rsidRDefault="001D646D" w:rsidP="00804976">
      <w:pPr>
        <w:spacing w:line="276" w:lineRule="auto"/>
        <w:rPr>
          <w:rFonts w:ascii="Arial" w:hAnsi="Arial" w:cs="Arial"/>
          <w:b/>
          <w:sz w:val="22"/>
          <w:szCs w:val="22"/>
        </w:rPr>
      </w:pPr>
    </w:p>
    <w:p w:rsidR="001D646D" w:rsidRDefault="001D646D" w:rsidP="00804976">
      <w:pPr>
        <w:spacing w:line="276" w:lineRule="auto"/>
        <w:rPr>
          <w:rFonts w:ascii="Arial" w:hAnsi="Arial" w:cs="Arial"/>
          <w:b/>
          <w:sz w:val="22"/>
          <w:szCs w:val="22"/>
        </w:rPr>
      </w:pPr>
    </w:p>
    <w:p w:rsidR="001D646D" w:rsidRDefault="001D646D" w:rsidP="00804976">
      <w:pPr>
        <w:spacing w:line="276" w:lineRule="auto"/>
        <w:rPr>
          <w:rFonts w:ascii="Arial" w:hAnsi="Arial" w:cs="Arial"/>
          <w:b/>
          <w:sz w:val="22"/>
          <w:szCs w:val="22"/>
        </w:rPr>
      </w:pPr>
    </w:p>
    <w:p w:rsidR="001D646D" w:rsidRDefault="001D646D" w:rsidP="00804976">
      <w:pPr>
        <w:spacing w:line="276" w:lineRule="auto"/>
        <w:rPr>
          <w:rFonts w:ascii="Arial" w:hAnsi="Arial" w:cs="Arial"/>
          <w:b/>
          <w:sz w:val="22"/>
          <w:szCs w:val="22"/>
        </w:rPr>
      </w:pPr>
    </w:p>
    <w:p w:rsidR="001D646D" w:rsidRDefault="001D646D" w:rsidP="00804976">
      <w:pPr>
        <w:spacing w:line="276" w:lineRule="auto"/>
        <w:rPr>
          <w:rFonts w:ascii="Arial" w:hAnsi="Arial" w:cs="Arial"/>
          <w:b/>
          <w:sz w:val="22"/>
          <w:szCs w:val="22"/>
        </w:rPr>
      </w:pPr>
    </w:p>
    <w:p w:rsidR="001D646D" w:rsidRDefault="001D646D" w:rsidP="00804976">
      <w:pPr>
        <w:spacing w:line="276" w:lineRule="auto"/>
        <w:rPr>
          <w:rFonts w:ascii="Arial" w:hAnsi="Arial" w:cs="Arial"/>
          <w:b/>
          <w:sz w:val="22"/>
          <w:szCs w:val="22"/>
        </w:rPr>
      </w:pPr>
    </w:p>
    <w:p w:rsidR="001D646D" w:rsidRDefault="001D646D" w:rsidP="00804976">
      <w:pPr>
        <w:spacing w:line="276" w:lineRule="auto"/>
        <w:rPr>
          <w:rFonts w:ascii="Arial" w:hAnsi="Arial" w:cs="Arial"/>
          <w:b/>
          <w:sz w:val="22"/>
          <w:szCs w:val="22"/>
        </w:rPr>
      </w:pPr>
    </w:p>
    <w:p w:rsidR="001D646D" w:rsidRDefault="001D646D" w:rsidP="001D646D">
      <w:pPr>
        <w:spacing w:after="200" w:line="276" w:lineRule="auto"/>
        <w:rPr>
          <w:rFonts w:ascii="Arial" w:hAnsi="Arial" w:cs="Arial"/>
          <w:b/>
          <w:sz w:val="22"/>
          <w:szCs w:val="22"/>
        </w:rPr>
        <w:sectPr w:rsidR="001D646D" w:rsidSect="00730EE3">
          <w:headerReference w:type="default" r:id="rId12"/>
          <w:footerReference w:type="default" r:id="rId13"/>
          <w:pgSz w:w="11906" w:h="16838"/>
          <w:pgMar w:top="709" w:right="992" w:bottom="720" w:left="902" w:header="709" w:footer="709" w:gutter="0"/>
          <w:cols w:space="708"/>
          <w:docGrid w:linePitch="360"/>
        </w:sectPr>
      </w:pPr>
    </w:p>
    <w:p w:rsidR="001D646D" w:rsidRDefault="001D646D" w:rsidP="00804976">
      <w:pPr>
        <w:spacing w:line="276" w:lineRule="auto"/>
        <w:rPr>
          <w:rFonts w:ascii="Arial" w:hAnsi="Arial" w:cs="Arial"/>
          <w:b/>
          <w:sz w:val="22"/>
          <w:szCs w:val="22"/>
        </w:rPr>
      </w:pPr>
    </w:p>
    <w:p w:rsidR="001D646D" w:rsidRDefault="001D646D" w:rsidP="00804976">
      <w:pPr>
        <w:spacing w:line="276" w:lineRule="auto"/>
        <w:rPr>
          <w:rFonts w:ascii="Arial" w:hAnsi="Arial" w:cs="Arial"/>
          <w:b/>
          <w:sz w:val="22"/>
          <w:szCs w:val="22"/>
        </w:rPr>
      </w:pPr>
      <w:proofErr w:type="spellStart"/>
      <w:r>
        <w:rPr>
          <w:rFonts w:ascii="Arial" w:hAnsi="Arial" w:cs="Arial"/>
          <w:b/>
          <w:sz w:val="22"/>
          <w:szCs w:val="22"/>
        </w:rPr>
        <w:t>Cashflow</w:t>
      </w:r>
      <w:proofErr w:type="spellEnd"/>
      <w:r>
        <w:rPr>
          <w:rFonts w:ascii="Arial" w:hAnsi="Arial" w:cs="Arial"/>
          <w:b/>
          <w:sz w:val="22"/>
          <w:szCs w:val="22"/>
        </w:rPr>
        <w:t xml:space="preserve"> profile for 2018/19</w:t>
      </w:r>
    </w:p>
    <w:p w:rsidR="001D646D" w:rsidRDefault="001D646D" w:rsidP="00804976">
      <w:pPr>
        <w:spacing w:line="276" w:lineRule="auto"/>
        <w:rPr>
          <w:rFonts w:ascii="Arial" w:hAnsi="Arial" w:cs="Arial"/>
          <w:b/>
          <w:sz w:val="22"/>
          <w:szCs w:val="22"/>
        </w:rPr>
      </w:pPr>
    </w:p>
    <w:tbl>
      <w:tblPr>
        <w:tblW w:w="5000" w:type="pct"/>
        <w:tblLook w:val="04A0" w:firstRow="1" w:lastRow="0" w:firstColumn="1" w:lastColumn="0" w:noHBand="0" w:noVBand="1"/>
      </w:tblPr>
      <w:tblGrid>
        <w:gridCol w:w="3113"/>
        <w:gridCol w:w="930"/>
        <w:gridCol w:w="930"/>
        <w:gridCol w:w="930"/>
        <w:gridCol w:w="930"/>
        <w:gridCol w:w="930"/>
        <w:gridCol w:w="930"/>
        <w:gridCol w:w="930"/>
        <w:gridCol w:w="930"/>
        <w:gridCol w:w="930"/>
        <w:gridCol w:w="930"/>
        <w:gridCol w:w="930"/>
        <w:gridCol w:w="930"/>
        <w:gridCol w:w="346"/>
        <w:gridCol w:w="1006"/>
      </w:tblGrid>
      <w:tr w:rsidR="00C61657" w:rsidRPr="00C61657" w:rsidTr="00C61657">
        <w:trPr>
          <w:trHeight w:val="315"/>
        </w:trPr>
        <w:tc>
          <w:tcPr>
            <w:tcW w:w="86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61657" w:rsidRPr="00C61657" w:rsidRDefault="00C61657" w:rsidP="00C61657">
            <w:pPr>
              <w:jc w:val="center"/>
              <w:rPr>
                <w:rFonts w:ascii="Calibri" w:hAnsi="Calibri"/>
                <w:b/>
                <w:bCs/>
                <w:color w:val="000000"/>
                <w:sz w:val="22"/>
                <w:szCs w:val="22"/>
              </w:rPr>
            </w:pPr>
            <w:r w:rsidRPr="00C61657">
              <w:rPr>
                <w:rFonts w:ascii="Calibri" w:hAnsi="Calibri"/>
                <w:b/>
                <w:bCs/>
                <w:color w:val="000000"/>
                <w:sz w:val="22"/>
                <w:szCs w:val="22"/>
              </w:rPr>
              <w:t> </w:t>
            </w:r>
          </w:p>
        </w:tc>
        <w:tc>
          <w:tcPr>
            <w:tcW w:w="307" w:type="pct"/>
            <w:tcBorders>
              <w:top w:val="single" w:sz="8" w:space="0" w:color="auto"/>
              <w:left w:val="nil"/>
              <w:bottom w:val="single" w:sz="8" w:space="0" w:color="auto"/>
              <w:right w:val="single" w:sz="8" w:space="0" w:color="auto"/>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Apr</w:t>
            </w:r>
          </w:p>
        </w:tc>
        <w:tc>
          <w:tcPr>
            <w:tcW w:w="307" w:type="pct"/>
            <w:tcBorders>
              <w:top w:val="single" w:sz="8" w:space="0" w:color="auto"/>
              <w:left w:val="nil"/>
              <w:bottom w:val="single" w:sz="8" w:space="0" w:color="auto"/>
              <w:right w:val="single" w:sz="8" w:space="0" w:color="auto"/>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May</w:t>
            </w:r>
          </w:p>
        </w:tc>
        <w:tc>
          <w:tcPr>
            <w:tcW w:w="307" w:type="pct"/>
            <w:tcBorders>
              <w:top w:val="single" w:sz="8" w:space="0" w:color="auto"/>
              <w:left w:val="nil"/>
              <w:bottom w:val="single" w:sz="8" w:space="0" w:color="auto"/>
              <w:right w:val="single" w:sz="8" w:space="0" w:color="auto"/>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Jun</w:t>
            </w:r>
          </w:p>
        </w:tc>
        <w:tc>
          <w:tcPr>
            <w:tcW w:w="307" w:type="pct"/>
            <w:tcBorders>
              <w:top w:val="single" w:sz="8" w:space="0" w:color="auto"/>
              <w:left w:val="nil"/>
              <w:bottom w:val="single" w:sz="8" w:space="0" w:color="auto"/>
              <w:right w:val="single" w:sz="8" w:space="0" w:color="auto"/>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Jul</w:t>
            </w:r>
          </w:p>
        </w:tc>
        <w:tc>
          <w:tcPr>
            <w:tcW w:w="307" w:type="pct"/>
            <w:tcBorders>
              <w:top w:val="single" w:sz="8" w:space="0" w:color="auto"/>
              <w:left w:val="nil"/>
              <w:bottom w:val="single" w:sz="8" w:space="0" w:color="auto"/>
              <w:right w:val="single" w:sz="8" w:space="0" w:color="auto"/>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Aug</w:t>
            </w:r>
          </w:p>
        </w:tc>
        <w:tc>
          <w:tcPr>
            <w:tcW w:w="307" w:type="pct"/>
            <w:tcBorders>
              <w:top w:val="single" w:sz="8" w:space="0" w:color="auto"/>
              <w:left w:val="nil"/>
              <w:bottom w:val="single" w:sz="8" w:space="0" w:color="auto"/>
              <w:right w:val="single" w:sz="8" w:space="0" w:color="auto"/>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Sep</w:t>
            </w:r>
          </w:p>
        </w:tc>
        <w:tc>
          <w:tcPr>
            <w:tcW w:w="307" w:type="pct"/>
            <w:tcBorders>
              <w:top w:val="single" w:sz="8" w:space="0" w:color="auto"/>
              <w:left w:val="nil"/>
              <w:bottom w:val="single" w:sz="8" w:space="0" w:color="auto"/>
              <w:right w:val="single" w:sz="8" w:space="0" w:color="auto"/>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Oct</w:t>
            </w:r>
          </w:p>
        </w:tc>
        <w:tc>
          <w:tcPr>
            <w:tcW w:w="307" w:type="pct"/>
            <w:tcBorders>
              <w:top w:val="single" w:sz="8" w:space="0" w:color="auto"/>
              <w:left w:val="nil"/>
              <w:bottom w:val="single" w:sz="8" w:space="0" w:color="auto"/>
              <w:right w:val="single" w:sz="8" w:space="0" w:color="auto"/>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Nov</w:t>
            </w:r>
          </w:p>
        </w:tc>
        <w:tc>
          <w:tcPr>
            <w:tcW w:w="307" w:type="pct"/>
            <w:tcBorders>
              <w:top w:val="single" w:sz="8" w:space="0" w:color="auto"/>
              <w:left w:val="nil"/>
              <w:bottom w:val="single" w:sz="8" w:space="0" w:color="auto"/>
              <w:right w:val="single" w:sz="8" w:space="0" w:color="auto"/>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Dec</w:t>
            </w:r>
          </w:p>
        </w:tc>
        <w:tc>
          <w:tcPr>
            <w:tcW w:w="307" w:type="pct"/>
            <w:tcBorders>
              <w:top w:val="single" w:sz="8" w:space="0" w:color="auto"/>
              <w:left w:val="nil"/>
              <w:bottom w:val="single" w:sz="8" w:space="0" w:color="auto"/>
              <w:right w:val="single" w:sz="8" w:space="0" w:color="auto"/>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Jan</w:t>
            </w:r>
          </w:p>
        </w:tc>
        <w:tc>
          <w:tcPr>
            <w:tcW w:w="307" w:type="pct"/>
            <w:tcBorders>
              <w:top w:val="single" w:sz="8" w:space="0" w:color="auto"/>
              <w:left w:val="nil"/>
              <w:bottom w:val="single" w:sz="8" w:space="0" w:color="auto"/>
              <w:right w:val="single" w:sz="8" w:space="0" w:color="auto"/>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Feb</w:t>
            </w:r>
          </w:p>
        </w:tc>
        <w:tc>
          <w:tcPr>
            <w:tcW w:w="307" w:type="pct"/>
            <w:tcBorders>
              <w:top w:val="single" w:sz="8" w:space="0" w:color="auto"/>
              <w:left w:val="nil"/>
              <w:bottom w:val="single" w:sz="8" w:space="0" w:color="auto"/>
              <w:right w:val="single" w:sz="8" w:space="0" w:color="auto"/>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Mar</w:t>
            </w:r>
          </w:p>
        </w:tc>
        <w:tc>
          <w:tcPr>
            <w:tcW w:w="120"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3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Total</w:t>
            </w:r>
          </w:p>
        </w:tc>
      </w:tr>
      <w:tr w:rsidR="00C61657" w:rsidRPr="00C61657" w:rsidTr="00C61657">
        <w:trPr>
          <w:trHeight w:val="315"/>
        </w:trPr>
        <w:tc>
          <w:tcPr>
            <w:tcW w:w="865" w:type="pct"/>
            <w:tcBorders>
              <w:top w:val="nil"/>
              <w:left w:val="nil"/>
              <w:bottom w:val="nil"/>
              <w:right w:val="nil"/>
            </w:tcBorders>
            <w:shd w:val="clear" w:color="auto" w:fill="auto"/>
            <w:noWrap/>
            <w:vAlign w:val="center"/>
            <w:hideMark/>
          </w:tcPr>
          <w:p w:rsidR="00C61657" w:rsidRPr="00C61657" w:rsidRDefault="00C61657" w:rsidP="00C61657">
            <w:pPr>
              <w:rPr>
                <w:rFonts w:ascii="Calibri" w:hAnsi="Calibri"/>
                <w:b/>
                <w:bCs/>
                <w:color w:val="000000"/>
                <w:sz w:val="22"/>
                <w:szCs w:val="22"/>
              </w:rPr>
            </w:pPr>
            <w:r w:rsidRPr="00C61657">
              <w:rPr>
                <w:rFonts w:ascii="Calibri" w:hAnsi="Calibri"/>
                <w:b/>
                <w:bCs/>
                <w:color w:val="000000"/>
                <w:sz w:val="22"/>
                <w:szCs w:val="22"/>
              </w:rPr>
              <w:t>£'000s</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p>
        </w:tc>
        <w:tc>
          <w:tcPr>
            <w:tcW w:w="307"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p>
        </w:tc>
        <w:tc>
          <w:tcPr>
            <w:tcW w:w="307"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p>
        </w:tc>
        <w:tc>
          <w:tcPr>
            <w:tcW w:w="307"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p>
        </w:tc>
        <w:tc>
          <w:tcPr>
            <w:tcW w:w="307"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p>
        </w:tc>
        <w:tc>
          <w:tcPr>
            <w:tcW w:w="120"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p>
        </w:tc>
        <w:tc>
          <w:tcPr>
            <w:tcW w:w="334"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p>
        </w:tc>
      </w:tr>
      <w:tr w:rsidR="00C61657" w:rsidRPr="00C61657" w:rsidTr="00C61657">
        <w:trPr>
          <w:trHeight w:val="300"/>
        </w:trPr>
        <w:tc>
          <w:tcPr>
            <w:tcW w:w="865" w:type="pct"/>
            <w:tcBorders>
              <w:top w:val="single" w:sz="8" w:space="0" w:color="auto"/>
              <w:left w:val="single" w:sz="8" w:space="0" w:color="auto"/>
              <w:bottom w:val="nil"/>
              <w:right w:val="single" w:sz="8" w:space="0" w:color="auto"/>
            </w:tcBorders>
            <w:shd w:val="clear" w:color="auto" w:fill="auto"/>
            <w:noWrap/>
            <w:vAlign w:val="center"/>
            <w:hideMark/>
          </w:tcPr>
          <w:p w:rsidR="00C61657" w:rsidRPr="00C61657" w:rsidRDefault="00C61657" w:rsidP="00C61657">
            <w:pPr>
              <w:rPr>
                <w:rFonts w:ascii="Calibri" w:hAnsi="Calibri"/>
                <w:b/>
                <w:bCs/>
                <w:color w:val="000000"/>
                <w:sz w:val="22"/>
                <w:szCs w:val="22"/>
              </w:rPr>
            </w:pPr>
            <w:r w:rsidRPr="00C61657">
              <w:rPr>
                <w:rFonts w:ascii="Calibri" w:hAnsi="Calibri"/>
                <w:b/>
                <w:bCs/>
                <w:color w:val="000000"/>
                <w:sz w:val="22"/>
                <w:szCs w:val="22"/>
              </w:rPr>
              <w:t>Opening Balance</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957</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929</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846</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1,459</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1,901</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2,330</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1,703</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1,533</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1,440</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1,388</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1,429</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1,429</w:t>
            </w:r>
          </w:p>
        </w:tc>
        <w:tc>
          <w:tcPr>
            <w:tcW w:w="120"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p>
        </w:tc>
        <w:tc>
          <w:tcPr>
            <w:tcW w:w="334"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957</w:t>
            </w:r>
          </w:p>
        </w:tc>
      </w:tr>
      <w:tr w:rsidR="00C61657" w:rsidRPr="00C61657" w:rsidTr="00C61657">
        <w:trPr>
          <w:trHeight w:val="150"/>
        </w:trPr>
        <w:tc>
          <w:tcPr>
            <w:tcW w:w="865" w:type="pct"/>
            <w:tcBorders>
              <w:top w:val="nil"/>
              <w:left w:val="single" w:sz="8" w:space="0" w:color="auto"/>
              <w:bottom w:val="nil"/>
              <w:right w:val="single" w:sz="8" w:space="0" w:color="auto"/>
            </w:tcBorders>
            <w:shd w:val="clear" w:color="auto" w:fill="auto"/>
            <w:noWrap/>
            <w:vAlign w:val="center"/>
            <w:hideMark/>
          </w:tcPr>
          <w:p w:rsidR="00C61657" w:rsidRPr="00C61657" w:rsidRDefault="00C61657" w:rsidP="00C61657">
            <w:pPr>
              <w:rPr>
                <w:rFonts w:ascii="Calibri" w:hAnsi="Calibri"/>
                <w:color w:val="000000"/>
                <w:sz w:val="22"/>
                <w:szCs w:val="22"/>
              </w:rPr>
            </w:pPr>
            <w:r w:rsidRPr="00C61657">
              <w:rPr>
                <w:rFonts w:ascii="Calibri" w:hAnsi="Calibri"/>
                <w:color w:val="000000"/>
                <w:sz w:val="22"/>
                <w:szCs w:val="22"/>
              </w:rPr>
              <w:t> </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color w:val="000000"/>
                <w:sz w:val="20"/>
                <w:szCs w:val="20"/>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color w:val="000000"/>
                <w:sz w:val="20"/>
                <w:szCs w:val="20"/>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color w:val="000000"/>
                <w:sz w:val="20"/>
                <w:szCs w:val="20"/>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color w:val="000000"/>
                <w:sz w:val="20"/>
                <w:szCs w:val="20"/>
              </w:rPr>
            </w:pPr>
          </w:p>
        </w:tc>
        <w:tc>
          <w:tcPr>
            <w:tcW w:w="120" w:type="pct"/>
            <w:tcBorders>
              <w:top w:val="nil"/>
              <w:left w:val="nil"/>
              <w:bottom w:val="nil"/>
              <w:right w:val="nil"/>
            </w:tcBorders>
            <w:shd w:val="clear" w:color="auto" w:fill="auto"/>
            <w:noWrap/>
            <w:vAlign w:val="bottom"/>
            <w:hideMark/>
          </w:tcPr>
          <w:p w:rsidR="00C61657" w:rsidRPr="00C61657" w:rsidRDefault="00C61657" w:rsidP="00C61657">
            <w:pPr>
              <w:jc w:val="right"/>
              <w:rPr>
                <w:color w:val="000000"/>
                <w:sz w:val="20"/>
                <w:szCs w:val="20"/>
              </w:rPr>
            </w:pPr>
          </w:p>
        </w:tc>
        <w:tc>
          <w:tcPr>
            <w:tcW w:w="334" w:type="pct"/>
            <w:tcBorders>
              <w:top w:val="nil"/>
              <w:left w:val="nil"/>
              <w:bottom w:val="nil"/>
              <w:right w:val="nil"/>
            </w:tcBorders>
            <w:shd w:val="clear" w:color="auto" w:fill="auto"/>
            <w:noWrap/>
            <w:vAlign w:val="bottom"/>
            <w:hideMark/>
          </w:tcPr>
          <w:p w:rsidR="00C61657" w:rsidRPr="00C61657" w:rsidRDefault="00C61657" w:rsidP="00C61657">
            <w:pPr>
              <w:jc w:val="right"/>
              <w:rPr>
                <w:color w:val="000000"/>
                <w:sz w:val="20"/>
                <w:szCs w:val="20"/>
              </w:rPr>
            </w:pPr>
          </w:p>
        </w:tc>
      </w:tr>
      <w:tr w:rsidR="00C61657" w:rsidRPr="00C61657" w:rsidTr="00C61657">
        <w:trPr>
          <w:trHeight w:val="300"/>
        </w:trPr>
        <w:tc>
          <w:tcPr>
            <w:tcW w:w="865" w:type="pct"/>
            <w:tcBorders>
              <w:top w:val="nil"/>
              <w:left w:val="single" w:sz="8" w:space="0" w:color="auto"/>
              <w:bottom w:val="nil"/>
              <w:right w:val="single" w:sz="8" w:space="0" w:color="auto"/>
            </w:tcBorders>
            <w:shd w:val="clear" w:color="auto" w:fill="auto"/>
            <w:noWrap/>
            <w:vAlign w:val="center"/>
            <w:hideMark/>
          </w:tcPr>
          <w:p w:rsidR="00C61657" w:rsidRPr="00C61657" w:rsidRDefault="00C61657" w:rsidP="00C61657">
            <w:pPr>
              <w:rPr>
                <w:rFonts w:ascii="Calibri" w:hAnsi="Calibri"/>
                <w:b/>
                <w:bCs/>
                <w:color w:val="000000"/>
                <w:sz w:val="22"/>
                <w:szCs w:val="22"/>
              </w:rPr>
            </w:pPr>
            <w:r w:rsidRPr="00C61657">
              <w:rPr>
                <w:rFonts w:ascii="Calibri" w:hAnsi="Calibri"/>
                <w:b/>
                <w:bCs/>
                <w:color w:val="000000"/>
                <w:sz w:val="22"/>
                <w:szCs w:val="22"/>
              </w:rPr>
              <w:t>Receipts</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p>
        </w:tc>
        <w:tc>
          <w:tcPr>
            <w:tcW w:w="120" w:type="pct"/>
            <w:tcBorders>
              <w:top w:val="nil"/>
              <w:left w:val="nil"/>
              <w:bottom w:val="nil"/>
              <w:right w:val="nil"/>
            </w:tcBorders>
            <w:shd w:val="clear" w:color="auto" w:fill="auto"/>
            <w:noWrap/>
            <w:vAlign w:val="bottom"/>
            <w:hideMark/>
          </w:tcPr>
          <w:p w:rsidR="00C61657" w:rsidRPr="00C61657" w:rsidRDefault="00C61657" w:rsidP="00C61657">
            <w:pPr>
              <w:jc w:val="right"/>
              <w:rPr>
                <w:color w:val="000000"/>
                <w:sz w:val="20"/>
                <w:szCs w:val="20"/>
              </w:rPr>
            </w:pPr>
          </w:p>
        </w:tc>
        <w:tc>
          <w:tcPr>
            <w:tcW w:w="334" w:type="pct"/>
            <w:tcBorders>
              <w:top w:val="nil"/>
              <w:left w:val="nil"/>
              <w:bottom w:val="nil"/>
              <w:right w:val="nil"/>
            </w:tcBorders>
            <w:shd w:val="clear" w:color="auto" w:fill="auto"/>
            <w:noWrap/>
            <w:vAlign w:val="bottom"/>
            <w:hideMark/>
          </w:tcPr>
          <w:p w:rsidR="00C61657" w:rsidRPr="00C61657" w:rsidRDefault="00C61657" w:rsidP="00C61657">
            <w:pPr>
              <w:jc w:val="right"/>
              <w:rPr>
                <w:color w:val="000000"/>
                <w:sz w:val="20"/>
                <w:szCs w:val="20"/>
              </w:rPr>
            </w:pPr>
          </w:p>
        </w:tc>
      </w:tr>
      <w:tr w:rsidR="00C61657" w:rsidRPr="00C61657" w:rsidTr="00C61657">
        <w:trPr>
          <w:trHeight w:val="300"/>
        </w:trPr>
        <w:tc>
          <w:tcPr>
            <w:tcW w:w="865" w:type="pct"/>
            <w:tcBorders>
              <w:top w:val="nil"/>
              <w:left w:val="single" w:sz="8" w:space="0" w:color="auto"/>
              <w:bottom w:val="nil"/>
              <w:right w:val="single" w:sz="8" w:space="0" w:color="auto"/>
            </w:tcBorders>
            <w:shd w:val="clear" w:color="auto" w:fill="auto"/>
            <w:noWrap/>
            <w:vAlign w:val="center"/>
            <w:hideMark/>
          </w:tcPr>
          <w:p w:rsidR="00C61657" w:rsidRPr="00C61657" w:rsidRDefault="00C61657" w:rsidP="00C61657">
            <w:pPr>
              <w:rPr>
                <w:rFonts w:ascii="Calibri" w:hAnsi="Calibri"/>
                <w:color w:val="000000"/>
                <w:sz w:val="22"/>
                <w:szCs w:val="22"/>
              </w:rPr>
            </w:pPr>
            <w:r w:rsidRPr="00C61657">
              <w:rPr>
                <w:rFonts w:ascii="Calibri" w:hAnsi="Calibri"/>
                <w:color w:val="000000"/>
                <w:sz w:val="22"/>
                <w:szCs w:val="22"/>
              </w:rPr>
              <w:t>Debtors</w:t>
            </w:r>
          </w:p>
        </w:tc>
        <w:tc>
          <w:tcPr>
            <w:tcW w:w="307"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33</w:t>
            </w:r>
          </w:p>
        </w:tc>
        <w:tc>
          <w:tcPr>
            <w:tcW w:w="307"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17</w:t>
            </w:r>
          </w:p>
        </w:tc>
        <w:tc>
          <w:tcPr>
            <w:tcW w:w="307"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44</w:t>
            </w:r>
          </w:p>
        </w:tc>
        <w:tc>
          <w:tcPr>
            <w:tcW w:w="307"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62</w:t>
            </w:r>
          </w:p>
        </w:tc>
        <w:tc>
          <w:tcPr>
            <w:tcW w:w="307"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60</w:t>
            </w:r>
          </w:p>
        </w:tc>
        <w:tc>
          <w:tcPr>
            <w:tcW w:w="307"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98</w:t>
            </w:r>
          </w:p>
        </w:tc>
        <w:tc>
          <w:tcPr>
            <w:tcW w:w="307"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0</w:t>
            </w:r>
          </w:p>
        </w:tc>
        <w:tc>
          <w:tcPr>
            <w:tcW w:w="307"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0</w:t>
            </w:r>
          </w:p>
        </w:tc>
        <w:tc>
          <w:tcPr>
            <w:tcW w:w="307"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18</w:t>
            </w:r>
          </w:p>
        </w:tc>
        <w:tc>
          <w:tcPr>
            <w:tcW w:w="307"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0</w:t>
            </w:r>
          </w:p>
        </w:tc>
        <w:tc>
          <w:tcPr>
            <w:tcW w:w="307"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0</w:t>
            </w:r>
          </w:p>
        </w:tc>
        <w:tc>
          <w:tcPr>
            <w:tcW w:w="307"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119</w:t>
            </w:r>
          </w:p>
        </w:tc>
        <w:tc>
          <w:tcPr>
            <w:tcW w:w="120"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p>
        </w:tc>
        <w:tc>
          <w:tcPr>
            <w:tcW w:w="334"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449</w:t>
            </w:r>
          </w:p>
        </w:tc>
      </w:tr>
      <w:tr w:rsidR="00C61657" w:rsidRPr="00C61657" w:rsidTr="00C61657">
        <w:trPr>
          <w:trHeight w:val="300"/>
        </w:trPr>
        <w:tc>
          <w:tcPr>
            <w:tcW w:w="865" w:type="pct"/>
            <w:tcBorders>
              <w:top w:val="nil"/>
              <w:left w:val="single" w:sz="8" w:space="0" w:color="auto"/>
              <w:bottom w:val="nil"/>
              <w:right w:val="single" w:sz="8" w:space="0" w:color="auto"/>
            </w:tcBorders>
            <w:shd w:val="clear" w:color="auto" w:fill="auto"/>
            <w:noWrap/>
            <w:vAlign w:val="center"/>
            <w:hideMark/>
          </w:tcPr>
          <w:p w:rsidR="00C61657" w:rsidRPr="00C61657" w:rsidRDefault="00C61657" w:rsidP="00C61657">
            <w:pPr>
              <w:rPr>
                <w:rFonts w:ascii="Calibri" w:hAnsi="Calibri"/>
                <w:color w:val="000000"/>
                <w:sz w:val="22"/>
                <w:szCs w:val="22"/>
              </w:rPr>
            </w:pPr>
            <w:r w:rsidRPr="00C61657">
              <w:rPr>
                <w:rFonts w:ascii="Calibri" w:hAnsi="Calibri"/>
                <w:color w:val="000000"/>
                <w:sz w:val="22"/>
                <w:szCs w:val="22"/>
              </w:rPr>
              <w:t>Revenue cash limit</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1,000</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1,000</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2,000</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900</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1,300</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900</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1,100</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1,200</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1,150</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1,150</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1,100</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1,062</w:t>
            </w:r>
          </w:p>
        </w:tc>
        <w:tc>
          <w:tcPr>
            <w:tcW w:w="120"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p>
        </w:tc>
        <w:tc>
          <w:tcPr>
            <w:tcW w:w="334"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13,862</w:t>
            </w:r>
          </w:p>
        </w:tc>
      </w:tr>
      <w:tr w:rsidR="00C61657" w:rsidRPr="00C61657" w:rsidTr="00C61657">
        <w:trPr>
          <w:trHeight w:val="300"/>
        </w:trPr>
        <w:tc>
          <w:tcPr>
            <w:tcW w:w="865" w:type="pct"/>
            <w:tcBorders>
              <w:top w:val="nil"/>
              <w:left w:val="single" w:sz="8" w:space="0" w:color="auto"/>
              <w:bottom w:val="nil"/>
              <w:right w:val="single" w:sz="8" w:space="0" w:color="auto"/>
            </w:tcBorders>
            <w:shd w:val="clear" w:color="auto" w:fill="auto"/>
            <w:noWrap/>
            <w:vAlign w:val="center"/>
            <w:hideMark/>
          </w:tcPr>
          <w:p w:rsidR="00C61657" w:rsidRPr="00C61657" w:rsidRDefault="00C61657" w:rsidP="00C61657">
            <w:pPr>
              <w:rPr>
                <w:rFonts w:ascii="Calibri" w:hAnsi="Calibri"/>
                <w:color w:val="000000"/>
                <w:sz w:val="22"/>
                <w:szCs w:val="22"/>
              </w:rPr>
            </w:pPr>
            <w:r w:rsidRPr="00C61657">
              <w:rPr>
                <w:rFonts w:ascii="Calibri" w:hAnsi="Calibri"/>
                <w:color w:val="000000"/>
                <w:sz w:val="22"/>
                <w:szCs w:val="22"/>
              </w:rPr>
              <w:t>Capital cash limit</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100</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100</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100</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100</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100</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100</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100</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100</w:t>
            </w:r>
          </w:p>
        </w:tc>
        <w:tc>
          <w:tcPr>
            <w:tcW w:w="120" w:type="pct"/>
            <w:tcBorders>
              <w:top w:val="nil"/>
              <w:left w:val="nil"/>
              <w:bottom w:val="nil"/>
              <w:right w:val="nil"/>
            </w:tcBorders>
            <w:shd w:val="clear" w:color="auto" w:fill="auto"/>
            <w:noWrap/>
            <w:vAlign w:val="bottom"/>
            <w:hideMark/>
          </w:tcPr>
          <w:p w:rsidR="00C61657" w:rsidRPr="00C61657" w:rsidRDefault="00C61657" w:rsidP="00C61657">
            <w:pPr>
              <w:jc w:val="right"/>
              <w:rPr>
                <w:color w:val="000000"/>
                <w:sz w:val="20"/>
                <w:szCs w:val="20"/>
              </w:rPr>
            </w:pPr>
          </w:p>
        </w:tc>
        <w:tc>
          <w:tcPr>
            <w:tcW w:w="334"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800</w:t>
            </w:r>
          </w:p>
        </w:tc>
      </w:tr>
      <w:tr w:rsidR="00C61657" w:rsidRPr="00C61657" w:rsidTr="00C61657">
        <w:trPr>
          <w:trHeight w:val="300"/>
        </w:trPr>
        <w:tc>
          <w:tcPr>
            <w:tcW w:w="865" w:type="pct"/>
            <w:tcBorders>
              <w:top w:val="nil"/>
              <w:left w:val="single" w:sz="8" w:space="0" w:color="auto"/>
              <w:bottom w:val="nil"/>
              <w:right w:val="single" w:sz="8" w:space="0" w:color="auto"/>
            </w:tcBorders>
            <w:shd w:val="clear" w:color="auto" w:fill="auto"/>
            <w:noWrap/>
            <w:vAlign w:val="center"/>
            <w:hideMark/>
          </w:tcPr>
          <w:p w:rsidR="00C61657" w:rsidRPr="00C61657" w:rsidRDefault="00C61657" w:rsidP="00C61657">
            <w:pPr>
              <w:rPr>
                <w:rFonts w:ascii="Calibri" w:hAnsi="Calibri"/>
                <w:color w:val="000000"/>
                <w:sz w:val="22"/>
                <w:szCs w:val="22"/>
              </w:rPr>
            </w:pPr>
            <w:r w:rsidRPr="00C61657">
              <w:rPr>
                <w:rFonts w:ascii="Calibri" w:hAnsi="Calibri"/>
                <w:color w:val="000000"/>
                <w:sz w:val="22"/>
                <w:szCs w:val="22"/>
              </w:rPr>
              <w:t>Additional Cash allocation</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500</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120"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p>
        </w:tc>
        <w:tc>
          <w:tcPr>
            <w:tcW w:w="334"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500</w:t>
            </w:r>
          </w:p>
        </w:tc>
      </w:tr>
      <w:tr w:rsidR="00C61657" w:rsidRPr="00C61657" w:rsidTr="00C61657">
        <w:trPr>
          <w:trHeight w:val="300"/>
        </w:trPr>
        <w:tc>
          <w:tcPr>
            <w:tcW w:w="865" w:type="pct"/>
            <w:tcBorders>
              <w:top w:val="nil"/>
              <w:left w:val="single" w:sz="8" w:space="0" w:color="auto"/>
              <w:bottom w:val="nil"/>
              <w:right w:val="single" w:sz="8" w:space="0" w:color="auto"/>
            </w:tcBorders>
            <w:shd w:val="clear" w:color="auto" w:fill="auto"/>
            <w:noWrap/>
            <w:vAlign w:val="center"/>
            <w:hideMark/>
          </w:tcPr>
          <w:p w:rsidR="00C61657" w:rsidRPr="00C61657" w:rsidRDefault="00C61657" w:rsidP="00C61657">
            <w:pPr>
              <w:rPr>
                <w:rFonts w:ascii="Calibri" w:hAnsi="Calibri"/>
                <w:b/>
                <w:bCs/>
                <w:color w:val="000000"/>
                <w:sz w:val="22"/>
                <w:szCs w:val="22"/>
              </w:rPr>
            </w:pPr>
            <w:r w:rsidRPr="00C61657">
              <w:rPr>
                <w:rFonts w:ascii="Calibri" w:hAnsi="Calibri"/>
                <w:b/>
                <w:bCs/>
                <w:color w:val="000000"/>
                <w:sz w:val="22"/>
                <w:szCs w:val="22"/>
              </w:rPr>
              <w:t>Total Receipts</w:t>
            </w:r>
          </w:p>
        </w:tc>
        <w:tc>
          <w:tcPr>
            <w:tcW w:w="307" w:type="pct"/>
            <w:tcBorders>
              <w:top w:val="single" w:sz="4" w:space="0" w:color="auto"/>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1,033</w:t>
            </w:r>
          </w:p>
        </w:tc>
        <w:tc>
          <w:tcPr>
            <w:tcW w:w="307" w:type="pct"/>
            <w:tcBorders>
              <w:top w:val="single" w:sz="4" w:space="0" w:color="auto"/>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1,017</w:t>
            </w:r>
          </w:p>
        </w:tc>
        <w:tc>
          <w:tcPr>
            <w:tcW w:w="307" w:type="pct"/>
            <w:tcBorders>
              <w:top w:val="single" w:sz="4" w:space="0" w:color="auto"/>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2,044</w:t>
            </w:r>
          </w:p>
        </w:tc>
        <w:tc>
          <w:tcPr>
            <w:tcW w:w="307" w:type="pct"/>
            <w:tcBorders>
              <w:top w:val="single" w:sz="4" w:space="0" w:color="auto"/>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1,462</w:t>
            </w:r>
          </w:p>
        </w:tc>
        <w:tc>
          <w:tcPr>
            <w:tcW w:w="307" w:type="pct"/>
            <w:tcBorders>
              <w:top w:val="single" w:sz="4" w:space="0" w:color="auto"/>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1,460</w:t>
            </w:r>
          </w:p>
        </w:tc>
        <w:tc>
          <w:tcPr>
            <w:tcW w:w="307" w:type="pct"/>
            <w:tcBorders>
              <w:top w:val="single" w:sz="4" w:space="0" w:color="auto"/>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1,098</w:t>
            </w:r>
          </w:p>
        </w:tc>
        <w:tc>
          <w:tcPr>
            <w:tcW w:w="307" w:type="pct"/>
            <w:tcBorders>
              <w:top w:val="single" w:sz="4" w:space="0" w:color="auto"/>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1,200</w:t>
            </w:r>
          </w:p>
        </w:tc>
        <w:tc>
          <w:tcPr>
            <w:tcW w:w="307" w:type="pct"/>
            <w:tcBorders>
              <w:top w:val="single" w:sz="4" w:space="0" w:color="auto"/>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1,300</w:t>
            </w:r>
          </w:p>
        </w:tc>
        <w:tc>
          <w:tcPr>
            <w:tcW w:w="307" w:type="pct"/>
            <w:tcBorders>
              <w:top w:val="single" w:sz="4" w:space="0" w:color="auto"/>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1,268</w:t>
            </w:r>
          </w:p>
        </w:tc>
        <w:tc>
          <w:tcPr>
            <w:tcW w:w="307" w:type="pct"/>
            <w:tcBorders>
              <w:top w:val="single" w:sz="4" w:space="0" w:color="auto"/>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1,250</w:t>
            </w:r>
          </w:p>
        </w:tc>
        <w:tc>
          <w:tcPr>
            <w:tcW w:w="307" w:type="pct"/>
            <w:tcBorders>
              <w:top w:val="single" w:sz="4" w:space="0" w:color="auto"/>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1,200</w:t>
            </w:r>
          </w:p>
        </w:tc>
        <w:tc>
          <w:tcPr>
            <w:tcW w:w="307" w:type="pct"/>
            <w:tcBorders>
              <w:top w:val="single" w:sz="4" w:space="0" w:color="auto"/>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1,281</w:t>
            </w:r>
          </w:p>
        </w:tc>
        <w:tc>
          <w:tcPr>
            <w:tcW w:w="120"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p>
        </w:tc>
        <w:tc>
          <w:tcPr>
            <w:tcW w:w="334" w:type="pct"/>
            <w:tcBorders>
              <w:top w:val="single" w:sz="4" w:space="0" w:color="auto"/>
              <w:left w:val="nil"/>
              <w:bottom w:val="single" w:sz="4" w:space="0" w:color="auto"/>
              <w:right w:val="nil"/>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15,611</w:t>
            </w:r>
          </w:p>
        </w:tc>
      </w:tr>
      <w:tr w:rsidR="00C61657" w:rsidRPr="00C61657" w:rsidTr="00C61657">
        <w:trPr>
          <w:trHeight w:val="300"/>
        </w:trPr>
        <w:tc>
          <w:tcPr>
            <w:tcW w:w="865" w:type="pct"/>
            <w:tcBorders>
              <w:top w:val="nil"/>
              <w:left w:val="single" w:sz="8" w:space="0" w:color="auto"/>
              <w:bottom w:val="nil"/>
              <w:right w:val="single" w:sz="8" w:space="0" w:color="auto"/>
            </w:tcBorders>
            <w:shd w:val="clear" w:color="auto" w:fill="auto"/>
            <w:noWrap/>
            <w:vAlign w:val="center"/>
            <w:hideMark/>
          </w:tcPr>
          <w:p w:rsidR="00C61657" w:rsidRPr="00C61657" w:rsidRDefault="00C61657" w:rsidP="00C61657">
            <w:pPr>
              <w:rPr>
                <w:rFonts w:ascii="Calibri" w:hAnsi="Calibri"/>
                <w:color w:val="000000"/>
                <w:sz w:val="22"/>
                <w:szCs w:val="22"/>
              </w:rPr>
            </w:pPr>
            <w:r w:rsidRPr="00C61657">
              <w:rPr>
                <w:rFonts w:ascii="Calibri" w:hAnsi="Calibri"/>
                <w:color w:val="000000"/>
                <w:sz w:val="22"/>
                <w:szCs w:val="22"/>
              </w:rPr>
              <w:t> </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color w:val="000000"/>
                <w:sz w:val="20"/>
                <w:szCs w:val="20"/>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color w:val="000000"/>
                <w:sz w:val="20"/>
                <w:szCs w:val="20"/>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color w:val="000000"/>
                <w:sz w:val="20"/>
                <w:szCs w:val="20"/>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color w:val="000000"/>
                <w:sz w:val="20"/>
                <w:szCs w:val="20"/>
              </w:rPr>
            </w:pPr>
          </w:p>
        </w:tc>
        <w:tc>
          <w:tcPr>
            <w:tcW w:w="120" w:type="pct"/>
            <w:tcBorders>
              <w:top w:val="nil"/>
              <w:left w:val="nil"/>
              <w:bottom w:val="nil"/>
              <w:right w:val="nil"/>
            </w:tcBorders>
            <w:shd w:val="clear" w:color="auto" w:fill="auto"/>
            <w:noWrap/>
            <w:vAlign w:val="bottom"/>
            <w:hideMark/>
          </w:tcPr>
          <w:p w:rsidR="00C61657" w:rsidRPr="00C61657" w:rsidRDefault="00C61657" w:rsidP="00C61657">
            <w:pPr>
              <w:jc w:val="right"/>
              <w:rPr>
                <w:color w:val="000000"/>
                <w:sz w:val="20"/>
                <w:szCs w:val="20"/>
              </w:rPr>
            </w:pPr>
          </w:p>
        </w:tc>
        <w:tc>
          <w:tcPr>
            <w:tcW w:w="334" w:type="pct"/>
            <w:tcBorders>
              <w:top w:val="nil"/>
              <w:left w:val="nil"/>
              <w:bottom w:val="nil"/>
              <w:right w:val="nil"/>
            </w:tcBorders>
            <w:shd w:val="clear" w:color="auto" w:fill="auto"/>
            <w:noWrap/>
            <w:vAlign w:val="bottom"/>
            <w:hideMark/>
          </w:tcPr>
          <w:p w:rsidR="00C61657" w:rsidRPr="00C61657" w:rsidRDefault="00C61657" w:rsidP="00C61657">
            <w:pPr>
              <w:jc w:val="right"/>
              <w:rPr>
                <w:color w:val="000000"/>
                <w:sz w:val="20"/>
                <w:szCs w:val="20"/>
              </w:rPr>
            </w:pPr>
          </w:p>
        </w:tc>
      </w:tr>
      <w:tr w:rsidR="00C61657" w:rsidRPr="00C61657" w:rsidTr="00C61657">
        <w:trPr>
          <w:trHeight w:val="300"/>
        </w:trPr>
        <w:tc>
          <w:tcPr>
            <w:tcW w:w="865" w:type="pct"/>
            <w:tcBorders>
              <w:top w:val="nil"/>
              <w:left w:val="single" w:sz="8" w:space="0" w:color="auto"/>
              <w:bottom w:val="nil"/>
              <w:right w:val="single" w:sz="8" w:space="0" w:color="auto"/>
            </w:tcBorders>
            <w:shd w:val="clear" w:color="auto" w:fill="auto"/>
            <w:noWrap/>
            <w:vAlign w:val="center"/>
            <w:hideMark/>
          </w:tcPr>
          <w:p w:rsidR="00C61657" w:rsidRPr="00C61657" w:rsidRDefault="00C61657" w:rsidP="00C61657">
            <w:pPr>
              <w:rPr>
                <w:rFonts w:ascii="Calibri" w:hAnsi="Calibri"/>
                <w:b/>
                <w:bCs/>
                <w:color w:val="000000"/>
                <w:sz w:val="22"/>
                <w:szCs w:val="22"/>
              </w:rPr>
            </w:pPr>
            <w:r w:rsidRPr="00C61657">
              <w:rPr>
                <w:rFonts w:ascii="Calibri" w:hAnsi="Calibri"/>
                <w:b/>
                <w:bCs/>
                <w:color w:val="000000"/>
                <w:sz w:val="22"/>
                <w:szCs w:val="22"/>
              </w:rPr>
              <w:t>Payments</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color w:val="000000"/>
                <w:sz w:val="20"/>
                <w:szCs w:val="20"/>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color w:val="000000"/>
                <w:sz w:val="20"/>
                <w:szCs w:val="20"/>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color w:val="000000"/>
                <w:sz w:val="20"/>
                <w:szCs w:val="20"/>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color w:val="000000"/>
                <w:sz w:val="20"/>
                <w:szCs w:val="20"/>
              </w:rPr>
            </w:pPr>
          </w:p>
        </w:tc>
        <w:tc>
          <w:tcPr>
            <w:tcW w:w="120" w:type="pct"/>
            <w:tcBorders>
              <w:top w:val="nil"/>
              <w:left w:val="nil"/>
              <w:bottom w:val="nil"/>
              <w:right w:val="nil"/>
            </w:tcBorders>
            <w:shd w:val="clear" w:color="auto" w:fill="auto"/>
            <w:noWrap/>
            <w:vAlign w:val="bottom"/>
            <w:hideMark/>
          </w:tcPr>
          <w:p w:rsidR="00C61657" w:rsidRPr="00C61657" w:rsidRDefault="00C61657" w:rsidP="00C61657">
            <w:pPr>
              <w:jc w:val="right"/>
              <w:rPr>
                <w:color w:val="000000"/>
                <w:sz w:val="20"/>
                <w:szCs w:val="20"/>
              </w:rPr>
            </w:pPr>
          </w:p>
        </w:tc>
        <w:tc>
          <w:tcPr>
            <w:tcW w:w="334"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p>
        </w:tc>
      </w:tr>
      <w:tr w:rsidR="00C61657" w:rsidRPr="00C61657" w:rsidTr="00C61657">
        <w:trPr>
          <w:trHeight w:val="300"/>
        </w:trPr>
        <w:tc>
          <w:tcPr>
            <w:tcW w:w="865" w:type="pct"/>
            <w:tcBorders>
              <w:top w:val="nil"/>
              <w:left w:val="single" w:sz="8" w:space="0" w:color="auto"/>
              <w:bottom w:val="nil"/>
              <w:right w:val="single" w:sz="8" w:space="0" w:color="auto"/>
            </w:tcBorders>
            <w:shd w:val="clear" w:color="auto" w:fill="auto"/>
            <w:noWrap/>
            <w:vAlign w:val="center"/>
            <w:hideMark/>
          </w:tcPr>
          <w:p w:rsidR="00C61657" w:rsidRPr="00C61657" w:rsidRDefault="00C61657" w:rsidP="00C61657">
            <w:pPr>
              <w:rPr>
                <w:rFonts w:ascii="Calibri" w:hAnsi="Calibri"/>
                <w:color w:val="000000"/>
                <w:sz w:val="22"/>
                <w:szCs w:val="22"/>
              </w:rPr>
            </w:pPr>
            <w:r w:rsidRPr="00C61657">
              <w:rPr>
                <w:rFonts w:ascii="Calibri" w:hAnsi="Calibri"/>
                <w:color w:val="000000"/>
                <w:sz w:val="22"/>
                <w:szCs w:val="22"/>
              </w:rPr>
              <w:t>Staff - payroll</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443</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793</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820</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747</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779</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810</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767</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764</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755</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749</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741</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1,032</w:t>
            </w:r>
          </w:p>
        </w:tc>
        <w:tc>
          <w:tcPr>
            <w:tcW w:w="120"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p>
        </w:tc>
        <w:tc>
          <w:tcPr>
            <w:tcW w:w="334"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9,198</w:t>
            </w:r>
          </w:p>
        </w:tc>
      </w:tr>
      <w:tr w:rsidR="00C61657" w:rsidRPr="00C61657" w:rsidTr="00C61657">
        <w:trPr>
          <w:trHeight w:val="300"/>
        </w:trPr>
        <w:tc>
          <w:tcPr>
            <w:tcW w:w="865" w:type="pct"/>
            <w:tcBorders>
              <w:top w:val="nil"/>
              <w:left w:val="single" w:sz="8" w:space="0" w:color="auto"/>
              <w:bottom w:val="nil"/>
              <w:right w:val="single" w:sz="8" w:space="0" w:color="auto"/>
            </w:tcBorders>
            <w:shd w:val="clear" w:color="auto" w:fill="auto"/>
            <w:noWrap/>
            <w:vAlign w:val="center"/>
            <w:hideMark/>
          </w:tcPr>
          <w:p w:rsidR="00C61657" w:rsidRPr="00C61657" w:rsidRDefault="00C61657" w:rsidP="00C61657">
            <w:pPr>
              <w:rPr>
                <w:rFonts w:ascii="Calibri" w:hAnsi="Calibri"/>
                <w:color w:val="000000"/>
                <w:sz w:val="22"/>
                <w:szCs w:val="22"/>
              </w:rPr>
            </w:pPr>
            <w:r w:rsidRPr="00C61657">
              <w:rPr>
                <w:rFonts w:ascii="Calibri" w:hAnsi="Calibri"/>
                <w:color w:val="000000"/>
                <w:sz w:val="22"/>
                <w:szCs w:val="22"/>
              </w:rPr>
              <w:t>Revenue payments  through SBS</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558</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278</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534</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218</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240</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819</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549</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549</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485</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380</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379</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531</w:t>
            </w:r>
          </w:p>
        </w:tc>
        <w:tc>
          <w:tcPr>
            <w:tcW w:w="120"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p>
        </w:tc>
        <w:tc>
          <w:tcPr>
            <w:tcW w:w="334"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5,520</w:t>
            </w:r>
          </w:p>
        </w:tc>
      </w:tr>
      <w:tr w:rsidR="00C61657" w:rsidRPr="00C61657" w:rsidTr="00C61657">
        <w:trPr>
          <w:trHeight w:val="300"/>
        </w:trPr>
        <w:tc>
          <w:tcPr>
            <w:tcW w:w="865" w:type="pct"/>
            <w:tcBorders>
              <w:top w:val="nil"/>
              <w:left w:val="single" w:sz="8" w:space="0" w:color="auto"/>
              <w:bottom w:val="nil"/>
              <w:right w:val="single" w:sz="8" w:space="0" w:color="auto"/>
            </w:tcBorders>
            <w:shd w:val="clear" w:color="auto" w:fill="auto"/>
            <w:noWrap/>
            <w:vAlign w:val="center"/>
            <w:hideMark/>
          </w:tcPr>
          <w:p w:rsidR="00C61657" w:rsidRPr="00C61657" w:rsidRDefault="00C61657" w:rsidP="00C61657">
            <w:pPr>
              <w:rPr>
                <w:rFonts w:ascii="Calibri" w:hAnsi="Calibri"/>
                <w:color w:val="000000"/>
                <w:sz w:val="22"/>
                <w:szCs w:val="22"/>
              </w:rPr>
            </w:pPr>
            <w:r w:rsidRPr="00C61657">
              <w:rPr>
                <w:rFonts w:ascii="Calibri" w:hAnsi="Calibri"/>
                <w:color w:val="000000"/>
                <w:sz w:val="22"/>
                <w:szCs w:val="22"/>
              </w:rPr>
              <w:t>Capital payments</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60</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30</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77</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54</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13</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96</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54</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80</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80</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80</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79</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78</w:t>
            </w:r>
          </w:p>
        </w:tc>
        <w:tc>
          <w:tcPr>
            <w:tcW w:w="120"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p>
        </w:tc>
        <w:tc>
          <w:tcPr>
            <w:tcW w:w="334"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780</w:t>
            </w:r>
          </w:p>
        </w:tc>
      </w:tr>
      <w:tr w:rsidR="00C61657" w:rsidRPr="00C61657" w:rsidTr="00C61657">
        <w:trPr>
          <w:trHeight w:val="300"/>
        </w:trPr>
        <w:tc>
          <w:tcPr>
            <w:tcW w:w="865" w:type="pct"/>
            <w:tcBorders>
              <w:top w:val="nil"/>
              <w:left w:val="single" w:sz="8" w:space="0" w:color="auto"/>
              <w:bottom w:val="nil"/>
              <w:right w:val="single" w:sz="8" w:space="0" w:color="auto"/>
            </w:tcBorders>
            <w:shd w:val="clear" w:color="auto" w:fill="auto"/>
            <w:noWrap/>
            <w:vAlign w:val="bottom"/>
            <w:hideMark/>
          </w:tcPr>
          <w:p w:rsidR="00C61657" w:rsidRPr="00C61657" w:rsidRDefault="00C61657" w:rsidP="00C61657">
            <w:pPr>
              <w:rPr>
                <w:rFonts w:ascii="Calibri" w:hAnsi="Calibri"/>
                <w:color w:val="000000"/>
                <w:sz w:val="22"/>
                <w:szCs w:val="22"/>
              </w:rPr>
            </w:pPr>
            <w:r w:rsidRPr="00C61657">
              <w:rPr>
                <w:rFonts w:ascii="Calibri" w:hAnsi="Calibri"/>
                <w:color w:val="000000"/>
                <w:sz w:val="22"/>
                <w:szCs w:val="22"/>
              </w:rPr>
              <w:t> </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 </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 </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 </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 </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 </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 </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 </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 </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 </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 </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 </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r w:rsidRPr="00C61657">
              <w:rPr>
                <w:rFonts w:ascii="Calibri" w:hAnsi="Calibri"/>
                <w:color w:val="000000"/>
                <w:sz w:val="22"/>
                <w:szCs w:val="22"/>
              </w:rPr>
              <w:t> </w:t>
            </w:r>
          </w:p>
        </w:tc>
        <w:tc>
          <w:tcPr>
            <w:tcW w:w="120"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p>
        </w:tc>
        <w:tc>
          <w:tcPr>
            <w:tcW w:w="334"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color w:val="000000"/>
                <w:sz w:val="22"/>
                <w:szCs w:val="22"/>
              </w:rPr>
            </w:pPr>
          </w:p>
        </w:tc>
      </w:tr>
      <w:tr w:rsidR="00C61657" w:rsidRPr="00C61657" w:rsidTr="00C61657">
        <w:trPr>
          <w:trHeight w:val="300"/>
        </w:trPr>
        <w:tc>
          <w:tcPr>
            <w:tcW w:w="865" w:type="pct"/>
            <w:tcBorders>
              <w:top w:val="nil"/>
              <w:left w:val="single" w:sz="8" w:space="0" w:color="auto"/>
              <w:bottom w:val="nil"/>
              <w:right w:val="single" w:sz="8" w:space="0" w:color="auto"/>
            </w:tcBorders>
            <w:shd w:val="clear" w:color="auto" w:fill="auto"/>
            <w:noWrap/>
            <w:vAlign w:val="center"/>
            <w:hideMark/>
          </w:tcPr>
          <w:p w:rsidR="00C61657" w:rsidRPr="00C61657" w:rsidRDefault="00C61657" w:rsidP="00C61657">
            <w:pPr>
              <w:rPr>
                <w:rFonts w:ascii="Calibri" w:hAnsi="Calibri"/>
                <w:b/>
                <w:bCs/>
                <w:color w:val="000000"/>
                <w:sz w:val="22"/>
                <w:szCs w:val="22"/>
              </w:rPr>
            </w:pPr>
            <w:r w:rsidRPr="00C61657">
              <w:rPr>
                <w:rFonts w:ascii="Calibri" w:hAnsi="Calibri"/>
                <w:b/>
                <w:bCs/>
                <w:color w:val="000000"/>
                <w:sz w:val="22"/>
                <w:szCs w:val="22"/>
              </w:rPr>
              <w:t>Total Payments</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1,060</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1,100</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1,430</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1,019</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1,031</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1,724</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1,370</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1,393</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1,320</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1,209</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1,200</w:t>
            </w:r>
          </w:p>
        </w:tc>
        <w:tc>
          <w:tcPr>
            <w:tcW w:w="307" w:type="pct"/>
            <w:tcBorders>
              <w:top w:val="nil"/>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1,640</w:t>
            </w:r>
          </w:p>
        </w:tc>
        <w:tc>
          <w:tcPr>
            <w:tcW w:w="120" w:type="pct"/>
            <w:tcBorders>
              <w:top w:val="nil"/>
              <w:left w:val="nil"/>
              <w:bottom w:val="nil"/>
              <w:right w:val="nil"/>
            </w:tcBorders>
            <w:shd w:val="clear" w:color="auto" w:fill="auto"/>
            <w:noWrap/>
            <w:vAlign w:val="bottom"/>
            <w:hideMark/>
          </w:tcPr>
          <w:p w:rsidR="00C61657" w:rsidRPr="00C61657" w:rsidRDefault="00C61657" w:rsidP="00C61657">
            <w:pPr>
              <w:jc w:val="right"/>
              <w:rPr>
                <w:color w:val="000000"/>
                <w:sz w:val="20"/>
                <w:szCs w:val="20"/>
              </w:rPr>
            </w:pPr>
          </w:p>
        </w:tc>
        <w:tc>
          <w:tcPr>
            <w:tcW w:w="334" w:type="pct"/>
            <w:tcBorders>
              <w:top w:val="single" w:sz="4" w:space="0" w:color="auto"/>
              <w:left w:val="nil"/>
              <w:bottom w:val="single" w:sz="4" w:space="0" w:color="auto"/>
              <w:right w:val="nil"/>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15,499</w:t>
            </w:r>
          </w:p>
        </w:tc>
      </w:tr>
      <w:tr w:rsidR="00C61657" w:rsidRPr="00C61657" w:rsidTr="00C61657">
        <w:trPr>
          <w:trHeight w:val="300"/>
        </w:trPr>
        <w:tc>
          <w:tcPr>
            <w:tcW w:w="865" w:type="pct"/>
            <w:tcBorders>
              <w:top w:val="nil"/>
              <w:left w:val="single" w:sz="8" w:space="0" w:color="auto"/>
              <w:bottom w:val="nil"/>
              <w:right w:val="single" w:sz="8" w:space="0" w:color="auto"/>
            </w:tcBorders>
            <w:shd w:val="clear" w:color="auto" w:fill="auto"/>
            <w:noWrap/>
            <w:vAlign w:val="center"/>
            <w:hideMark/>
          </w:tcPr>
          <w:p w:rsidR="00C61657" w:rsidRPr="00C61657" w:rsidRDefault="00C61657" w:rsidP="00C61657">
            <w:pPr>
              <w:rPr>
                <w:rFonts w:ascii="Calibri" w:hAnsi="Calibri"/>
                <w:color w:val="000000"/>
                <w:sz w:val="22"/>
                <w:szCs w:val="22"/>
              </w:rPr>
            </w:pPr>
            <w:r w:rsidRPr="00C61657">
              <w:rPr>
                <w:rFonts w:ascii="Calibri" w:hAnsi="Calibri"/>
                <w:color w:val="000000"/>
                <w:sz w:val="22"/>
                <w:szCs w:val="22"/>
              </w:rPr>
              <w:t> </w:t>
            </w: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07"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p>
        </w:tc>
        <w:tc>
          <w:tcPr>
            <w:tcW w:w="307"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p>
        </w:tc>
        <w:tc>
          <w:tcPr>
            <w:tcW w:w="307"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p>
        </w:tc>
        <w:tc>
          <w:tcPr>
            <w:tcW w:w="307"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p>
        </w:tc>
        <w:tc>
          <w:tcPr>
            <w:tcW w:w="307"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p>
        </w:tc>
        <w:tc>
          <w:tcPr>
            <w:tcW w:w="120"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p>
        </w:tc>
        <w:tc>
          <w:tcPr>
            <w:tcW w:w="334" w:type="pct"/>
            <w:tcBorders>
              <w:top w:val="nil"/>
              <w:left w:val="nil"/>
              <w:bottom w:val="nil"/>
              <w:right w:val="nil"/>
            </w:tcBorders>
            <w:shd w:val="clear" w:color="auto" w:fill="auto"/>
            <w:noWrap/>
            <w:vAlign w:val="center"/>
            <w:hideMark/>
          </w:tcPr>
          <w:p w:rsidR="00C61657" w:rsidRPr="00C61657" w:rsidRDefault="00C61657" w:rsidP="00C61657">
            <w:pPr>
              <w:jc w:val="right"/>
              <w:rPr>
                <w:rFonts w:ascii="Calibri" w:hAnsi="Calibri"/>
                <w:b/>
                <w:bCs/>
                <w:color w:val="000000"/>
                <w:sz w:val="22"/>
                <w:szCs w:val="22"/>
              </w:rPr>
            </w:pPr>
          </w:p>
        </w:tc>
      </w:tr>
      <w:tr w:rsidR="00C61657" w:rsidRPr="00C61657" w:rsidTr="00C61657">
        <w:trPr>
          <w:trHeight w:val="315"/>
        </w:trPr>
        <w:tc>
          <w:tcPr>
            <w:tcW w:w="865" w:type="pct"/>
            <w:tcBorders>
              <w:top w:val="nil"/>
              <w:left w:val="single" w:sz="8" w:space="0" w:color="auto"/>
              <w:bottom w:val="single" w:sz="8" w:space="0" w:color="auto"/>
              <w:right w:val="single" w:sz="8" w:space="0" w:color="auto"/>
            </w:tcBorders>
            <w:shd w:val="clear" w:color="auto" w:fill="auto"/>
            <w:noWrap/>
            <w:vAlign w:val="center"/>
            <w:hideMark/>
          </w:tcPr>
          <w:p w:rsidR="00C61657" w:rsidRPr="00C61657" w:rsidRDefault="00C61657" w:rsidP="00C61657">
            <w:pPr>
              <w:rPr>
                <w:rFonts w:ascii="Calibri" w:hAnsi="Calibri"/>
                <w:b/>
                <w:bCs/>
                <w:color w:val="000000"/>
                <w:sz w:val="22"/>
                <w:szCs w:val="22"/>
              </w:rPr>
            </w:pPr>
            <w:r w:rsidRPr="00C61657">
              <w:rPr>
                <w:rFonts w:ascii="Calibri" w:hAnsi="Calibri"/>
                <w:b/>
                <w:bCs/>
                <w:color w:val="000000"/>
                <w:sz w:val="22"/>
                <w:szCs w:val="22"/>
              </w:rPr>
              <w:t>Closing Balance</w:t>
            </w:r>
          </w:p>
        </w:tc>
        <w:tc>
          <w:tcPr>
            <w:tcW w:w="307" w:type="pct"/>
            <w:tcBorders>
              <w:top w:val="single" w:sz="4" w:space="0" w:color="auto"/>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929</w:t>
            </w:r>
          </w:p>
        </w:tc>
        <w:tc>
          <w:tcPr>
            <w:tcW w:w="307" w:type="pct"/>
            <w:tcBorders>
              <w:top w:val="single" w:sz="4" w:space="0" w:color="auto"/>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846</w:t>
            </w:r>
          </w:p>
        </w:tc>
        <w:tc>
          <w:tcPr>
            <w:tcW w:w="307" w:type="pct"/>
            <w:tcBorders>
              <w:top w:val="single" w:sz="4" w:space="0" w:color="auto"/>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1,459</w:t>
            </w:r>
          </w:p>
        </w:tc>
        <w:tc>
          <w:tcPr>
            <w:tcW w:w="307" w:type="pct"/>
            <w:tcBorders>
              <w:top w:val="single" w:sz="4" w:space="0" w:color="auto"/>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1,901</w:t>
            </w:r>
          </w:p>
        </w:tc>
        <w:tc>
          <w:tcPr>
            <w:tcW w:w="307" w:type="pct"/>
            <w:tcBorders>
              <w:top w:val="single" w:sz="4" w:space="0" w:color="auto"/>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2,330</w:t>
            </w:r>
          </w:p>
        </w:tc>
        <w:tc>
          <w:tcPr>
            <w:tcW w:w="307" w:type="pct"/>
            <w:tcBorders>
              <w:top w:val="single" w:sz="4" w:space="0" w:color="auto"/>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1,703</w:t>
            </w:r>
          </w:p>
        </w:tc>
        <w:tc>
          <w:tcPr>
            <w:tcW w:w="307" w:type="pct"/>
            <w:tcBorders>
              <w:top w:val="single" w:sz="4" w:space="0" w:color="auto"/>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1,533</w:t>
            </w:r>
          </w:p>
        </w:tc>
        <w:tc>
          <w:tcPr>
            <w:tcW w:w="307" w:type="pct"/>
            <w:tcBorders>
              <w:top w:val="single" w:sz="4" w:space="0" w:color="auto"/>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1,440</w:t>
            </w:r>
          </w:p>
        </w:tc>
        <w:tc>
          <w:tcPr>
            <w:tcW w:w="307" w:type="pct"/>
            <w:tcBorders>
              <w:top w:val="single" w:sz="4" w:space="0" w:color="auto"/>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1,388</w:t>
            </w:r>
          </w:p>
        </w:tc>
        <w:tc>
          <w:tcPr>
            <w:tcW w:w="307" w:type="pct"/>
            <w:tcBorders>
              <w:top w:val="single" w:sz="4" w:space="0" w:color="auto"/>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1,429</w:t>
            </w:r>
          </w:p>
        </w:tc>
        <w:tc>
          <w:tcPr>
            <w:tcW w:w="307" w:type="pct"/>
            <w:tcBorders>
              <w:top w:val="single" w:sz="4" w:space="0" w:color="auto"/>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1,429</w:t>
            </w:r>
          </w:p>
        </w:tc>
        <w:tc>
          <w:tcPr>
            <w:tcW w:w="307" w:type="pct"/>
            <w:tcBorders>
              <w:top w:val="single" w:sz="4" w:space="0" w:color="auto"/>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1,069</w:t>
            </w:r>
          </w:p>
        </w:tc>
        <w:tc>
          <w:tcPr>
            <w:tcW w:w="120" w:type="pct"/>
            <w:tcBorders>
              <w:top w:val="nil"/>
              <w:left w:val="nil"/>
              <w:bottom w:val="nil"/>
              <w:right w:val="nil"/>
            </w:tcBorders>
            <w:shd w:val="clear" w:color="auto" w:fill="auto"/>
            <w:noWrap/>
            <w:vAlign w:val="bottom"/>
            <w:hideMark/>
          </w:tcPr>
          <w:p w:rsidR="00C61657" w:rsidRPr="00C61657" w:rsidRDefault="00C61657" w:rsidP="00C61657">
            <w:pPr>
              <w:jc w:val="right"/>
              <w:rPr>
                <w:rFonts w:ascii="Calibri" w:hAnsi="Calibri"/>
                <w:color w:val="000000"/>
                <w:sz w:val="22"/>
                <w:szCs w:val="22"/>
              </w:rPr>
            </w:pPr>
          </w:p>
        </w:tc>
        <w:tc>
          <w:tcPr>
            <w:tcW w:w="334" w:type="pct"/>
            <w:tcBorders>
              <w:top w:val="single" w:sz="4" w:space="0" w:color="auto"/>
              <w:left w:val="nil"/>
              <w:bottom w:val="single" w:sz="4" w:space="0" w:color="auto"/>
              <w:right w:val="nil"/>
            </w:tcBorders>
            <w:shd w:val="clear" w:color="auto" w:fill="auto"/>
            <w:noWrap/>
            <w:vAlign w:val="bottom"/>
            <w:hideMark/>
          </w:tcPr>
          <w:p w:rsidR="00C61657" w:rsidRPr="00C61657" w:rsidRDefault="00C61657" w:rsidP="00C61657">
            <w:pPr>
              <w:jc w:val="right"/>
              <w:rPr>
                <w:rFonts w:ascii="Calibri" w:hAnsi="Calibri"/>
                <w:b/>
                <w:bCs/>
                <w:color w:val="000000"/>
                <w:sz w:val="22"/>
                <w:szCs w:val="22"/>
              </w:rPr>
            </w:pPr>
            <w:r w:rsidRPr="00C61657">
              <w:rPr>
                <w:rFonts w:ascii="Calibri" w:hAnsi="Calibri"/>
                <w:b/>
                <w:bCs/>
                <w:color w:val="000000"/>
                <w:sz w:val="22"/>
                <w:szCs w:val="22"/>
              </w:rPr>
              <w:t>1,069</w:t>
            </w:r>
          </w:p>
        </w:tc>
      </w:tr>
    </w:tbl>
    <w:p w:rsidR="001D646D" w:rsidRDefault="001D646D" w:rsidP="00804976">
      <w:pPr>
        <w:spacing w:line="276" w:lineRule="auto"/>
        <w:rPr>
          <w:rFonts w:ascii="Arial" w:hAnsi="Arial" w:cs="Arial"/>
          <w:b/>
          <w:sz w:val="22"/>
          <w:szCs w:val="22"/>
        </w:rPr>
      </w:pPr>
    </w:p>
    <w:p w:rsidR="001D646D" w:rsidRDefault="001D646D" w:rsidP="00804976">
      <w:pPr>
        <w:spacing w:line="276" w:lineRule="auto"/>
        <w:rPr>
          <w:rFonts w:ascii="Arial" w:hAnsi="Arial" w:cs="Arial"/>
          <w:b/>
          <w:sz w:val="22"/>
          <w:szCs w:val="22"/>
        </w:rPr>
      </w:pPr>
    </w:p>
    <w:p w:rsidR="001D646D" w:rsidRDefault="001D646D" w:rsidP="00804976">
      <w:pPr>
        <w:spacing w:line="276" w:lineRule="auto"/>
        <w:rPr>
          <w:rFonts w:ascii="Arial" w:hAnsi="Arial" w:cs="Arial"/>
          <w:b/>
          <w:sz w:val="22"/>
          <w:szCs w:val="22"/>
        </w:rPr>
      </w:pPr>
    </w:p>
    <w:tbl>
      <w:tblPr>
        <w:tblW w:w="15529" w:type="dxa"/>
        <w:tblInd w:w="93" w:type="dxa"/>
        <w:tblLook w:val="04A0" w:firstRow="1" w:lastRow="0" w:firstColumn="1" w:lastColumn="0" w:noHBand="0" w:noVBand="1"/>
      </w:tblPr>
      <w:tblGrid>
        <w:gridCol w:w="8088"/>
        <w:gridCol w:w="7441"/>
      </w:tblGrid>
      <w:tr w:rsidR="001D646D" w:rsidRPr="008568A2" w:rsidTr="001D646D">
        <w:trPr>
          <w:gridAfter w:val="1"/>
          <w:wAfter w:w="2865" w:type="dxa"/>
          <w:trHeight w:val="300"/>
        </w:trPr>
        <w:tc>
          <w:tcPr>
            <w:tcW w:w="3114" w:type="dxa"/>
            <w:tcBorders>
              <w:top w:val="nil"/>
              <w:left w:val="nil"/>
              <w:bottom w:val="nil"/>
              <w:right w:val="nil"/>
            </w:tcBorders>
            <w:shd w:val="clear" w:color="auto" w:fill="auto"/>
            <w:noWrap/>
            <w:vAlign w:val="bottom"/>
            <w:hideMark/>
          </w:tcPr>
          <w:p w:rsidR="001D646D" w:rsidRPr="008568A2" w:rsidRDefault="001D646D" w:rsidP="001D646D">
            <w:pPr>
              <w:rPr>
                <w:rFonts w:ascii="Calibri" w:hAnsi="Calibri"/>
                <w:b/>
                <w:bCs/>
                <w:color w:val="000000"/>
                <w:sz w:val="22"/>
                <w:szCs w:val="22"/>
              </w:rPr>
            </w:pPr>
            <w:r w:rsidRPr="008568A2">
              <w:rPr>
                <w:rFonts w:ascii="Calibri" w:hAnsi="Calibri"/>
                <w:b/>
                <w:bCs/>
                <w:color w:val="000000"/>
                <w:sz w:val="22"/>
                <w:szCs w:val="22"/>
              </w:rPr>
              <w:t>Notes and Assumptions</w:t>
            </w:r>
          </w:p>
        </w:tc>
      </w:tr>
      <w:tr w:rsidR="001D646D" w:rsidRPr="008568A2" w:rsidTr="001D646D">
        <w:trPr>
          <w:trHeight w:val="300"/>
        </w:trPr>
        <w:tc>
          <w:tcPr>
            <w:tcW w:w="5979" w:type="dxa"/>
            <w:gridSpan w:val="2"/>
            <w:tcBorders>
              <w:top w:val="nil"/>
              <w:left w:val="nil"/>
              <w:bottom w:val="nil"/>
              <w:right w:val="nil"/>
            </w:tcBorders>
            <w:shd w:val="clear" w:color="auto" w:fill="auto"/>
            <w:noWrap/>
            <w:vAlign w:val="bottom"/>
            <w:hideMark/>
          </w:tcPr>
          <w:p w:rsidR="00CB307C" w:rsidRPr="00CB307C" w:rsidRDefault="00CB307C" w:rsidP="00CB307C">
            <w:pPr>
              <w:pStyle w:val="ListParagraph"/>
              <w:numPr>
                <w:ilvl w:val="0"/>
                <w:numId w:val="43"/>
              </w:numPr>
              <w:rPr>
                <w:rFonts w:ascii="Calibri" w:hAnsi="Calibri"/>
                <w:color w:val="000000"/>
                <w:sz w:val="22"/>
                <w:szCs w:val="22"/>
              </w:rPr>
            </w:pPr>
            <w:r w:rsidRPr="00CB307C">
              <w:rPr>
                <w:rFonts w:ascii="Calibri" w:hAnsi="Calibri"/>
                <w:color w:val="000000"/>
                <w:sz w:val="22"/>
                <w:szCs w:val="22"/>
              </w:rPr>
              <w:t>Cash actuals for April to September</w:t>
            </w:r>
          </w:p>
          <w:p w:rsidR="001D646D" w:rsidRPr="00CB307C" w:rsidRDefault="001D646D" w:rsidP="00CB307C">
            <w:pPr>
              <w:pStyle w:val="ListParagraph"/>
              <w:numPr>
                <w:ilvl w:val="0"/>
                <w:numId w:val="43"/>
              </w:numPr>
              <w:rPr>
                <w:rFonts w:ascii="Calibri" w:hAnsi="Calibri"/>
                <w:color w:val="000000"/>
                <w:sz w:val="22"/>
                <w:szCs w:val="22"/>
              </w:rPr>
            </w:pPr>
            <w:r w:rsidRPr="00CB307C">
              <w:rPr>
                <w:rFonts w:ascii="Calibri" w:hAnsi="Calibri"/>
                <w:color w:val="000000"/>
                <w:sz w:val="22"/>
                <w:szCs w:val="22"/>
              </w:rPr>
              <w:t xml:space="preserve">Includes additional £500k cash cover confirmed by DHSC </w:t>
            </w:r>
          </w:p>
        </w:tc>
      </w:tr>
    </w:tbl>
    <w:p w:rsidR="001D646D" w:rsidRDefault="001D646D" w:rsidP="00804976">
      <w:pPr>
        <w:spacing w:line="276" w:lineRule="auto"/>
        <w:rPr>
          <w:rFonts w:ascii="Arial" w:hAnsi="Arial" w:cs="Arial"/>
          <w:b/>
          <w:sz w:val="22"/>
          <w:szCs w:val="22"/>
        </w:rPr>
      </w:pPr>
    </w:p>
    <w:sectPr w:rsidR="001D646D" w:rsidSect="001D646D">
      <w:pgSz w:w="16838" w:h="11906" w:orient="landscape"/>
      <w:pgMar w:top="992" w:right="720" w:bottom="902"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D58" w:rsidRDefault="007A7D58" w:rsidP="00412C00">
      <w:r>
        <w:separator/>
      </w:r>
    </w:p>
  </w:endnote>
  <w:endnote w:type="continuationSeparator" w:id="0">
    <w:p w:rsidR="007A7D58" w:rsidRDefault="007A7D58"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866406"/>
      <w:docPartObj>
        <w:docPartGallery w:val="Page Numbers (Bottom of Page)"/>
        <w:docPartUnique/>
      </w:docPartObj>
    </w:sdtPr>
    <w:sdtEndPr>
      <w:rPr>
        <w:rFonts w:ascii="Arial" w:hAnsi="Arial"/>
        <w:noProof/>
        <w:sz w:val="16"/>
      </w:rPr>
    </w:sdtEndPr>
    <w:sdtContent>
      <w:p w:rsidR="007A7D58" w:rsidRPr="00195D4C" w:rsidRDefault="007A7D58">
        <w:pPr>
          <w:pStyle w:val="Footer"/>
          <w:jc w:val="center"/>
          <w:rPr>
            <w:rFonts w:ascii="Arial" w:hAnsi="Arial"/>
            <w:sz w:val="16"/>
          </w:rPr>
        </w:pPr>
        <w:r w:rsidRPr="00195D4C">
          <w:rPr>
            <w:rFonts w:ascii="Arial" w:hAnsi="Arial"/>
            <w:sz w:val="16"/>
          </w:rPr>
          <w:fldChar w:fldCharType="begin"/>
        </w:r>
        <w:r w:rsidRPr="00195D4C">
          <w:rPr>
            <w:rFonts w:ascii="Arial" w:hAnsi="Arial"/>
            <w:sz w:val="16"/>
          </w:rPr>
          <w:instrText xml:space="preserve"> PAGE   \* MERGEFORMAT </w:instrText>
        </w:r>
        <w:r w:rsidRPr="00195D4C">
          <w:rPr>
            <w:rFonts w:ascii="Arial" w:hAnsi="Arial"/>
            <w:sz w:val="16"/>
          </w:rPr>
          <w:fldChar w:fldCharType="separate"/>
        </w:r>
        <w:r w:rsidR="00273775">
          <w:rPr>
            <w:rFonts w:ascii="Arial" w:hAnsi="Arial"/>
            <w:noProof/>
            <w:sz w:val="16"/>
          </w:rPr>
          <w:t>3</w:t>
        </w:r>
        <w:r w:rsidRPr="00195D4C">
          <w:rPr>
            <w:rFonts w:ascii="Arial" w:hAnsi="Arial"/>
            <w:noProof/>
            <w:sz w:val="16"/>
          </w:rPr>
          <w:fldChar w:fldCharType="end"/>
        </w:r>
      </w:p>
    </w:sdtContent>
  </w:sdt>
  <w:p w:rsidR="007A7D58" w:rsidRDefault="007A7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D58" w:rsidRDefault="007A7D58" w:rsidP="00412C00">
      <w:r>
        <w:separator/>
      </w:r>
    </w:p>
  </w:footnote>
  <w:footnote w:type="continuationSeparator" w:id="0">
    <w:p w:rsidR="007A7D58" w:rsidRDefault="007A7D58"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991350"/>
      <w:docPartObj>
        <w:docPartGallery w:val="Watermarks"/>
        <w:docPartUnique/>
      </w:docPartObj>
    </w:sdtPr>
    <w:sdtEndPr/>
    <w:sdtContent>
      <w:p w:rsidR="007A7D58" w:rsidRDefault="0027377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AD70165"/>
    <w:multiLevelType w:val="hybridMultilevel"/>
    <w:tmpl w:val="A2703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FD7E0D"/>
    <w:multiLevelType w:val="hybridMultilevel"/>
    <w:tmpl w:val="05FE46A6"/>
    <w:lvl w:ilvl="0" w:tplc="95E01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nsid w:val="264D2251"/>
    <w:multiLevelType w:val="hybridMultilevel"/>
    <w:tmpl w:val="B5620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1567E2"/>
    <w:multiLevelType w:val="hybridMultilevel"/>
    <w:tmpl w:val="30D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3C6BD8"/>
    <w:multiLevelType w:val="hybridMultilevel"/>
    <w:tmpl w:val="FFE826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14">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CF31E4"/>
    <w:multiLevelType w:val="hybridMultilevel"/>
    <w:tmpl w:val="826CD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AA5566"/>
    <w:multiLevelType w:val="hybridMultilevel"/>
    <w:tmpl w:val="E54E8C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42365D63"/>
    <w:multiLevelType w:val="hybridMultilevel"/>
    <w:tmpl w:val="95D4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9">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514036"/>
    <w:multiLevelType w:val="hybridMultilevel"/>
    <w:tmpl w:val="17E0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9449AB"/>
    <w:multiLevelType w:val="hybridMultilevel"/>
    <w:tmpl w:val="B6C8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2E095C"/>
    <w:multiLevelType w:val="hybridMultilevel"/>
    <w:tmpl w:val="573E4722"/>
    <w:lvl w:ilvl="0" w:tplc="5240BF0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CB5A7B"/>
    <w:multiLevelType w:val="hybridMultilevel"/>
    <w:tmpl w:val="CEC2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5938FD"/>
    <w:multiLevelType w:val="hybridMultilevel"/>
    <w:tmpl w:val="F37A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462F38"/>
    <w:multiLevelType w:val="hybridMultilevel"/>
    <w:tmpl w:val="6E24EA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74080E"/>
    <w:multiLevelType w:val="hybridMultilevel"/>
    <w:tmpl w:val="E306FFB0"/>
    <w:lvl w:ilvl="0" w:tplc="53BE23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760BED"/>
    <w:multiLevelType w:val="hybridMultilevel"/>
    <w:tmpl w:val="47B2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AD4B64"/>
    <w:multiLevelType w:val="hybridMultilevel"/>
    <w:tmpl w:val="D5E68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7D6FD7"/>
    <w:multiLevelType w:val="hybridMultilevel"/>
    <w:tmpl w:val="A5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112D61"/>
    <w:multiLevelType w:val="hybridMultilevel"/>
    <w:tmpl w:val="9DA8E69E"/>
    <w:lvl w:ilvl="0" w:tplc="BE7C1C0E">
      <w:start w:val="1"/>
      <w:numFmt w:val="lowerLetter"/>
      <w:lvlText w:val="%1."/>
      <w:lvlJc w:val="left"/>
      <w:pPr>
        <w:ind w:left="1080" w:hanging="720"/>
      </w:pPr>
      <w:rPr>
        <w:rFonts w:ascii="Arial" w:eastAsia="Times New Roman" w:hAnsi="Arial" w:cs="Arial"/>
        <w:b w:val="0"/>
      </w:rPr>
    </w:lvl>
    <w:lvl w:ilvl="1" w:tplc="F4A61D0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1D23C2"/>
    <w:multiLevelType w:val="hybridMultilevel"/>
    <w:tmpl w:val="573AB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FF064A"/>
    <w:multiLevelType w:val="hybridMultilevel"/>
    <w:tmpl w:val="A49205EC"/>
    <w:lvl w:ilvl="0" w:tplc="19BE03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2"/>
  </w:num>
  <w:num w:numId="3">
    <w:abstractNumId w:val="13"/>
  </w:num>
  <w:num w:numId="4">
    <w:abstractNumId w:val="41"/>
  </w:num>
  <w:num w:numId="5">
    <w:abstractNumId w:val="26"/>
  </w:num>
  <w:num w:numId="6">
    <w:abstractNumId w:val="5"/>
  </w:num>
  <w:num w:numId="7">
    <w:abstractNumId w:val="6"/>
  </w:num>
  <w:num w:numId="8">
    <w:abstractNumId w:val="33"/>
  </w:num>
  <w:num w:numId="9">
    <w:abstractNumId w:val="19"/>
  </w:num>
  <w:num w:numId="10">
    <w:abstractNumId w:val="14"/>
  </w:num>
  <w:num w:numId="11">
    <w:abstractNumId w:val="12"/>
  </w:num>
  <w:num w:numId="12">
    <w:abstractNumId w:val="0"/>
  </w:num>
  <w:num w:numId="13">
    <w:abstractNumId w:val="7"/>
  </w:num>
  <w:num w:numId="14">
    <w:abstractNumId w:val="18"/>
  </w:num>
  <w:num w:numId="15">
    <w:abstractNumId w:val="3"/>
  </w:num>
  <w:num w:numId="16">
    <w:abstractNumId w:val="34"/>
  </w:num>
  <w:num w:numId="17">
    <w:abstractNumId w:val="39"/>
  </w:num>
  <w:num w:numId="18">
    <w:abstractNumId w:val="28"/>
  </w:num>
  <w:num w:numId="19">
    <w:abstractNumId w:val="20"/>
  </w:num>
  <w:num w:numId="20">
    <w:abstractNumId w:val="30"/>
  </w:num>
  <w:num w:numId="21">
    <w:abstractNumId w:val="29"/>
  </w:num>
  <w:num w:numId="22">
    <w:abstractNumId w:val="11"/>
  </w:num>
  <w:num w:numId="23">
    <w:abstractNumId w:val="24"/>
  </w:num>
  <w:num w:numId="24">
    <w:abstractNumId w:val="38"/>
  </w:num>
  <w:num w:numId="25">
    <w:abstractNumId w:val="35"/>
  </w:num>
  <w:num w:numId="26">
    <w:abstractNumId w:val="15"/>
  </w:num>
  <w:num w:numId="27">
    <w:abstractNumId w:val="27"/>
  </w:num>
  <w:num w:numId="28">
    <w:abstractNumId w:val="42"/>
  </w:num>
  <w:num w:numId="29">
    <w:abstractNumId w:val="23"/>
  </w:num>
  <w:num w:numId="30">
    <w:abstractNumId w:val="31"/>
  </w:num>
  <w:num w:numId="31">
    <w:abstractNumId w:val="16"/>
  </w:num>
  <w:num w:numId="32">
    <w:abstractNumId w:val="25"/>
  </w:num>
  <w:num w:numId="33">
    <w:abstractNumId w:val="1"/>
  </w:num>
  <w:num w:numId="34">
    <w:abstractNumId w:val="36"/>
  </w:num>
  <w:num w:numId="35">
    <w:abstractNumId w:val="9"/>
  </w:num>
  <w:num w:numId="36">
    <w:abstractNumId w:val="22"/>
  </w:num>
  <w:num w:numId="37">
    <w:abstractNumId w:val="10"/>
  </w:num>
  <w:num w:numId="38">
    <w:abstractNumId w:val="17"/>
  </w:num>
  <w:num w:numId="39">
    <w:abstractNumId w:val="21"/>
  </w:num>
  <w:num w:numId="40">
    <w:abstractNumId w:val="8"/>
  </w:num>
  <w:num w:numId="41">
    <w:abstractNumId w:val="40"/>
  </w:num>
  <w:num w:numId="42">
    <w:abstractNumId w:val="3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4C4F"/>
    <w:rsid w:val="0000631A"/>
    <w:rsid w:val="00006A45"/>
    <w:rsid w:val="00006BA4"/>
    <w:rsid w:val="00007DD1"/>
    <w:rsid w:val="00011FDF"/>
    <w:rsid w:val="00012A71"/>
    <w:rsid w:val="000140FE"/>
    <w:rsid w:val="00015048"/>
    <w:rsid w:val="00015D1D"/>
    <w:rsid w:val="0001646D"/>
    <w:rsid w:val="00016856"/>
    <w:rsid w:val="00017760"/>
    <w:rsid w:val="000200FA"/>
    <w:rsid w:val="00020E2E"/>
    <w:rsid w:val="000217E9"/>
    <w:rsid w:val="00021ABB"/>
    <w:rsid w:val="00022301"/>
    <w:rsid w:val="000228BD"/>
    <w:rsid w:val="0002376C"/>
    <w:rsid w:val="000239F7"/>
    <w:rsid w:val="0002461E"/>
    <w:rsid w:val="00024BC8"/>
    <w:rsid w:val="000256C9"/>
    <w:rsid w:val="000271F4"/>
    <w:rsid w:val="00030167"/>
    <w:rsid w:val="00031CF6"/>
    <w:rsid w:val="00032034"/>
    <w:rsid w:val="0003250E"/>
    <w:rsid w:val="00033BC9"/>
    <w:rsid w:val="00033FF1"/>
    <w:rsid w:val="00034A25"/>
    <w:rsid w:val="00034D0F"/>
    <w:rsid w:val="00035367"/>
    <w:rsid w:val="0003758C"/>
    <w:rsid w:val="00037838"/>
    <w:rsid w:val="00040F35"/>
    <w:rsid w:val="0004137A"/>
    <w:rsid w:val="00042A65"/>
    <w:rsid w:val="0004366E"/>
    <w:rsid w:val="0004442F"/>
    <w:rsid w:val="00044467"/>
    <w:rsid w:val="0004446C"/>
    <w:rsid w:val="00044D07"/>
    <w:rsid w:val="00045648"/>
    <w:rsid w:val="00047960"/>
    <w:rsid w:val="00052048"/>
    <w:rsid w:val="0005228C"/>
    <w:rsid w:val="00052DF0"/>
    <w:rsid w:val="00053090"/>
    <w:rsid w:val="00054430"/>
    <w:rsid w:val="000550DF"/>
    <w:rsid w:val="00055303"/>
    <w:rsid w:val="00055506"/>
    <w:rsid w:val="00056576"/>
    <w:rsid w:val="0006158F"/>
    <w:rsid w:val="00062DFD"/>
    <w:rsid w:val="0006430C"/>
    <w:rsid w:val="000658EF"/>
    <w:rsid w:val="0006597A"/>
    <w:rsid w:val="00065E53"/>
    <w:rsid w:val="00066196"/>
    <w:rsid w:val="0006732B"/>
    <w:rsid w:val="00070A74"/>
    <w:rsid w:val="000719DD"/>
    <w:rsid w:val="00072739"/>
    <w:rsid w:val="00075A82"/>
    <w:rsid w:val="00076DE4"/>
    <w:rsid w:val="000776EB"/>
    <w:rsid w:val="0008641C"/>
    <w:rsid w:val="0008642A"/>
    <w:rsid w:val="00086661"/>
    <w:rsid w:val="00086665"/>
    <w:rsid w:val="000868B4"/>
    <w:rsid w:val="00087B0A"/>
    <w:rsid w:val="0009061E"/>
    <w:rsid w:val="00090AC3"/>
    <w:rsid w:val="00091B76"/>
    <w:rsid w:val="00091F54"/>
    <w:rsid w:val="00092A9E"/>
    <w:rsid w:val="000949D1"/>
    <w:rsid w:val="000958EB"/>
    <w:rsid w:val="0009591A"/>
    <w:rsid w:val="00096422"/>
    <w:rsid w:val="0009793E"/>
    <w:rsid w:val="000A0F37"/>
    <w:rsid w:val="000A1033"/>
    <w:rsid w:val="000A4438"/>
    <w:rsid w:val="000A469D"/>
    <w:rsid w:val="000A5374"/>
    <w:rsid w:val="000B1B00"/>
    <w:rsid w:val="000B2EF8"/>
    <w:rsid w:val="000B483A"/>
    <w:rsid w:val="000B6660"/>
    <w:rsid w:val="000B79E8"/>
    <w:rsid w:val="000C0ACC"/>
    <w:rsid w:val="000C1D47"/>
    <w:rsid w:val="000C1DF1"/>
    <w:rsid w:val="000C29D5"/>
    <w:rsid w:val="000C43BE"/>
    <w:rsid w:val="000C5914"/>
    <w:rsid w:val="000C6150"/>
    <w:rsid w:val="000C6D92"/>
    <w:rsid w:val="000D0C92"/>
    <w:rsid w:val="000D1E92"/>
    <w:rsid w:val="000D2212"/>
    <w:rsid w:val="000D2990"/>
    <w:rsid w:val="000D2D89"/>
    <w:rsid w:val="000D2F24"/>
    <w:rsid w:val="000D3D3A"/>
    <w:rsid w:val="000D3DBD"/>
    <w:rsid w:val="000D4339"/>
    <w:rsid w:val="000D4449"/>
    <w:rsid w:val="000D471E"/>
    <w:rsid w:val="000D47A6"/>
    <w:rsid w:val="000D5B3D"/>
    <w:rsid w:val="000D6B10"/>
    <w:rsid w:val="000D6E69"/>
    <w:rsid w:val="000D711F"/>
    <w:rsid w:val="000D7316"/>
    <w:rsid w:val="000E0B72"/>
    <w:rsid w:val="000E2B98"/>
    <w:rsid w:val="000E66A4"/>
    <w:rsid w:val="000E694D"/>
    <w:rsid w:val="000E771A"/>
    <w:rsid w:val="000E7FD2"/>
    <w:rsid w:val="000F0C7B"/>
    <w:rsid w:val="000F15BA"/>
    <w:rsid w:val="000F27AB"/>
    <w:rsid w:val="000F2E5B"/>
    <w:rsid w:val="000F4DF3"/>
    <w:rsid w:val="000F612E"/>
    <w:rsid w:val="000F669F"/>
    <w:rsid w:val="000F7175"/>
    <w:rsid w:val="000F71C0"/>
    <w:rsid w:val="00101141"/>
    <w:rsid w:val="0010188D"/>
    <w:rsid w:val="00105649"/>
    <w:rsid w:val="00105927"/>
    <w:rsid w:val="001059BA"/>
    <w:rsid w:val="00106106"/>
    <w:rsid w:val="00106232"/>
    <w:rsid w:val="00107767"/>
    <w:rsid w:val="00107AC8"/>
    <w:rsid w:val="00111951"/>
    <w:rsid w:val="0011341B"/>
    <w:rsid w:val="001138E6"/>
    <w:rsid w:val="0011557E"/>
    <w:rsid w:val="00115E84"/>
    <w:rsid w:val="00116098"/>
    <w:rsid w:val="001166D1"/>
    <w:rsid w:val="0012160E"/>
    <w:rsid w:val="00122DA1"/>
    <w:rsid w:val="00123FF0"/>
    <w:rsid w:val="00124893"/>
    <w:rsid w:val="00124AA3"/>
    <w:rsid w:val="00124E28"/>
    <w:rsid w:val="00126C0D"/>
    <w:rsid w:val="00127B75"/>
    <w:rsid w:val="00127C34"/>
    <w:rsid w:val="00130783"/>
    <w:rsid w:val="0013209A"/>
    <w:rsid w:val="00132DB0"/>
    <w:rsid w:val="001339A4"/>
    <w:rsid w:val="00135C17"/>
    <w:rsid w:val="001368BE"/>
    <w:rsid w:val="00136DAB"/>
    <w:rsid w:val="0013718B"/>
    <w:rsid w:val="001415A5"/>
    <w:rsid w:val="00143347"/>
    <w:rsid w:val="00143415"/>
    <w:rsid w:val="00143E29"/>
    <w:rsid w:val="00145DEA"/>
    <w:rsid w:val="001504B0"/>
    <w:rsid w:val="00150CE4"/>
    <w:rsid w:val="001516FA"/>
    <w:rsid w:val="00151DD3"/>
    <w:rsid w:val="001528FE"/>
    <w:rsid w:val="0015351D"/>
    <w:rsid w:val="00153A62"/>
    <w:rsid w:val="00153E82"/>
    <w:rsid w:val="001540D4"/>
    <w:rsid w:val="00154A27"/>
    <w:rsid w:val="00154E36"/>
    <w:rsid w:val="00156315"/>
    <w:rsid w:val="0016044C"/>
    <w:rsid w:val="001609ED"/>
    <w:rsid w:val="00160F9B"/>
    <w:rsid w:val="0016158F"/>
    <w:rsid w:val="00161C29"/>
    <w:rsid w:val="00162CB2"/>
    <w:rsid w:val="00163364"/>
    <w:rsid w:val="00163A5A"/>
    <w:rsid w:val="00165567"/>
    <w:rsid w:val="00165D47"/>
    <w:rsid w:val="001677C5"/>
    <w:rsid w:val="001679C3"/>
    <w:rsid w:val="00167A33"/>
    <w:rsid w:val="00167B08"/>
    <w:rsid w:val="00167EFA"/>
    <w:rsid w:val="00171C23"/>
    <w:rsid w:val="00172061"/>
    <w:rsid w:val="001721FC"/>
    <w:rsid w:val="00172DD0"/>
    <w:rsid w:val="00176649"/>
    <w:rsid w:val="00181165"/>
    <w:rsid w:val="00181BB8"/>
    <w:rsid w:val="00182577"/>
    <w:rsid w:val="00182D5E"/>
    <w:rsid w:val="001839DD"/>
    <w:rsid w:val="00184229"/>
    <w:rsid w:val="00185C18"/>
    <w:rsid w:val="0018609F"/>
    <w:rsid w:val="00186CEF"/>
    <w:rsid w:val="00187F7B"/>
    <w:rsid w:val="0019002F"/>
    <w:rsid w:val="001924BC"/>
    <w:rsid w:val="00192D07"/>
    <w:rsid w:val="001931DA"/>
    <w:rsid w:val="00194497"/>
    <w:rsid w:val="00194AB0"/>
    <w:rsid w:val="00194FFE"/>
    <w:rsid w:val="00195D4C"/>
    <w:rsid w:val="001965A9"/>
    <w:rsid w:val="001A01D0"/>
    <w:rsid w:val="001A1F7B"/>
    <w:rsid w:val="001A2303"/>
    <w:rsid w:val="001A387F"/>
    <w:rsid w:val="001A6027"/>
    <w:rsid w:val="001A7ECD"/>
    <w:rsid w:val="001B0417"/>
    <w:rsid w:val="001B0713"/>
    <w:rsid w:val="001B085C"/>
    <w:rsid w:val="001B0CA4"/>
    <w:rsid w:val="001B12BA"/>
    <w:rsid w:val="001B18B7"/>
    <w:rsid w:val="001B1E04"/>
    <w:rsid w:val="001B3CD0"/>
    <w:rsid w:val="001B4F9E"/>
    <w:rsid w:val="001B52B4"/>
    <w:rsid w:val="001B669B"/>
    <w:rsid w:val="001B686D"/>
    <w:rsid w:val="001C2AB3"/>
    <w:rsid w:val="001C2FF9"/>
    <w:rsid w:val="001C4432"/>
    <w:rsid w:val="001C63CB"/>
    <w:rsid w:val="001C6861"/>
    <w:rsid w:val="001C6A8A"/>
    <w:rsid w:val="001C6C26"/>
    <w:rsid w:val="001D039E"/>
    <w:rsid w:val="001D083E"/>
    <w:rsid w:val="001D1C69"/>
    <w:rsid w:val="001D3B92"/>
    <w:rsid w:val="001D5F0F"/>
    <w:rsid w:val="001D646D"/>
    <w:rsid w:val="001D6A8C"/>
    <w:rsid w:val="001D6D12"/>
    <w:rsid w:val="001D76BF"/>
    <w:rsid w:val="001E1F42"/>
    <w:rsid w:val="001E2FDD"/>
    <w:rsid w:val="001E4B23"/>
    <w:rsid w:val="001E4F94"/>
    <w:rsid w:val="001E5CAA"/>
    <w:rsid w:val="001E5DDC"/>
    <w:rsid w:val="001E7EB7"/>
    <w:rsid w:val="001F0FB2"/>
    <w:rsid w:val="001F316E"/>
    <w:rsid w:val="001F321D"/>
    <w:rsid w:val="001F5929"/>
    <w:rsid w:val="001F7421"/>
    <w:rsid w:val="00201909"/>
    <w:rsid w:val="00204E97"/>
    <w:rsid w:val="0020685D"/>
    <w:rsid w:val="002071FA"/>
    <w:rsid w:val="0020721C"/>
    <w:rsid w:val="00210D21"/>
    <w:rsid w:val="00210E3A"/>
    <w:rsid w:val="002132A1"/>
    <w:rsid w:val="002132BF"/>
    <w:rsid w:val="00215482"/>
    <w:rsid w:val="00215D81"/>
    <w:rsid w:val="00217F4F"/>
    <w:rsid w:val="002220C8"/>
    <w:rsid w:val="002228B6"/>
    <w:rsid w:val="00222CFA"/>
    <w:rsid w:val="00222E1A"/>
    <w:rsid w:val="0022372A"/>
    <w:rsid w:val="00225904"/>
    <w:rsid w:val="002260C0"/>
    <w:rsid w:val="00226834"/>
    <w:rsid w:val="002279D6"/>
    <w:rsid w:val="002303C6"/>
    <w:rsid w:val="00232B6B"/>
    <w:rsid w:val="0023394B"/>
    <w:rsid w:val="00234F1A"/>
    <w:rsid w:val="00236B2E"/>
    <w:rsid w:val="00237BF3"/>
    <w:rsid w:val="00237F3F"/>
    <w:rsid w:val="00240842"/>
    <w:rsid w:val="00240999"/>
    <w:rsid w:val="00241A21"/>
    <w:rsid w:val="002436F9"/>
    <w:rsid w:val="00243A93"/>
    <w:rsid w:val="002441AD"/>
    <w:rsid w:val="00244AB6"/>
    <w:rsid w:val="002450FB"/>
    <w:rsid w:val="0024691C"/>
    <w:rsid w:val="0024697B"/>
    <w:rsid w:val="002472C7"/>
    <w:rsid w:val="0025092F"/>
    <w:rsid w:val="002510CE"/>
    <w:rsid w:val="00252EDF"/>
    <w:rsid w:val="0025337B"/>
    <w:rsid w:val="0025472D"/>
    <w:rsid w:val="00254D93"/>
    <w:rsid w:val="0025538B"/>
    <w:rsid w:val="00255578"/>
    <w:rsid w:val="002557B3"/>
    <w:rsid w:val="002559B6"/>
    <w:rsid w:val="002570C1"/>
    <w:rsid w:val="002574E5"/>
    <w:rsid w:val="00257827"/>
    <w:rsid w:val="00257A11"/>
    <w:rsid w:val="00262B57"/>
    <w:rsid w:val="00262D70"/>
    <w:rsid w:val="00264356"/>
    <w:rsid w:val="00265C5D"/>
    <w:rsid w:val="002672C3"/>
    <w:rsid w:val="002675C3"/>
    <w:rsid w:val="00271399"/>
    <w:rsid w:val="0027173D"/>
    <w:rsid w:val="002717B1"/>
    <w:rsid w:val="00271847"/>
    <w:rsid w:val="00272143"/>
    <w:rsid w:val="00272AA5"/>
    <w:rsid w:val="00272C4C"/>
    <w:rsid w:val="00273148"/>
    <w:rsid w:val="00273479"/>
    <w:rsid w:val="00273775"/>
    <w:rsid w:val="00273C65"/>
    <w:rsid w:val="00274232"/>
    <w:rsid w:val="00275BC6"/>
    <w:rsid w:val="00277DB0"/>
    <w:rsid w:val="002801F4"/>
    <w:rsid w:val="0028079F"/>
    <w:rsid w:val="002823E9"/>
    <w:rsid w:val="00285E21"/>
    <w:rsid w:val="00286591"/>
    <w:rsid w:val="00286A07"/>
    <w:rsid w:val="00286A74"/>
    <w:rsid w:val="00286AF0"/>
    <w:rsid w:val="00286BA4"/>
    <w:rsid w:val="002905D6"/>
    <w:rsid w:val="00290CF7"/>
    <w:rsid w:val="002914D3"/>
    <w:rsid w:val="0029266C"/>
    <w:rsid w:val="00292E08"/>
    <w:rsid w:val="00297100"/>
    <w:rsid w:val="002974DC"/>
    <w:rsid w:val="002A13D0"/>
    <w:rsid w:val="002A56A3"/>
    <w:rsid w:val="002A6EF8"/>
    <w:rsid w:val="002A77E4"/>
    <w:rsid w:val="002B0554"/>
    <w:rsid w:val="002B1ABB"/>
    <w:rsid w:val="002B2061"/>
    <w:rsid w:val="002B2EAA"/>
    <w:rsid w:val="002B32BC"/>
    <w:rsid w:val="002B3AF7"/>
    <w:rsid w:val="002B3BD5"/>
    <w:rsid w:val="002B41B5"/>
    <w:rsid w:val="002B41F8"/>
    <w:rsid w:val="002B587B"/>
    <w:rsid w:val="002B67AD"/>
    <w:rsid w:val="002B6BA1"/>
    <w:rsid w:val="002B72F1"/>
    <w:rsid w:val="002B7A58"/>
    <w:rsid w:val="002C0638"/>
    <w:rsid w:val="002C274E"/>
    <w:rsid w:val="002C31D0"/>
    <w:rsid w:val="002C390E"/>
    <w:rsid w:val="002C39A0"/>
    <w:rsid w:val="002C5578"/>
    <w:rsid w:val="002D1079"/>
    <w:rsid w:val="002D19A0"/>
    <w:rsid w:val="002D2375"/>
    <w:rsid w:val="002D25C2"/>
    <w:rsid w:val="002D34F7"/>
    <w:rsid w:val="002D3762"/>
    <w:rsid w:val="002D3FD2"/>
    <w:rsid w:val="002D4299"/>
    <w:rsid w:val="002E0613"/>
    <w:rsid w:val="002E2A25"/>
    <w:rsid w:val="002E2D66"/>
    <w:rsid w:val="002E3A3E"/>
    <w:rsid w:val="002E488E"/>
    <w:rsid w:val="002E5567"/>
    <w:rsid w:val="002E5EDF"/>
    <w:rsid w:val="002E68D4"/>
    <w:rsid w:val="002E7A27"/>
    <w:rsid w:val="002E7DBF"/>
    <w:rsid w:val="002F0239"/>
    <w:rsid w:val="002F0DFF"/>
    <w:rsid w:val="002F2264"/>
    <w:rsid w:val="002F3A55"/>
    <w:rsid w:val="002F4277"/>
    <w:rsid w:val="002F5E6A"/>
    <w:rsid w:val="002F75F6"/>
    <w:rsid w:val="003001BE"/>
    <w:rsid w:val="003015EB"/>
    <w:rsid w:val="00301714"/>
    <w:rsid w:val="00301D79"/>
    <w:rsid w:val="003047AB"/>
    <w:rsid w:val="00305DE9"/>
    <w:rsid w:val="00306328"/>
    <w:rsid w:val="00306F9F"/>
    <w:rsid w:val="0030786C"/>
    <w:rsid w:val="003078FC"/>
    <w:rsid w:val="00307E54"/>
    <w:rsid w:val="00307FB7"/>
    <w:rsid w:val="00310095"/>
    <w:rsid w:val="00310852"/>
    <w:rsid w:val="00311080"/>
    <w:rsid w:val="003119AE"/>
    <w:rsid w:val="00312045"/>
    <w:rsid w:val="00313F03"/>
    <w:rsid w:val="00314BDB"/>
    <w:rsid w:val="0031502B"/>
    <w:rsid w:val="00315375"/>
    <w:rsid w:val="0031644E"/>
    <w:rsid w:val="00316468"/>
    <w:rsid w:val="00316BE4"/>
    <w:rsid w:val="003171A7"/>
    <w:rsid w:val="003179D5"/>
    <w:rsid w:val="00320F7E"/>
    <w:rsid w:val="00322070"/>
    <w:rsid w:val="00323ABE"/>
    <w:rsid w:val="003310E3"/>
    <w:rsid w:val="00331BF9"/>
    <w:rsid w:val="00333010"/>
    <w:rsid w:val="0033373F"/>
    <w:rsid w:val="003339C3"/>
    <w:rsid w:val="003342CA"/>
    <w:rsid w:val="003373AF"/>
    <w:rsid w:val="003374E1"/>
    <w:rsid w:val="003440AC"/>
    <w:rsid w:val="00344274"/>
    <w:rsid w:val="00344985"/>
    <w:rsid w:val="003449ED"/>
    <w:rsid w:val="003450BD"/>
    <w:rsid w:val="00354EC4"/>
    <w:rsid w:val="00356041"/>
    <w:rsid w:val="003562A2"/>
    <w:rsid w:val="0035681C"/>
    <w:rsid w:val="00357BF3"/>
    <w:rsid w:val="00360238"/>
    <w:rsid w:val="00361367"/>
    <w:rsid w:val="00361479"/>
    <w:rsid w:val="00364482"/>
    <w:rsid w:val="00366C8F"/>
    <w:rsid w:val="00367080"/>
    <w:rsid w:val="00375EE1"/>
    <w:rsid w:val="003764E7"/>
    <w:rsid w:val="003771DA"/>
    <w:rsid w:val="003837D4"/>
    <w:rsid w:val="00386586"/>
    <w:rsid w:val="00386AD1"/>
    <w:rsid w:val="00386ED9"/>
    <w:rsid w:val="0039070C"/>
    <w:rsid w:val="003914C4"/>
    <w:rsid w:val="0039154E"/>
    <w:rsid w:val="00391CF2"/>
    <w:rsid w:val="00392A4F"/>
    <w:rsid w:val="00392D76"/>
    <w:rsid w:val="003930D4"/>
    <w:rsid w:val="00393BEC"/>
    <w:rsid w:val="00395C0A"/>
    <w:rsid w:val="00395FF4"/>
    <w:rsid w:val="0039756E"/>
    <w:rsid w:val="003A1D2D"/>
    <w:rsid w:val="003A2BEF"/>
    <w:rsid w:val="003A3805"/>
    <w:rsid w:val="003A41AE"/>
    <w:rsid w:val="003A42A7"/>
    <w:rsid w:val="003A4D87"/>
    <w:rsid w:val="003B135C"/>
    <w:rsid w:val="003B2F1E"/>
    <w:rsid w:val="003B2F87"/>
    <w:rsid w:val="003B588A"/>
    <w:rsid w:val="003B711A"/>
    <w:rsid w:val="003C0061"/>
    <w:rsid w:val="003C0EA6"/>
    <w:rsid w:val="003C121B"/>
    <w:rsid w:val="003C1D2F"/>
    <w:rsid w:val="003C2211"/>
    <w:rsid w:val="003C483B"/>
    <w:rsid w:val="003C64BE"/>
    <w:rsid w:val="003C6EBD"/>
    <w:rsid w:val="003D17A0"/>
    <w:rsid w:val="003D18BA"/>
    <w:rsid w:val="003D211B"/>
    <w:rsid w:val="003D2D79"/>
    <w:rsid w:val="003D3D7D"/>
    <w:rsid w:val="003D449D"/>
    <w:rsid w:val="003D4747"/>
    <w:rsid w:val="003D54A5"/>
    <w:rsid w:val="003D5874"/>
    <w:rsid w:val="003D7055"/>
    <w:rsid w:val="003D7263"/>
    <w:rsid w:val="003D76E0"/>
    <w:rsid w:val="003E0E56"/>
    <w:rsid w:val="003E2D72"/>
    <w:rsid w:val="003E2F76"/>
    <w:rsid w:val="003E3D23"/>
    <w:rsid w:val="003E70FC"/>
    <w:rsid w:val="003F3BB4"/>
    <w:rsid w:val="003F57C1"/>
    <w:rsid w:val="003F65D9"/>
    <w:rsid w:val="00401265"/>
    <w:rsid w:val="00403E01"/>
    <w:rsid w:val="00405763"/>
    <w:rsid w:val="00406C23"/>
    <w:rsid w:val="0040751E"/>
    <w:rsid w:val="00411FE9"/>
    <w:rsid w:val="00412C00"/>
    <w:rsid w:val="00412F67"/>
    <w:rsid w:val="00413148"/>
    <w:rsid w:val="00413357"/>
    <w:rsid w:val="004159BE"/>
    <w:rsid w:val="00416EA8"/>
    <w:rsid w:val="0042029E"/>
    <w:rsid w:val="00421288"/>
    <w:rsid w:val="0042146B"/>
    <w:rsid w:val="004226F6"/>
    <w:rsid w:val="00422BCD"/>
    <w:rsid w:val="00423AEF"/>
    <w:rsid w:val="00425BAC"/>
    <w:rsid w:val="00425DFA"/>
    <w:rsid w:val="004308A8"/>
    <w:rsid w:val="00430D14"/>
    <w:rsid w:val="0043174B"/>
    <w:rsid w:val="00431F96"/>
    <w:rsid w:val="00435640"/>
    <w:rsid w:val="004365C6"/>
    <w:rsid w:val="0043662D"/>
    <w:rsid w:val="004405C3"/>
    <w:rsid w:val="00440BCB"/>
    <w:rsid w:val="00441C97"/>
    <w:rsid w:val="00442D4D"/>
    <w:rsid w:val="004458A7"/>
    <w:rsid w:val="00445C3C"/>
    <w:rsid w:val="0044673F"/>
    <w:rsid w:val="00447C0C"/>
    <w:rsid w:val="00447D56"/>
    <w:rsid w:val="00450E4B"/>
    <w:rsid w:val="004516BD"/>
    <w:rsid w:val="00453EFB"/>
    <w:rsid w:val="00454254"/>
    <w:rsid w:val="00455FF2"/>
    <w:rsid w:val="00461A11"/>
    <w:rsid w:val="00461E1B"/>
    <w:rsid w:val="004639EE"/>
    <w:rsid w:val="00467605"/>
    <w:rsid w:val="00467624"/>
    <w:rsid w:val="00467649"/>
    <w:rsid w:val="0047014D"/>
    <w:rsid w:val="004703C6"/>
    <w:rsid w:val="004704FD"/>
    <w:rsid w:val="00470CB0"/>
    <w:rsid w:val="0047125F"/>
    <w:rsid w:val="004717CC"/>
    <w:rsid w:val="00471EAB"/>
    <w:rsid w:val="0047213E"/>
    <w:rsid w:val="00474415"/>
    <w:rsid w:val="004802BC"/>
    <w:rsid w:val="004805B0"/>
    <w:rsid w:val="00480953"/>
    <w:rsid w:val="004818C1"/>
    <w:rsid w:val="00482DF3"/>
    <w:rsid w:val="00482FAD"/>
    <w:rsid w:val="004835A1"/>
    <w:rsid w:val="0048441C"/>
    <w:rsid w:val="00484837"/>
    <w:rsid w:val="0048525C"/>
    <w:rsid w:val="00485908"/>
    <w:rsid w:val="00486466"/>
    <w:rsid w:val="0048687E"/>
    <w:rsid w:val="00486E8F"/>
    <w:rsid w:val="004912DB"/>
    <w:rsid w:val="004916BD"/>
    <w:rsid w:val="004959F4"/>
    <w:rsid w:val="00497F63"/>
    <w:rsid w:val="004A0539"/>
    <w:rsid w:val="004A176F"/>
    <w:rsid w:val="004A1994"/>
    <w:rsid w:val="004A250F"/>
    <w:rsid w:val="004A26E0"/>
    <w:rsid w:val="004A32AC"/>
    <w:rsid w:val="004A71FD"/>
    <w:rsid w:val="004B1A43"/>
    <w:rsid w:val="004B1C3A"/>
    <w:rsid w:val="004B249E"/>
    <w:rsid w:val="004B455E"/>
    <w:rsid w:val="004B5487"/>
    <w:rsid w:val="004B57FB"/>
    <w:rsid w:val="004B5BD8"/>
    <w:rsid w:val="004B5C87"/>
    <w:rsid w:val="004B6C9A"/>
    <w:rsid w:val="004C1D2E"/>
    <w:rsid w:val="004C3A2F"/>
    <w:rsid w:val="004C536A"/>
    <w:rsid w:val="004C5CF8"/>
    <w:rsid w:val="004C68B2"/>
    <w:rsid w:val="004C6AF2"/>
    <w:rsid w:val="004C7812"/>
    <w:rsid w:val="004D1652"/>
    <w:rsid w:val="004D2387"/>
    <w:rsid w:val="004D3744"/>
    <w:rsid w:val="004D46E5"/>
    <w:rsid w:val="004D4716"/>
    <w:rsid w:val="004D48AE"/>
    <w:rsid w:val="004D4BF4"/>
    <w:rsid w:val="004D5ABD"/>
    <w:rsid w:val="004D61B7"/>
    <w:rsid w:val="004D66B0"/>
    <w:rsid w:val="004E0021"/>
    <w:rsid w:val="004E06FA"/>
    <w:rsid w:val="004E0E9D"/>
    <w:rsid w:val="004E11C1"/>
    <w:rsid w:val="004E25D4"/>
    <w:rsid w:val="004E2AEC"/>
    <w:rsid w:val="004E3AAD"/>
    <w:rsid w:val="004E73A6"/>
    <w:rsid w:val="004E7908"/>
    <w:rsid w:val="004E7A7E"/>
    <w:rsid w:val="004F1024"/>
    <w:rsid w:val="004F1E1A"/>
    <w:rsid w:val="004F3A45"/>
    <w:rsid w:val="004F4030"/>
    <w:rsid w:val="004F646F"/>
    <w:rsid w:val="005001D2"/>
    <w:rsid w:val="005009CA"/>
    <w:rsid w:val="00500E52"/>
    <w:rsid w:val="005030CD"/>
    <w:rsid w:val="00506486"/>
    <w:rsid w:val="005064E8"/>
    <w:rsid w:val="0050664B"/>
    <w:rsid w:val="00506D7B"/>
    <w:rsid w:val="00511110"/>
    <w:rsid w:val="005113A0"/>
    <w:rsid w:val="00513000"/>
    <w:rsid w:val="00513557"/>
    <w:rsid w:val="005137D7"/>
    <w:rsid w:val="005147D8"/>
    <w:rsid w:val="00516D7F"/>
    <w:rsid w:val="005200F4"/>
    <w:rsid w:val="0052112F"/>
    <w:rsid w:val="00527E7A"/>
    <w:rsid w:val="00527EDD"/>
    <w:rsid w:val="00527EE9"/>
    <w:rsid w:val="0053026B"/>
    <w:rsid w:val="00530ADB"/>
    <w:rsid w:val="00534292"/>
    <w:rsid w:val="0053517D"/>
    <w:rsid w:val="00535185"/>
    <w:rsid w:val="005365DC"/>
    <w:rsid w:val="005373EA"/>
    <w:rsid w:val="00537B13"/>
    <w:rsid w:val="00537CC2"/>
    <w:rsid w:val="00540FAA"/>
    <w:rsid w:val="00542880"/>
    <w:rsid w:val="00542A77"/>
    <w:rsid w:val="005431F7"/>
    <w:rsid w:val="0054372F"/>
    <w:rsid w:val="00543FAF"/>
    <w:rsid w:val="00544EF0"/>
    <w:rsid w:val="00546E81"/>
    <w:rsid w:val="005477F2"/>
    <w:rsid w:val="00552D9B"/>
    <w:rsid w:val="005536F5"/>
    <w:rsid w:val="00553DC5"/>
    <w:rsid w:val="00553F42"/>
    <w:rsid w:val="0055512B"/>
    <w:rsid w:val="00560E95"/>
    <w:rsid w:val="00560F8E"/>
    <w:rsid w:val="00561B03"/>
    <w:rsid w:val="00562279"/>
    <w:rsid w:val="00563BB5"/>
    <w:rsid w:val="0056428E"/>
    <w:rsid w:val="005642DD"/>
    <w:rsid w:val="005645DC"/>
    <w:rsid w:val="00564FF5"/>
    <w:rsid w:val="0057009C"/>
    <w:rsid w:val="00574331"/>
    <w:rsid w:val="005743EE"/>
    <w:rsid w:val="00575567"/>
    <w:rsid w:val="00575DD6"/>
    <w:rsid w:val="00577406"/>
    <w:rsid w:val="00577CC7"/>
    <w:rsid w:val="005810CF"/>
    <w:rsid w:val="005819B0"/>
    <w:rsid w:val="00581EF9"/>
    <w:rsid w:val="005836C1"/>
    <w:rsid w:val="0058476E"/>
    <w:rsid w:val="00584F18"/>
    <w:rsid w:val="00585FFC"/>
    <w:rsid w:val="00590197"/>
    <w:rsid w:val="0059044A"/>
    <w:rsid w:val="00590D64"/>
    <w:rsid w:val="00592E36"/>
    <w:rsid w:val="00592F9B"/>
    <w:rsid w:val="00594040"/>
    <w:rsid w:val="00594AE3"/>
    <w:rsid w:val="00596556"/>
    <w:rsid w:val="0059723D"/>
    <w:rsid w:val="00597AF4"/>
    <w:rsid w:val="005A096F"/>
    <w:rsid w:val="005A2A17"/>
    <w:rsid w:val="005A3E19"/>
    <w:rsid w:val="005B0FDB"/>
    <w:rsid w:val="005B16B1"/>
    <w:rsid w:val="005B199F"/>
    <w:rsid w:val="005B2CF0"/>
    <w:rsid w:val="005B2ED3"/>
    <w:rsid w:val="005B3EAA"/>
    <w:rsid w:val="005B60D5"/>
    <w:rsid w:val="005B62D4"/>
    <w:rsid w:val="005B664E"/>
    <w:rsid w:val="005C0C86"/>
    <w:rsid w:val="005C0DAE"/>
    <w:rsid w:val="005C11A4"/>
    <w:rsid w:val="005C163A"/>
    <w:rsid w:val="005C22E6"/>
    <w:rsid w:val="005C269A"/>
    <w:rsid w:val="005C3262"/>
    <w:rsid w:val="005C34A2"/>
    <w:rsid w:val="005C4B0A"/>
    <w:rsid w:val="005C652A"/>
    <w:rsid w:val="005C6E51"/>
    <w:rsid w:val="005C7012"/>
    <w:rsid w:val="005C7229"/>
    <w:rsid w:val="005C76AA"/>
    <w:rsid w:val="005D36D6"/>
    <w:rsid w:val="005D3876"/>
    <w:rsid w:val="005D3904"/>
    <w:rsid w:val="005E07FE"/>
    <w:rsid w:val="005E103E"/>
    <w:rsid w:val="005E10A2"/>
    <w:rsid w:val="005E3435"/>
    <w:rsid w:val="005E4465"/>
    <w:rsid w:val="005E5369"/>
    <w:rsid w:val="005E6832"/>
    <w:rsid w:val="005E6B5C"/>
    <w:rsid w:val="005E6D18"/>
    <w:rsid w:val="005E6E81"/>
    <w:rsid w:val="005E715B"/>
    <w:rsid w:val="005F05D0"/>
    <w:rsid w:val="005F1D45"/>
    <w:rsid w:val="005F2504"/>
    <w:rsid w:val="005F5FBB"/>
    <w:rsid w:val="005F6484"/>
    <w:rsid w:val="006006D4"/>
    <w:rsid w:val="0060330C"/>
    <w:rsid w:val="0060429E"/>
    <w:rsid w:val="0060431A"/>
    <w:rsid w:val="006054C2"/>
    <w:rsid w:val="00605553"/>
    <w:rsid w:val="0060575A"/>
    <w:rsid w:val="006059DC"/>
    <w:rsid w:val="00605A97"/>
    <w:rsid w:val="00606CBA"/>
    <w:rsid w:val="006102C2"/>
    <w:rsid w:val="00611CA8"/>
    <w:rsid w:val="006120D4"/>
    <w:rsid w:val="0061231A"/>
    <w:rsid w:val="00612681"/>
    <w:rsid w:val="00613941"/>
    <w:rsid w:val="00615A53"/>
    <w:rsid w:val="00616C9F"/>
    <w:rsid w:val="00622610"/>
    <w:rsid w:val="00623DCB"/>
    <w:rsid w:val="00624CA0"/>
    <w:rsid w:val="0062568C"/>
    <w:rsid w:val="006256EB"/>
    <w:rsid w:val="006273CF"/>
    <w:rsid w:val="00627FC3"/>
    <w:rsid w:val="0063120F"/>
    <w:rsid w:val="0063161D"/>
    <w:rsid w:val="00631A38"/>
    <w:rsid w:val="00632BED"/>
    <w:rsid w:val="00633529"/>
    <w:rsid w:val="00633BB4"/>
    <w:rsid w:val="00634D6C"/>
    <w:rsid w:val="00634E33"/>
    <w:rsid w:val="00635141"/>
    <w:rsid w:val="00635AA6"/>
    <w:rsid w:val="00635B3F"/>
    <w:rsid w:val="00636D90"/>
    <w:rsid w:val="00637E98"/>
    <w:rsid w:val="0064012C"/>
    <w:rsid w:val="00641123"/>
    <w:rsid w:val="00642455"/>
    <w:rsid w:val="00643128"/>
    <w:rsid w:val="00643927"/>
    <w:rsid w:val="00643F97"/>
    <w:rsid w:val="00643FCA"/>
    <w:rsid w:val="00644946"/>
    <w:rsid w:val="00645669"/>
    <w:rsid w:val="00646BC4"/>
    <w:rsid w:val="0064750A"/>
    <w:rsid w:val="00647D7D"/>
    <w:rsid w:val="00651D47"/>
    <w:rsid w:val="00652DA7"/>
    <w:rsid w:val="00653687"/>
    <w:rsid w:val="00655157"/>
    <w:rsid w:val="006562DE"/>
    <w:rsid w:val="00661E0A"/>
    <w:rsid w:val="0066437D"/>
    <w:rsid w:val="00665A34"/>
    <w:rsid w:val="00667AA6"/>
    <w:rsid w:val="0067132A"/>
    <w:rsid w:val="00673ADE"/>
    <w:rsid w:val="00681394"/>
    <w:rsid w:val="006843BB"/>
    <w:rsid w:val="006846BA"/>
    <w:rsid w:val="00684B3B"/>
    <w:rsid w:val="006856A4"/>
    <w:rsid w:val="006874A4"/>
    <w:rsid w:val="0068754E"/>
    <w:rsid w:val="006908F4"/>
    <w:rsid w:val="00691DEA"/>
    <w:rsid w:val="006935C1"/>
    <w:rsid w:val="006941E3"/>
    <w:rsid w:val="00694679"/>
    <w:rsid w:val="00696B24"/>
    <w:rsid w:val="00696F60"/>
    <w:rsid w:val="00697117"/>
    <w:rsid w:val="0069728E"/>
    <w:rsid w:val="006976EC"/>
    <w:rsid w:val="0069790D"/>
    <w:rsid w:val="006A08E2"/>
    <w:rsid w:val="006A19BA"/>
    <w:rsid w:val="006A2367"/>
    <w:rsid w:val="006A2789"/>
    <w:rsid w:val="006A2923"/>
    <w:rsid w:val="006A29F0"/>
    <w:rsid w:val="006A2EF1"/>
    <w:rsid w:val="006A4B31"/>
    <w:rsid w:val="006A67BA"/>
    <w:rsid w:val="006A71A9"/>
    <w:rsid w:val="006A777C"/>
    <w:rsid w:val="006B165D"/>
    <w:rsid w:val="006B17CD"/>
    <w:rsid w:val="006B19F1"/>
    <w:rsid w:val="006B2E3C"/>
    <w:rsid w:val="006B3D92"/>
    <w:rsid w:val="006B421B"/>
    <w:rsid w:val="006B44B5"/>
    <w:rsid w:val="006B5109"/>
    <w:rsid w:val="006B6BFC"/>
    <w:rsid w:val="006B7149"/>
    <w:rsid w:val="006B7621"/>
    <w:rsid w:val="006B78E4"/>
    <w:rsid w:val="006B7A85"/>
    <w:rsid w:val="006C20DB"/>
    <w:rsid w:val="006C26D7"/>
    <w:rsid w:val="006C31A4"/>
    <w:rsid w:val="006C4EA9"/>
    <w:rsid w:val="006C5107"/>
    <w:rsid w:val="006C6D07"/>
    <w:rsid w:val="006C7344"/>
    <w:rsid w:val="006C7396"/>
    <w:rsid w:val="006D14D3"/>
    <w:rsid w:val="006D3824"/>
    <w:rsid w:val="006D3E2A"/>
    <w:rsid w:val="006E24B3"/>
    <w:rsid w:val="006E30B3"/>
    <w:rsid w:val="006E46EB"/>
    <w:rsid w:val="006E5CB4"/>
    <w:rsid w:val="006E76DC"/>
    <w:rsid w:val="006E7D8D"/>
    <w:rsid w:val="006F05D4"/>
    <w:rsid w:val="006F15BD"/>
    <w:rsid w:val="006F24A4"/>
    <w:rsid w:val="006F2974"/>
    <w:rsid w:val="006F2E59"/>
    <w:rsid w:val="006F304D"/>
    <w:rsid w:val="006F3E2E"/>
    <w:rsid w:val="006F53B9"/>
    <w:rsid w:val="006F7BBA"/>
    <w:rsid w:val="007006FE"/>
    <w:rsid w:val="007024E6"/>
    <w:rsid w:val="0070253B"/>
    <w:rsid w:val="00703BA7"/>
    <w:rsid w:val="00704323"/>
    <w:rsid w:val="007053F1"/>
    <w:rsid w:val="007055AB"/>
    <w:rsid w:val="00706F89"/>
    <w:rsid w:val="00707D4B"/>
    <w:rsid w:val="007136E5"/>
    <w:rsid w:val="0071467F"/>
    <w:rsid w:val="00714994"/>
    <w:rsid w:val="00714DBE"/>
    <w:rsid w:val="00714E4B"/>
    <w:rsid w:val="00715EA6"/>
    <w:rsid w:val="007162EA"/>
    <w:rsid w:val="00716AC4"/>
    <w:rsid w:val="007228B1"/>
    <w:rsid w:val="0072331F"/>
    <w:rsid w:val="00724C5B"/>
    <w:rsid w:val="00725AA5"/>
    <w:rsid w:val="00725C43"/>
    <w:rsid w:val="00727F62"/>
    <w:rsid w:val="00730EE3"/>
    <w:rsid w:val="00731002"/>
    <w:rsid w:val="007315DF"/>
    <w:rsid w:val="007326AA"/>
    <w:rsid w:val="00732803"/>
    <w:rsid w:val="0073375C"/>
    <w:rsid w:val="0073688F"/>
    <w:rsid w:val="00736CB7"/>
    <w:rsid w:val="00736D5A"/>
    <w:rsid w:val="00740CAA"/>
    <w:rsid w:val="007414C0"/>
    <w:rsid w:val="00741D41"/>
    <w:rsid w:val="00743670"/>
    <w:rsid w:val="0074522C"/>
    <w:rsid w:val="00745E47"/>
    <w:rsid w:val="00745FAD"/>
    <w:rsid w:val="00747756"/>
    <w:rsid w:val="00750654"/>
    <w:rsid w:val="0075125F"/>
    <w:rsid w:val="007517B3"/>
    <w:rsid w:val="007521C3"/>
    <w:rsid w:val="00752B9D"/>
    <w:rsid w:val="00752D8E"/>
    <w:rsid w:val="00754060"/>
    <w:rsid w:val="00754ACE"/>
    <w:rsid w:val="00755465"/>
    <w:rsid w:val="00755468"/>
    <w:rsid w:val="007561D4"/>
    <w:rsid w:val="0075647E"/>
    <w:rsid w:val="00756C30"/>
    <w:rsid w:val="007570C3"/>
    <w:rsid w:val="00757721"/>
    <w:rsid w:val="00757DC4"/>
    <w:rsid w:val="00761B9E"/>
    <w:rsid w:val="0076244F"/>
    <w:rsid w:val="00762DFB"/>
    <w:rsid w:val="0076311E"/>
    <w:rsid w:val="00765609"/>
    <w:rsid w:val="00766455"/>
    <w:rsid w:val="007719C1"/>
    <w:rsid w:val="00771ADD"/>
    <w:rsid w:val="0077211A"/>
    <w:rsid w:val="00772701"/>
    <w:rsid w:val="00773FB5"/>
    <w:rsid w:val="00774CB5"/>
    <w:rsid w:val="00774E04"/>
    <w:rsid w:val="007750D1"/>
    <w:rsid w:val="00776D15"/>
    <w:rsid w:val="00781179"/>
    <w:rsid w:val="007813E1"/>
    <w:rsid w:val="007817C4"/>
    <w:rsid w:val="00781D5C"/>
    <w:rsid w:val="0078207C"/>
    <w:rsid w:val="00784B55"/>
    <w:rsid w:val="00785D39"/>
    <w:rsid w:val="007876D3"/>
    <w:rsid w:val="007913AA"/>
    <w:rsid w:val="00792336"/>
    <w:rsid w:val="00793A2C"/>
    <w:rsid w:val="00794745"/>
    <w:rsid w:val="007948D4"/>
    <w:rsid w:val="00796309"/>
    <w:rsid w:val="007A03AB"/>
    <w:rsid w:val="007A1E4C"/>
    <w:rsid w:val="007A3B4E"/>
    <w:rsid w:val="007A585B"/>
    <w:rsid w:val="007A5B29"/>
    <w:rsid w:val="007A7AB7"/>
    <w:rsid w:val="007A7D58"/>
    <w:rsid w:val="007B0DBE"/>
    <w:rsid w:val="007B0F30"/>
    <w:rsid w:val="007B31F5"/>
    <w:rsid w:val="007B3FE3"/>
    <w:rsid w:val="007B50A8"/>
    <w:rsid w:val="007B5BC7"/>
    <w:rsid w:val="007B759B"/>
    <w:rsid w:val="007B7FEB"/>
    <w:rsid w:val="007C18FD"/>
    <w:rsid w:val="007C1E31"/>
    <w:rsid w:val="007C3356"/>
    <w:rsid w:val="007C4AB8"/>
    <w:rsid w:val="007C4EA5"/>
    <w:rsid w:val="007C5117"/>
    <w:rsid w:val="007C542A"/>
    <w:rsid w:val="007C55A4"/>
    <w:rsid w:val="007C5F95"/>
    <w:rsid w:val="007C66A5"/>
    <w:rsid w:val="007C7418"/>
    <w:rsid w:val="007D0BF0"/>
    <w:rsid w:val="007D0D17"/>
    <w:rsid w:val="007D138D"/>
    <w:rsid w:val="007D460A"/>
    <w:rsid w:val="007D4817"/>
    <w:rsid w:val="007D5E35"/>
    <w:rsid w:val="007D6292"/>
    <w:rsid w:val="007E017B"/>
    <w:rsid w:val="007E1B04"/>
    <w:rsid w:val="007E40A4"/>
    <w:rsid w:val="007E7C69"/>
    <w:rsid w:val="007F0DB5"/>
    <w:rsid w:val="007F4552"/>
    <w:rsid w:val="007F458D"/>
    <w:rsid w:val="0080199A"/>
    <w:rsid w:val="008034CE"/>
    <w:rsid w:val="00803D4B"/>
    <w:rsid w:val="008042F3"/>
    <w:rsid w:val="00804976"/>
    <w:rsid w:val="008053CB"/>
    <w:rsid w:val="00806DA2"/>
    <w:rsid w:val="00807387"/>
    <w:rsid w:val="008078C8"/>
    <w:rsid w:val="00807CE9"/>
    <w:rsid w:val="00810820"/>
    <w:rsid w:val="00811F22"/>
    <w:rsid w:val="00812EC2"/>
    <w:rsid w:val="00814606"/>
    <w:rsid w:val="00814DFD"/>
    <w:rsid w:val="00820091"/>
    <w:rsid w:val="00820C02"/>
    <w:rsid w:val="00820EBD"/>
    <w:rsid w:val="008232B7"/>
    <w:rsid w:val="008235F9"/>
    <w:rsid w:val="00826265"/>
    <w:rsid w:val="00826DA8"/>
    <w:rsid w:val="00826F20"/>
    <w:rsid w:val="00826FF2"/>
    <w:rsid w:val="00831566"/>
    <w:rsid w:val="00831A14"/>
    <w:rsid w:val="00832373"/>
    <w:rsid w:val="00832B7D"/>
    <w:rsid w:val="00833D9C"/>
    <w:rsid w:val="00834604"/>
    <w:rsid w:val="00834D31"/>
    <w:rsid w:val="00834DF7"/>
    <w:rsid w:val="00835AD1"/>
    <w:rsid w:val="00841354"/>
    <w:rsid w:val="00841ADE"/>
    <w:rsid w:val="00843435"/>
    <w:rsid w:val="00843AFB"/>
    <w:rsid w:val="00844B51"/>
    <w:rsid w:val="00847B26"/>
    <w:rsid w:val="008506B4"/>
    <w:rsid w:val="00850AB1"/>
    <w:rsid w:val="00852088"/>
    <w:rsid w:val="00853914"/>
    <w:rsid w:val="008568A2"/>
    <w:rsid w:val="00857E94"/>
    <w:rsid w:val="00861399"/>
    <w:rsid w:val="008618C5"/>
    <w:rsid w:val="00861C72"/>
    <w:rsid w:val="008623B1"/>
    <w:rsid w:val="00863125"/>
    <w:rsid w:val="008654B1"/>
    <w:rsid w:val="0086656B"/>
    <w:rsid w:val="0086694E"/>
    <w:rsid w:val="008704C8"/>
    <w:rsid w:val="00871912"/>
    <w:rsid w:val="008724A1"/>
    <w:rsid w:val="00872522"/>
    <w:rsid w:val="00872F97"/>
    <w:rsid w:val="0087383E"/>
    <w:rsid w:val="00877858"/>
    <w:rsid w:val="008810C2"/>
    <w:rsid w:val="0088126E"/>
    <w:rsid w:val="00881798"/>
    <w:rsid w:val="00881A60"/>
    <w:rsid w:val="00882077"/>
    <w:rsid w:val="00882591"/>
    <w:rsid w:val="0088350C"/>
    <w:rsid w:val="00885376"/>
    <w:rsid w:val="00885A96"/>
    <w:rsid w:val="0088730C"/>
    <w:rsid w:val="008876BF"/>
    <w:rsid w:val="00890D27"/>
    <w:rsid w:val="00891562"/>
    <w:rsid w:val="008960CE"/>
    <w:rsid w:val="0089642A"/>
    <w:rsid w:val="008A0B50"/>
    <w:rsid w:val="008A2D27"/>
    <w:rsid w:val="008A31A7"/>
    <w:rsid w:val="008A730E"/>
    <w:rsid w:val="008A7910"/>
    <w:rsid w:val="008A7B94"/>
    <w:rsid w:val="008B07C2"/>
    <w:rsid w:val="008B46D1"/>
    <w:rsid w:val="008B5028"/>
    <w:rsid w:val="008B5C1A"/>
    <w:rsid w:val="008B70B1"/>
    <w:rsid w:val="008B77EA"/>
    <w:rsid w:val="008C049E"/>
    <w:rsid w:val="008C0981"/>
    <w:rsid w:val="008C1699"/>
    <w:rsid w:val="008C3DB3"/>
    <w:rsid w:val="008C3F0F"/>
    <w:rsid w:val="008C4753"/>
    <w:rsid w:val="008C50D7"/>
    <w:rsid w:val="008C6ADC"/>
    <w:rsid w:val="008D1162"/>
    <w:rsid w:val="008D1704"/>
    <w:rsid w:val="008D2A86"/>
    <w:rsid w:val="008D3436"/>
    <w:rsid w:val="008D3E73"/>
    <w:rsid w:val="008D435D"/>
    <w:rsid w:val="008D4CC9"/>
    <w:rsid w:val="008D5822"/>
    <w:rsid w:val="008D718A"/>
    <w:rsid w:val="008E0624"/>
    <w:rsid w:val="008E3207"/>
    <w:rsid w:val="008E34B5"/>
    <w:rsid w:val="008E3EC7"/>
    <w:rsid w:val="008E4FF4"/>
    <w:rsid w:val="008E5A03"/>
    <w:rsid w:val="008E77EB"/>
    <w:rsid w:val="008E7A72"/>
    <w:rsid w:val="008F04FA"/>
    <w:rsid w:val="008F0929"/>
    <w:rsid w:val="008F0991"/>
    <w:rsid w:val="008F0A10"/>
    <w:rsid w:val="008F0FD5"/>
    <w:rsid w:val="008F1582"/>
    <w:rsid w:val="008F54E1"/>
    <w:rsid w:val="008F55FE"/>
    <w:rsid w:val="008F5D54"/>
    <w:rsid w:val="008F7158"/>
    <w:rsid w:val="008F7981"/>
    <w:rsid w:val="00904386"/>
    <w:rsid w:val="0090472C"/>
    <w:rsid w:val="00905E9B"/>
    <w:rsid w:val="00907BC3"/>
    <w:rsid w:val="00910362"/>
    <w:rsid w:val="009115E5"/>
    <w:rsid w:val="00911928"/>
    <w:rsid w:val="0091291C"/>
    <w:rsid w:val="009139B5"/>
    <w:rsid w:val="00913DA9"/>
    <w:rsid w:val="00920A51"/>
    <w:rsid w:val="00920BAC"/>
    <w:rsid w:val="00921CE5"/>
    <w:rsid w:val="00923A03"/>
    <w:rsid w:val="00923BAA"/>
    <w:rsid w:val="00926CE5"/>
    <w:rsid w:val="00927590"/>
    <w:rsid w:val="00930CA5"/>
    <w:rsid w:val="009312AC"/>
    <w:rsid w:val="00931495"/>
    <w:rsid w:val="00933A84"/>
    <w:rsid w:val="00933B61"/>
    <w:rsid w:val="00934001"/>
    <w:rsid w:val="00935E33"/>
    <w:rsid w:val="00936A58"/>
    <w:rsid w:val="0093732D"/>
    <w:rsid w:val="009413A8"/>
    <w:rsid w:val="00941C34"/>
    <w:rsid w:val="00942D3B"/>
    <w:rsid w:val="009440A7"/>
    <w:rsid w:val="00945749"/>
    <w:rsid w:val="00945882"/>
    <w:rsid w:val="00950174"/>
    <w:rsid w:val="009509FD"/>
    <w:rsid w:val="00951DD0"/>
    <w:rsid w:val="00953D5A"/>
    <w:rsid w:val="00953F8E"/>
    <w:rsid w:val="00954A12"/>
    <w:rsid w:val="0095771A"/>
    <w:rsid w:val="00960BE2"/>
    <w:rsid w:val="00960E89"/>
    <w:rsid w:val="00964464"/>
    <w:rsid w:val="00964491"/>
    <w:rsid w:val="00964CE2"/>
    <w:rsid w:val="009704EF"/>
    <w:rsid w:val="009748F9"/>
    <w:rsid w:val="00975FCA"/>
    <w:rsid w:val="0097609F"/>
    <w:rsid w:val="00976999"/>
    <w:rsid w:val="00976B43"/>
    <w:rsid w:val="00976C78"/>
    <w:rsid w:val="009804CC"/>
    <w:rsid w:val="00981DAC"/>
    <w:rsid w:val="00981E48"/>
    <w:rsid w:val="00983569"/>
    <w:rsid w:val="00984611"/>
    <w:rsid w:val="00985214"/>
    <w:rsid w:val="00986583"/>
    <w:rsid w:val="00987F84"/>
    <w:rsid w:val="009911D1"/>
    <w:rsid w:val="00991AF4"/>
    <w:rsid w:val="0099281F"/>
    <w:rsid w:val="00992ACA"/>
    <w:rsid w:val="00994215"/>
    <w:rsid w:val="0099485D"/>
    <w:rsid w:val="00994B77"/>
    <w:rsid w:val="00996AC5"/>
    <w:rsid w:val="00996BCF"/>
    <w:rsid w:val="00996C5F"/>
    <w:rsid w:val="00996DD6"/>
    <w:rsid w:val="009972EE"/>
    <w:rsid w:val="009A0D3D"/>
    <w:rsid w:val="009A24E9"/>
    <w:rsid w:val="009A430F"/>
    <w:rsid w:val="009A5782"/>
    <w:rsid w:val="009A5789"/>
    <w:rsid w:val="009A6EA9"/>
    <w:rsid w:val="009A7B0C"/>
    <w:rsid w:val="009B0129"/>
    <w:rsid w:val="009B0708"/>
    <w:rsid w:val="009B097E"/>
    <w:rsid w:val="009B163D"/>
    <w:rsid w:val="009B1C6A"/>
    <w:rsid w:val="009B2F1B"/>
    <w:rsid w:val="009B3468"/>
    <w:rsid w:val="009B4C8D"/>
    <w:rsid w:val="009B5B5B"/>
    <w:rsid w:val="009B5D7F"/>
    <w:rsid w:val="009B64AA"/>
    <w:rsid w:val="009B73F7"/>
    <w:rsid w:val="009C0D17"/>
    <w:rsid w:val="009C19DA"/>
    <w:rsid w:val="009C23E7"/>
    <w:rsid w:val="009C2F88"/>
    <w:rsid w:val="009C423A"/>
    <w:rsid w:val="009C5546"/>
    <w:rsid w:val="009C594C"/>
    <w:rsid w:val="009C5E6B"/>
    <w:rsid w:val="009C621C"/>
    <w:rsid w:val="009C6E35"/>
    <w:rsid w:val="009C7573"/>
    <w:rsid w:val="009D1B59"/>
    <w:rsid w:val="009D2B26"/>
    <w:rsid w:val="009D2B6A"/>
    <w:rsid w:val="009D48D2"/>
    <w:rsid w:val="009D5B01"/>
    <w:rsid w:val="009D60C8"/>
    <w:rsid w:val="009D724D"/>
    <w:rsid w:val="009E0DB1"/>
    <w:rsid w:val="009E0E2F"/>
    <w:rsid w:val="009E101F"/>
    <w:rsid w:val="009E110B"/>
    <w:rsid w:val="009E14D7"/>
    <w:rsid w:val="009E1B54"/>
    <w:rsid w:val="009E247C"/>
    <w:rsid w:val="009E2CCC"/>
    <w:rsid w:val="009E3915"/>
    <w:rsid w:val="009E4963"/>
    <w:rsid w:val="009E5B29"/>
    <w:rsid w:val="009E6647"/>
    <w:rsid w:val="009E68F8"/>
    <w:rsid w:val="009E6D54"/>
    <w:rsid w:val="009F0FA3"/>
    <w:rsid w:val="009F3FB3"/>
    <w:rsid w:val="009F4292"/>
    <w:rsid w:val="009F5BD4"/>
    <w:rsid w:val="009F5C1B"/>
    <w:rsid w:val="00A0085E"/>
    <w:rsid w:val="00A00A5D"/>
    <w:rsid w:val="00A015C8"/>
    <w:rsid w:val="00A028DA"/>
    <w:rsid w:val="00A0358D"/>
    <w:rsid w:val="00A04714"/>
    <w:rsid w:val="00A04F66"/>
    <w:rsid w:val="00A05E1F"/>
    <w:rsid w:val="00A06507"/>
    <w:rsid w:val="00A070BC"/>
    <w:rsid w:val="00A07739"/>
    <w:rsid w:val="00A112B2"/>
    <w:rsid w:val="00A1300C"/>
    <w:rsid w:val="00A149D1"/>
    <w:rsid w:val="00A14A2E"/>
    <w:rsid w:val="00A17BBC"/>
    <w:rsid w:val="00A17F6D"/>
    <w:rsid w:val="00A214E8"/>
    <w:rsid w:val="00A215F7"/>
    <w:rsid w:val="00A21BF0"/>
    <w:rsid w:val="00A22A03"/>
    <w:rsid w:val="00A22F4D"/>
    <w:rsid w:val="00A24A1B"/>
    <w:rsid w:val="00A270E8"/>
    <w:rsid w:val="00A27959"/>
    <w:rsid w:val="00A30B13"/>
    <w:rsid w:val="00A30E2F"/>
    <w:rsid w:val="00A30F13"/>
    <w:rsid w:val="00A310F0"/>
    <w:rsid w:val="00A314BE"/>
    <w:rsid w:val="00A4139A"/>
    <w:rsid w:val="00A422D8"/>
    <w:rsid w:val="00A454CF"/>
    <w:rsid w:val="00A46CA2"/>
    <w:rsid w:val="00A505A6"/>
    <w:rsid w:val="00A50B6F"/>
    <w:rsid w:val="00A514BB"/>
    <w:rsid w:val="00A51B6C"/>
    <w:rsid w:val="00A52ADF"/>
    <w:rsid w:val="00A52BD1"/>
    <w:rsid w:val="00A53CE8"/>
    <w:rsid w:val="00A54C50"/>
    <w:rsid w:val="00A56559"/>
    <w:rsid w:val="00A566EC"/>
    <w:rsid w:val="00A56AA7"/>
    <w:rsid w:val="00A5757C"/>
    <w:rsid w:val="00A57A74"/>
    <w:rsid w:val="00A6115B"/>
    <w:rsid w:val="00A6201C"/>
    <w:rsid w:val="00A64613"/>
    <w:rsid w:val="00A65E0D"/>
    <w:rsid w:val="00A6685A"/>
    <w:rsid w:val="00A70357"/>
    <w:rsid w:val="00A71600"/>
    <w:rsid w:val="00A7163B"/>
    <w:rsid w:val="00A72531"/>
    <w:rsid w:val="00A72868"/>
    <w:rsid w:val="00A74E5F"/>
    <w:rsid w:val="00A75048"/>
    <w:rsid w:val="00A7506A"/>
    <w:rsid w:val="00A76C3F"/>
    <w:rsid w:val="00A7799B"/>
    <w:rsid w:val="00A86A0C"/>
    <w:rsid w:val="00A86E7C"/>
    <w:rsid w:val="00A86F0C"/>
    <w:rsid w:val="00A87591"/>
    <w:rsid w:val="00A87E86"/>
    <w:rsid w:val="00A91714"/>
    <w:rsid w:val="00A946A5"/>
    <w:rsid w:val="00A94983"/>
    <w:rsid w:val="00A95D10"/>
    <w:rsid w:val="00AA06F0"/>
    <w:rsid w:val="00AA2997"/>
    <w:rsid w:val="00AA4127"/>
    <w:rsid w:val="00AA57D2"/>
    <w:rsid w:val="00AA636C"/>
    <w:rsid w:val="00AA70A4"/>
    <w:rsid w:val="00AB0B20"/>
    <w:rsid w:val="00AB1230"/>
    <w:rsid w:val="00AB474C"/>
    <w:rsid w:val="00AB5E74"/>
    <w:rsid w:val="00AB60D0"/>
    <w:rsid w:val="00AB76F7"/>
    <w:rsid w:val="00AC163C"/>
    <w:rsid w:val="00AC26DF"/>
    <w:rsid w:val="00AC3A67"/>
    <w:rsid w:val="00AC3DE8"/>
    <w:rsid w:val="00AC4AAD"/>
    <w:rsid w:val="00AC4D15"/>
    <w:rsid w:val="00AC7ABB"/>
    <w:rsid w:val="00AD0886"/>
    <w:rsid w:val="00AD22E4"/>
    <w:rsid w:val="00AD27CB"/>
    <w:rsid w:val="00AD2BAF"/>
    <w:rsid w:val="00AD400C"/>
    <w:rsid w:val="00AD43D2"/>
    <w:rsid w:val="00AD4685"/>
    <w:rsid w:val="00AD69BC"/>
    <w:rsid w:val="00AD74C8"/>
    <w:rsid w:val="00AD76CF"/>
    <w:rsid w:val="00AD7838"/>
    <w:rsid w:val="00AE0798"/>
    <w:rsid w:val="00AE1B24"/>
    <w:rsid w:val="00AE22B5"/>
    <w:rsid w:val="00AE298D"/>
    <w:rsid w:val="00AE42CA"/>
    <w:rsid w:val="00AE471C"/>
    <w:rsid w:val="00AE63A6"/>
    <w:rsid w:val="00AE78EA"/>
    <w:rsid w:val="00AF00BB"/>
    <w:rsid w:val="00AF02C5"/>
    <w:rsid w:val="00AF0718"/>
    <w:rsid w:val="00AF07FE"/>
    <w:rsid w:val="00AF2EE1"/>
    <w:rsid w:val="00AF30AD"/>
    <w:rsid w:val="00AF37DF"/>
    <w:rsid w:val="00AF6932"/>
    <w:rsid w:val="00B01C8A"/>
    <w:rsid w:val="00B01D16"/>
    <w:rsid w:val="00B01FC4"/>
    <w:rsid w:val="00B02375"/>
    <w:rsid w:val="00B02726"/>
    <w:rsid w:val="00B0474A"/>
    <w:rsid w:val="00B04A89"/>
    <w:rsid w:val="00B04C6C"/>
    <w:rsid w:val="00B0504F"/>
    <w:rsid w:val="00B06515"/>
    <w:rsid w:val="00B06977"/>
    <w:rsid w:val="00B06AFA"/>
    <w:rsid w:val="00B06BAE"/>
    <w:rsid w:val="00B07207"/>
    <w:rsid w:val="00B076D7"/>
    <w:rsid w:val="00B07E4C"/>
    <w:rsid w:val="00B1174F"/>
    <w:rsid w:val="00B12846"/>
    <w:rsid w:val="00B134B9"/>
    <w:rsid w:val="00B14ACE"/>
    <w:rsid w:val="00B14BF6"/>
    <w:rsid w:val="00B1511E"/>
    <w:rsid w:val="00B17169"/>
    <w:rsid w:val="00B2011F"/>
    <w:rsid w:val="00B21BB6"/>
    <w:rsid w:val="00B25826"/>
    <w:rsid w:val="00B26EFB"/>
    <w:rsid w:val="00B27E7E"/>
    <w:rsid w:val="00B30A18"/>
    <w:rsid w:val="00B3182C"/>
    <w:rsid w:val="00B325BB"/>
    <w:rsid w:val="00B3402D"/>
    <w:rsid w:val="00B34A94"/>
    <w:rsid w:val="00B40A76"/>
    <w:rsid w:val="00B40EA9"/>
    <w:rsid w:val="00B41C51"/>
    <w:rsid w:val="00B43093"/>
    <w:rsid w:val="00B430A1"/>
    <w:rsid w:val="00B43880"/>
    <w:rsid w:val="00B440D7"/>
    <w:rsid w:val="00B445AE"/>
    <w:rsid w:val="00B4473B"/>
    <w:rsid w:val="00B44CC0"/>
    <w:rsid w:val="00B45307"/>
    <w:rsid w:val="00B45965"/>
    <w:rsid w:val="00B465A2"/>
    <w:rsid w:val="00B47337"/>
    <w:rsid w:val="00B51F80"/>
    <w:rsid w:val="00B5494A"/>
    <w:rsid w:val="00B55417"/>
    <w:rsid w:val="00B5541D"/>
    <w:rsid w:val="00B55ECA"/>
    <w:rsid w:val="00B603BD"/>
    <w:rsid w:val="00B61983"/>
    <w:rsid w:val="00B62D6B"/>
    <w:rsid w:val="00B6318B"/>
    <w:rsid w:val="00B63E39"/>
    <w:rsid w:val="00B65461"/>
    <w:rsid w:val="00B654E3"/>
    <w:rsid w:val="00B7000D"/>
    <w:rsid w:val="00B7154A"/>
    <w:rsid w:val="00B72C94"/>
    <w:rsid w:val="00B734B9"/>
    <w:rsid w:val="00B7516A"/>
    <w:rsid w:val="00B7584B"/>
    <w:rsid w:val="00B75EB4"/>
    <w:rsid w:val="00B77D99"/>
    <w:rsid w:val="00B803BF"/>
    <w:rsid w:val="00B80995"/>
    <w:rsid w:val="00B80F37"/>
    <w:rsid w:val="00B81659"/>
    <w:rsid w:val="00B85394"/>
    <w:rsid w:val="00B85A40"/>
    <w:rsid w:val="00B908C3"/>
    <w:rsid w:val="00B90EA0"/>
    <w:rsid w:val="00B91162"/>
    <w:rsid w:val="00B91545"/>
    <w:rsid w:val="00B91D33"/>
    <w:rsid w:val="00B9257E"/>
    <w:rsid w:val="00B93553"/>
    <w:rsid w:val="00B9445F"/>
    <w:rsid w:val="00BA0253"/>
    <w:rsid w:val="00BA069C"/>
    <w:rsid w:val="00BA20DF"/>
    <w:rsid w:val="00BA2A8B"/>
    <w:rsid w:val="00BA2F41"/>
    <w:rsid w:val="00BA3A5A"/>
    <w:rsid w:val="00BA4988"/>
    <w:rsid w:val="00BA60A6"/>
    <w:rsid w:val="00BA72BF"/>
    <w:rsid w:val="00BB25EF"/>
    <w:rsid w:val="00BB2B8A"/>
    <w:rsid w:val="00BB2F36"/>
    <w:rsid w:val="00BB4161"/>
    <w:rsid w:val="00BB55C4"/>
    <w:rsid w:val="00BB6714"/>
    <w:rsid w:val="00BB6BFD"/>
    <w:rsid w:val="00BB7F83"/>
    <w:rsid w:val="00BC000F"/>
    <w:rsid w:val="00BC027A"/>
    <w:rsid w:val="00BC0710"/>
    <w:rsid w:val="00BC0D6A"/>
    <w:rsid w:val="00BC2C46"/>
    <w:rsid w:val="00BC4C58"/>
    <w:rsid w:val="00BC7822"/>
    <w:rsid w:val="00BD1346"/>
    <w:rsid w:val="00BD2534"/>
    <w:rsid w:val="00BD6153"/>
    <w:rsid w:val="00BD6CA6"/>
    <w:rsid w:val="00BD6E9A"/>
    <w:rsid w:val="00BD7640"/>
    <w:rsid w:val="00BD7646"/>
    <w:rsid w:val="00BE0E5C"/>
    <w:rsid w:val="00BE123E"/>
    <w:rsid w:val="00BE168E"/>
    <w:rsid w:val="00BE55C5"/>
    <w:rsid w:val="00BE7BB7"/>
    <w:rsid w:val="00BF0ED2"/>
    <w:rsid w:val="00BF1DC1"/>
    <w:rsid w:val="00BF2643"/>
    <w:rsid w:val="00BF31D1"/>
    <w:rsid w:val="00BF50E4"/>
    <w:rsid w:val="00BF52A4"/>
    <w:rsid w:val="00BF58DB"/>
    <w:rsid w:val="00BF70C0"/>
    <w:rsid w:val="00BF73B6"/>
    <w:rsid w:val="00BF7AC1"/>
    <w:rsid w:val="00C041A3"/>
    <w:rsid w:val="00C04A23"/>
    <w:rsid w:val="00C055A9"/>
    <w:rsid w:val="00C0614D"/>
    <w:rsid w:val="00C07718"/>
    <w:rsid w:val="00C101BA"/>
    <w:rsid w:val="00C1038A"/>
    <w:rsid w:val="00C1071F"/>
    <w:rsid w:val="00C11CD4"/>
    <w:rsid w:val="00C11D27"/>
    <w:rsid w:val="00C123FF"/>
    <w:rsid w:val="00C129B5"/>
    <w:rsid w:val="00C13499"/>
    <w:rsid w:val="00C13B78"/>
    <w:rsid w:val="00C147AD"/>
    <w:rsid w:val="00C15155"/>
    <w:rsid w:val="00C20315"/>
    <w:rsid w:val="00C2170D"/>
    <w:rsid w:val="00C21991"/>
    <w:rsid w:val="00C2265B"/>
    <w:rsid w:val="00C24725"/>
    <w:rsid w:val="00C247A6"/>
    <w:rsid w:val="00C2538D"/>
    <w:rsid w:val="00C25B34"/>
    <w:rsid w:val="00C25D57"/>
    <w:rsid w:val="00C277CF"/>
    <w:rsid w:val="00C3142C"/>
    <w:rsid w:val="00C31944"/>
    <w:rsid w:val="00C33B76"/>
    <w:rsid w:val="00C369E4"/>
    <w:rsid w:val="00C409A5"/>
    <w:rsid w:val="00C40EA7"/>
    <w:rsid w:val="00C40FC4"/>
    <w:rsid w:val="00C42136"/>
    <w:rsid w:val="00C42404"/>
    <w:rsid w:val="00C45ED2"/>
    <w:rsid w:val="00C46F55"/>
    <w:rsid w:val="00C4745A"/>
    <w:rsid w:val="00C4787B"/>
    <w:rsid w:val="00C51E87"/>
    <w:rsid w:val="00C52506"/>
    <w:rsid w:val="00C53927"/>
    <w:rsid w:val="00C53CE3"/>
    <w:rsid w:val="00C54498"/>
    <w:rsid w:val="00C550A2"/>
    <w:rsid w:val="00C56469"/>
    <w:rsid w:val="00C60C6D"/>
    <w:rsid w:val="00C61657"/>
    <w:rsid w:val="00C62877"/>
    <w:rsid w:val="00C62D4B"/>
    <w:rsid w:val="00C62E72"/>
    <w:rsid w:val="00C64441"/>
    <w:rsid w:val="00C64C09"/>
    <w:rsid w:val="00C67B11"/>
    <w:rsid w:val="00C70F53"/>
    <w:rsid w:val="00C71064"/>
    <w:rsid w:val="00C71DF6"/>
    <w:rsid w:val="00C722B6"/>
    <w:rsid w:val="00C73B95"/>
    <w:rsid w:val="00C755B1"/>
    <w:rsid w:val="00C75C3C"/>
    <w:rsid w:val="00C76FF6"/>
    <w:rsid w:val="00C7794C"/>
    <w:rsid w:val="00C8038E"/>
    <w:rsid w:val="00C80EBC"/>
    <w:rsid w:val="00C82BA9"/>
    <w:rsid w:val="00C875DA"/>
    <w:rsid w:val="00C91DE9"/>
    <w:rsid w:val="00C91E8F"/>
    <w:rsid w:val="00C91F12"/>
    <w:rsid w:val="00C9206F"/>
    <w:rsid w:val="00C92EC3"/>
    <w:rsid w:val="00C931C3"/>
    <w:rsid w:val="00C95A63"/>
    <w:rsid w:val="00CA11B0"/>
    <w:rsid w:val="00CA15E0"/>
    <w:rsid w:val="00CA2311"/>
    <w:rsid w:val="00CA31C0"/>
    <w:rsid w:val="00CA3C40"/>
    <w:rsid w:val="00CA4004"/>
    <w:rsid w:val="00CA50D9"/>
    <w:rsid w:val="00CA57A5"/>
    <w:rsid w:val="00CB024E"/>
    <w:rsid w:val="00CB08D8"/>
    <w:rsid w:val="00CB16E6"/>
    <w:rsid w:val="00CB2751"/>
    <w:rsid w:val="00CB29C4"/>
    <w:rsid w:val="00CB307C"/>
    <w:rsid w:val="00CB3CF6"/>
    <w:rsid w:val="00CB3D94"/>
    <w:rsid w:val="00CB464D"/>
    <w:rsid w:val="00CB49D6"/>
    <w:rsid w:val="00CB4D31"/>
    <w:rsid w:val="00CB5121"/>
    <w:rsid w:val="00CB5436"/>
    <w:rsid w:val="00CB67F3"/>
    <w:rsid w:val="00CB79FE"/>
    <w:rsid w:val="00CC0121"/>
    <w:rsid w:val="00CC740F"/>
    <w:rsid w:val="00CC757F"/>
    <w:rsid w:val="00CC7BEE"/>
    <w:rsid w:val="00CD439E"/>
    <w:rsid w:val="00CD5079"/>
    <w:rsid w:val="00CD540D"/>
    <w:rsid w:val="00CD5D5C"/>
    <w:rsid w:val="00CD7E6D"/>
    <w:rsid w:val="00CE1147"/>
    <w:rsid w:val="00CE23F1"/>
    <w:rsid w:val="00CE2BA7"/>
    <w:rsid w:val="00CE4D6A"/>
    <w:rsid w:val="00CE6394"/>
    <w:rsid w:val="00CE7343"/>
    <w:rsid w:val="00CF2087"/>
    <w:rsid w:val="00CF2146"/>
    <w:rsid w:val="00CF3EC2"/>
    <w:rsid w:val="00CF4B28"/>
    <w:rsid w:val="00CF52CC"/>
    <w:rsid w:val="00D0015F"/>
    <w:rsid w:val="00D0058C"/>
    <w:rsid w:val="00D01165"/>
    <w:rsid w:val="00D05DE8"/>
    <w:rsid w:val="00D070F4"/>
    <w:rsid w:val="00D076C3"/>
    <w:rsid w:val="00D07ECB"/>
    <w:rsid w:val="00D11734"/>
    <w:rsid w:val="00D1262E"/>
    <w:rsid w:val="00D1288F"/>
    <w:rsid w:val="00D144B8"/>
    <w:rsid w:val="00D15B33"/>
    <w:rsid w:val="00D15B88"/>
    <w:rsid w:val="00D15F0D"/>
    <w:rsid w:val="00D17E9C"/>
    <w:rsid w:val="00D2020A"/>
    <w:rsid w:val="00D205DE"/>
    <w:rsid w:val="00D211BF"/>
    <w:rsid w:val="00D23AF7"/>
    <w:rsid w:val="00D24894"/>
    <w:rsid w:val="00D30586"/>
    <w:rsid w:val="00D31211"/>
    <w:rsid w:val="00D33070"/>
    <w:rsid w:val="00D33CFD"/>
    <w:rsid w:val="00D36331"/>
    <w:rsid w:val="00D363C2"/>
    <w:rsid w:val="00D363E9"/>
    <w:rsid w:val="00D37596"/>
    <w:rsid w:val="00D37753"/>
    <w:rsid w:val="00D415BB"/>
    <w:rsid w:val="00D427CB"/>
    <w:rsid w:val="00D428E3"/>
    <w:rsid w:val="00D429DF"/>
    <w:rsid w:val="00D42DDE"/>
    <w:rsid w:val="00D46677"/>
    <w:rsid w:val="00D4764A"/>
    <w:rsid w:val="00D50BFA"/>
    <w:rsid w:val="00D51DEC"/>
    <w:rsid w:val="00D52847"/>
    <w:rsid w:val="00D552C4"/>
    <w:rsid w:val="00D55330"/>
    <w:rsid w:val="00D55E1F"/>
    <w:rsid w:val="00D55F0C"/>
    <w:rsid w:val="00D56123"/>
    <w:rsid w:val="00D6177B"/>
    <w:rsid w:val="00D62F91"/>
    <w:rsid w:val="00D64655"/>
    <w:rsid w:val="00D6518F"/>
    <w:rsid w:val="00D65E0A"/>
    <w:rsid w:val="00D66419"/>
    <w:rsid w:val="00D70E0C"/>
    <w:rsid w:val="00D71CFA"/>
    <w:rsid w:val="00D750FE"/>
    <w:rsid w:val="00D7554B"/>
    <w:rsid w:val="00D75573"/>
    <w:rsid w:val="00D76367"/>
    <w:rsid w:val="00D773F0"/>
    <w:rsid w:val="00D809B7"/>
    <w:rsid w:val="00D814C2"/>
    <w:rsid w:val="00D81504"/>
    <w:rsid w:val="00D831E5"/>
    <w:rsid w:val="00D83E02"/>
    <w:rsid w:val="00D84685"/>
    <w:rsid w:val="00D84750"/>
    <w:rsid w:val="00D87321"/>
    <w:rsid w:val="00D9051B"/>
    <w:rsid w:val="00D925D5"/>
    <w:rsid w:val="00D95040"/>
    <w:rsid w:val="00D954B1"/>
    <w:rsid w:val="00D972E5"/>
    <w:rsid w:val="00D9761D"/>
    <w:rsid w:val="00DA595A"/>
    <w:rsid w:val="00DA70FE"/>
    <w:rsid w:val="00DA7186"/>
    <w:rsid w:val="00DA7558"/>
    <w:rsid w:val="00DA758A"/>
    <w:rsid w:val="00DA7DA5"/>
    <w:rsid w:val="00DB0F73"/>
    <w:rsid w:val="00DB1038"/>
    <w:rsid w:val="00DB1BB3"/>
    <w:rsid w:val="00DB1FC5"/>
    <w:rsid w:val="00DB275A"/>
    <w:rsid w:val="00DB368B"/>
    <w:rsid w:val="00DB3CAC"/>
    <w:rsid w:val="00DB4864"/>
    <w:rsid w:val="00DB51E0"/>
    <w:rsid w:val="00DB5E04"/>
    <w:rsid w:val="00DB6762"/>
    <w:rsid w:val="00DC096C"/>
    <w:rsid w:val="00DC0E07"/>
    <w:rsid w:val="00DC16AF"/>
    <w:rsid w:val="00DC397D"/>
    <w:rsid w:val="00DC3F3F"/>
    <w:rsid w:val="00DC4E09"/>
    <w:rsid w:val="00DC50A1"/>
    <w:rsid w:val="00DD0225"/>
    <w:rsid w:val="00DD07C9"/>
    <w:rsid w:val="00DD2D40"/>
    <w:rsid w:val="00DD302A"/>
    <w:rsid w:val="00DD34C9"/>
    <w:rsid w:val="00DD4FE0"/>
    <w:rsid w:val="00DD64AD"/>
    <w:rsid w:val="00DD6897"/>
    <w:rsid w:val="00DD6AFF"/>
    <w:rsid w:val="00DD6D45"/>
    <w:rsid w:val="00DE0EEE"/>
    <w:rsid w:val="00DE33D0"/>
    <w:rsid w:val="00DE38D6"/>
    <w:rsid w:val="00DE3B1C"/>
    <w:rsid w:val="00DE659B"/>
    <w:rsid w:val="00DE6E33"/>
    <w:rsid w:val="00DE7664"/>
    <w:rsid w:val="00DF00CA"/>
    <w:rsid w:val="00DF0843"/>
    <w:rsid w:val="00DF0A25"/>
    <w:rsid w:val="00DF1AD3"/>
    <w:rsid w:val="00DF39E7"/>
    <w:rsid w:val="00DF3EE3"/>
    <w:rsid w:val="00DF4039"/>
    <w:rsid w:val="00DF44EE"/>
    <w:rsid w:val="00DF46BD"/>
    <w:rsid w:val="00DF4C69"/>
    <w:rsid w:val="00DF4D40"/>
    <w:rsid w:val="00E00739"/>
    <w:rsid w:val="00E011DA"/>
    <w:rsid w:val="00E0146C"/>
    <w:rsid w:val="00E01D6B"/>
    <w:rsid w:val="00E02E6F"/>
    <w:rsid w:val="00E02F42"/>
    <w:rsid w:val="00E0364F"/>
    <w:rsid w:val="00E0502E"/>
    <w:rsid w:val="00E05C45"/>
    <w:rsid w:val="00E070F4"/>
    <w:rsid w:val="00E07A37"/>
    <w:rsid w:val="00E10273"/>
    <w:rsid w:val="00E13AF5"/>
    <w:rsid w:val="00E13E6E"/>
    <w:rsid w:val="00E14583"/>
    <w:rsid w:val="00E16DE6"/>
    <w:rsid w:val="00E16EDD"/>
    <w:rsid w:val="00E173B7"/>
    <w:rsid w:val="00E17F22"/>
    <w:rsid w:val="00E20831"/>
    <w:rsid w:val="00E21205"/>
    <w:rsid w:val="00E214E9"/>
    <w:rsid w:val="00E23DA3"/>
    <w:rsid w:val="00E25D78"/>
    <w:rsid w:val="00E27207"/>
    <w:rsid w:val="00E31839"/>
    <w:rsid w:val="00E31CA4"/>
    <w:rsid w:val="00E32CA3"/>
    <w:rsid w:val="00E32EB6"/>
    <w:rsid w:val="00E34821"/>
    <w:rsid w:val="00E350FE"/>
    <w:rsid w:val="00E36926"/>
    <w:rsid w:val="00E426E0"/>
    <w:rsid w:val="00E44973"/>
    <w:rsid w:val="00E4531A"/>
    <w:rsid w:val="00E470AC"/>
    <w:rsid w:val="00E475D3"/>
    <w:rsid w:val="00E47B5B"/>
    <w:rsid w:val="00E50E55"/>
    <w:rsid w:val="00E51F68"/>
    <w:rsid w:val="00E5214C"/>
    <w:rsid w:val="00E5355C"/>
    <w:rsid w:val="00E53B49"/>
    <w:rsid w:val="00E53DE1"/>
    <w:rsid w:val="00E54475"/>
    <w:rsid w:val="00E550F2"/>
    <w:rsid w:val="00E554BD"/>
    <w:rsid w:val="00E56B7E"/>
    <w:rsid w:val="00E575FA"/>
    <w:rsid w:val="00E601B0"/>
    <w:rsid w:val="00E61AA4"/>
    <w:rsid w:val="00E62B58"/>
    <w:rsid w:val="00E6328C"/>
    <w:rsid w:val="00E63F79"/>
    <w:rsid w:val="00E6420E"/>
    <w:rsid w:val="00E64294"/>
    <w:rsid w:val="00E655FF"/>
    <w:rsid w:val="00E67747"/>
    <w:rsid w:val="00E70FE6"/>
    <w:rsid w:val="00E71109"/>
    <w:rsid w:val="00E713F5"/>
    <w:rsid w:val="00E717FB"/>
    <w:rsid w:val="00E72B98"/>
    <w:rsid w:val="00E73495"/>
    <w:rsid w:val="00E74373"/>
    <w:rsid w:val="00E75225"/>
    <w:rsid w:val="00E75517"/>
    <w:rsid w:val="00E825C5"/>
    <w:rsid w:val="00E82711"/>
    <w:rsid w:val="00E82962"/>
    <w:rsid w:val="00E82F54"/>
    <w:rsid w:val="00E83993"/>
    <w:rsid w:val="00E8417B"/>
    <w:rsid w:val="00E84ADF"/>
    <w:rsid w:val="00E85298"/>
    <w:rsid w:val="00E86E88"/>
    <w:rsid w:val="00E87571"/>
    <w:rsid w:val="00E87F9E"/>
    <w:rsid w:val="00E9014E"/>
    <w:rsid w:val="00E904C3"/>
    <w:rsid w:val="00E936D1"/>
    <w:rsid w:val="00E93BF0"/>
    <w:rsid w:val="00E93E08"/>
    <w:rsid w:val="00E977B4"/>
    <w:rsid w:val="00E97EB3"/>
    <w:rsid w:val="00EA0507"/>
    <w:rsid w:val="00EA10AB"/>
    <w:rsid w:val="00EA20B2"/>
    <w:rsid w:val="00EA4491"/>
    <w:rsid w:val="00EA5177"/>
    <w:rsid w:val="00EA580D"/>
    <w:rsid w:val="00EA6CFB"/>
    <w:rsid w:val="00EA77E1"/>
    <w:rsid w:val="00EB048A"/>
    <w:rsid w:val="00EB148B"/>
    <w:rsid w:val="00EB22E9"/>
    <w:rsid w:val="00EB2F49"/>
    <w:rsid w:val="00EB3C17"/>
    <w:rsid w:val="00EB4116"/>
    <w:rsid w:val="00EB4F32"/>
    <w:rsid w:val="00EB55F2"/>
    <w:rsid w:val="00EC0486"/>
    <w:rsid w:val="00EC2525"/>
    <w:rsid w:val="00EC2EBA"/>
    <w:rsid w:val="00EC64D7"/>
    <w:rsid w:val="00ED1A56"/>
    <w:rsid w:val="00ED2E3E"/>
    <w:rsid w:val="00ED591B"/>
    <w:rsid w:val="00ED59E0"/>
    <w:rsid w:val="00ED6F79"/>
    <w:rsid w:val="00ED7806"/>
    <w:rsid w:val="00EE0578"/>
    <w:rsid w:val="00EE12A9"/>
    <w:rsid w:val="00EE5E42"/>
    <w:rsid w:val="00EE6EE0"/>
    <w:rsid w:val="00EE76E6"/>
    <w:rsid w:val="00EE7DB5"/>
    <w:rsid w:val="00EE7DB7"/>
    <w:rsid w:val="00EF010F"/>
    <w:rsid w:val="00EF0952"/>
    <w:rsid w:val="00EF0A73"/>
    <w:rsid w:val="00EF2180"/>
    <w:rsid w:val="00EF27D7"/>
    <w:rsid w:val="00EF4A75"/>
    <w:rsid w:val="00EF6841"/>
    <w:rsid w:val="00F004E6"/>
    <w:rsid w:val="00F00ED6"/>
    <w:rsid w:val="00F01035"/>
    <w:rsid w:val="00F01AF7"/>
    <w:rsid w:val="00F02709"/>
    <w:rsid w:val="00F03703"/>
    <w:rsid w:val="00F03CDB"/>
    <w:rsid w:val="00F0408B"/>
    <w:rsid w:val="00F04163"/>
    <w:rsid w:val="00F041C9"/>
    <w:rsid w:val="00F053C9"/>
    <w:rsid w:val="00F06479"/>
    <w:rsid w:val="00F1107F"/>
    <w:rsid w:val="00F1414F"/>
    <w:rsid w:val="00F14D16"/>
    <w:rsid w:val="00F15412"/>
    <w:rsid w:val="00F16278"/>
    <w:rsid w:val="00F16FCE"/>
    <w:rsid w:val="00F17BDD"/>
    <w:rsid w:val="00F22918"/>
    <w:rsid w:val="00F22EB1"/>
    <w:rsid w:val="00F24686"/>
    <w:rsid w:val="00F2632D"/>
    <w:rsid w:val="00F273CB"/>
    <w:rsid w:val="00F30718"/>
    <w:rsid w:val="00F317A0"/>
    <w:rsid w:val="00F31B10"/>
    <w:rsid w:val="00F3391E"/>
    <w:rsid w:val="00F35892"/>
    <w:rsid w:val="00F35946"/>
    <w:rsid w:val="00F361EE"/>
    <w:rsid w:val="00F408D6"/>
    <w:rsid w:val="00F415A3"/>
    <w:rsid w:val="00F42033"/>
    <w:rsid w:val="00F433DF"/>
    <w:rsid w:val="00F44362"/>
    <w:rsid w:val="00F44579"/>
    <w:rsid w:val="00F473D7"/>
    <w:rsid w:val="00F5045F"/>
    <w:rsid w:val="00F5159E"/>
    <w:rsid w:val="00F51731"/>
    <w:rsid w:val="00F52687"/>
    <w:rsid w:val="00F52F54"/>
    <w:rsid w:val="00F5434A"/>
    <w:rsid w:val="00F55B42"/>
    <w:rsid w:val="00F56A77"/>
    <w:rsid w:val="00F5706D"/>
    <w:rsid w:val="00F576C4"/>
    <w:rsid w:val="00F60486"/>
    <w:rsid w:val="00F62B36"/>
    <w:rsid w:val="00F63339"/>
    <w:rsid w:val="00F64C33"/>
    <w:rsid w:val="00F67D05"/>
    <w:rsid w:val="00F70CFF"/>
    <w:rsid w:val="00F70F38"/>
    <w:rsid w:val="00F73DAD"/>
    <w:rsid w:val="00F74DCE"/>
    <w:rsid w:val="00F75344"/>
    <w:rsid w:val="00F75DB2"/>
    <w:rsid w:val="00F76E6A"/>
    <w:rsid w:val="00F77351"/>
    <w:rsid w:val="00F8062D"/>
    <w:rsid w:val="00F83F39"/>
    <w:rsid w:val="00F8505C"/>
    <w:rsid w:val="00F85086"/>
    <w:rsid w:val="00F86186"/>
    <w:rsid w:val="00F868C0"/>
    <w:rsid w:val="00F90317"/>
    <w:rsid w:val="00F90A9E"/>
    <w:rsid w:val="00F90C53"/>
    <w:rsid w:val="00F921CF"/>
    <w:rsid w:val="00F932A5"/>
    <w:rsid w:val="00F95106"/>
    <w:rsid w:val="00F961F3"/>
    <w:rsid w:val="00FA0BBA"/>
    <w:rsid w:val="00FA0CFC"/>
    <w:rsid w:val="00FA1EAD"/>
    <w:rsid w:val="00FA1F5F"/>
    <w:rsid w:val="00FA2858"/>
    <w:rsid w:val="00FA3044"/>
    <w:rsid w:val="00FA37D5"/>
    <w:rsid w:val="00FA39CD"/>
    <w:rsid w:val="00FA3ABD"/>
    <w:rsid w:val="00FA3EAB"/>
    <w:rsid w:val="00FA507A"/>
    <w:rsid w:val="00FA6968"/>
    <w:rsid w:val="00FA6D17"/>
    <w:rsid w:val="00FA74EF"/>
    <w:rsid w:val="00FA7D4D"/>
    <w:rsid w:val="00FB0C18"/>
    <w:rsid w:val="00FB4480"/>
    <w:rsid w:val="00FB56CC"/>
    <w:rsid w:val="00FB71AF"/>
    <w:rsid w:val="00FC4C3F"/>
    <w:rsid w:val="00FC6782"/>
    <w:rsid w:val="00FC6EBF"/>
    <w:rsid w:val="00FD0AE5"/>
    <w:rsid w:val="00FD22AD"/>
    <w:rsid w:val="00FD451A"/>
    <w:rsid w:val="00FD47B4"/>
    <w:rsid w:val="00FD5EB4"/>
    <w:rsid w:val="00FE11E3"/>
    <w:rsid w:val="00FE3A8F"/>
    <w:rsid w:val="00FE71FF"/>
    <w:rsid w:val="00FE7B25"/>
    <w:rsid w:val="00FF0EB3"/>
    <w:rsid w:val="00FF2551"/>
    <w:rsid w:val="00FF25A5"/>
    <w:rsid w:val="00FF2AC6"/>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 w:type="paragraph" w:styleId="EndnoteText">
    <w:name w:val="endnote text"/>
    <w:basedOn w:val="Normal"/>
    <w:link w:val="EndnoteTextChar"/>
    <w:uiPriority w:val="99"/>
    <w:semiHidden/>
    <w:unhideWhenUsed/>
    <w:rsid w:val="006B19F1"/>
    <w:rPr>
      <w:sz w:val="20"/>
      <w:szCs w:val="20"/>
    </w:rPr>
  </w:style>
  <w:style w:type="character" w:customStyle="1" w:styleId="EndnoteTextChar">
    <w:name w:val="Endnote Text Char"/>
    <w:basedOn w:val="DefaultParagraphFont"/>
    <w:link w:val="EndnoteText"/>
    <w:uiPriority w:val="99"/>
    <w:semiHidden/>
    <w:rsid w:val="006B19F1"/>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B19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 w:type="paragraph" w:styleId="EndnoteText">
    <w:name w:val="endnote text"/>
    <w:basedOn w:val="Normal"/>
    <w:link w:val="EndnoteTextChar"/>
    <w:uiPriority w:val="99"/>
    <w:semiHidden/>
    <w:unhideWhenUsed/>
    <w:rsid w:val="006B19F1"/>
    <w:rPr>
      <w:sz w:val="20"/>
      <w:szCs w:val="20"/>
    </w:rPr>
  </w:style>
  <w:style w:type="character" w:customStyle="1" w:styleId="EndnoteTextChar">
    <w:name w:val="Endnote Text Char"/>
    <w:basedOn w:val="DefaultParagraphFont"/>
    <w:link w:val="EndnoteText"/>
    <w:uiPriority w:val="99"/>
    <w:semiHidden/>
    <w:rsid w:val="006B19F1"/>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B19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428">
      <w:bodyDiv w:val="1"/>
      <w:marLeft w:val="0"/>
      <w:marRight w:val="0"/>
      <w:marTop w:val="0"/>
      <w:marBottom w:val="0"/>
      <w:divBdr>
        <w:top w:val="none" w:sz="0" w:space="0" w:color="auto"/>
        <w:left w:val="none" w:sz="0" w:space="0" w:color="auto"/>
        <w:bottom w:val="none" w:sz="0" w:space="0" w:color="auto"/>
        <w:right w:val="none" w:sz="0" w:space="0" w:color="auto"/>
      </w:divBdr>
    </w:div>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4521352">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32006199">
      <w:bodyDiv w:val="1"/>
      <w:marLeft w:val="0"/>
      <w:marRight w:val="0"/>
      <w:marTop w:val="0"/>
      <w:marBottom w:val="0"/>
      <w:divBdr>
        <w:top w:val="none" w:sz="0" w:space="0" w:color="auto"/>
        <w:left w:val="none" w:sz="0" w:space="0" w:color="auto"/>
        <w:bottom w:val="none" w:sz="0" w:space="0" w:color="auto"/>
        <w:right w:val="none" w:sz="0" w:space="0" w:color="auto"/>
      </w:divBdr>
    </w:div>
    <w:div w:id="33772899">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45491066">
      <w:bodyDiv w:val="1"/>
      <w:marLeft w:val="0"/>
      <w:marRight w:val="0"/>
      <w:marTop w:val="0"/>
      <w:marBottom w:val="0"/>
      <w:divBdr>
        <w:top w:val="none" w:sz="0" w:space="0" w:color="auto"/>
        <w:left w:val="none" w:sz="0" w:space="0" w:color="auto"/>
        <w:bottom w:val="none" w:sz="0" w:space="0" w:color="auto"/>
        <w:right w:val="none" w:sz="0" w:space="0" w:color="auto"/>
      </w:divBdr>
    </w:div>
    <w:div w:id="62027863">
      <w:bodyDiv w:val="1"/>
      <w:marLeft w:val="0"/>
      <w:marRight w:val="0"/>
      <w:marTop w:val="0"/>
      <w:marBottom w:val="0"/>
      <w:divBdr>
        <w:top w:val="none" w:sz="0" w:space="0" w:color="auto"/>
        <w:left w:val="none" w:sz="0" w:space="0" w:color="auto"/>
        <w:bottom w:val="none" w:sz="0" w:space="0" w:color="auto"/>
        <w:right w:val="none" w:sz="0" w:space="0" w:color="auto"/>
      </w:divBdr>
    </w:div>
    <w:div w:id="62608927">
      <w:bodyDiv w:val="1"/>
      <w:marLeft w:val="0"/>
      <w:marRight w:val="0"/>
      <w:marTop w:val="0"/>
      <w:marBottom w:val="0"/>
      <w:divBdr>
        <w:top w:val="none" w:sz="0" w:space="0" w:color="auto"/>
        <w:left w:val="none" w:sz="0" w:space="0" w:color="auto"/>
        <w:bottom w:val="none" w:sz="0" w:space="0" w:color="auto"/>
        <w:right w:val="none" w:sz="0" w:space="0" w:color="auto"/>
      </w:divBdr>
    </w:div>
    <w:div w:id="82385414">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21382713">
      <w:bodyDiv w:val="1"/>
      <w:marLeft w:val="0"/>
      <w:marRight w:val="0"/>
      <w:marTop w:val="0"/>
      <w:marBottom w:val="0"/>
      <w:divBdr>
        <w:top w:val="none" w:sz="0" w:space="0" w:color="auto"/>
        <w:left w:val="none" w:sz="0" w:space="0" w:color="auto"/>
        <w:bottom w:val="none" w:sz="0" w:space="0" w:color="auto"/>
        <w:right w:val="none" w:sz="0" w:space="0" w:color="auto"/>
      </w:divBdr>
    </w:div>
    <w:div w:id="140851689">
      <w:bodyDiv w:val="1"/>
      <w:marLeft w:val="0"/>
      <w:marRight w:val="0"/>
      <w:marTop w:val="0"/>
      <w:marBottom w:val="0"/>
      <w:divBdr>
        <w:top w:val="none" w:sz="0" w:space="0" w:color="auto"/>
        <w:left w:val="none" w:sz="0" w:space="0" w:color="auto"/>
        <w:bottom w:val="none" w:sz="0" w:space="0" w:color="auto"/>
        <w:right w:val="none" w:sz="0" w:space="0" w:color="auto"/>
      </w:divBdr>
    </w:div>
    <w:div w:id="154421146">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60896589">
      <w:bodyDiv w:val="1"/>
      <w:marLeft w:val="0"/>
      <w:marRight w:val="0"/>
      <w:marTop w:val="0"/>
      <w:marBottom w:val="0"/>
      <w:divBdr>
        <w:top w:val="none" w:sz="0" w:space="0" w:color="auto"/>
        <w:left w:val="none" w:sz="0" w:space="0" w:color="auto"/>
        <w:bottom w:val="none" w:sz="0" w:space="0" w:color="auto"/>
        <w:right w:val="none" w:sz="0" w:space="0" w:color="auto"/>
      </w:divBdr>
    </w:div>
    <w:div w:id="167839403">
      <w:bodyDiv w:val="1"/>
      <w:marLeft w:val="0"/>
      <w:marRight w:val="0"/>
      <w:marTop w:val="0"/>
      <w:marBottom w:val="0"/>
      <w:divBdr>
        <w:top w:val="none" w:sz="0" w:space="0" w:color="auto"/>
        <w:left w:val="none" w:sz="0" w:space="0" w:color="auto"/>
        <w:bottom w:val="none" w:sz="0" w:space="0" w:color="auto"/>
        <w:right w:val="none" w:sz="0" w:space="0" w:color="auto"/>
      </w:divBdr>
    </w:div>
    <w:div w:id="170147776">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177542639">
      <w:bodyDiv w:val="1"/>
      <w:marLeft w:val="0"/>
      <w:marRight w:val="0"/>
      <w:marTop w:val="0"/>
      <w:marBottom w:val="0"/>
      <w:divBdr>
        <w:top w:val="none" w:sz="0" w:space="0" w:color="auto"/>
        <w:left w:val="none" w:sz="0" w:space="0" w:color="auto"/>
        <w:bottom w:val="none" w:sz="0" w:space="0" w:color="auto"/>
        <w:right w:val="none" w:sz="0" w:space="0" w:color="auto"/>
      </w:divBdr>
    </w:div>
    <w:div w:id="178395274">
      <w:bodyDiv w:val="1"/>
      <w:marLeft w:val="0"/>
      <w:marRight w:val="0"/>
      <w:marTop w:val="0"/>
      <w:marBottom w:val="0"/>
      <w:divBdr>
        <w:top w:val="none" w:sz="0" w:space="0" w:color="auto"/>
        <w:left w:val="none" w:sz="0" w:space="0" w:color="auto"/>
        <w:bottom w:val="none" w:sz="0" w:space="0" w:color="auto"/>
        <w:right w:val="none" w:sz="0" w:space="0" w:color="auto"/>
      </w:divBdr>
    </w:div>
    <w:div w:id="183132783">
      <w:bodyDiv w:val="1"/>
      <w:marLeft w:val="0"/>
      <w:marRight w:val="0"/>
      <w:marTop w:val="0"/>
      <w:marBottom w:val="0"/>
      <w:divBdr>
        <w:top w:val="none" w:sz="0" w:space="0" w:color="auto"/>
        <w:left w:val="none" w:sz="0" w:space="0" w:color="auto"/>
        <w:bottom w:val="none" w:sz="0" w:space="0" w:color="auto"/>
        <w:right w:val="none" w:sz="0" w:space="0" w:color="auto"/>
      </w:divBdr>
    </w:div>
    <w:div w:id="184708090">
      <w:bodyDiv w:val="1"/>
      <w:marLeft w:val="0"/>
      <w:marRight w:val="0"/>
      <w:marTop w:val="0"/>
      <w:marBottom w:val="0"/>
      <w:divBdr>
        <w:top w:val="none" w:sz="0" w:space="0" w:color="auto"/>
        <w:left w:val="none" w:sz="0" w:space="0" w:color="auto"/>
        <w:bottom w:val="none" w:sz="0" w:space="0" w:color="auto"/>
        <w:right w:val="none" w:sz="0" w:space="0" w:color="auto"/>
      </w:divBdr>
    </w:div>
    <w:div w:id="190000313">
      <w:bodyDiv w:val="1"/>
      <w:marLeft w:val="0"/>
      <w:marRight w:val="0"/>
      <w:marTop w:val="0"/>
      <w:marBottom w:val="0"/>
      <w:divBdr>
        <w:top w:val="none" w:sz="0" w:space="0" w:color="auto"/>
        <w:left w:val="none" w:sz="0" w:space="0" w:color="auto"/>
        <w:bottom w:val="none" w:sz="0" w:space="0" w:color="auto"/>
        <w:right w:val="none" w:sz="0" w:space="0" w:color="auto"/>
      </w:divBdr>
    </w:div>
    <w:div w:id="200020271">
      <w:bodyDiv w:val="1"/>
      <w:marLeft w:val="0"/>
      <w:marRight w:val="0"/>
      <w:marTop w:val="0"/>
      <w:marBottom w:val="0"/>
      <w:divBdr>
        <w:top w:val="none" w:sz="0" w:space="0" w:color="auto"/>
        <w:left w:val="none" w:sz="0" w:space="0" w:color="auto"/>
        <w:bottom w:val="none" w:sz="0" w:space="0" w:color="auto"/>
        <w:right w:val="none" w:sz="0" w:space="0" w:color="auto"/>
      </w:divBdr>
    </w:div>
    <w:div w:id="201672099">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08882317">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33053855">
      <w:bodyDiv w:val="1"/>
      <w:marLeft w:val="0"/>
      <w:marRight w:val="0"/>
      <w:marTop w:val="0"/>
      <w:marBottom w:val="0"/>
      <w:divBdr>
        <w:top w:val="none" w:sz="0" w:space="0" w:color="auto"/>
        <w:left w:val="none" w:sz="0" w:space="0" w:color="auto"/>
        <w:bottom w:val="none" w:sz="0" w:space="0" w:color="auto"/>
        <w:right w:val="none" w:sz="0" w:space="0" w:color="auto"/>
      </w:divBdr>
    </w:div>
    <w:div w:id="245186755">
      <w:bodyDiv w:val="1"/>
      <w:marLeft w:val="0"/>
      <w:marRight w:val="0"/>
      <w:marTop w:val="0"/>
      <w:marBottom w:val="0"/>
      <w:divBdr>
        <w:top w:val="none" w:sz="0" w:space="0" w:color="auto"/>
        <w:left w:val="none" w:sz="0" w:space="0" w:color="auto"/>
        <w:bottom w:val="none" w:sz="0" w:space="0" w:color="auto"/>
        <w:right w:val="none" w:sz="0" w:space="0" w:color="auto"/>
      </w:divBdr>
    </w:div>
    <w:div w:id="252249364">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4024915">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297536894">
      <w:bodyDiv w:val="1"/>
      <w:marLeft w:val="0"/>
      <w:marRight w:val="0"/>
      <w:marTop w:val="0"/>
      <w:marBottom w:val="0"/>
      <w:divBdr>
        <w:top w:val="none" w:sz="0" w:space="0" w:color="auto"/>
        <w:left w:val="none" w:sz="0" w:space="0" w:color="auto"/>
        <w:bottom w:val="none" w:sz="0" w:space="0" w:color="auto"/>
        <w:right w:val="none" w:sz="0" w:space="0" w:color="auto"/>
      </w:divBdr>
    </w:div>
    <w:div w:id="299042772">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26059004">
      <w:bodyDiv w:val="1"/>
      <w:marLeft w:val="0"/>
      <w:marRight w:val="0"/>
      <w:marTop w:val="0"/>
      <w:marBottom w:val="0"/>
      <w:divBdr>
        <w:top w:val="none" w:sz="0" w:space="0" w:color="auto"/>
        <w:left w:val="none" w:sz="0" w:space="0" w:color="auto"/>
        <w:bottom w:val="none" w:sz="0" w:space="0" w:color="auto"/>
        <w:right w:val="none" w:sz="0" w:space="0" w:color="auto"/>
      </w:divBdr>
    </w:div>
    <w:div w:id="332611325">
      <w:bodyDiv w:val="1"/>
      <w:marLeft w:val="0"/>
      <w:marRight w:val="0"/>
      <w:marTop w:val="0"/>
      <w:marBottom w:val="0"/>
      <w:divBdr>
        <w:top w:val="none" w:sz="0" w:space="0" w:color="auto"/>
        <w:left w:val="none" w:sz="0" w:space="0" w:color="auto"/>
        <w:bottom w:val="none" w:sz="0" w:space="0" w:color="auto"/>
        <w:right w:val="none" w:sz="0" w:space="0" w:color="auto"/>
      </w:divBdr>
    </w:div>
    <w:div w:id="351224892">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79549316">
      <w:bodyDiv w:val="1"/>
      <w:marLeft w:val="0"/>
      <w:marRight w:val="0"/>
      <w:marTop w:val="0"/>
      <w:marBottom w:val="0"/>
      <w:divBdr>
        <w:top w:val="none" w:sz="0" w:space="0" w:color="auto"/>
        <w:left w:val="none" w:sz="0" w:space="0" w:color="auto"/>
        <w:bottom w:val="none" w:sz="0" w:space="0" w:color="auto"/>
        <w:right w:val="none" w:sz="0" w:space="0" w:color="auto"/>
      </w:divBdr>
    </w:div>
    <w:div w:id="382291808">
      <w:bodyDiv w:val="1"/>
      <w:marLeft w:val="0"/>
      <w:marRight w:val="0"/>
      <w:marTop w:val="0"/>
      <w:marBottom w:val="0"/>
      <w:divBdr>
        <w:top w:val="none" w:sz="0" w:space="0" w:color="auto"/>
        <w:left w:val="none" w:sz="0" w:space="0" w:color="auto"/>
        <w:bottom w:val="none" w:sz="0" w:space="0" w:color="auto"/>
        <w:right w:val="none" w:sz="0" w:space="0" w:color="auto"/>
      </w:divBdr>
    </w:div>
    <w:div w:id="390234084">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6926273">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09811921">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7233512">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29736950">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1922421">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6597586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490295352">
      <w:bodyDiv w:val="1"/>
      <w:marLeft w:val="0"/>
      <w:marRight w:val="0"/>
      <w:marTop w:val="0"/>
      <w:marBottom w:val="0"/>
      <w:divBdr>
        <w:top w:val="none" w:sz="0" w:space="0" w:color="auto"/>
        <w:left w:val="none" w:sz="0" w:space="0" w:color="auto"/>
        <w:bottom w:val="none" w:sz="0" w:space="0" w:color="auto"/>
        <w:right w:val="none" w:sz="0" w:space="0" w:color="auto"/>
      </w:divBdr>
    </w:div>
    <w:div w:id="495875504">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10951296">
      <w:bodyDiv w:val="1"/>
      <w:marLeft w:val="0"/>
      <w:marRight w:val="0"/>
      <w:marTop w:val="0"/>
      <w:marBottom w:val="0"/>
      <w:divBdr>
        <w:top w:val="none" w:sz="0" w:space="0" w:color="auto"/>
        <w:left w:val="none" w:sz="0" w:space="0" w:color="auto"/>
        <w:bottom w:val="none" w:sz="0" w:space="0" w:color="auto"/>
        <w:right w:val="none" w:sz="0" w:space="0" w:color="auto"/>
      </w:divBdr>
    </w:div>
    <w:div w:id="51749932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3616086">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8278914">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4508489">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74435745">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598031587">
      <w:bodyDiv w:val="1"/>
      <w:marLeft w:val="0"/>
      <w:marRight w:val="0"/>
      <w:marTop w:val="0"/>
      <w:marBottom w:val="0"/>
      <w:divBdr>
        <w:top w:val="none" w:sz="0" w:space="0" w:color="auto"/>
        <w:left w:val="none" w:sz="0" w:space="0" w:color="auto"/>
        <w:bottom w:val="none" w:sz="0" w:space="0" w:color="auto"/>
        <w:right w:val="none" w:sz="0" w:space="0" w:color="auto"/>
      </w:divBdr>
    </w:div>
    <w:div w:id="607195688">
      <w:bodyDiv w:val="1"/>
      <w:marLeft w:val="0"/>
      <w:marRight w:val="0"/>
      <w:marTop w:val="0"/>
      <w:marBottom w:val="0"/>
      <w:divBdr>
        <w:top w:val="none" w:sz="0" w:space="0" w:color="auto"/>
        <w:left w:val="none" w:sz="0" w:space="0" w:color="auto"/>
        <w:bottom w:val="none" w:sz="0" w:space="0" w:color="auto"/>
        <w:right w:val="none" w:sz="0" w:space="0" w:color="auto"/>
      </w:divBdr>
    </w:div>
    <w:div w:id="608052311">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26815944">
      <w:bodyDiv w:val="1"/>
      <w:marLeft w:val="0"/>
      <w:marRight w:val="0"/>
      <w:marTop w:val="0"/>
      <w:marBottom w:val="0"/>
      <w:divBdr>
        <w:top w:val="none" w:sz="0" w:space="0" w:color="auto"/>
        <w:left w:val="none" w:sz="0" w:space="0" w:color="auto"/>
        <w:bottom w:val="none" w:sz="0" w:space="0" w:color="auto"/>
        <w:right w:val="none" w:sz="0" w:space="0" w:color="auto"/>
      </w:divBdr>
    </w:div>
    <w:div w:id="627391964">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55033687">
      <w:bodyDiv w:val="1"/>
      <w:marLeft w:val="0"/>
      <w:marRight w:val="0"/>
      <w:marTop w:val="0"/>
      <w:marBottom w:val="0"/>
      <w:divBdr>
        <w:top w:val="none" w:sz="0" w:space="0" w:color="auto"/>
        <w:left w:val="none" w:sz="0" w:space="0" w:color="auto"/>
        <w:bottom w:val="none" w:sz="0" w:space="0" w:color="auto"/>
        <w:right w:val="none" w:sz="0" w:space="0" w:color="auto"/>
      </w:divBdr>
    </w:div>
    <w:div w:id="672221307">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685326561">
      <w:bodyDiv w:val="1"/>
      <w:marLeft w:val="0"/>
      <w:marRight w:val="0"/>
      <w:marTop w:val="0"/>
      <w:marBottom w:val="0"/>
      <w:divBdr>
        <w:top w:val="none" w:sz="0" w:space="0" w:color="auto"/>
        <w:left w:val="none" w:sz="0" w:space="0" w:color="auto"/>
        <w:bottom w:val="none" w:sz="0" w:space="0" w:color="auto"/>
        <w:right w:val="none" w:sz="0" w:space="0" w:color="auto"/>
      </w:divBdr>
    </w:div>
    <w:div w:id="690302403">
      <w:bodyDiv w:val="1"/>
      <w:marLeft w:val="0"/>
      <w:marRight w:val="0"/>
      <w:marTop w:val="0"/>
      <w:marBottom w:val="0"/>
      <w:divBdr>
        <w:top w:val="none" w:sz="0" w:space="0" w:color="auto"/>
        <w:left w:val="none" w:sz="0" w:space="0" w:color="auto"/>
        <w:bottom w:val="none" w:sz="0" w:space="0" w:color="auto"/>
        <w:right w:val="none" w:sz="0" w:space="0" w:color="auto"/>
      </w:divBdr>
    </w:div>
    <w:div w:id="707607026">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1373271">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55248967">
      <w:bodyDiv w:val="1"/>
      <w:marLeft w:val="0"/>
      <w:marRight w:val="0"/>
      <w:marTop w:val="0"/>
      <w:marBottom w:val="0"/>
      <w:divBdr>
        <w:top w:val="none" w:sz="0" w:space="0" w:color="auto"/>
        <w:left w:val="none" w:sz="0" w:space="0" w:color="auto"/>
        <w:bottom w:val="none" w:sz="0" w:space="0" w:color="auto"/>
        <w:right w:val="none" w:sz="0" w:space="0" w:color="auto"/>
      </w:divBdr>
    </w:div>
    <w:div w:id="765156027">
      <w:bodyDiv w:val="1"/>
      <w:marLeft w:val="0"/>
      <w:marRight w:val="0"/>
      <w:marTop w:val="0"/>
      <w:marBottom w:val="0"/>
      <w:divBdr>
        <w:top w:val="none" w:sz="0" w:space="0" w:color="auto"/>
        <w:left w:val="none" w:sz="0" w:space="0" w:color="auto"/>
        <w:bottom w:val="none" w:sz="0" w:space="0" w:color="auto"/>
        <w:right w:val="none" w:sz="0" w:space="0" w:color="auto"/>
      </w:divBdr>
    </w:div>
    <w:div w:id="772556892">
      <w:bodyDiv w:val="1"/>
      <w:marLeft w:val="0"/>
      <w:marRight w:val="0"/>
      <w:marTop w:val="0"/>
      <w:marBottom w:val="0"/>
      <w:divBdr>
        <w:top w:val="none" w:sz="0" w:space="0" w:color="auto"/>
        <w:left w:val="none" w:sz="0" w:space="0" w:color="auto"/>
        <w:bottom w:val="none" w:sz="0" w:space="0" w:color="auto"/>
        <w:right w:val="none" w:sz="0" w:space="0" w:color="auto"/>
      </w:divBdr>
    </w:div>
    <w:div w:id="776949411">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4181470">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05851120">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21695696">
      <w:bodyDiv w:val="1"/>
      <w:marLeft w:val="0"/>
      <w:marRight w:val="0"/>
      <w:marTop w:val="0"/>
      <w:marBottom w:val="0"/>
      <w:divBdr>
        <w:top w:val="none" w:sz="0" w:space="0" w:color="auto"/>
        <w:left w:val="none" w:sz="0" w:space="0" w:color="auto"/>
        <w:bottom w:val="none" w:sz="0" w:space="0" w:color="auto"/>
        <w:right w:val="none" w:sz="0" w:space="0" w:color="auto"/>
      </w:divBdr>
    </w:div>
    <w:div w:id="828322939">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37380451">
      <w:bodyDiv w:val="1"/>
      <w:marLeft w:val="0"/>
      <w:marRight w:val="0"/>
      <w:marTop w:val="0"/>
      <w:marBottom w:val="0"/>
      <w:divBdr>
        <w:top w:val="none" w:sz="0" w:space="0" w:color="auto"/>
        <w:left w:val="none" w:sz="0" w:space="0" w:color="auto"/>
        <w:bottom w:val="none" w:sz="0" w:space="0" w:color="auto"/>
        <w:right w:val="none" w:sz="0" w:space="0" w:color="auto"/>
      </w:divBdr>
    </w:div>
    <w:div w:id="844320431">
      <w:bodyDiv w:val="1"/>
      <w:marLeft w:val="0"/>
      <w:marRight w:val="0"/>
      <w:marTop w:val="0"/>
      <w:marBottom w:val="0"/>
      <w:divBdr>
        <w:top w:val="none" w:sz="0" w:space="0" w:color="auto"/>
        <w:left w:val="none" w:sz="0" w:space="0" w:color="auto"/>
        <w:bottom w:val="none" w:sz="0" w:space="0" w:color="auto"/>
        <w:right w:val="none" w:sz="0" w:space="0" w:color="auto"/>
      </w:divBdr>
    </w:div>
    <w:div w:id="851719087">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1865385">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7843309">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4701052">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000522">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49433440">
      <w:bodyDiv w:val="1"/>
      <w:marLeft w:val="0"/>
      <w:marRight w:val="0"/>
      <w:marTop w:val="0"/>
      <w:marBottom w:val="0"/>
      <w:divBdr>
        <w:top w:val="none" w:sz="0" w:space="0" w:color="auto"/>
        <w:left w:val="none" w:sz="0" w:space="0" w:color="auto"/>
        <w:bottom w:val="none" w:sz="0" w:space="0" w:color="auto"/>
        <w:right w:val="none" w:sz="0" w:space="0" w:color="auto"/>
      </w:divBdr>
    </w:div>
    <w:div w:id="960914518">
      <w:bodyDiv w:val="1"/>
      <w:marLeft w:val="0"/>
      <w:marRight w:val="0"/>
      <w:marTop w:val="0"/>
      <w:marBottom w:val="0"/>
      <w:divBdr>
        <w:top w:val="none" w:sz="0" w:space="0" w:color="auto"/>
        <w:left w:val="none" w:sz="0" w:space="0" w:color="auto"/>
        <w:bottom w:val="none" w:sz="0" w:space="0" w:color="auto"/>
        <w:right w:val="none" w:sz="0" w:space="0" w:color="auto"/>
      </w:divBdr>
    </w:div>
    <w:div w:id="962537088">
      <w:bodyDiv w:val="1"/>
      <w:marLeft w:val="0"/>
      <w:marRight w:val="0"/>
      <w:marTop w:val="0"/>
      <w:marBottom w:val="0"/>
      <w:divBdr>
        <w:top w:val="none" w:sz="0" w:space="0" w:color="auto"/>
        <w:left w:val="none" w:sz="0" w:space="0" w:color="auto"/>
        <w:bottom w:val="none" w:sz="0" w:space="0" w:color="auto"/>
        <w:right w:val="none" w:sz="0" w:space="0" w:color="auto"/>
      </w:divBdr>
    </w:div>
    <w:div w:id="963581719">
      <w:bodyDiv w:val="1"/>
      <w:marLeft w:val="0"/>
      <w:marRight w:val="0"/>
      <w:marTop w:val="0"/>
      <w:marBottom w:val="0"/>
      <w:divBdr>
        <w:top w:val="none" w:sz="0" w:space="0" w:color="auto"/>
        <w:left w:val="none" w:sz="0" w:space="0" w:color="auto"/>
        <w:bottom w:val="none" w:sz="0" w:space="0" w:color="auto"/>
        <w:right w:val="none" w:sz="0" w:space="0" w:color="auto"/>
      </w:divBdr>
    </w:div>
    <w:div w:id="969021948">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969555308">
      <w:bodyDiv w:val="1"/>
      <w:marLeft w:val="0"/>
      <w:marRight w:val="0"/>
      <w:marTop w:val="0"/>
      <w:marBottom w:val="0"/>
      <w:divBdr>
        <w:top w:val="none" w:sz="0" w:space="0" w:color="auto"/>
        <w:left w:val="none" w:sz="0" w:space="0" w:color="auto"/>
        <w:bottom w:val="none" w:sz="0" w:space="0" w:color="auto"/>
        <w:right w:val="none" w:sz="0" w:space="0" w:color="auto"/>
      </w:divBdr>
    </w:div>
    <w:div w:id="990016564">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0842488">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5153871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23765133">
      <w:bodyDiv w:val="1"/>
      <w:marLeft w:val="0"/>
      <w:marRight w:val="0"/>
      <w:marTop w:val="0"/>
      <w:marBottom w:val="0"/>
      <w:divBdr>
        <w:top w:val="none" w:sz="0" w:space="0" w:color="auto"/>
        <w:left w:val="none" w:sz="0" w:space="0" w:color="auto"/>
        <w:bottom w:val="none" w:sz="0" w:space="0" w:color="auto"/>
        <w:right w:val="none" w:sz="0" w:space="0" w:color="auto"/>
      </w:divBdr>
    </w:div>
    <w:div w:id="1124810946">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46706741">
      <w:bodyDiv w:val="1"/>
      <w:marLeft w:val="0"/>
      <w:marRight w:val="0"/>
      <w:marTop w:val="0"/>
      <w:marBottom w:val="0"/>
      <w:divBdr>
        <w:top w:val="none" w:sz="0" w:space="0" w:color="auto"/>
        <w:left w:val="none" w:sz="0" w:space="0" w:color="auto"/>
        <w:bottom w:val="none" w:sz="0" w:space="0" w:color="auto"/>
        <w:right w:val="none" w:sz="0" w:space="0" w:color="auto"/>
      </w:divBdr>
    </w:div>
    <w:div w:id="1146892252">
      <w:bodyDiv w:val="1"/>
      <w:marLeft w:val="0"/>
      <w:marRight w:val="0"/>
      <w:marTop w:val="0"/>
      <w:marBottom w:val="0"/>
      <w:divBdr>
        <w:top w:val="none" w:sz="0" w:space="0" w:color="auto"/>
        <w:left w:val="none" w:sz="0" w:space="0" w:color="auto"/>
        <w:bottom w:val="none" w:sz="0" w:space="0" w:color="auto"/>
        <w:right w:val="none" w:sz="0" w:space="0" w:color="auto"/>
      </w:divBdr>
    </w:div>
    <w:div w:id="1165824365">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192644363">
      <w:bodyDiv w:val="1"/>
      <w:marLeft w:val="0"/>
      <w:marRight w:val="0"/>
      <w:marTop w:val="0"/>
      <w:marBottom w:val="0"/>
      <w:divBdr>
        <w:top w:val="none" w:sz="0" w:space="0" w:color="auto"/>
        <w:left w:val="none" w:sz="0" w:space="0" w:color="auto"/>
        <w:bottom w:val="none" w:sz="0" w:space="0" w:color="auto"/>
        <w:right w:val="none" w:sz="0" w:space="0" w:color="auto"/>
      </w:divBdr>
    </w:div>
    <w:div w:id="1196847208">
      <w:bodyDiv w:val="1"/>
      <w:marLeft w:val="0"/>
      <w:marRight w:val="0"/>
      <w:marTop w:val="0"/>
      <w:marBottom w:val="0"/>
      <w:divBdr>
        <w:top w:val="none" w:sz="0" w:space="0" w:color="auto"/>
        <w:left w:val="none" w:sz="0" w:space="0" w:color="auto"/>
        <w:bottom w:val="none" w:sz="0" w:space="0" w:color="auto"/>
        <w:right w:val="none" w:sz="0" w:space="0" w:color="auto"/>
      </w:divBdr>
    </w:div>
    <w:div w:id="1208567299">
      <w:bodyDiv w:val="1"/>
      <w:marLeft w:val="0"/>
      <w:marRight w:val="0"/>
      <w:marTop w:val="0"/>
      <w:marBottom w:val="0"/>
      <w:divBdr>
        <w:top w:val="none" w:sz="0" w:space="0" w:color="auto"/>
        <w:left w:val="none" w:sz="0" w:space="0" w:color="auto"/>
        <w:bottom w:val="none" w:sz="0" w:space="0" w:color="auto"/>
        <w:right w:val="none" w:sz="0" w:space="0" w:color="auto"/>
      </w:divBdr>
    </w:div>
    <w:div w:id="1209147737">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0037859">
      <w:bodyDiv w:val="1"/>
      <w:marLeft w:val="0"/>
      <w:marRight w:val="0"/>
      <w:marTop w:val="0"/>
      <w:marBottom w:val="0"/>
      <w:divBdr>
        <w:top w:val="none" w:sz="0" w:space="0" w:color="auto"/>
        <w:left w:val="none" w:sz="0" w:space="0" w:color="auto"/>
        <w:bottom w:val="none" w:sz="0" w:space="0" w:color="auto"/>
        <w:right w:val="none" w:sz="0" w:space="0" w:color="auto"/>
      </w:divBdr>
    </w:div>
    <w:div w:id="1250624202">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2515548">
      <w:bodyDiv w:val="1"/>
      <w:marLeft w:val="0"/>
      <w:marRight w:val="0"/>
      <w:marTop w:val="0"/>
      <w:marBottom w:val="0"/>
      <w:divBdr>
        <w:top w:val="none" w:sz="0" w:space="0" w:color="auto"/>
        <w:left w:val="none" w:sz="0" w:space="0" w:color="auto"/>
        <w:bottom w:val="none" w:sz="0" w:space="0" w:color="auto"/>
        <w:right w:val="none" w:sz="0" w:space="0" w:color="auto"/>
      </w:divBdr>
    </w:div>
    <w:div w:id="1273905081">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279798644">
      <w:bodyDiv w:val="1"/>
      <w:marLeft w:val="0"/>
      <w:marRight w:val="0"/>
      <w:marTop w:val="0"/>
      <w:marBottom w:val="0"/>
      <w:divBdr>
        <w:top w:val="none" w:sz="0" w:space="0" w:color="auto"/>
        <w:left w:val="none" w:sz="0" w:space="0" w:color="auto"/>
        <w:bottom w:val="none" w:sz="0" w:space="0" w:color="auto"/>
        <w:right w:val="none" w:sz="0" w:space="0" w:color="auto"/>
      </w:divBdr>
    </w:div>
    <w:div w:id="1284534776">
      <w:bodyDiv w:val="1"/>
      <w:marLeft w:val="0"/>
      <w:marRight w:val="0"/>
      <w:marTop w:val="0"/>
      <w:marBottom w:val="0"/>
      <w:divBdr>
        <w:top w:val="none" w:sz="0" w:space="0" w:color="auto"/>
        <w:left w:val="none" w:sz="0" w:space="0" w:color="auto"/>
        <w:bottom w:val="none" w:sz="0" w:space="0" w:color="auto"/>
        <w:right w:val="none" w:sz="0" w:space="0" w:color="auto"/>
      </w:divBdr>
    </w:div>
    <w:div w:id="1303459159">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17807682">
      <w:bodyDiv w:val="1"/>
      <w:marLeft w:val="0"/>
      <w:marRight w:val="0"/>
      <w:marTop w:val="0"/>
      <w:marBottom w:val="0"/>
      <w:divBdr>
        <w:top w:val="none" w:sz="0" w:space="0" w:color="auto"/>
        <w:left w:val="none" w:sz="0" w:space="0" w:color="auto"/>
        <w:bottom w:val="none" w:sz="0" w:space="0" w:color="auto"/>
        <w:right w:val="none" w:sz="0" w:space="0" w:color="auto"/>
      </w:divBdr>
    </w:div>
    <w:div w:id="1319310146">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41085266">
      <w:bodyDiv w:val="1"/>
      <w:marLeft w:val="0"/>
      <w:marRight w:val="0"/>
      <w:marTop w:val="0"/>
      <w:marBottom w:val="0"/>
      <w:divBdr>
        <w:top w:val="none" w:sz="0" w:space="0" w:color="auto"/>
        <w:left w:val="none" w:sz="0" w:space="0" w:color="auto"/>
        <w:bottom w:val="none" w:sz="0" w:space="0" w:color="auto"/>
        <w:right w:val="none" w:sz="0" w:space="0" w:color="auto"/>
      </w:divBdr>
    </w:div>
    <w:div w:id="135215066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3727292">
      <w:bodyDiv w:val="1"/>
      <w:marLeft w:val="0"/>
      <w:marRight w:val="0"/>
      <w:marTop w:val="0"/>
      <w:marBottom w:val="0"/>
      <w:divBdr>
        <w:top w:val="none" w:sz="0" w:space="0" w:color="auto"/>
        <w:left w:val="none" w:sz="0" w:space="0" w:color="auto"/>
        <w:bottom w:val="none" w:sz="0" w:space="0" w:color="auto"/>
        <w:right w:val="none" w:sz="0" w:space="0" w:color="auto"/>
      </w:divBdr>
    </w:div>
    <w:div w:id="1353874612">
      <w:bodyDiv w:val="1"/>
      <w:marLeft w:val="0"/>
      <w:marRight w:val="0"/>
      <w:marTop w:val="0"/>
      <w:marBottom w:val="0"/>
      <w:divBdr>
        <w:top w:val="none" w:sz="0" w:space="0" w:color="auto"/>
        <w:left w:val="none" w:sz="0" w:space="0" w:color="auto"/>
        <w:bottom w:val="none" w:sz="0" w:space="0" w:color="auto"/>
        <w:right w:val="none" w:sz="0" w:space="0" w:color="auto"/>
      </w:divBdr>
    </w:div>
    <w:div w:id="1354920978">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77505675">
      <w:bodyDiv w:val="1"/>
      <w:marLeft w:val="0"/>
      <w:marRight w:val="0"/>
      <w:marTop w:val="0"/>
      <w:marBottom w:val="0"/>
      <w:divBdr>
        <w:top w:val="none" w:sz="0" w:space="0" w:color="auto"/>
        <w:left w:val="none" w:sz="0" w:space="0" w:color="auto"/>
        <w:bottom w:val="none" w:sz="0" w:space="0" w:color="auto"/>
        <w:right w:val="none" w:sz="0" w:space="0" w:color="auto"/>
      </w:divBdr>
    </w:div>
    <w:div w:id="1385522236">
      <w:bodyDiv w:val="1"/>
      <w:marLeft w:val="0"/>
      <w:marRight w:val="0"/>
      <w:marTop w:val="0"/>
      <w:marBottom w:val="0"/>
      <w:divBdr>
        <w:top w:val="none" w:sz="0" w:space="0" w:color="auto"/>
        <w:left w:val="none" w:sz="0" w:space="0" w:color="auto"/>
        <w:bottom w:val="none" w:sz="0" w:space="0" w:color="auto"/>
        <w:right w:val="none" w:sz="0" w:space="0" w:color="auto"/>
      </w:divBdr>
    </w:div>
    <w:div w:id="1393503627">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3088849">
      <w:bodyDiv w:val="1"/>
      <w:marLeft w:val="0"/>
      <w:marRight w:val="0"/>
      <w:marTop w:val="0"/>
      <w:marBottom w:val="0"/>
      <w:divBdr>
        <w:top w:val="none" w:sz="0" w:space="0" w:color="auto"/>
        <w:left w:val="none" w:sz="0" w:space="0" w:color="auto"/>
        <w:bottom w:val="none" w:sz="0" w:space="0" w:color="auto"/>
        <w:right w:val="none" w:sz="0" w:space="0" w:color="auto"/>
      </w:divBdr>
    </w:div>
    <w:div w:id="1414012980">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443913468">
      <w:bodyDiv w:val="1"/>
      <w:marLeft w:val="0"/>
      <w:marRight w:val="0"/>
      <w:marTop w:val="0"/>
      <w:marBottom w:val="0"/>
      <w:divBdr>
        <w:top w:val="none" w:sz="0" w:space="0" w:color="auto"/>
        <w:left w:val="none" w:sz="0" w:space="0" w:color="auto"/>
        <w:bottom w:val="none" w:sz="0" w:space="0" w:color="auto"/>
        <w:right w:val="none" w:sz="0" w:space="0" w:color="auto"/>
      </w:divBdr>
    </w:div>
    <w:div w:id="1451364290">
      <w:bodyDiv w:val="1"/>
      <w:marLeft w:val="0"/>
      <w:marRight w:val="0"/>
      <w:marTop w:val="0"/>
      <w:marBottom w:val="0"/>
      <w:divBdr>
        <w:top w:val="none" w:sz="0" w:space="0" w:color="auto"/>
        <w:left w:val="none" w:sz="0" w:space="0" w:color="auto"/>
        <w:bottom w:val="none" w:sz="0" w:space="0" w:color="auto"/>
        <w:right w:val="none" w:sz="0" w:space="0" w:color="auto"/>
      </w:divBdr>
    </w:div>
    <w:div w:id="1481849856">
      <w:bodyDiv w:val="1"/>
      <w:marLeft w:val="0"/>
      <w:marRight w:val="0"/>
      <w:marTop w:val="0"/>
      <w:marBottom w:val="0"/>
      <w:divBdr>
        <w:top w:val="none" w:sz="0" w:space="0" w:color="auto"/>
        <w:left w:val="none" w:sz="0" w:space="0" w:color="auto"/>
        <w:bottom w:val="none" w:sz="0" w:space="0" w:color="auto"/>
        <w:right w:val="none" w:sz="0" w:space="0" w:color="auto"/>
      </w:divBdr>
    </w:div>
    <w:div w:id="1490445322">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11678603">
      <w:bodyDiv w:val="1"/>
      <w:marLeft w:val="0"/>
      <w:marRight w:val="0"/>
      <w:marTop w:val="0"/>
      <w:marBottom w:val="0"/>
      <w:divBdr>
        <w:top w:val="none" w:sz="0" w:space="0" w:color="auto"/>
        <w:left w:val="none" w:sz="0" w:space="0" w:color="auto"/>
        <w:bottom w:val="none" w:sz="0" w:space="0" w:color="auto"/>
        <w:right w:val="none" w:sz="0" w:space="0" w:color="auto"/>
      </w:divBdr>
    </w:div>
    <w:div w:id="1513377035">
      <w:bodyDiv w:val="1"/>
      <w:marLeft w:val="0"/>
      <w:marRight w:val="0"/>
      <w:marTop w:val="0"/>
      <w:marBottom w:val="0"/>
      <w:divBdr>
        <w:top w:val="none" w:sz="0" w:space="0" w:color="auto"/>
        <w:left w:val="none" w:sz="0" w:space="0" w:color="auto"/>
        <w:bottom w:val="none" w:sz="0" w:space="0" w:color="auto"/>
        <w:right w:val="none" w:sz="0" w:space="0" w:color="auto"/>
      </w:divBdr>
    </w:div>
    <w:div w:id="1513568933">
      <w:bodyDiv w:val="1"/>
      <w:marLeft w:val="0"/>
      <w:marRight w:val="0"/>
      <w:marTop w:val="0"/>
      <w:marBottom w:val="0"/>
      <w:divBdr>
        <w:top w:val="none" w:sz="0" w:space="0" w:color="auto"/>
        <w:left w:val="none" w:sz="0" w:space="0" w:color="auto"/>
        <w:bottom w:val="none" w:sz="0" w:space="0" w:color="auto"/>
        <w:right w:val="none" w:sz="0" w:space="0" w:color="auto"/>
      </w:divBdr>
    </w:div>
    <w:div w:id="1523203094">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24706153">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873709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4390830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57008015">
      <w:bodyDiv w:val="1"/>
      <w:marLeft w:val="0"/>
      <w:marRight w:val="0"/>
      <w:marTop w:val="0"/>
      <w:marBottom w:val="0"/>
      <w:divBdr>
        <w:top w:val="none" w:sz="0" w:space="0" w:color="auto"/>
        <w:left w:val="none" w:sz="0" w:space="0" w:color="auto"/>
        <w:bottom w:val="none" w:sz="0" w:space="0" w:color="auto"/>
        <w:right w:val="none" w:sz="0" w:space="0" w:color="auto"/>
      </w:divBdr>
    </w:div>
    <w:div w:id="1560171241">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167784">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37489738">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49894725">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79387139">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03554572">
      <w:bodyDiv w:val="1"/>
      <w:marLeft w:val="0"/>
      <w:marRight w:val="0"/>
      <w:marTop w:val="0"/>
      <w:marBottom w:val="0"/>
      <w:divBdr>
        <w:top w:val="none" w:sz="0" w:space="0" w:color="auto"/>
        <w:left w:val="none" w:sz="0" w:space="0" w:color="auto"/>
        <w:bottom w:val="none" w:sz="0" w:space="0" w:color="auto"/>
        <w:right w:val="none" w:sz="0" w:space="0" w:color="auto"/>
      </w:divBdr>
    </w:div>
    <w:div w:id="1708339044">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11759559">
      <w:bodyDiv w:val="1"/>
      <w:marLeft w:val="0"/>
      <w:marRight w:val="0"/>
      <w:marTop w:val="0"/>
      <w:marBottom w:val="0"/>
      <w:divBdr>
        <w:top w:val="none" w:sz="0" w:space="0" w:color="auto"/>
        <w:left w:val="none" w:sz="0" w:space="0" w:color="auto"/>
        <w:bottom w:val="none" w:sz="0" w:space="0" w:color="auto"/>
        <w:right w:val="none" w:sz="0" w:space="0" w:color="auto"/>
      </w:divBdr>
    </w:div>
    <w:div w:id="171195808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24400662">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1781248">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43722915">
      <w:bodyDiv w:val="1"/>
      <w:marLeft w:val="0"/>
      <w:marRight w:val="0"/>
      <w:marTop w:val="0"/>
      <w:marBottom w:val="0"/>
      <w:divBdr>
        <w:top w:val="none" w:sz="0" w:space="0" w:color="auto"/>
        <w:left w:val="none" w:sz="0" w:space="0" w:color="auto"/>
        <w:bottom w:val="none" w:sz="0" w:space="0" w:color="auto"/>
        <w:right w:val="none" w:sz="0" w:space="0" w:color="auto"/>
      </w:divBdr>
    </w:div>
    <w:div w:id="1760249947">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0370643">
      <w:bodyDiv w:val="1"/>
      <w:marLeft w:val="0"/>
      <w:marRight w:val="0"/>
      <w:marTop w:val="0"/>
      <w:marBottom w:val="0"/>
      <w:divBdr>
        <w:top w:val="none" w:sz="0" w:space="0" w:color="auto"/>
        <w:left w:val="none" w:sz="0" w:space="0" w:color="auto"/>
        <w:bottom w:val="none" w:sz="0" w:space="0" w:color="auto"/>
        <w:right w:val="none" w:sz="0" w:space="0" w:color="auto"/>
      </w:divBdr>
    </w:div>
    <w:div w:id="1768042402">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78482444">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5269659">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06969341">
      <w:bodyDiv w:val="1"/>
      <w:marLeft w:val="0"/>
      <w:marRight w:val="0"/>
      <w:marTop w:val="0"/>
      <w:marBottom w:val="0"/>
      <w:divBdr>
        <w:top w:val="none" w:sz="0" w:space="0" w:color="auto"/>
        <w:left w:val="none" w:sz="0" w:space="0" w:color="auto"/>
        <w:bottom w:val="none" w:sz="0" w:space="0" w:color="auto"/>
        <w:right w:val="none" w:sz="0" w:space="0" w:color="auto"/>
      </w:divBdr>
    </w:div>
    <w:div w:id="1815835003">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6915862">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39421294">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76699641">
      <w:bodyDiv w:val="1"/>
      <w:marLeft w:val="0"/>
      <w:marRight w:val="0"/>
      <w:marTop w:val="0"/>
      <w:marBottom w:val="0"/>
      <w:divBdr>
        <w:top w:val="none" w:sz="0" w:space="0" w:color="auto"/>
        <w:left w:val="none" w:sz="0" w:space="0" w:color="auto"/>
        <w:bottom w:val="none" w:sz="0" w:space="0" w:color="auto"/>
        <w:right w:val="none" w:sz="0" w:space="0" w:color="auto"/>
      </w:divBdr>
    </w:div>
    <w:div w:id="187723437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82328159">
      <w:bodyDiv w:val="1"/>
      <w:marLeft w:val="0"/>
      <w:marRight w:val="0"/>
      <w:marTop w:val="0"/>
      <w:marBottom w:val="0"/>
      <w:divBdr>
        <w:top w:val="none" w:sz="0" w:space="0" w:color="auto"/>
        <w:left w:val="none" w:sz="0" w:space="0" w:color="auto"/>
        <w:bottom w:val="none" w:sz="0" w:space="0" w:color="auto"/>
        <w:right w:val="none" w:sz="0" w:space="0" w:color="auto"/>
      </w:divBdr>
    </w:div>
    <w:div w:id="1890141077">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4272455">
      <w:bodyDiv w:val="1"/>
      <w:marLeft w:val="0"/>
      <w:marRight w:val="0"/>
      <w:marTop w:val="0"/>
      <w:marBottom w:val="0"/>
      <w:divBdr>
        <w:top w:val="none" w:sz="0" w:space="0" w:color="auto"/>
        <w:left w:val="none" w:sz="0" w:space="0" w:color="auto"/>
        <w:bottom w:val="none" w:sz="0" w:space="0" w:color="auto"/>
        <w:right w:val="none" w:sz="0" w:space="0" w:color="auto"/>
      </w:divBdr>
    </w:div>
    <w:div w:id="189735521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03642013">
      <w:bodyDiv w:val="1"/>
      <w:marLeft w:val="0"/>
      <w:marRight w:val="0"/>
      <w:marTop w:val="0"/>
      <w:marBottom w:val="0"/>
      <w:divBdr>
        <w:top w:val="none" w:sz="0" w:space="0" w:color="auto"/>
        <w:left w:val="none" w:sz="0" w:space="0" w:color="auto"/>
        <w:bottom w:val="none" w:sz="0" w:space="0" w:color="auto"/>
        <w:right w:val="none" w:sz="0" w:space="0" w:color="auto"/>
      </w:divBdr>
    </w:div>
    <w:div w:id="1916162123">
      <w:bodyDiv w:val="1"/>
      <w:marLeft w:val="0"/>
      <w:marRight w:val="0"/>
      <w:marTop w:val="0"/>
      <w:marBottom w:val="0"/>
      <w:divBdr>
        <w:top w:val="none" w:sz="0" w:space="0" w:color="auto"/>
        <w:left w:val="none" w:sz="0" w:space="0" w:color="auto"/>
        <w:bottom w:val="none" w:sz="0" w:space="0" w:color="auto"/>
        <w:right w:val="none" w:sz="0" w:space="0" w:color="auto"/>
      </w:divBdr>
    </w:div>
    <w:div w:id="1922249079">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48852382">
      <w:bodyDiv w:val="1"/>
      <w:marLeft w:val="0"/>
      <w:marRight w:val="0"/>
      <w:marTop w:val="0"/>
      <w:marBottom w:val="0"/>
      <w:divBdr>
        <w:top w:val="none" w:sz="0" w:space="0" w:color="auto"/>
        <w:left w:val="none" w:sz="0" w:space="0" w:color="auto"/>
        <w:bottom w:val="none" w:sz="0" w:space="0" w:color="auto"/>
        <w:right w:val="none" w:sz="0" w:space="0" w:color="auto"/>
      </w:divBdr>
    </w:div>
    <w:div w:id="1951014590">
      <w:bodyDiv w:val="1"/>
      <w:marLeft w:val="0"/>
      <w:marRight w:val="0"/>
      <w:marTop w:val="0"/>
      <w:marBottom w:val="0"/>
      <w:divBdr>
        <w:top w:val="none" w:sz="0" w:space="0" w:color="auto"/>
        <w:left w:val="none" w:sz="0" w:space="0" w:color="auto"/>
        <w:bottom w:val="none" w:sz="0" w:space="0" w:color="auto"/>
        <w:right w:val="none" w:sz="0" w:space="0" w:color="auto"/>
      </w:divBdr>
    </w:div>
    <w:div w:id="1963489040">
      <w:bodyDiv w:val="1"/>
      <w:marLeft w:val="0"/>
      <w:marRight w:val="0"/>
      <w:marTop w:val="0"/>
      <w:marBottom w:val="0"/>
      <w:divBdr>
        <w:top w:val="none" w:sz="0" w:space="0" w:color="auto"/>
        <w:left w:val="none" w:sz="0" w:space="0" w:color="auto"/>
        <w:bottom w:val="none" w:sz="0" w:space="0" w:color="auto"/>
        <w:right w:val="none" w:sz="0" w:space="0" w:color="auto"/>
      </w:divBdr>
    </w:div>
    <w:div w:id="1966613695">
      <w:bodyDiv w:val="1"/>
      <w:marLeft w:val="0"/>
      <w:marRight w:val="0"/>
      <w:marTop w:val="0"/>
      <w:marBottom w:val="0"/>
      <w:divBdr>
        <w:top w:val="none" w:sz="0" w:space="0" w:color="auto"/>
        <w:left w:val="none" w:sz="0" w:space="0" w:color="auto"/>
        <w:bottom w:val="none" w:sz="0" w:space="0" w:color="auto"/>
        <w:right w:val="none" w:sz="0" w:space="0" w:color="auto"/>
      </w:divBdr>
    </w:div>
    <w:div w:id="1969505811">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406450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11055587">
      <w:bodyDiv w:val="1"/>
      <w:marLeft w:val="0"/>
      <w:marRight w:val="0"/>
      <w:marTop w:val="0"/>
      <w:marBottom w:val="0"/>
      <w:divBdr>
        <w:top w:val="none" w:sz="0" w:space="0" w:color="auto"/>
        <w:left w:val="none" w:sz="0" w:space="0" w:color="auto"/>
        <w:bottom w:val="none" w:sz="0" w:space="0" w:color="auto"/>
        <w:right w:val="none" w:sz="0" w:space="0" w:color="auto"/>
      </w:divBdr>
    </w:div>
    <w:div w:id="2020767442">
      <w:bodyDiv w:val="1"/>
      <w:marLeft w:val="0"/>
      <w:marRight w:val="0"/>
      <w:marTop w:val="0"/>
      <w:marBottom w:val="0"/>
      <w:divBdr>
        <w:top w:val="none" w:sz="0" w:space="0" w:color="auto"/>
        <w:left w:val="none" w:sz="0" w:space="0" w:color="auto"/>
        <w:bottom w:val="none" w:sz="0" w:space="0" w:color="auto"/>
        <w:right w:val="none" w:sz="0" w:space="0" w:color="auto"/>
      </w:divBdr>
    </w:div>
    <w:div w:id="2028486976">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77898989">
      <w:bodyDiv w:val="1"/>
      <w:marLeft w:val="0"/>
      <w:marRight w:val="0"/>
      <w:marTop w:val="0"/>
      <w:marBottom w:val="0"/>
      <w:divBdr>
        <w:top w:val="none" w:sz="0" w:space="0" w:color="auto"/>
        <w:left w:val="none" w:sz="0" w:space="0" w:color="auto"/>
        <w:bottom w:val="none" w:sz="0" w:space="0" w:color="auto"/>
        <w:right w:val="none" w:sz="0" w:space="0" w:color="auto"/>
      </w:divBdr>
    </w:div>
    <w:div w:id="2079593452">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1437107">
      <w:bodyDiv w:val="1"/>
      <w:marLeft w:val="0"/>
      <w:marRight w:val="0"/>
      <w:marTop w:val="0"/>
      <w:marBottom w:val="0"/>
      <w:divBdr>
        <w:top w:val="none" w:sz="0" w:space="0" w:color="auto"/>
        <w:left w:val="none" w:sz="0" w:space="0" w:color="auto"/>
        <w:bottom w:val="none" w:sz="0" w:space="0" w:color="auto"/>
        <w:right w:val="none" w:sz="0" w:space="0" w:color="auto"/>
      </w:divBdr>
    </w:div>
    <w:div w:id="2081904282">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04716981">
      <w:bodyDiv w:val="1"/>
      <w:marLeft w:val="0"/>
      <w:marRight w:val="0"/>
      <w:marTop w:val="0"/>
      <w:marBottom w:val="0"/>
      <w:divBdr>
        <w:top w:val="none" w:sz="0" w:space="0" w:color="auto"/>
        <w:left w:val="none" w:sz="0" w:space="0" w:color="auto"/>
        <w:bottom w:val="none" w:sz="0" w:space="0" w:color="auto"/>
        <w:right w:val="none" w:sz="0" w:space="0" w:color="auto"/>
      </w:divBdr>
    </w:div>
    <w:div w:id="2105420911">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13279275">
      <w:bodyDiv w:val="1"/>
      <w:marLeft w:val="0"/>
      <w:marRight w:val="0"/>
      <w:marTop w:val="0"/>
      <w:marBottom w:val="0"/>
      <w:divBdr>
        <w:top w:val="none" w:sz="0" w:space="0" w:color="auto"/>
        <w:left w:val="none" w:sz="0" w:space="0" w:color="auto"/>
        <w:bottom w:val="none" w:sz="0" w:space="0" w:color="auto"/>
        <w:right w:val="none" w:sz="0" w:space="0" w:color="auto"/>
      </w:divBdr>
    </w:div>
    <w:div w:id="2120024124">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F93A8-32F6-47DA-9747-F49B2C93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9</cp:revision>
  <cp:lastPrinted>2015-04-24T15:52:00Z</cp:lastPrinted>
  <dcterms:created xsi:type="dcterms:W3CDTF">2018-10-11T16:31:00Z</dcterms:created>
  <dcterms:modified xsi:type="dcterms:W3CDTF">2018-11-15T15:30:00Z</dcterms:modified>
</cp:coreProperties>
</file>